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85" w:rsidRPr="0097484C" w:rsidRDefault="005D5B85" w:rsidP="005D5B85">
      <w:pPr>
        <w:pStyle w:val="Heading6"/>
        <w:pageBreakBefore w:val="0"/>
        <w:framePr w:hSpace="1134" w:wrap="around" w:vAnchor="page" w:hAnchor="page" w:x="97" w:y="2041"/>
        <w:numPr>
          <w:ilvl w:val="0"/>
          <w:numId w:val="0"/>
        </w:numPr>
        <w:spacing w:after="0" w:line="14" w:lineRule="exact"/>
        <w:ind w:left="-1134"/>
        <w:rPr>
          <w:b/>
          <w:i w:val="0"/>
          <w:color w:val="FFFFFF"/>
          <w:sz w:val="14"/>
          <w:szCs w:val="14"/>
        </w:rPr>
      </w:pPr>
    </w:p>
    <w:p w:rsidR="00BC4823" w:rsidRPr="0097484C" w:rsidRDefault="00BC4823" w:rsidP="00BC4823">
      <w:pPr>
        <w:pStyle w:val="Heading6"/>
        <w:pageBreakBefore w:val="0"/>
        <w:framePr w:hSpace="1134" w:wrap="around" w:vAnchor="page" w:hAnchor="page" w:x="97" w:y="3481"/>
        <w:numPr>
          <w:ilvl w:val="0"/>
          <w:numId w:val="0"/>
        </w:numPr>
        <w:spacing w:after="0" w:line="14" w:lineRule="exact"/>
        <w:ind w:left="-1134"/>
        <w:rPr>
          <w:b/>
          <w:i w:val="0"/>
          <w:color w:val="FFFFFF"/>
          <w:sz w:val="14"/>
          <w:szCs w:val="14"/>
        </w:rPr>
      </w:pPr>
    </w:p>
    <w:p w:rsidR="00675046" w:rsidRPr="00360168" w:rsidRDefault="00675046" w:rsidP="00675046">
      <w:pPr>
        <w:pStyle w:val="BodyText"/>
        <w:spacing w:before="0" w:line="14" w:lineRule="exact"/>
        <w:ind w:left="-1985"/>
        <w:rPr>
          <w:color w:val="FFFFFF" w:themeColor="background1"/>
        </w:rPr>
      </w:pPr>
      <w:r>
        <w:rPr>
          <w:noProof/>
        </w:rPr>
        <w:drawing>
          <wp:anchor distT="0" distB="0" distL="114300" distR="114300" simplePos="0" relativeHeight="251659264" behindDoc="1" locked="0" layoutInCell="0" allowOverlap="1" wp14:anchorId="085B8055" wp14:editId="3956F048">
            <wp:simplePos x="0" y="0"/>
            <wp:positionH relativeFrom="page">
              <wp:posOffset>0</wp:posOffset>
            </wp:positionH>
            <wp:positionV relativeFrom="page">
              <wp:posOffset>0</wp:posOffset>
            </wp:positionV>
            <wp:extent cx="7559675" cy="10691495"/>
            <wp:effectExtent l="0" t="0" r="3175" b="0"/>
            <wp:wrapNone/>
            <wp:docPr id="6" name="Picture 6" descr="Centre for International Economics - Re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no_ima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rsidR="00675046" w:rsidRPr="0097484C" w:rsidRDefault="00675046" w:rsidP="00675046">
      <w:pPr>
        <w:pStyle w:val="Heading6"/>
        <w:pageBreakBefore w:val="0"/>
        <w:framePr w:hSpace="1134" w:wrap="around" w:vAnchor="page" w:hAnchor="page" w:x="97" w:y="2041"/>
        <w:numPr>
          <w:ilvl w:val="0"/>
          <w:numId w:val="0"/>
        </w:numPr>
        <w:spacing w:after="0" w:line="14" w:lineRule="exact"/>
        <w:ind w:left="-1134"/>
        <w:rPr>
          <w:b/>
          <w:i w:val="0"/>
          <w:color w:val="FFFFFF"/>
          <w:sz w:val="14"/>
          <w:szCs w:val="14"/>
        </w:rPr>
      </w:pPr>
    </w:p>
    <w:p w:rsidR="00675046" w:rsidRDefault="00675046" w:rsidP="00675046">
      <w:pPr>
        <w:pStyle w:val="Confidential"/>
        <w:framePr w:hSpace="181" w:wrap="around" w:vAnchor="page" w:hAnchor="page" w:x="7210" w:y="831"/>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inal Report - Telstra's retail price controls - Economic and social impacts - prepared for the Department of Communications - Australian Government."/>
      </w:tblPr>
      <w:tblGrid>
        <w:gridCol w:w="4984"/>
        <w:gridCol w:w="2954"/>
      </w:tblGrid>
      <w:tr w:rsidR="00675046" w:rsidTr="00B01898">
        <w:trPr>
          <w:cantSplit/>
          <w:trHeight w:val="1968"/>
          <w:tblHeader/>
        </w:trPr>
        <w:tc>
          <w:tcPr>
            <w:tcW w:w="7938" w:type="dxa"/>
            <w:gridSpan w:val="2"/>
          </w:tcPr>
          <w:p w:rsidR="00675046" w:rsidRDefault="00675046" w:rsidP="00675046">
            <w:pPr>
              <w:pStyle w:val="BodyText"/>
              <w:spacing w:before="0"/>
            </w:pPr>
          </w:p>
        </w:tc>
      </w:tr>
      <w:tr w:rsidR="00675046" w:rsidTr="00675046">
        <w:trPr>
          <w:cantSplit/>
          <w:trHeight w:val="2988"/>
        </w:trPr>
        <w:tc>
          <w:tcPr>
            <w:tcW w:w="7938" w:type="dxa"/>
            <w:gridSpan w:val="2"/>
          </w:tcPr>
          <w:p w:rsidR="00675046" w:rsidRDefault="00532F23" w:rsidP="00675046">
            <w:pPr>
              <w:pStyle w:val="Reporttype"/>
            </w:pPr>
            <w:r>
              <w:t>Final</w:t>
            </w:r>
            <w:r w:rsidR="00675046">
              <w:t xml:space="preserve"> report</w:t>
            </w:r>
          </w:p>
          <w:p w:rsidR="00675046" w:rsidRDefault="00675046" w:rsidP="00675046">
            <w:pPr>
              <w:pStyle w:val="Title"/>
            </w:pPr>
            <w:r>
              <w:t>Telstra’s retail price controls</w:t>
            </w:r>
          </w:p>
          <w:p w:rsidR="00675046" w:rsidRPr="0089278E" w:rsidRDefault="00675046" w:rsidP="00675046">
            <w:pPr>
              <w:pStyle w:val="Subtitle"/>
            </w:pPr>
            <w:r>
              <w:t>Economic and social impacts</w:t>
            </w:r>
          </w:p>
        </w:tc>
      </w:tr>
      <w:tr w:rsidR="00675046" w:rsidTr="00675046">
        <w:trPr>
          <w:cantSplit/>
          <w:trHeight w:hRule="exact" w:val="3640"/>
        </w:trPr>
        <w:tc>
          <w:tcPr>
            <w:tcW w:w="4984" w:type="dxa"/>
          </w:tcPr>
          <w:p w:rsidR="00675046" w:rsidRDefault="00675046" w:rsidP="00675046">
            <w:pPr>
              <w:pStyle w:val="Chart"/>
            </w:pPr>
          </w:p>
        </w:tc>
        <w:tc>
          <w:tcPr>
            <w:tcW w:w="2954" w:type="dxa"/>
          </w:tcPr>
          <w:p w:rsidR="00675046" w:rsidRDefault="00675046" w:rsidP="00675046">
            <w:pPr>
              <w:pStyle w:val="BodyText"/>
            </w:pPr>
          </w:p>
        </w:tc>
      </w:tr>
      <w:tr w:rsidR="00675046" w:rsidTr="00675046">
        <w:trPr>
          <w:cantSplit/>
          <w:trHeight w:val="4224"/>
        </w:trPr>
        <w:tc>
          <w:tcPr>
            <w:tcW w:w="7938" w:type="dxa"/>
            <w:gridSpan w:val="2"/>
          </w:tcPr>
          <w:p w:rsidR="00675046" w:rsidRDefault="00675046" w:rsidP="00675046">
            <w:pPr>
              <w:pStyle w:val="Client"/>
              <w:spacing w:before="280"/>
            </w:pPr>
            <w:r w:rsidRPr="001647E4">
              <w:t>Prepared for</w:t>
            </w:r>
          </w:p>
          <w:p w:rsidR="00675046" w:rsidRDefault="00675046" w:rsidP="00675046">
            <w:pPr>
              <w:pStyle w:val="Client"/>
            </w:pPr>
            <w:r>
              <w:t>The Australian Department of Communications</w:t>
            </w:r>
          </w:p>
          <w:p w:rsidR="00675046" w:rsidRPr="009E7DDD" w:rsidRDefault="00304215" w:rsidP="00675046">
            <w:pPr>
              <w:pStyle w:val="Date"/>
            </w:pPr>
            <w:r>
              <w:t>May</w:t>
            </w:r>
            <w:r w:rsidR="00675046">
              <w:t xml:space="preserve"> 2014</w:t>
            </w:r>
          </w:p>
        </w:tc>
      </w:tr>
      <w:tr w:rsidR="00675046" w:rsidTr="00675046">
        <w:trPr>
          <w:cantSplit/>
          <w:trHeight w:val="419"/>
        </w:trPr>
        <w:tc>
          <w:tcPr>
            <w:tcW w:w="7938" w:type="dxa"/>
            <w:gridSpan w:val="2"/>
          </w:tcPr>
          <w:p w:rsidR="00675046" w:rsidRPr="00F062BF" w:rsidRDefault="00675046" w:rsidP="00675046">
            <w:pPr>
              <w:pStyle w:val="BodyText"/>
              <w:spacing w:before="0"/>
              <w:rPr>
                <w:rFonts w:ascii="Franklin Gothic Demi" w:hAnsi="Franklin Gothic Demi"/>
                <w:caps/>
                <w:spacing w:val="10"/>
                <w:sz w:val="20"/>
              </w:rPr>
            </w:pPr>
            <w:r w:rsidRPr="00F062BF">
              <w:rPr>
                <w:rFonts w:ascii="Franklin Gothic Demi" w:hAnsi="Franklin Gothic Demi"/>
                <w:caps/>
                <w:spacing w:val="10"/>
                <w:sz w:val="20"/>
              </w:rPr>
              <w:t>The Centre for International Economics</w:t>
            </w:r>
          </w:p>
          <w:p w:rsidR="00675046" w:rsidRPr="00DA40B0" w:rsidRDefault="00675046" w:rsidP="00675046">
            <w:pPr>
              <w:pStyle w:val="BodyText"/>
              <w:spacing w:before="0"/>
              <w:rPr>
                <w:i/>
                <w:color w:val="9B917E" w:themeColor="accent4"/>
                <w:spacing w:val="10"/>
                <w:sz w:val="25"/>
              </w:rPr>
            </w:pPr>
            <w:r w:rsidRPr="00DA40B0">
              <w:rPr>
                <w:i/>
                <w:color w:val="9B917E" w:themeColor="accent4"/>
                <w:spacing w:val="10"/>
                <w:sz w:val="25"/>
              </w:rPr>
              <w:t>www.TheCIE.com.au</w:t>
            </w:r>
          </w:p>
        </w:tc>
      </w:tr>
    </w:tbl>
    <w:p w:rsidR="00675046" w:rsidRDefault="00675046" w:rsidP="00675046">
      <w:pPr>
        <w:pStyle w:val="BodyText"/>
        <w:spacing w:before="0" w:line="14" w:lineRule="exact"/>
      </w:pPr>
      <w:r>
        <w:rPr>
          <w:noProof/>
        </w:rPr>
        <mc:AlternateContent>
          <mc:Choice Requires="wps">
            <w:drawing>
              <wp:anchor distT="0" distB="0" distL="114300" distR="114300" simplePos="0" relativeHeight="251660288" behindDoc="0" locked="0" layoutInCell="0" allowOverlap="1" wp14:anchorId="574CC4DC" wp14:editId="3729096F">
                <wp:simplePos x="0" y="0"/>
                <wp:positionH relativeFrom="page">
                  <wp:posOffset>0</wp:posOffset>
                </wp:positionH>
                <wp:positionV relativeFrom="page">
                  <wp:posOffset>10151110</wp:posOffset>
                </wp:positionV>
                <wp:extent cx="7560000" cy="540000"/>
                <wp:effectExtent l="0" t="0" r="3175" b="0"/>
                <wp:wrapNone/>
                <wp:docPr id="12" name="Rectangle 12"/>
                <wp:cNvGraphicFramePr/>
                <a:graphic xmlns:a="http://schemas.openxmlformats.org/drawingml/2006/main">
                  <a:graphicData uri="http://schemas.microsoft.com/office/word/2010/wordprocessingShape">
                    <wps:wsp>
                      <wps:cNvSpPr/>
                      <wps:spPr>
                        <a:xfrm>
                          <a:off x="0" y="0"/>
                          <a:ext cx="7560000" cy="54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0;margin-top:799.3pt;width:595.3pt;height: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" o:allowincell="f" fillcolor="white [3212]" stroked="f" strokeweight="2pt">
                <w10:wrap anchorx="page" anchory="page"/>
              </v:rect>
            </w:pict>
          </mc:Fallback>
        </mc:AlternateContent>
      </w:r>
    </w:p>
    <w:p w:rsidR="00675046" w:rsidRDefault="00675046" w:rsidP="00675046">
      <w:pPr>
        <w:pStyle w:val="BodyText"/>
        <w:pageBreakBefore/>
        <w:spacing w:before="0"/>
        <w:sectPr w:rsidR="00675046" w:rsidSect="00675046">
          <w:headerReference w:type="even" r:id="rId10"/>
          <w:headerReference w:type="default" r:id="rId11"/>
          <w:footerReference w:type="even" r:id="rId12"/>
          <w:footerReference w:type="default" r:id="rId13"/>
          <w:pgSz w:w="11906" w:h="16838" w:code="9"/>
          <w:pgMar w:top="2268" w:right="1701" w:bottom="851" w:left="1928" w:header="680" w:footer="680" w:gutter="0"/>
          <w:cols w:space="708"/>
          <w:docGrid w:linePitch="360"/>
        </w:sectPr>
      </w:pPr>
    </w:p>
    <w:p w:rsidR="00675046" w:rsidRDefault="00675046" w:rsidP="00675046">
      <w:pPr>
        <w:pStyle w:val="BodyText"/>
        <w:pageBreakBefore/>
        <w:spacing w:before="0"/>
      </w:pPr>
      <w:r>
        <w:lastRenderedPageBreak/>
        <w:t>The Centre for International Economics is a private economic research agency that provides professional, independent and timely analysis of international and domestic events and policies.</w:t>
      </w:r>
    </w:p>
    <w:p w:rsidR="00675046" w:rsidRDefault="00675046" w:rsidP="00675046">
      <w:pPr>
        <w:pStyle w:val="BodyText"/>
      </w:pPr>
      <w:r>
        <w:t xml:space="preserve">The CIE’s professional </w:t>
      </w:r>
      <w:proofErr w:type="gramStart"/>
      <w:r>
        <w:t>staff arrange</w:t>
      </w:r>
      <w:proofErr w:type="gramEnd"/>
      <w:r>
        <w:t>, undertake and publish commissioned economic research and analysis for industry, corporations, governments, international agencies and individuals.</w:t>
      </w:r>
    </w:p>
    <w:p w:rsidR="00293297" w:rsidRDefault="00293297" w:rsidP="00293297">
      <w:pPr>
        <w:pStyle w:val="BodyText"/>
      </w:pPr>
      <w:r>
        <w:t xml:space="preserve">The CIE’s partners for this project are </w:t>
      </w:r>
      <w:proofErr w:type="spellStart"/>
      <w:r>
        <w:t>Analysys</w:t>
      </w:r>
      <w:proofErr w:type="spellEnd"/>
      <w:r>
        <w:t xml:space="preserve"> Mason and Evans </w:t>
      </w:r>
      <w:r w:rsidRPr="00293297">
        <w:t>&amp;</w:t>
      </w:r>
      <w:r>
        <w:t xml:space="preserve"> Peck. </w:t>
      </w:r>
      <w:proofErr w:type="spellStart"/>
      <w:r>
        <w:t>Analysys</w:t>
      </w:r>
      <w:proofErr w:type="spellEnd"/>
      <w:r>
        <w:t xml:space="preserve"> Mason is a</w:t>
      </w:r>
      <w:r w:rsidRPr="00293297">
        <w:t xml:space="preserve"> </w:t>
      </w:r>
      <w:r>
        <w:t xml:space="preserve">global adviser on telecoms, technology and media. </w:t>
      </w:r>
      <w:r w:rsidRPr="00293297">
        <w:t>Evans &amp; Peck is a global advisory firm that provides project and business solutions to clients who develop, operate and maintain physical assets in the infrastructure and resources industries.</w:t>
      </w:r>
    </w:p>
    <w:p w:rsidR="00293297" w:rsidRDefault="00293297" w:rsidP="00293297">
      <w:pPr>
        <w:pStyle w:val="BodyText"/>
      </w:pPr>
    </w:p>
    <w:p w:rsidR="00293297" w:rsidRDefault="00293297" w:rsidP="00293297">
      <w:pPr>
        <w:pStyle w:val="BodyText"/>
      </w:pPr>
    </w:p>
    <w:p w:rsidR="00293297" w:rsidRDefault="00293297" w:rsidP="00293297">
      <w:pPr>
        <w:pStyle w:val="BodyText"/>
      </w:pPr>
    </w:p>
    <w:p w:rsidR="00293297" w:rsidRDefault="00293297" w:rsidP="00293297">
      <w:pPr>
        <w:pStyle w:val="BodyText"/>
      </w:pPr>
    </w:p>
    <w:p w:rsidR="00675046" w:rsidRPr="00511766" w:rsidRDefault="00675046" w:rsidP="00293297">
      <w:pPr>
        <w:pStyle w:val="BodyText"/>
        <w:spacing w:before="240"/>
      </w:pPr>
      <w:r w:rsidRPr="00511766">
        <w:t xml:space="preserve">© Centre for International Economics </w:t>
      </w:r>
      <w:r w:rsidRPr="00511766">
        <w:fldChar w:fldCharType="begin"/>
      </w:r>
      <w:r w:rsidRPr="00511766">
        <w:instrText xml:space="preserve"> SAVEDATE  \@ "yyyy"  \* MERGEFORMAT </w:instrText>
      </w:r>
      <w:r w:rsidRPr="00511766">
        <w:fldChar w:fldCharType="separate"/>
      </w:r>
      <w:r w:rsidR="00584F9A">
        <w:rPr>
          <w:noProof/>
        </w:rPr>
        <w:t>2014</w:t>
      </w:r>
      <w:r w:rsidRPr="00511766">
        <w:fldChar w:fldCharType="end"/>
      </w:r>
    </w:p>
    <w:p w:rsidR="00675046" w:rsidRPr="00511766" w:rsidRDefault="00675046" w:rsidP="00675046">
      <w:pPr>
        <w:pStyle w:val="BodyText"/>
        <w:spacing w:before="80"/>
      </w:pPr>
      <w:r w:rsidRPr="00511766">
        <w:t>This work is copyright. Individuals, agencies and corporations wishing to reproduce this material should contact the Centre for International Economics at one of the following addresses.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Office Locations and Contact Details for the Centre for International Economics in Sydney and Canberra."/>
      </w:tblPr>
      <w:tblGrid>
        <w:gridCol w:w="3969"/>
        <w:gridCol w:w="4077"/>
      </w:tblGrid>
      <w:tr w:rsidR="00675046" w:rsidTr="00B01898">
        <w:trPr>
          <w:tblHeader/>
        </w:trPr>
        <w:tc>
          <w:tcPr>
            <w:tcW w:w="3969" w:type="dxa"/>
          </w:tcPr>
          <w:p w:rsidR="00675046" w:rsidRPr="009E7DDD" w:rsidRDefault="00675046" w:rsidP="00675046">
            <w:pPr>
              <w:pStyle w:val="BodyText"/>
              <w:spacing w:before="200" w:line="260" w:lineRule="atLeast"/>
              <w:rPr>
                <w:rFonts w:ascii="Franklin Gothic Demi" w:hAnsi="Franklin Gothic Demi"/>
                <w:caps/>
                <w:color w:val="9B917E" w:themeColor="accent4"/>
                <w:spacing w:val="44"/>
              </w:rPr>
            </w:pPr>
            <w:r w:rsidRPr="009E7DDD">
              <w:rPr>
                <w:rFonts w:ascii="Franklin Gothic Demi" w:hAnsi="Franklin Gothic Demi"/>
                <w:caps/>
                <w:color w:val="9B917E" w:themeColor="accent4"/>
                <w:spacing w:val="44"/>
              </w:rPr>
              <w:t>Canberra</w:t>
            </w:r>
          </w:p>
          <w:p w:rsidR="00675046" w:rsidRPr="007248CB" w:rsidRDefault="00675046" w:rsidP="00675046">
            <w:pPr>
              <w:pStyle w:val="BodyText"/>
              <w:spacing w:before="0" w:line="260" w:lineRule="atLeast"/>
              <w:rPr>
                <w:sz w:val="19"/>
              </w:rPr>
            </w:pPr>
            <w:r w:rsidRPr="007248CB">
              <w:rPr>
                <w:sz w:val="19"/>
              </w:rPr>
              <w:t>Centre for International Economics</w:t>
            </w:r>
          </w:p>
          <w:p w:rsidR="00675046" w:rsidRPr="007248CB" w:rsidRDefault="00675046" w:rsidP="00675046">
            <w:pPr>
              <w:pStyle w:val="BodyText"/>
              <w:spacing w:before="0" w:line="260" w:lineRule="atLeast"/>
              <w:rPr>
                <w:sz w:val="19"/>
              </w:rPr>
            </w:pPr>
            <w:r w:rsidRPr="007248CB">
              <w:rPr>
                <w:sz w:val="19"/>
              </w:rPr>
              <w:t>Ground Floor, 11 Lancaster Place</w:t>
            </w:r>
          </w:p>
          <w:p w:rsidR="00675046" w:rsidRPr="007248CB" w:rsidRDefault="00675046" w:rsidP="00675046">
            <w:pPr>
              <w:pStyle w:val="BodyText"/>
              <w:spacing w:before="0" w:line="260" w:lineRule="atLeast"/>
              <w:rPr>
                <w:sz w:val="19"/>
              </w:rPr>
            </w:pPr>
            <w:r w:rsidRPr="007248CB">
              <w:rPr>
                <w:sz w:val="19"/>
              </w:rPr>
              <w:t>Majura Park</w:t>
            </w:r>
          </w:p>
          <w:p w:rsidR="00675046" w:rsidRPr="007248CB" w:rsidRDefault="00675046" w:rsidP="00675046">
            <w:pPr>
              <w:pStyle w:val="BodyText"/>
              <w:spacing w:before="0" w:line="260" w:lineRule="atLeast"/>
              <w:rPr>
                <w:sz w:val="19"/>
              </w:rPr>
            </w:pPr>
            <w:r w:rsidRPr="007248CB">
              <w:rPr>
                <w:sz w:val="19"/>
              </w:rPr>
              <w:t>Canberra</w:t>
            </w:r>
            <w:r>
              <w:rPr>
                <w:sz w:val="19"/>
              </w:rPr>
              <w:t> </w:t>
            </w:r>
            <w:r>
              <w:rPr>
                <w:sz w:val="19"/>
              </w:rPr>
              <w:t>ACT</w:t>
            </w:r>
            <w:r>
              <w:rPr>
                <w:sz w:val="19"/>
              </w:rPr>
              <w:t> </w:t>
            </w:r>
            <w:r w:rsidRPr="007248CB">
              <w:rPr>
                <w:sz w:val="19"/>
              </w:rPr>
              <w:t>2609</w:t>
            </w:r>
          </w:p>
          <w:p w:rsidR="00675046" w:rsidRPr="007248CB" w:rsidRDefault="00675046" w:rsidP="00675046">
            <w:pPr>
              <w:pStyle w:val="BodyText"/>
              <w:spacing w:before="100" w:line="260" w:lineRule="atLeast"/>
              <w:rPr>
                <w:sz w:val="19"/>
              </w:rPr>
            </w:pPr>
            <w:r w:rsidRPr="007248CB">
              <w:rPr>
                <w:sz w:val="19"/>
              </w:rPr>
              <w:t>GPO Box 2203</w:t>
            </w:r>
          </w:p>
          <w:p w:rsidR="00675046" w:rsidRPr="007248CB" w:rsidRDefault="00675046" w:rsidP="00675046">
            <w:pPr>
              <w:pStyle w:val="BodyText"/>
              <w:spacing w:before="0" w:line="260" w:lineRule="atLeast"/>
              <w:rPr>
                <w:sz w:val="19"/>
              </w:rPr>
            </w:pPr>
            <w:r w:rsidRPr="007248CB">
              <w:rPr>
                <w:sz w:val="19"/>
              </w:rPr>
              <w:t>Canberra</w:t>
            </w:r>
            <w:r>
              <w:rPr>
                <w:sz w:val="19"/>
              </w:rPr>
              <w:t> </w:t>
            </w:r>
            <w:r w:rsidRPr="007248CB">
              <w:rPr>
                <w:sz w:val="19"/>
              </w:rPr>
              <w:t>ACT</w:t>
            </w:r>
            <w:r>
              <w:rPr>
                <w:sz w:val="19"/>
              </w:rPr>
              <w:t> </w:t>
            </w:r>
            <w:r w:rsidRPr="007248CB">
              <w:rPr>
                <w:sz w:val="19"/>
              </w:rPr>
              <w:t>Australia</w:t>
            </w:r>
            <w:r>
              <w:rPr>
                <w:sz w:val="19"/>
              </w:rPr>
              <w:t> </w:t>
            </w:r>
            <w:r w:rsidRPr="007248CB">
              <w:rPr>
                <w:sz w:val="19"/>
              </w:rPr>
              <w:t>2601</w:t>
            </w:r>
          </w:p>
          <w:p w:rsidR="00675046" w:rsidRPr="007248CB" w:rsidRDefault="00675046" w:rsidP="00675046">
            <w:pPr>
              <w:pStyle w:val="BodyText"/>
              <w:tabs>
                <w:tab w:val="left" w:pos="993"/>
              </w:tabs>
              <w:spacing w:before="100" w:line="260" w:lineRule="atLeast"/>
              <w:rPr>
                <w:sz w:val="19"/>
              </w:rPr>
            </w:pPr>
            <w:r>
              <w:rPr>
                <w:sz w:val="19"/>
              </w:rPr>
              <w:t>Telephone</w:t>
            </w:r>
            <w:r>
              <w:rPr>
                <w:sz w:val="19"/>
              </w:rPr>
              <w:tab/>
            </w:r>
            <w:r w:rsidRPr="007248CB">
              <w:rPr>
                <w:sz w:val="19"/>
              </w:rPr>
              <w:t>+61 2 6245 7800</w:t>
            </w:r>
          </w:p>
          <w:p w:rsidR="00675046" w:rsidRPr="007248CB" w:rsidRDefault="00675046" w:rsidP="00675046">
            <w:pPr>
              <w:pStyle w:val="BodyText"/>
              <w:tabs>
                <w:tab w:val="left" w:pos="993"/>
              </w:tabs>
              <w:spacing w:before="0" w:line="260" w:lineRule="atLeast"/>
              <w:rPr>
                <w:sz w:val="19"/>
              </w:rPr>
            </w:pPr>
            <w:r w:rsidRPr="007248CB">
              <w:rPr>
                <w:sz w:val="19"/>
              </w:rPr>
              <w:t xml:space="preserve">Facsimile </w:t>
            </w:r>
            <w:r>
              <w:rPr>
                <w:sz w:val="19"/>
              </w:rPr>
              <w:tab/>
            </w:r>
            <w:r w:rsidRPr="007248CB">
              <w:rPr>
                <w:sz w:val="19"/>
              </w:rPr>
              <w:t>+61 2 6245 7888</w:t>
            </w:r>
          </w:p>
          <w:p w:rsidR="00675046" w:rsidRPr="007248CB" w:rsidRDefault="00675046" w:rsidP="00675046">
            <w:pPr>
              <w:pStyle w:val="BodyText"/>
              <w:tabs>
                <w:tab w:val="left" w:pos="993"/>
              </w:tabs>
              <w:spacing w:before="0" w:line="260" w:lineRule="atLeast"/>
              <w:rPr>
                <w:sz w:val="19"/>
              </w:rPr>
            </w:pPr>
            <w:r w:rsidRPr="007248CB">
              <w:rPr>
                <w:sz w:val="19"/>
              </w:rPr>
              <w:t>Ema</w:t>
            </w:r>
            <w:r>
              <w:rPr>
                <w:sz w:val="19"/>
              </w:rPr>
              <w:t>il</w:t>
            </w:r>
            <w:r>
              <w:rPr>
                <w:sz w:val="19"/>
              </w:rPr>
              <w:tab/>
            </w:r>
            <w:r w:rsidRPr="007248CB">
              <w:rPr>
                <w:sz w:val="19"/>
              </w:rPr>
              <w:t>cie@TheCIE.com.au</w:t>
            </w:r>
          </w:p>
          <w:p w:rsidR="00675046" w:rsidRDefault="00675046" w:rsidP="00675046">
            <w:pPr>
              <w:pStyle w:val="BodyText"/>
              <w:tabs>
                <w:tab w:val="left" w:pos="993"/>
              </w:tabs>
              <w:spacing w:before="100" w:line="260" w:lineRule="atLeast"/>
              <w:rPr>
                <w:rFonts w:ascii="Franklin Gothic Demi" w:hAnsi="Franklin Gothic Demi"/>
                <w:color w:val="9B917E" w:themeColor="accent4"/>
                <w:sz w:val="19"/>
              </w:rPr>
            </w:pPr>
            <w:r>
              <w:rPr>
                <w:sz w:val="19"/>
              </w:rPr>
              <w:t>Website</w:t>
            </w:r>
            <w:r>
              <w:rPr>
                <w:sz w:val="19"/>
              </w:rPr>
              <w:tab/>
            </w:r>
            <w:r w:rsidRPr="007248CB">
              <w:rPr>
                <w:sz w:val="19"/>
              </w:rPr>
              <w:t>www.TheCIE.com.au</w:t>
            </w:r>
          </w:p>
        </w:tc>
        <w:tc>
          <w:tcPr>
            <w:tcW w:w="4077" w:type="dxa"/>
          </w:tcPr>
          <w:p w:rsidR="00675046" w:rsidRPr="009E7DDD" w:rsidRDefault="00675046" w:rsidP="00675046">
            <w:pPr>
              <w:pStyle w:val="BodyText"/>
              <w:spacing w:before="200" w:line="260" w:lineRule="atLeast"/>
              <w:rPr>
                <w:rFonts w:ascii="Franklin Gothic Demi" w:hAnsi="Franklin Gothic Demi"/>
                <w:caps/>
                <w:color w:val="9B917E" w:themeColor="accent4"/>
                <w:spacing w:val="44"/>
              </w:rPr>
            </w:pPr>
            <w:r w:rsidRPr="009E7DDD">
              <w:rPr>
                <w:rFonts w:ascii="Franklin Gothic Demi" w:hAnsi="Franklin Gothic Demi"/>
                <w:caps/>
                <w:color w:val="9B917E" w:themeColor="accent4"/>
                <w:spacing w:val="44"/>
              </w:rPr>
              <w:t>Sydney</w:t>
            </w:r>
          </w:p>
          <w:p w:rsidR="00675046" w:rsidRPr="007248CB" w:rsidRDefault="00675046" w:rsidP="00675046">
            <w:pPr>
              <w:pStyle w:val="BodyText"/>
              <w:spacing w:before="0" w:line="260" w:lineRule="atLeast"/>
              <w:rPr>
                <w:sz w:val="19"/>
              </w:rPr>
            </w:pPr>
            <w:r w:rsidRPr="007248CB">
              <w:rPr>
                <w:sz w:val="19"/>
              </w:rPr>
              <w:t>Centre for International Economics</w:t>
            </w:r>
          </w:p>
          <w:p w:rsidR="00675046" w:rsidRPr="007248CB" w:rsidRDefault="00675046" w:rsidP="00675046">
            <w:pPr>
              <w:pStyle w:val="BodyText"/>
              <w:spacing w:before="0" w:line="260" w:lineRule="atLeast"/>
              <w:rPr>
                <w:sz w:val="19"/>
              </w:rPr>
            </w:pPr>
            <w:r w:rsidRPr="007248CB">
              <w:rPr>
                <w:sz w:val="19"/>
              </w:rPr>
              <w:t xml:space="preserve">Suite </w:t>
            </w:r>
            <w:r>
              <w:rPr>
                <w:sz w:val="19"/>
              </w:rPr>
              <w:t>1</w:t>
            </w:r>
            <w:r w:rsidRPr="007248CB">
              <w:rPr>
                <w:sz w:val="19"/>
              </w:rPr>
              <w:t>, Level 16, 1 York Street</w:t>
            </w:r>
          </w:p>
          <w:p w:rsidR="00675046" w:rsidRDefault="00675046" w:rsidP="00675046">
            <w:pPr>
              <w:pStyle w:val="BodyText"/>
              <w:spacing w:before="0" w:line="260" w:lineRule="atLeast"/>
              <w:rPr>
                <w:sz w:val="19"/>
              </w:rPr>
            </w:pPr>
            <w:r w:rsidRPr="007248CB">
              <w:rPr>
                <w:sz w:val="19"/>
              </w:rPr>
              <w:t>Sydney</w:t>
            </w:r>
            <w:r w:rsidRPr="007248CB">
              <w:rPr>
                <w:rFonts w:cs="Book Antiqua"/>
                <w:sz w:val="19"/>
              </w:rPr>
              <w:t> </w:t>
            </w:r>
            <w:r w:rsidRPr="007248CB">
              <w:rPr>
                <w:sz w:val="19"/>
              </w:rPr>
              <w:t>NSW 2000</w:t>
            </w:r>
          </w:p>
          <w:p w:rsidR="00675046" w:rsidRPr="007248CB" w:rsidRDefault="00675046" w:rsidP="00675046">
            <w:pPr>
              <w:pStyle w:val="BodyText"/>
              <w:spacing w:before="0" w:line="260" w:lineRule="atLeast"/>
              <w:rPr>
                <w:sz w:val="19"/>
              </w:rPr>
            </w:pPr>
          </w:p>
          <w:p w:rsidR="00675046" w:rsidRPr="007248CB" w:rsidRDefault="00675046" w:rsidP="00675046">
            <w:pPr>
              <w:pStyle w:val="BodyText"/>
              <w:spacing w:before="100" w:line="260" w:lineRule="atLeast"/>
              <w:rPr>
                <w:sz w:val="19"/>
              </w:rPr>
            </w:pPr>
            <w:r w:rsidRPr="007248CB">
              <w:rPr>
                <w:sz w:val="19"/>
              </w:rPr>
              <w:t>GPO Box 397</w:t>
            </w:r>
          </w:p>
          <w:p w:rsidR="00675046" w:rsidRPr="007248CB" w:rsidRDefault="00675046" w:rsidP="00675046">
            <w:pPr>
              <w:pStyle w:val="BodyText"/>
              <w:spacing w:before="0" w:line="260" w:lineRule="atLeast"/>
              <w:rPr>
                <w:sz w:val="19"/>
              </w:rPr>
            </w:pPr>
            <w:r w:rsidRPr="007248CB">
              <w:rPr>
                <w:sz w:val="19"/>
              </w:rPr>
              <w:t>Sydney</w:t>
            </w:r>
            <w:r w:rsidRPr="007248CB">
              <w:rPr>
                <w:rFonts w:cs="Book Antiqua"/>
                <w:sz w:val="19"/>
              </w:rPr>
              <w:t> </w:t>
            </w:r>
            <w:r w:rsidRPr="007248CB">
              <w:rPr>
                <w:sz w:val="19"/>
              </w:rPr>
              <w:t>NSW</w:t>
            </w:r>
            <w:r w:rsidRPr="007248CB">
              <w:rPr>
                <w:rFonts w:cs="Book Antiqua"/>
                <w:sz w:val="19"/>
              </w:rPr>
              <w:t> </w:t>
            </w:r>
            <w:r w:rsidRPr="007248CB">
              <w:rPr>
                <w:sz w:val="19"/>
              </w:rPr>
              <w:t>Australia</w:t>
            </w:r>
            <w:r w:rsidRPr="007248CB">
              <w:rPr>
                <w:rFonts w:cs="Book Antiqua"/>
                <w:sz w:val="19"/>
              </w:rPr>
              <w:t> </w:t>
            </w:r>
            <w:r w:rsidRPr="007248CB">
              <w:rPr>
                <w:sz w:val="19"/>
              </w:rPr>
              <w:t>2001</w:t>
            </w:r>
          </w:p>
          <w:p w:rsidR="00675046" w:rsidRPr="007248CB" w:rsidRDefault="00675046" w:rsidP="00675046">
            <w:pPr>
              <w:pStyle w:val="BodyText"/>
              <w:tabs>
                <w:tab w:val="left" w:pos="-1077"/>
                <w:tab w:val="left" w:pos="993"/>
              </w:tabs>
              <w:spacing w:before="100" w:line="260" w:lineRule="atLeast"/>
              <w:rPr>
                <w:sz w:val="19"/>
              </w:rPr>
            </w:pPr>
            <w:r>
              <w:rPr>
                <w:sz w:val="19"/>
              </w:rPr>
              <w:t>Telephone</w:t>
            </w:r>
            <w:r>
              <w:rPr>
                <w:sz w:val="19"/>
              </w:rPr>
              <w:tab/>
            </w:r>
            <w:r w:rsidRPr="007248CB">
              <w:rPr>
                <w:sz w:val="19"/>
              </w:rPr>
              <w:t>+61 2 9250 0800</w:t>
            </w:r>
          </w:p>
          <w:p w:rsidR="00675046" w:rsidRPr="007248CB" w:rsidRDefault="00675046" w:rsidP="00675046">
            <w:pPr>
              <w:pStyle w:val="BodyText"/>
              <w:tabs>
                <w:tab w:val="left" w:pos="-1077"/>
                <w:tab w:val="left" w:pos="993"/>
              </w:tabs>
              <w:spacing w:before="0" w:line="260" w:lineRule="atLeast"/>
              <w:rPr>
                <w:sz w:val="19"/>
              </w:rPr>
            </w:pPr>
            <w:r w:rsidRPr="007248CB">
              <w:rPr>
                <w:sz w:val="19"/>
              </w:rPr>
              <w:t>Facsimile</w:t>
            </w:r>
            <w:r w:rsidRPr="007248CB">
              <w:rPr>
                <w:sz w:val="19"/>
              </w:rPr>
              <w:tab/>
              <w:t>+61 2 9250 0888</w:t>
            </w:r>
          </w:p>
          <w:p w:rsidR="00675046" w:rsidRPr="007248CB" w:rsidRDefault="00675046" w:rsidP="00675046">
            <w:pPr>
              <w:pStyle w:val="BodyText"/>
              <w:tabs>
                <w:tab w:val="left" w:pos="-1077"/>
                <w:tab w:val="left" w:pos="993"/>
              </w:tabs>
              <w:spacing w:before="0" w:line="260" w:lineRule="atLeast"/>
              <w:rPr>
                <w:sz w:val="19"/>
              </w:rPr>
            </w:pPr>
            <w:r w:rsidRPr="007248CB">
              <w:rPr>
                <w:sz w:val="19"/>
              </w:rPr>
              <w:t>Email</w:t>
            </w:r>
            <w:r w:rsidRPr="007248CB">
              <w:rPr>
                <w:sz w:val="19"/>
              </w:rPr>
              <w:tab/>
            </w:r>
            <w:hyperlink r:id="rId14" w:history="1">
              <w:r w:rsidRPr="007248CB">
                <w:rPr>
                  <w:sz w:val="19"/>
                </w:rPr>
                <w:t>ciesyd@TheCIE.com.au</w:t>
              </w:r>
            </w:hyperlink>
          </w:p>
          <w:p w:rsidR="00675046" w:rsidRDefault="00675046" w:rsidP="00675046">
            <w:pPr>
              <w:pStyle w:val="BodyText"/>
              <w:tabs>
                <w:tab w:val="left" w:pos="993"/>
              </w:tabs>
              <w:spacing w:before="100" w:line="260" w:lineRule="atLeast"/>
              <w:rPr>
                <w:rFonts w:ascii="Franklin Gothic Demi" w:hAnsi="Franklin Gothic Demi"/>
                <w:color w:val="9B917E" w:themeColor="accent4"/>
                <w:sz w:val="19"/>
              </w:rPr>
            </w:pPr>
            <w:r w:rsidRPr="007248CB">
              <w:rPr>
                <w:sz w:val="19"/>
              </w:rPr>
              <w:t>Website</w:t>
            </w:r>
            <w:r w:rsidRPr="007248CB">
              <w:rPr>
                <w:sz w:val="19"/>
              </w:rPr>
              <w:tab/>
            </w:r>
            <w:hyperlink r:id="rId15" w:history="1">
              <w:r w:rsidRPr="007248CB">
                <w:rPr>
                  <w:sz w:val="19"/>
                </w:rPr>
                <w:t>www.TheCIE.com.au</w:t>
              </w:r>
            </w:hyperlink>
          </w:p>
        </w:tc>
      </w:tr>
    </w:tbl>
    <w:p w:rsidR="00675046" w:rsidRPr="00375BA6" w:rsidRDefault="00675046" w:rsidP="00293297">
      <w:pPr>
        <w:pStyle w:val="BodyText"/>
        <w:spacing w:before="1200"/>
        <w:rPr>
          <w:rFonts w:ascii="Franklin Gothic Demi" w:hAnsi="Franklin Gothic Demi"/>
          <w:caps/>
          <w:spacing w:val="10"/>
          <w:szCs w:val="22"/>
        </w:rPr>
      </w:pPr>
      <w:r w:rsidRPr="00375BA6">
        <w:rPr>
          <w:rFonts w:ascii="Franklin Gothic Demi" w:hAnsi="Franklin Gothic Demi"/>
          <w:caps/>
          <w:spacing w:val="10"/>
          <w:szCs w:val="22"/>
        </w:rPr>
        <w:t>Disclaimer</w:t>
      </w:r>
    </w:p>
    <w:p w:rsidR="00675046" w:rsidRDefault="00675046" w:rsidP="00675046">
      <w:pPr>
        <w:pStyle w:val="BodyText"/>
        <w:tabs>
          <w:tab w:val="left" w:pos="-1077"/>
          <w:tab w:val="left" w:pos="1418"/>
          <w:tab w:val="left" w:pos="2155"/>
        </w:tabs>
        <w:spacing w:before="100"/>
      </w:pPr>
      <w:r>
        <w:t>While the CIE endeavours to provide reliable analysis and believes the material it presents is accurate, it will not be liable for any party acting on such information.</w:t>
      </w:r>
    </w:p>
    <w:p w:rsidR="00675046" w:rsidRDefault="00675046" w:rsidP="00675046">
      <w:pPr>
        <w:pStyle w:val="Contents"/>
        <w:sectPr w:rsidR="00675046" w:rsidSect="00675046">
          <w:headerReference w:type="even" r:id="rId16"/>
          <w:footerReference w:type="even" r:id="rId17"/>
          <w:pgSz w:w="11906" w:h="16838" w:code="9"/>
          <w:pgMar w:top="2268" w:right="1701" w:bottom="1418" w:left="2268" w:header="680" w:footer="680" w:gutter="0"/>
          <w:cols w:space="708"/>
          <w:docGrid w:linePitch="360"/>
        </w:sectPr>
      </w:pPr>
    </w:p>
    <w:p w:rsidR="00675046" w:rsidRDefault="00675046" w:rsidP="00675046">
      <w:pPr>
        <w:pStyle w:val="Contents"/>
      </w:pPr>
      <w:r>
        <w:lastRenderedPageBreak/>
        <w:t>Contents</w:t>
      </w:r>
    </w:p>
    <w:p w:rsidR="00304215" w:rsidRDefault="00675046">
      <w:pPr>
        <w:pStyle w:val="TOC1"/>
        <w:rPr>
          <w:rFonts w:asciiTheme="minorHAnsi" w:eastAsiaTheme="minorEastAsia" w:hAnsiTheme="minorHAnsi" w:cstheme="minorBidi"/>
          <w:noProof/>
          <w:sz w:val="22"/>
          <w:szCs w:val="22"/>
        </w:rPr>
      </w:pPr>
      <w:r w:rsidRPr="00876B40">
        <w:fldChar w:fldCharType="begin"/>
      </w:r>
      <w:r w:rsidRPr="00876B40">
        <w:instrText xml:space="preserve"> TOC \t "Heading 1,1,Heading 2,2,Heading </w:instrText>
      </w:r>
      <w:r>
        <w:instrText>6</w:instrText>
      </w:r>
      <w:r w:rsidRPr="00876B40">
        <w:instrText xml:space="preserve">,1,Part Title,4" </w:instrText>
      </w:r>
      <w:r w:rsidRPr="00876B40">
        <w:fldChar w:fldCharType="separate"/>
      </w:r>
      <w:r w:rsidR="00304215">
        <w:rPr>
          <w:noProof/>
        </w:rPr>
        <w:t>Executive summary</w:t>
      </w:r>
      <w:r w:rsidR="00304215">
        <w:rPr>
          <w:noProof/>
        </w:rPr>
        <w:tab/>
      </w:r>
      <w:r w:rsidR="00304215">
        <w:rPr>
          <w:noProof/>
        </w:rPr>
        <w:fldChar w:fldCharType="begin"/>
      </w:r>
      <w:r w:rsidR="00304215">
        <w:rPr>
          <w:noProof/>
        </w:rPr>
        <w:instrText xml:space="preserve"> PAGEREF _Toc388269610 \h </w:instrText>
      </w:r>
      <w:r w:rsidR="00304215">
        <w:rPr>
          <w:noProof/>
        </w:rPr>
      </w:r>
      <w:r w:rsidR="00304215">
        <w:rPr>
          <w:noProof/>
        </w:rPr>
        <w:fldChar w:fldCharType="separate"/>
      </w:r>
      <w:r w:rsidR="00304215">
        <w:rPr>
          <w:noProof/>
        </w:rPr>
        <w:t>1</w:t>
      </w:r>
      <w:r w:rsidR="00304215">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Assessment of retail price controls from 2012 to 2014</w:t>
      </w:r>
      <w:r>
        <w:rPr>
          <w:noProof/>
        </w:rPr>
        <w:tab/>
      </w:r>
      <w:r>
        <w:rPr>
          <w:noProof/>
        </w:rPr>
        <w:fldChar w:fldCharType="begin"/>
      </w:r>
      <w:r>
        <w:rPr>
          <w:noProof/>
        </w:rPr>
        <w:instrText xml:space="preserve"> PAGEREF _Toc388269611 \h </w:instrText>
      </w:r>
      <w:r>
        <w:rPr>
          <w:noProof/>
        </w:rPr>
      </w:r>
      <w:r>
        <w:rPr>
          <w:noProof/>
        </w:rPr>
        <w:fldChar w:fldCharType="separate"/>
      </w:r>
      <w:r>
        <w:rPr>
          <w:noProof/>
        </w:rPr>
        <w:t>1</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Assessment of the state of competition in the telecommunications market</w:t>
      </w:r>
      <w:r>
        <w:rPr>
          <w:noProof/>
        </w:rPr>
        <w:tab/>
      </w:r>
      <w:r>
        <w:rPr>
          <w:noProof/>
        </w:rPr>
        <w:fldChar w:fldCharType="begin"/>
      </w:r>
      <w:r>
        <w:rPr>
          <w:noProof/>
        </w:rPr>
        <w:instrText xml:space="preserve"> PAGEREF _Toc388269612 \h </w:instrText>
      </w:r>
      <w:r>
        <w:rPr>
          <w:noProof/>
        </w:rPr>
      </w:r>
      <w:r>
        <w:rPr>
          <w:noProof/>
        </w:rPr>
        <w:fldChar w:fldCharType="separate"/>
      </w:r>
      <w:r>
        <w:rPr>
          <w:noProof/>
        </w:rPr>
        <w:t>2</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Assessment of future options for Government intervention</w:t>
      </w:r>
      <w:r>
        <w:rPr>
          <w:noProof/>
        </w:rPr>
        <w:tab/>
      </w:r>
      <w:r>
        <w:rPr>
          <w:noProof/>
        </w:rPr>
        <w:fldChar w:fldCharType="begin"/>
      </w:r>
      <w:r>
        <w:rPr>
          <w:noProof/>
        </w:rPr>
        <w:instrText xml:space="preserve"> PAGEREF _Toc388269613 \h </w:instrText>
      </w:r>
      <w:r>
        <w:rPr>
          <w:noProof/>
        </w:rPr>
      </w:r>
      <w:r>
        <w:rPr>
          <w:noProof/>
        </w:rPr>
        <w:fldChar w:fldCharType="separate"/>
      </w:r>
      <w:r>
        <w:rPr>
          <w:noProof/>
        </w:rPr>
        <w:t>3</w:t>
      </w:r>
      <w:r>
        <w:rPr>
          <w:noProof/>
        </w:rPr>
        <w:fldChar w:fldCharType="end"/>
      </w:r>
    </w:p>
    <w:p w:rsidR="00304215" w:rsidRDefault="00304215">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Background</w:t>
      </w:r>
      <w:r>
        <w:rPr>
          <w:noProof/>
        </w:rPr>
        <w:tab/>
      </w:r>
      <w:r>
        <w:rPr>
          <w:noProof/>
        </w:rPr>
        <w:fldChar w:fldCharType="begin"/>
      </w:r>
      <w:r>
        <w:rPr>
          <w:noProof/>
        </w:rPr>
        <w:instrText xml:space="preserve"> PAGEREF _Toc388269614 \h </w:instrText>
      </w:r>
      <w:r>
        <w:rPr>
          <w:noProof/>
        </w:rPr>
      </w:r>
      <w:r>
        <w:rPr>
          <w:noProof/>
        </w:rPr>
        <w:fldChar w:fldCharType="separate"/>
      </w:r>
      <w:r>
        <w:rPr>
          <w:noProof/>
        </w:rPr>
        <w:t>6</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Telstra’s retail price controls</w:t>
      </w:r>
      <w:r>
        <w:rPr>
          <w:noProof/>
        </w:rPr>
        <w:tab/>
      </w:r>
      <w:r>
        <w:rPr>
          <w:noProof/>
        </w:rPr>
        <w:fldChar w:fldCharType="begin"/>
      </w:r>
      <w:r>
        <w:rPr>
          <w:noProof/>
        </w:rPr>
        <w:instrText xml:space="preserve"> PAGEREF _Toc388269615 \h </w:instrText>
      </w:r>
      <w:r>
        <w:rPr>
          <w:noProof/>
        </w:rPr>
      </w:r>
      <w:r>
        <w:rPr>
          <w:noProof/>
        </w:rPr>
        <w:fldChar w:fldCharType="separate"/>
      </w:r>
      <w:r>
        <w:rPr>
          <w:noProof/>
        </w:rPr>
        <w:t>6</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Other government interventions in telecommunications markets</w:t>
      </w:r>
      <w:r>
        <w:rPr>
          <w:noProof/>
        </w:rPr>
        <w:tab/>
      </w:r>
      <w:r>
        <w:rPr>
          <w:noProof/>
        </w:rPr>
        <w:fldChar w:fldCharType="begin"/>
      </w:r>
      <w:r>
        <w:rPr>
          <w:noProof/>
        </w:rPr>
        <w:instrText xml:space="preserve"> PAGEREF _Toc388269616 \h </w:instrText>
      </w:r>
      <w:r>
        <w:rPr>
          <w:noProof/>
        </w:rPr>
      </w:r>
      <w:r>
        <w:rPr>
          <w:noProof/>
        </w:rPr>
        <w:fldChar w:fldCharType="separate"/>
      </w:r>
      <w:r>
        <w:rPr>
          <w:noProof/>
        </w:rPr>
        <w:t>9</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This review</w:t>
      </w:r>
      <w:r>
        <w:rPr>
          <w:noProof/>
        </w:rPr>
        <w:tab/>
      </w:r>
      <w:r>
        <w:rPr>
          <w:noProof/>
        </w:rPr>
        <w:fldChar w:fldCharType="begin"/>
      </w:r>
      <w:r>
        <w:rPr>
          <w:noProof/>
        </w:rPr>
        <w:instrText xml:space="preserve"> PAGEREF _Toc388269617 \h </w:instrText>
      </w:r>
      <w:r>
        <w:rPr>
          <w:noProof/>
        </w:rPr>
      </w:r>
      <w:r>
        <w:rPr>
          <w:noProof/>
        </w:rPr>
        <w:fldChar w:fldCharType="separate"/>
      </w:r>
      <w:r>
        <w:rPr>
          <w:noProof/>
        </w:rPr>
        <w:t>11</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lang w:eastAsia="en-US"/>
        </w:rPr>
        <w:t>Acknowledgements</w:t>
      </w:r>
      <w:r>
        <w:rPr>
          <w:noProof/>
        </w:rPr>
        <w:tab/>
      </w:r>
      <w:r>
        <w:rPr>
          <w:noProof/>
        </w:rPr>
        <w:fldChar w:fldCharType="begin"/>
      </w:r>
      <w:r>
        <w:rPr>
          <w:noProof/>
        </w:rPr>
        <w:instrText xml:space="preserve"> PAGEREF _Toc388269618 \h </w:instrText>
      </w:r>
      <w:r>
        <w:rPr>
          <w:noProof/>
        </w:rPr>
      </w:r>
      <w:r>
        <w:rPr>
          <w:noProof/>
        </w:rPr>
        <w:fldChar w:fldCharType="separate"/>
      </w:r>
      <w:r>
        <w:rPr>
          <w:noProof/>
        </w:rPr>
        <w:t>13</w:t>
      </w:r>
      <w:r>
        <w:rPr>
          <w:noProof/>
        </w:rPr>
        <w:fldChar w:fldCharType="end"/>
      </w:r>
    </w:p>
    <w:p w:rsidR="00304215" w:rsidRDefault="00304215">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Framework for considering costs and benefits</w:t>
      </w:r>
      <w:r>
        <w:rPr>
          <w:noProof/>
        </w:rPr>
        <w:tab/>
      </w:r>
      <w:r>
        <w:rPr>
          <w:noProof/>
        </w:rPr>
        <w:fldChar w:fldCharType="begin"/>
      </w:r>
      <w:r>
        <w:rPr>
          <w:noProof/>
        </w:rPr>
        <w:instrText xml:space="preserve"> PAGEREF _Toc388269619 \h </w:instrText>
      </w:r>
      <w:r>
        <w:rPr>
          <w:noProof/>
        </w:rPr>
      </w:r>
      <w:r>
        <w:rPr>
          <w:noProof/>
        </w:rPr>
        <w:fldChar w:fldCharType="separate"/>
      </w:r>
      <w:r>
        <w:rPr>
          <w:noProof/>
        </w:rPr>
        <w:t>14</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Pricing in a competitive market</w:t>
      </w:r>
      <w:r>
        <w:rPr>
          <w:noProof/>
        </w:rPr>
        <w:tab/>
      </w:r>
      <w:r>
        <w:rPr>
          <w:noProof/>
        </w:rPr>
        <w:fldChar w:fldCharType="begin"/>
      </w:r>
      <w:r>
        <w:rPr>
          <w:noProof/>
        </w:rPr>
        <w:instrText xml:space="preserve"> PAGEREF _Toc388269620 \h </w:instrText>
      </w:r>
      <w:r>
        <w:rPr>
          <w:noProof/>
        </w:rPr>
      </w:r>
      <w:r>
        <w:rPr>
          <w:noProof/>
        </w:rPr>
        <w:fldChar w:fldCharType="separate"/>
      </w:r>
      <w:r>
        <w:rPr>
          <w:noProof/>
        </w:rPr>
        <w:t>14</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Pricing in a market where a supplier has market power</w:t>
      </w:r>
      <w:r>
        <w:rPr>
          <w:noProof/>
        </w:rPr>
        <w:tab/>
      </w:r>
      <w:r>
        <w:rPr>
          <w:noProof/>
        </w:rPr>
        <w:fldChar w:fldCharType="begin"/>
      </w:r>
      <w:r>
        <w:rPr>
          <w:noProof/>
        </w:rPr>
        <w:instrText xml:space="preserve"> PAGEREF _Toc388269621 \h </w:instrText>
      </w:r>
      <w:r>
        <w:rPr>
          <w:noProof/>
        </w:rPr>
      </w:r>
      <w:r>
        <w:rPr>
          <w:noProof/>
        </w:rPr>
        <w:fldChar w:fldCharType="separate"/>
      </w:r>
      <w:r>
        <w:rPr>
          <w:noProof/>
        </w:rPr>
        <w:t>15</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The impacts of price controls</w:t>
      </w:r>
      <w:r>
        <w:rPr>
          <w:noProof/>
        </w:rPr>
        <w:tab/>
      </w:r>
      <w:r>
        <w:rPr>
          <w:noProof/>
        </w:rPr>
        <w:fldChar w:fldCharType="begin"/>
      </w:r>
      <w:r>
        <w:rPr>
          <w:noProof/>
        </w:rPr>
        <w:instrText xml:space="preserve"> PAGEREF _Toc388269622 \h </w:instrText>
      </w:r>
      <w:r>
        <w:rPr>
          <w:noProof/>
        </w:rPr>
      </w:r>
      <w:r>
        <w:rPr>
          <w:noProof/>
        </w:rPr>
        <w:fldChar w:fldCharType="separate"/>
      </w:r>
      <w:r>
        <w:rPr>
          <w:noProof/>
        </w:rPr>
        <w:t>15</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Other impacts of price controls</w:t>
      </w:r>
      <w:r>
        <w:rPr>
          <w:noProof/>
        </w:rPr>
        <w:tab/>
      </w:r>
      <w:r>
        <w:rPr>
          <w:noProof/>
        </w:rPr>
        <w:fldChar w:fldCharType="begin"/>
      </w:r>
      <w:r>
        <w:rPr>
          <w:noProof/>
        </w:rPr>
        <w:instrText xml:space="preserve"> PAGEREF _Toc388269623 \h </w:instrText>
      </w:r>
      <w:r>
        <w:rPr>
          <w:noProof/>
        </w:rPr>
      </w:r>
      <w:r>
        <w:rPr>
          <w:noProof/>
        </w:rPr>
        <w:fldChar w:fldCharType="separate"/>
      </w:r>
      <w:r>
        <w:rPr>
          <w:noProof/>
        </w:rPr>
        <w:t>18</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General parameters of cost benefit analysis</w:t>
      </w:r>
      <w:r>
        <w:rPr>
          <w:noProof/>
        </w:rPr>
        <w:tab/>
      </w:r>
      <w:r>
        <w:rPr>
          <w:noProof/>
        </w:rPr>
        <w:fldChar w:fldCharType="begin"/>
      </w:r>
      <w:r>
        <w:rPr>
          <w:noProof/>
        </w:rPr>
        <w:instrText xml:space="preserve"> PAGEREF _Toc388269624 \h </w:instrText>
      </w:r>
      <w:r>
        <w:rPr>
          <w:noProof/>
        </w:rPr>
      </w:r>
      <w:r>
        <w:rPr>
          <w:noProof/>
        </w:rPr>
        <w:fldChar w:fldCharType="separate"/>
      </w:r>
      <w:r>
        <w:rPr>
          <w:noProof/>
        </w:rPr>
        <w:t>20</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Social equity considerations</w:t>
      </w:r>
      <w:r>
        <w:rPr>
          <w:noProof/>
        </w:rPr>
        <w:tab/>
      </w:r>
      <w:r>
        <w:rPr>
          <w:noProof/>
        </w:rPr>
        <w:fldChar w:fldCharType="begin"/>
      </w:r>
      <w:r>
        <w:rPr>
          <w:noProof/>
        </w:rPr>
        <w:instrText xml:space="preserve"> PAGEREF _Toc388269625 \h </w:instrText>
      </w:r>
      <w:r>
        <w:rPr>
          <w:noProof/>
        </w:rPr>
      </w:r>
      <w:r>
        <w:rPr>
          <w:noProof/>
        </w:rPr>
        <w:fldChar w:fldCharType="separate"/>
      </w:r>
      <w:r>
        <w:rPr>
          <w:noProof/>
        </w:rPr>
        <w:t>20</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Other issues</w:t>
      </w:r>
      <w:r>
        <w:rPr>
          <w:noProof/>
        </w:rPr>
        <w:tab/>
      </w:r>
      <w:r>
        <w:rPr>
          <w:noProof/>
        </w:rPr>
        <w:fldChar w:fldCharType="begin"/>
      </w:r>
      <w:r>
        <w:rPr>
          <w:noProof/>
        </w:rPr>
        <w:instrText xml:space="preserve"> PAGEREF _Toc388269626 \h </w:instrText>
      </w:r>
      <w:r>
        <w:rPr>
          <w:noProof/>
        </w:rPr>
      </w:r>
      <w:r>
        <w:rPr>
          <w:noProof/>
        </w:rPr>
        <w:fldChar w:fldCharType="separate"/>
      </w:r>
      <w:r>
        <w:rPr>
          <w:noProof/>
        </w:rPr>
        <w:t>20</w:t>
      </w:r>
      <w:r>
        <w:rPr>
          <w:noProof/>
        </w:rPr>
        <w:fldChar w:fldCharType="end"/>
      </w:r>
    </w:p>
    <w:p w:rsidR="00304215" w:rsidRDefault="00304215">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Review of retail price controls over the past two years</w:t>
      </w:r>
      <w:r>
        <w:rPr>
          <w:noProof/>
        </w:rPr>
        <w:tab/>
      </w:r>
      <w:r>
        <w:rPr>
          <w:noProof/>
        </w:rPr>
        <w:fldChar w:fldCharType="begin"/>
      </w:r>
      <w:r>
        <w:rPr>
          <w:noProof/>
        </w:rPr>
        <w:instrText xml:space="preserve"> PAGEREF _Toc388269627 \h </w:instrText>
      </w:r>
      <w:r>
        <w:rPr>
          <w:noProof/>
        </w:rPr>
      </w:r>
      <w:r>
        <w:rPr>
          <w:noProof/>
        </w:rPr>
        <w:fldChar w:fldCharType="separate"/>
      </w:r>
      <w:r>
        <w:rPr>
          <w:noProof/>
        </w:rPr>
        <w:t>22</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What would have occurred in the absence of retail price controls?</w:t>
      </w:r>
      <w:r>
        <w:rPr>
          <w:noProof/>
        </w:rPr>
        <w:tab/>
      </w:r>
      <w:r>
        <w:rPr>
          <w:noProof/>
        </w:rPr>
        <w:fldChar w:fldCharType="begin"/>
      </w:r>
      <w:r>
        <w:rPr>
          <w:noProof/>
        </w:rPr>
        <w:instrText xml:space="preserve"> PAGEREF _Toc388269628 \h </w:instrText>
      </w:r>
      <w:r>
        <w:rPr>
          <w:noProof/>
        </w:rPr>
      </w:r>
      <w:r>
        <w:rPr>
          <w:noProof/>
        </w:rPr>
        <w:fldChar w:fldCharType="separate"/>
      </w:r>
      <w:r>
        <w:rPr>
          <w:noProof/>
        </w:rPr>
        <w:t>22</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Assessment of costs and benefits of price controls</w:t>
      </w:r>
      <w:r>
        <w:rPr>
          <w:noProof/>
        </w:rPr>
        <w:tab/>
      </w:r>
      <w:r>
        <w:rPr>
          <w:noProof/>
        </w:rPr>
        <w:fldChar w:fldCharType="begin"/>
      </w:r>
      <w:r>
        <w:rPr>
          <w:noProof/>
        </w:rPr>
        <w:instrText xml:space="preserve"> PAGEREF _Toc388269629 \h </w:instrText>
      </w:r>
      <w:r>
        <w:rPr>
          <w:noProof/>
        </w:rPr>
      </w:r>
      <w:r>
        <w:rPr>
          <w:noProof/>
        </w:rPr>
        <w:fldChar w:fldCharType="separate"/>
      </w:r>
      <w:r>
        <w:rPr>
          <w:noProof/>
        </w:rPr>
        <w:t>30</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Assessment of achievement of objectives</w:t>
      </w:r>
      <w:r>
        <w:rPr>
          <w:noProof/>
        </w:rPr>
        <w:tab/>
      </w:r>
      <w:r>
        <w:rPr>
          <w:noProof/>
        </w:rPr>
        <w:fldChar w:fldCharType="begin"/>
      </w:r>
      <w:r>
        <w:rPr>
          <w:noProof/>
        </w:rPr>
        <w:instrText xml:space="preserve"> PAGEREF _Toc388269630 \h </w:instrText>
      </w:r>
      <w:r>
        <w:rPr>
          <w:noProof/>
        </w:rPr>
      </w:r>
      <w:r>
        <w:rPr>
          <w:noProof/>
        </w:rPr>
        <w:fldChar w:fldCharType="separate"/>
      </w:r>
      <w:r>
        <w:rPr>
          <w:noProof/>
        </w:rPr>
        <w:t>32</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Have retail price controls acted as a barrier to competition?</w:t>
      </w:r>
      <w:r>
        <w:rPr>
          <w:noProof/>
        </w:rPr>
        <w:tab/>
      </w:r>
      <w:r>
        <w:rPr>
          <w:noProof/>
        </w:rPr>
        <w:fldChar w:fldCharType="begin"/>
      </w:r>
      <w:r>
        <w:rPr>
          <w:noProof/>
        </w:rPr>
        <w:instrText xml:space="preserve"> PAGEREF _Toc388269631 \h </w:instrText>
      </w:r>
      <w:r>
        <w:rPr>
          <w:noProof/>
        </w:rPr>
      </w:r>
      <w:r>
        <w:rPr>
          <w:noProof/>
        </w:rPr>
        <w:fldChar w:fldCharType="separate"/>
      </w:r>
      <w:r>
        <w:rPr>
          <w:noProof/>
        </w:rPr>
        <w:t>33</w:t>
      </w:r>
      <w:r>
        <w:rPr>
          <w:noProof/>
        </w:rPr>
        <w:fldChar w:fldCharType="end"/>
      </w:r>
    </w:p>
    <w:p w:rsidR="00304215" w:rsidRDefault="00304215">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Current state of competition for retail telecommunications voice services</w:t>
      </w:r>
      <w:r>
        <w:rPr>
          <w:noProof/>
        </w:rPr>
        <w:tab/>
      </w:r>
      <w:r>
        <w:rPr>
          <w:noProof/>
        </w:rPr>
        <w:fldChar w:fldCharType="begin"/>
      </w:r>
      <w:r>
        <w:rPr>
          <w:noProof/>
        </w:rPr>
        <w:instrText xml:space="preserve"> PAGEREF _Toc388269632 \h </w:instrText>
      </w:r>
      <w:r>
        <w:rPr>
          <w:noProof/>
        </w:rPr>
      </w:r>
      <w:r>
        <w:rPr>
          <w:noProof/>
        </w:rPr>
        <w:fldChar w:fldCharType="separate"/>
      </w:r>
      <w:r>
        <w:rPr>
          <w:noProof/>
        </w:rPr>
        <w:t>34</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Defining the market</w:t>
      </w:r>
      <w:r>
        <w:rPr>
          <w:noProof/>
        </w:rPr>
        <w:tab/>
      </w:r>
      <w:r>
        <w:rPr>
          <w:noProof/>
        </w:rPr>
        <w:fldChar w:fldCharType="begin"/>
      </w:r>
      <w:r>
        <w:rPr>
          <w:noProof/>
        </w:rPr>
        <w:instrText xml:space="preserve"> PAGEREF _Toc388269633 \h </w:instrText>
      </w:r>
      <w:r>
        <w:rPr>
          <w:noProof/>
        </w:rPr>
      </w:r>
      <w:r>
        <w:rPr>
          <w:noProof/>
        </w:rPr>
        <w:fldChar w:fldCharType="separate"/>
      </w:r>
      <w:r>
        <w:rPr>
          <w:noProof/>
        </w:rPr>
        <w:t>34</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Characterising the market</w:t>
      </w:r>
      <w:r>
        <w:rPr>
          <w:noProof/>
        </w:rPr>
        <w:tab/>
      </w:r>
      <w:r>
        <w:rPr>
          <w:noProof/>
        </w:rPr>
        <w:fldChar w:fldCharType="begin"/>
      </w:r>
      <w:r>
        <w:rPr>
          <w:noProof/>
        </w:rPr>
        <w:instrText xml:space="preserve"> PAGEREF _Toc388269634 \h </w:instrText>
      </w:r>
      <w:r>
        <w:rPr>
          <w:noProof/>
        </w:rPr>
      </w:r>
      <w:r>
        <w:rPr>
          <w:noProof/>
        </w:rPr>
        <w:fldChar w:fldCharType="separate"/>
      </w:r>
      <w:r>
        <w:rPr>
          <w:noProof/>
        </w:rPr>
        <w:t>35</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Does Telstra have market power in the retail component of delivery of fixed line voice services?</w:t>
      </w:r>
      <w:r>
        <w:rPr>
          <w:noProof/>
        </w:rPr>
        <w:tab/>
      </w:r>
      <w:r>
        <w:rPr>
          <w:noProof/>
        </w:rPr>
        <w:fldChar w:fldCharType="begin"/>
      </w:r>
      <w:r>
        <w:rPr>
          <w:noProof/>
        </w:rPr>
        <w:instrText xml:space="preserve"> PAGEREF _Toc388269635 \h </w:instrText>
      </w:r>
      <w:r>
        <w:rPr>
          <w:noProof/>
        </w:rPr>
      </w:r>
      <w:r>
        <w:rPr>
          <w:noProof/>
        </w:rPr>
        <w:fldChar w:fldCharType="separate"/>
      </w:r>
      <w:r>
        <w:rPr>
          <w:noProof/>
        </w:rPr>
        <w:t>48</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Key points</w:t>
      </w:r>
      <w:r>
        <w:rPr>
          <w:noProof/>
        </w:rPr>
        <w:tab/>
      </w:r>
      <w:r>
        <w:rPr>
          <w:noProof/>
        </w:rPr>
        <w:fldChar w:fldCharType="begin"/>
      </w:r>
      <w:r>
        <w:rPr>
          <w:noProof/>
        </w:rPr>
        <w:instrText xml:space="preserve"> PAGEREF _Toc388269636 \h </w:instrText>
      </w:r>
      <w:r>
        <w:rPr>
          <w:noProof/>
        </w:rPr>
      </w:r>
      <w:r>
        <w:rPr>
          <w:noProof/>
        </w:rPr>
        <w:fldChar w:fldCharType="separate"/>
      </w:r>
      <w:r>
        <w:rPr>
          <w:noProof/>
        </w:rPr>
        <w:t>50</w:t>
      </w:r>
      <w:r>
        <w:rPr>
          <w:noProof/>
        </w:rPr>
        <w:fldChar w:fldCharType="end"/>
      </w:r>
    </w:p>
    <w:p w:rsidR="00304215" w:rsidRDefault="00304215">
      <w:pPr>
        <w:pStyle w:val="TOC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Future regulatory options to meet objectives</w:t>
      </w:r>
      <w:r>
        <w:rPr>
          <w:noProof/>
        </w:rPr>
        <w:tab/>
      </w:r>
      <w:r>
        <w:rPr>
          <w:noProof/>
        </w:rPr>
        <w:fldChar w:fldCharType="begin"/>
      </w:r>
      <w:r>
        <w:rPr>
          <w:noProof/>
        </w:rPr>
        <w:instrText xml:space="preserve"> PAGEREF _Toc388269637 \h </w:instrText>
      </w:r>
      <w:r>
        <w:rPr>
          <w:noProof/>
        </w:rPr>
      </w:r>
      <w:r>
        <w:rPr>
          <w:noProof/>
        </w:rPr>
        <w:fldChar w:fldCharType="separate"/>
      </w:r>
      <w:r>
        <w:rPr>
          <w:noProof/>
        </w:rPr>
        <w:t>51</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Rationale for Government intervention</w:t>
      </w:r>
      <w:r>
        <w:rPr>
          <w:noProof/>
        </w:rPr>
        <w:tab/>
      </w:r>
      <w:r>
        <w:rPr>
          <w:noProof/>
        </w:rPr>
        <w:fldChar w:fldCharType="begin"/>
      </w:r>
      <w:r>
        <w:rPr>
          <w:noProof/>
        </w:rPr>
        <w:instrText xml:space="preserve"> PAGEREF _Toc388269638 \h </w:instrText>
      </w:r>
      <w:r>
        <w:rPr>
          <w:noProof/>
        </w:rPr>
      </w:r>
      <w:r>
        <w:rPr>
          <w:noProof/>
        </w:rPr>
        <w:fldChar w:fldCharType="separate"/>
      </w:r>
      <w:r>
        <w:rPr>
          <w:noProof/>
        </w:rPr>
        <w:t>51</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Defining objectives of Government intervention in telecommunications prices</w:t>
      </w:r>
      <w:r>
        <w:rPr>
          <w:noProof/>
        </w:rPr>
        <w:tab/>
      </w:r>
      <w:r>
        <w:rPr>
          <w:noProof/>
        </w:rPr>
        <w:fldChar w:fldCharType="begin"/>
      </w:r>
      <w:r>
        <w:rPr>
          <w:noProof/>
        </w:rPr>
        <w:instrText xml:space="preserve"> PAGEREF _Toc388269639 \h </w:instrText>
      </w:r>
      <w:r>
        <w:rPr>
          <w:noProof/>
        </w:rPr>
      </w:r>
      <w:r>
        <w:rPr>
          <w:noProof/>
        </w:rPr>
        <w:fldChar w:fldCharType="separate"/>
      </w:r>
      <w:r>
        <w:rPr>
          <w:noProof/>
        </w:rPr>
        <w:t>54</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Options for meeting objectives</w:t>
      </w:r>
      <w:r>
        <w:rPr>
          <w:noProof/>
        </w:rPr>
        <w:tab/>
      </w:r>
      <w:r>
        <w:rPr>
          <w:noProof/>
        </w:rPr>
        <w:fldChar w:fldCharType="begin"/>
      </w:r>
      <w:r>
        <w:rPr>
          <w:noProof/>
        </w:rPr>
        <w:instrText xml:space="preserve"> PAGEREF _Toc388269640 \h </w:instrText>
      </w:r>
      <w:r>
        <w:rPr>
          <w:noProof/>
        </w:rPr>
      </w:r>
      <w:r>
        <w:rPr>
          <w:noProof/>
        </w:rPr>
        <w:fldChar w:fldCharType="separate"/>
      </w:r>
      <w:r>
        <w:rPr>
          <w:noProof/>
        </w:rPr>
        <w:t>54</w:t>
      </w:r>
      <w:r>
        <w:rPr>
          <w:noProof/>
        </w:rPr>
        <w:fldChar w:fldCharType="end"/>
      </w:r>
    </w:p>
    <w:p w:rsidR="00304215" w:rsidRDefault="00304215">
      <w:pPr>
        <w:pStyle w:val="TOC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Assessment of future regulatory options against objectives</w:t>
      </w:r>
      <w:r>
        <w:rPr>
          <w:noProof/>
        </w:rPr>
        <w:tab/>
      </w:r>
      <w:r>
        <w:rPr>
          <w:noProof/>
        </w:rPr>
        <w:fldChar w:fldCharType="begin"/>
      </w:r>
      <w:r>
        <w:rPr>
          <w:noProof/>
        </w:rPr>
        <w:instrText xml:space="preserve"> PAGEREF _Toc388269641 \h </w:instrText>
      </w:r>
      <w:r>
        <w:rPr>
          <w:noProof/>
        </w:rPr>
      </w:r>
      <w:r>
        <w:rPr>
          <w:noProof/>
        </w:rPr>
        <w:fldChar w:fldCharType="separate"/>
      </w:r>
      <w:r>
        <w:rPr>
          <w:noProof/>
        </w:rPr>
        <w:t>56</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lastRenderedPageBreak/>
        <w:t>Market power</w:t>
      </w:r>
      <w:r>
        <w:rPr>
          <w:noProof/>
        </w:rPr>
        <w:tab/>
      </w:r>
      <w:r>
        <w:rPr>
          <w:noProof/>
        </w:rPr>
        <w:fldChar w:fldCharType="begin"/>
      </w:r>
      <w:r>
        <w:rPr>
          <w:noProof/>
        </w:rPr>
        <w:instrText xml:space="preserve"> PAGEREF _Toc388269642 \h </w:instrText>
      </w:r>
      <w:r>
        <w:rPr>
          <w:noProof/>
        </w:rPr>
      </w:r>
      <w:r>
        <w:rPr>
          <w:noProof/>
        </w:rPr>
        <w:fldChar w:fldCharType="separate"/>
      </w:r>
      <w:r>
        <w:rPr>
          <w:noProof/>
        </w:rPr>
        <w:t>56</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Social equity</w:t>
      </w:r>
      <w:r>
        <w:rPr>
          <w:noProof/>
        </w:rPr>
        <w:tab/>
      </w:r>
      <w:r>
        <w:rPr>
          <w:noProof/>
        </w:rPr>
        <w:fldChar w:fldCharType="begin"/>
      </w:r>
      <w:r>
        <w:rPr>
          <w:noProof/>
        </w:rPr>
        <w:instrText xml:space="preserve"> PAGEREF _Toc388269643 \h </w:instrText>
      </w:r>
      <w:r>
        <w:rPr>
          <w:noProof/>
        </w:rPr>
      </w:r>
      <w:r>
        <w:rPr>
          <w:noProof/>
        </w:rPr>
        <w:fldChar w:fldCharType="separate"/>
      </w:r>
      <w:r>
        <w:rPr>
          <w:noProof/>
        </w:rPr>
        <w:t>57</w:t>
      </w:r>
      <w:r>
        <w:rPr>
          <w:noProof/>
        </w:rPr>
        <w:fldChar w:fldCharType="end"/>
      </w:r>
    </w:p>
    <w:p w:rsidR="00304215" w:rsidRDefault="00304215">
      <w:pPr>
        <w:pStyle w:val="TOC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Assessment of costs and benefits of future regulatory options for addressing market power</w:t>
      </w:r>
      <w:r>
        <w:rPr>
          <w:noProof/>
        </w:rPr>
        <w:tab/>
      </w:r>
      <w:r>
        <w:rPr>
          <w:noProof/>
        </w:rPr>
        <w:fldChar w:fldCharType="begin"/>
      </w:r>
      <w:r>
        <w:rPr>
          <w:noProof/>
        </w:rPr>
        <w:instrText xml:space="preserve"> PAGEREF _Toc388269644 \h </w:instrText>
      </w:r>
      <w:r>
        <w:rPr>
          <w:noProof/>
        </w:rPr>
      </w:r>
      <w:r>
        <w:rPr>
          <w:noProof/>
        </w:rPr>
        <w:fldChar w:fldCharType="separate"/>
      </w:r>
      <w:r>
        <w:rPr>
          <w:noProof/>
        </w:rPr>
        <w:t>65</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Options assessed and types of costs and benefits</w:t>
      </w:r>
      <w:r>
        <w:rPr>
          <w:noProof/>
        </w:rPr>
        <w:tab/>
      </w:r>
      <w:r>
        <w:rPr>
          <w:noProof/>
        </w:rPr>
        <w:fldChar w:fldCharType="begin"/>
      </w:r>
      <w:r>
        <w:rPr>
          <w:noProof/>
        </w:rPr>
        <w:instrText xml:space="preserve"> PAGEREF _Toc388269645 \h </w:instrText>
      </w:r>
      <w:r>
        <w:rPr>
          <w:noProof/>
        </w:rPr>
      </w:r>
      <w:r>
        <w:rPr>
          <w:noProof/>
        </w:rPr>
        <w:fldChar w:fldCharType="separate"/>
      </w:r>
      <w:r>
        <w:rPr>
          <w:noProof/>
        </w:rPr>
        <w:t>65</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Administrative costs</w:t>
      </w:r>
      <w:r>
        <w:rPr>
          <w:noProof/>
        </w:rPr>
        <w:tab/>
      </w:r>
      <w:r>
        <w:rPr>
          <w:noProof/>
        </w:rPr>
        <w:fldChar w:fldCharType="begin"/>
      </w:r>
      <w:r>
        <w:rPr>
          <w:noProof/>
        </w:rPr>
        <w:instrText xml:space="preserve"> PAGEREF _Toc388269646 \h </w:instrText>
      </w:r>
      <w:r>
        <w:rPr>
          <w:noProof/>
        </w:rPr>
      </w:r>
      <w:r>
        <w:rPr>
          <w:noProof/>
        </w:rPr>
        <w:fldChar w:fldCharType="separate"/>
      </w:r>
      <w:r>
        <w:rPr>
          <w:noProof/>
        </w:rPr>
        <w:t>67</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Economic distortions from price controls</w:t>
      </w:r>
      <w:r>
        <w:rPr>
          <w:noProof/>
        </w:rPr>
        <w:tab/>
      </w:r>
      <w:r>
        <w:rPr>
          <w:noProof/>
        </w:rPr>
        <w:fldChar w:fldCharType="begin"/>
      </w:r>
      <w:r>
        <w:rPr>
          <w:noProof/>
        </w:rPr>
        <w:instrText xml:space="preserve"> PAGEREF _Toc388269647 \h </w:instrText>
      </w:r>
      <w:r>
        <w:rPr>
          <w:noProof/>
        </w:rPr>
      </w:r>
      <w:r>
        <w:rPr>
          <w:noProof/>
        </w:rPr>
        <w:fldChar w:fldCharType="separate"/>
      </w:r>
      <w:r>
        <w:rPr>
          <w:noProof/>
        </w:rPr>
        <w:t>68</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Is the retail market competitive?</w:t>
      </w:r>
      <w:r>
        <w:rPr>
          <w:noProof/>
        </w:rPr>
        <w:tab/>
      </w:r>
      <w:r>
        <w:rPr>
          <w:noProof/>
        </w:rPr>
        <w:fldChar w:fldCharType="begin"/>
      </w:r>
      <w:r>
        <w:rPr>
          <w:noProof/>
        </w:rPr>
        <w:instrText xml:space="preserve"> PAGEREF _Toc388269648 \h </w:instrText>
      </w:r>
      <w:r>
        <w:rPr>
          <w:noProof/>
        </w:rPr>
      </w:r>
      <w:r>
        <w:rPr>
          <w:noProof/>
        </w:rPr>
        <w:fldChar w:fldCharType="separate"/>
      </w:r>
      <w:r>
        <w:rPr>
          <w:noProof/>
        </w:rPr>
        <w:t>70</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Risks of retail price controls</w:t>
      </w:r>
      <w:r>
        <w:rPr>
          <w:noProof/>
        </w:rPr>
        <w:tab/>
      </w:r>
      <w:r>
        <w:rPr>
          <w:noProof/>
        </w:rPr>
        <w:fldChar w:fldCharType="begin"/>
      </w:r>
      <w:r>
        <w:rPr>
          <w:noProof/>
        </w:rPr>
        <w:instrText xml:space="preserve"> PAGEREF _Toc388269649 \h </w:instrText>
      </w:r>
      <w:r>
        <w:rPr>
          <w:noProof/>
        </w:rPr>
      </w:r>
      <w:r>
        <w:rPr>
          <w:noProof/>
        </w:rPr>
        <w:fldChar w:fldCharType="separate"/>
      </w:r>
      <w:r>
        <w:rPr>
          <w:noProof/>
        </w:rPr>
        <w:t>72</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Price monitoring</w:t>
      </w:r>
      <w:r>
        <w:rPr>
          <w:noProof/>
        </w:rPr>
        <w:tab/>
      </w:r>
      <w:r>
        <w:rPr>
          <w:noProof/>
        </w:rPr>
        <w:fldChar w:fldCharType="begin"/>
      </w:r>
      <w:r>
        <w:rPr>
          <w:noProof/>
        </w:rPr>
        <w:instrText xml:space="preserve"> PAGEREF _Toc388269650 \h </w:instrText>
      </w:r>
      <w:r>
        <w:rPr>
          <w:noProof/>
        </w:rPr>
      </w:r>
      <w:r>
        <w:rPr>
          <w:noProof/>
        </w:rPr>
        <w:fldChar w:fldCharType="separate"/>
      </w:r>
      <w:r>
        <w:rPr>
          <w:noProof/>
        </w:rPr>
        <w:t>73</w:t>
      </w:r>
      <w:r>
        <w:rPr>
          <w:noProof/>
        </w:rPr>
        <w:fldChar w:fldCharType="end"/>
      </w:r>
    </w:p>
    <w:p w:rsidR="00304215" w:rsidRDefault="00304215">
      <w:pPr>
        <w:pStyle w:val="TOC2"/>
        <w:rPr>
          <w:rFonts w:asciiTheme="minorHAnsi" w:eastAsiaTheme="minorEastAsia" w:hAnsiTheme="minorHAnsi" w:cstheme="minorBidi"/>
          <w:noProof/>
          <w:sz w:val="22"/>
          <w:szCs w:val="22"/>
        </w:rPr>
      </w:pPr>
      <w:r>
        <w:rPr>
          <w:noProof/>
        </w:rPr>
        <w:t>Summary of costs and benefits</w:t>
      </w:r>
      <w:r>
        <w:rPr>
          <w:noProof/>
        </w:rPr>
        <w:tab/>
      </w:r>
      <w:r>
        <w:rPr>
          <w:noProof/>
        </w:rPr>
        <w:fldChar w:fldCharType="begin"/>
      </w:r>
      <w:r>
        <w:rPr>
          <w:noProof/>
        </w:rPr>
        <w:instrText xml:space="preserve"> PAGEREF _Toc388269651 \h </w:instrText>
      </w:r>
      <w:r>
        <w:rPr>
          <w:noProof/>
        </w:rPr>
      </w:r>
      <w:r>
        <w:rPr>
          <w:noProof/>
        </w:rPr>
        <w:fldChar w:fldCharType="separate"/>
      </w:r>
      <w:r>
        <w:rPr>
          <w:noProof/>
        </w:rPr>
        <w:t>74</w:t>
      </w:r>
      <w:r>
        <w:rPr>
          <w:noProof/>
        </w:rPr>
        <w:fldChar w:fldCharType="end"/>
      </w:r>
    </w:p>
    <w:p w:rsidR="00304215" w:rsidRDefault="00304215">
      <w:pPr>
        <w:pStyle w:val="TOC1"/>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Other Government interventions in telecommunications markets</w:t>
      </w:r>
      <w:r>
        <w:rPr>
          <w:noProof/>
        </w:rPr>
        <w:tab/>
      </w:r>
      <w:r>
        <w:rPr>
          <w:noProof/>
        </w:rPr>
        <w:fldChar w:fldCharType="begin"/>
      </w:r>
      <w:r>
        <w:rPr>
          <w:noProof/>
        </w:rPr>
        <w:instrText xml:space="preserve"> PAGEREF _Toc388269652 \h </w:instrText>
      </w:r>
      <w:r>
        <w:rPr>
          <w:noProof/>
        </w:rPr>
      </w:r>
      <w:r>
        <w:rPr>
          <w:noProof/>
        </w:rPr>
        <w:fldChar w:fldCharType="separate"/>
      </w:r>
      <w:r>
        <w:rPr>
          <w:noProof/>
        </w:rPr>
        <w:t>75</w:t>
      </w:r>
      <w:r>
        <w:rPr>
          <w:noProof/>
        </w:rPr>
        <w:fldChar w:fldCharType="end"/>
      </w:r>
    </w:p>
    <w:p w:rsidR="00304215" w:rsidRDefault="00304215">
      <w:pPr>
        <w:pStyle w:val="TOC1"/>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Costs of providing services across different regional areas of Australia</w:t>
      </w:r>
      <w:r>
        <w:rPr>
          <w:noProof/>
        </w:rPr>
        <w:tab/>
      </w:r>
      <w:r>
        <w:rPr>
          <w:noProof/>
        </w:rPr>
        <w:fldChar w:fldCharType="begin"/>
      </w:r>
      <w:r>
        <w:rPr>
          <w:noProof/>
        </w:rPr>
        <w:instrText xml:space="preserve"> PAGEREF _Toc388269653 \h </w:instrText>
      </w:r>
      <w:r>
        <w:rPr>
          <w:noProof/>
        </w:rPr>
      </w:r>
      <w:r>
        <w:rPr>
          <w:noProof/>
        </w:rPr>
        <w:fldChar w:fldCharType="separate"/>
      </w:r>
      <w:r>
        <w:rPr>
          <w:noProof/>
        </w:rPr>
        <w:t>79</w:t>
      </w:r>
      <w:r>
        <w:rPr>
          <w:noProof/>
        </w:rPr>
        <w:fldChar w:fldCharType="end"/>
      </w:r>
    </w:p>
    <w:p w:rsidR="00675046" w:rsidRPr="002B76B3" w:rsidRDefault="00675046" w:rsidP="00675046">
      <w:pPr>
        <w:pStyle w:val="BodyText"/>
        <w:spacing w:before="480"/>
        <w:rPr>
          <w:rFonts w:ascii="Franklin Gothic Demi" w:hAnsi="Franklin Gothic Demi"/>
          <w:caps/>
          <w:spacing w:val="10"/>
          <w:sz w:val="22"/>
        </w:rPr>
      </w:pPr>
      <w:r w:rsidRPr="00876B40">
        <w:fldChar w:fldCharType="end"/>
      </w:r>
      <w:r w:rsidRPr="002B76B3">
        <w:rPr>
          <w:rFonts w:ascii="Franklin Gothic Demi" w:hAnsi="Franklin Gothic Demi"/>
          <w:caps/>
          <w:spacing w:val="10"/>
          <w:sz w:val="22"/>
        </w:rPr>
        <w:t>Boxes, charts and tables</w:t>
      </w:r>
    </w:p>
    <w:p w:rsidR="000C6913" w:rsidRDefault="00675046">
      <w:pPr>
        <w:pStyle w:val="TableofFigures"/>
        <w:rPr>
          <w:rFonts w:eastAsiaTheme="minorEastAsia" w:cstheme="minorBidi"/>
          <w:noProof/>
          <w:sz w:val="22"/>
          <w:szCs w:val="22"/>
        </w:rPr>
      </w:pPr>
      <w:r>
        <w:fldChar w:fldCharType="begin"/>
      </w:r>
      <w:r>
        <w:instrText xml:space="preserve"> TOC \t "Caption" \c </w:instrText>
      </w:r>
      <w:r>
        <w:fldChar w:fldCharType="separate"/>
      </w:r>
      <w:r w:rsidR="000C6913">
        <w:rPr>
          <w:noProof/>
        </w:rPr>
        <w:t>1.1</w:t>
      </w:r>
      <w:r w:rsidR="000C6913">
        <w:rPr>
          <w:rFonts w:eastAsiaTheme="minorEastAsia" w:cstheme="minorBidi"/>
          <w:noProof/>
          <w:sz w:val="22"/>
          <w:szCs w:val="22"/>
        </w:rPr>
        <w:tab/>
      </w:r>
      <w:r w:rsidR="000C6913">
        <w:rPr>
          <w:noProof/>
        </w:rPr>
        <w:t>Restrictions placed on telecommunication service prices</w:t>
      </w:r>
      <w:r w:rsidR="000C6913">
        <w:rPr>
          <w:noProof/>
        </w:rPr>
        <w:tab/>
      </w:r>
      <w:r w:rsidR="000C6913">
        <w:rPr>
          <w:noProof/>
        </w:rPr>
        <w:fldChar w:fldCharType="begin"/>
      </w:r>
      <w:r w:rsidR="000C6913">
        <w:rPr>
          <w:noProof/>
        </w:rPr>
        <w:instrText xml:space="preserve"> PAGEREF _Toc391972934 \h </w:instrText>
      </w:r>
      <w:r w:rsidR="000C6913">
        <w:rPr>
          <w:noProof/>
        </w:rPr>
      </w:r>
      <w:r w:rsidR="000C6913">
        <w:rPr>
          <w:noProof/>
        </w:rPr>
        <w:fldChar w:fldCharType="separate"/>
      </w:r>
      <w:r w:rsidR="000C6913">
        <w:rPr>
          <w:noProof/>
        </w:rPr>
        <w:t>9</w:t>
      </w:r>
      <w:r w:rsidR="000C6913">
        <w:rPr>
          <w:noProof/>
        </w:rPr>
        <w:fldChar w:fldCharType="end"/>
      </w:r>
    </w:p>
    <w:p w:rsidR="000C6913" w:rsidRDefault="000C6913">
      <w:pPr>
        <w:pStyle w:val="TableofFigures"/>
        <w:rPr>
          <w:rFonts w:eastAsiaTheme="minorEastAsia" w:cstheme="minorBidi"/>
          <w:noProof/>
          <w:sz w:val="22"/>
          <w:szCs w:val="22"/>
        </w:rPr>
      </w:pPr>
      <w:r>
        <w:rPr>
          <w:noProof/>
        </w:rPr>
        <w:t>1.2</w:t>
      </w:r>
      <w:r>
        <w:rPr>
          <w:rFonts w:eastAsiaTheme="minorEastAsia" w:cstheme="minorBidi"/>
          <w:noProof/>
          <w:sz w:val="22"/>
          <w:szCs w:val="22"/>
        </w:rPr>
        <w:tab/>
      </w:r>
      <w:r>
        <w:rPr>
          <w:noProof/>
        </w:rPr>
        <w:t>Areas of regulation in the telecommunication sector</w:t>
      </w:r>
      <w:r>
        <w:rPr>
          <w:noProof/>
        </w:rPr>
        <w:tab/>
      </w:r>
      <w:r>
        <w:rPr>
          <w:noProof/>
        </w:rPr>
        <w:fldChar w:fldCharType="begin"/>
      </w:r>
      <w:r>
        <w:rPr>
          <w:noProof/>
        </w:rPr>
        <w:instrText xml:space="preserve"> PAGEREF _Toc391972935 \h </w:instrText>
      </w:r>
      <w:r>
        <w:rPr>
          <w:noProof/>
        </w:rPr>
      </w:r>
      <w:r>
        <w:rPr>
          <w:noProof/>
        </w:rPr>
        <w:fldChar w:fldCharType="separate"/>
      </w:r>
      <w:r>
        <w:rPr>
          <w:noProof/>
        </w:rPr>
        <w:t>10</w:t>
      </w:r>
      <w:r>
        <w:rPr>
          <w:noProof/>
        </w:rPr>
        <w:fldChar w:fldCharType="end"/>
      </w:r>
    </w:p>
    <w:p w:rsidR="000C6913" w:rsidRDefault="000C6913">
      <w:pPr>
        <w:pStyle w:val="TableofFigures"/>
        <w:rPr>
          <w:rFonts w:eastAsiaTheme="minorEastAsia" w:cstheme="minorBidi"/>
          <w:noProof/>
          <w:sz w:val="22"/>
          <w:szCs w:val="22"/>
        </w:rPr>
      </w:pPr>
      <w:r>
        <w:rPr>
          <w:noProof/>
        </w:rPr>
        <w:t>1.3</w:t>
      </w:r>
      <w:r>
        <w:rPr>
          <w:rFonts w:eastAsiaTheme="minorEastAsia" w:cstheme="minorBidi"/>
          <w:noProof/>
          <w:sz w:val="22"/>
          <w:szCs w:val="22"/>
        </w:rPr>
        <w:tab/>
      </w:r>
      <w:r>
        <w:rPr>
          <w:noProof/>
        </w:rPr>
        <w:t>Regulation in the telecommunication sector</w:t>
      </w:r>
      <w:r>
        <w:rPr>
          <w:noProof/>
        </w:rPr>
        <w:tab/>
      </w:r>
      <w:r>
        <w:rPr>
          <w:noProof/>
        </w:rPr>
        <w:fldChar w:fldCharType="begin"/>
      </w:r>
      <w:r>
        <w:rPr>
          <w:noProof/>
        </w:rPr>
        <w:instrText xml:space="preserve"> PAGEREF _Toc391972936 \h </w:instrText>
      </w:r>
      <w:r>
        <w:rPr>
          <w:noProof/>
        </w:rPr>
      </w:r>
      <w:r>
        <w:rPr>
          <w:noProof/>
        </w:rPr>
        <w:fldChar w:fldCharType="separate"/>
      </w:r>
      <w:r>
        <w:rPr>
          <w:noProof/>
        </w:rPr>
        <w:t>10</w:t>
      </w:r>
      <w:r>
        <w:rPr>
          <w:noProof/>
        </w:rPr>
        <w:fldChar w:fldCharType="end"/>
      </w:r>
    </w:p>
    <w:p w:rsidR="000C6913" w:rsidRDefault="000C6913">
      <w:pPr>
        <w:pStyle w:val="TableofFigures"/>
        <w:rPr>
          <w:rFonts w:eastAsiaTheme="minorEastAsia" w:cstheme="minorBidi"/>
          <w:noProof/>
          <w:sz w:val="22"/>
          <w:szCs w:val="22"/>
        </w:rPr>
      </w:pPr>
      <w:r>
        <w:rPr>
          <w:noProof/>
        </w:rPr>
        <w:t>1.4</w:t>
      </w:r>
      <w:r>
        <w:rPr>
          <w:rFonts w:eastAsiaTheme="minorEastAsia" w:cstheme="minorBidi"/>
          <w:noProof/>
          <w:sz w:val="22"/>
          <w:szCs w:val="22"/>
        </w:rPr>
        <w:tab/>
      </w:r>
      <w:r>
        <w:rPr>
          <w:noProof/>
        </w:rPr>
        <w:t>RIS requirements</w:t>
      </w:r>
      <w:r>
        <w:rPr>
          <w:noProof/>
        </w:rPr>
        <w:tab/>
      </w:r>
      <w:r>
        <w:rPr>
          <w:noProof/>
        </w:rPr>
        <w:fldChar w:fldCharType="begin"/>
      </w:r>
      <w:r>
        <w:rPr>
          <w:noProof/>
        </w:rPr>
        <w:instrText xml:space="preserve"> PAGEREF _Toc391972937 \h </w:instrText>
      </w:r>
      <w:r>
        <w:rPr>
          <w:noProof/>
        </w:rPr>
      </w:r>
      <w:r>
        <w:rPr>
          <w:noProof/>
        </w:rPr>
        <w:fldChar w:fldCharType="separate"/>
      </w:r>
      <w:r>
        <w:rPr>
          <w:noProof/>
        </w:rPr>
        <w:t>12</w:t>
      </w:r>
      <w:r>
        <w:rPr>
          <w:noProof/>
        </w:rPr>
        <w:fldChar w:fldCharType="end"/>
      </w:r>
    </w:p>
    <w:p w:rsidR="000C6913" w:rsidRDefault="000C6913">
      <w:pPr>
        <w:pStyle w:val="TableofFigures"/>
        <w:rPr>
          <w:rFonts w:eastAsiaTheme="minorEastAsia" w:cstheme="minorBidi"/>
          <w:noProof/>
          <w:sz w:val="22"/>
          <w:szCs w:val="22"/>
        </w:rPr>
      </w:pPr>
      <w:r>
        <w:rPr>
          <w:noProof/>
        </w:rPr>
        <w:t>2.1</w:t>
      </w:r>
      <w:r>
        <w:rPr>
          <w:rFonts w:eastAsiaTheme="minorEastAsia" w:cstheme="minorBidi"/>
          <w:noProof/>
          <w:sz w:val="22"/>
          <w:szCs w:val="22"/>
        </w:rPr>
        <w:tab/>
      </w:r>
      <w:r>
        <w:rPr>
          <w:noProof/>
        </w:rPr>
        <w:t>Pricing in a competitive market</w:t>
      </w:r>
      <w:r>
        <w:rPr>
          <w:noProof/>
        </w:rPr>
        <w:tab/>
      </w:r>
      <w:r>
        <w:rPr>
          <w:noProof/>
        </w:rPr>
        <w:fldChar w:fldCharType="begin"/>
      </w:r>
      <w:r>
        <w:rPr>
          <w:noProof/>
        </w:rPr>
        <w:instrText xml:space="preserve"> PAGEREF _Toc391972938 \h </w:instrText>
      </w:r>
      <w:r>
        <w:rPr>
          <w:noProof/>
        </w:rPr>
      </w:r>
      <w:r>
        <w:rPr>
          <w:noProof/>
        </w:rPr>
        <w:fldChar w:fldCharType="separate"/>
      </w:r>
      <w:r>
        <w:rPr>
          <w:noProof/>
        </w:rPr>
        <w:t>14</w:t>
      </w:r>
      <w:r>
        <w:rPr>
          <w:noProof/>
        </w:rPr>
        <w:fldChar w:fldCharType="end"/>
      </w:r>
    </w:p>
    <w:p w:rsidR="000C6913" w:rsidRDefault="000C6913">
      <w:pPr>
        <w:pStyle w:val="TableofFigures"/>
        <w:rPr>
          <w:rFonts w:eastAsiaTheme="minorEastAsia" w:cstheme="minorBidi"/>
          <w:noProof/>
          <w:sz w:val="22"/>
          <w:szCs w:val="22"/>
        </w:rPr>
      </w:pPr>
      <w:r>
        <w:rPr>
          <w:noProof/>
        </w:rPr>
        <w:t>2.2</w:t>
      </w:r>
      <w:r>
        <w:rPr>
          <w:rFonts w:eastAsiaTheme="minorEastAsia" w:cstheme="minorBidi"/>
          <w:noProof/>
          <w:sz w:val="22"/>
          <w:szCs w:val="22"/>
        </w:rPr>
        <w:tab/>
      </w:r>
      <w:r>
        <w:rPr>
          <w:noProof/>
        </w:rPr>
        <w:t>Pricing where a supplier has market power</w:t>
      </w:r>
      <w:r>
        <w:rPr>
          <w:noProof/>
        </w:rPr>
        <w:tab/>
      </w:r>
      <w:r>
        <w:rPr>
          <w:noProof/>
        </w:rPr>
        <w:fldChar w:fldCharType="begin"/>
      </w:r>
      <w:r>
        <w:rPr>
          <w:noProof/>
        </w:rPr>
        <w:instrText xml:space="preserve"> PAGEREF _Toc391972939 \h </w:instrText>
      </w:r>
      <w:r>
        <w:rPr>
          <w:noProof/>
        </w:rPr>
      </w:r>
      <w:r>
        <w:rPr>
          <w:noProof/>
        </w:rPr>
        <w:fldChar w:fldCharType="separate"/>
      </w:r>
      <w:r>
        <w:rPr>
          <w:noProof/>
        </w:rPr>
        <w:t>15</w:t>
      </w:r>
      <w:r>
        <w:rPr>
          <w:noProof/>
        </w:rPr>
        <w:fldChar w:fldCharType="end"/>
      </w:r>
    </w:p>
    <w:p w:rsidR="000C6913" w:rsidRDefault="000C6913">
      <w:pPr>
        <w:pStyle w:val="TableofFigures"/>
        <w:rPr>
          <w:rFonts w:eastAsiaTheme="minorEastAsia" w:cstheme="minorBidi"/>
          <w:noProof/>
          <w:sz w:val="22"/>
          <w:szCs w:val="22"/>
        </w:rPr>
      </w:pPr>
      <w:r>
        <w:rPr>
          <w:noProof/>
        </w:rPr>
        <w:t>2.3</w:t>
      </w:r>
      <w:r>
        <w:rPr>
          <w:rFonts w:eastAsiaTheme="minorEastAsia" w:cstheme="minorBidi"/>
          <w:noProof/>
          <w:sz w:val="22"/>
          <w:szCs w:val="22"/>
        </w:rPr>
        <w:tab/>
      </w:r>
      <w:r>
        <w:rPr>
          <w:noProof/>
        </w:rPr>
        <w:t>Welfare impacts of price controls — case 1</w:t>
      </w:r>
      <w:r>
        <w:rPr>
          <w:noProof/>
        </w:rPr>
        <w:tab/>
      </w:r>
      <w:r>
        <w:rPr>
          <w:noProof/>
        </w:rPr>
        <w:fldChar w:fldCharType="begin"/>
      </w:r>
      <w:r>
        <w:rPr>
          <w:noProof/>
        </w:rPr>
        <w:instrText xml:space="preserve"> PAGEREF _Toc391972940 \h </w:instrText>
      </w:r>
      <w:r>
        <w:rPr>
          <w:noProof/>
        </w:rPr>
      </w:r>
      <w:r>
        <w:rPr>
          <w:noProof/>
        </w:rPr>
        <w:fldChar w:fldCharType="separate"/>
      </w:r>
      <w:r>
        <w:rPr>
          <w:noProof/>
        </w:rPr>
        <w:t>16</w:t>
      </w:r>
      <w:r>
        <w:rPr>
          <w:noProof/>
        </w:rPr>
        <w:fldChar w:fldCharType="end"/>
      </w:r>
    </w:p>
    <w:p w:rsidR="000C6913" w:rsidRDefault="000C6913">
      <w:pPr>
        <w:pStyle w:val="TableofFigures"/>
        <w:rPr>
          <w:rFonts w:eastAsiaTheme="minorEastAsia" w:cstheme="minorBidi"/>
          <w:noProof/>
          <w:sz w:val="22"/>
          <w:szCs w:val="22"/>
        </w:rPr>
      </w:pPr>
      <w:r>
        <w:rPr>
          <w:noProof/>
        </w:rPr>
        <w:t>2.4</w:t>
      </w:r>
      <w:r>
        <w:rPr>
          <w:rFonts w:eastAsiaTheme="minorEastAsia" w:cstheme="minorBidi"/>
          <w:noProof/>
          <w:sz w:val="22"/>
          <w:szCs w:val="22"/>
        </w:rPr>
        <w:tab/>
      </w:r>
      <w:r>
        <w:rPr>
          <w:noProof/>
        </w:rPr>
        <w:t>Welfare impacts of price controls — case 2</w:t>
      </w:r>
      <w:r>
        <w:rPr>
          <w:noProof/>
        </w:rPr>
        <w:tab/>
      </w:r>
      <w:r>
        <w:rPr>
          <w:noProof/>
        </w:rPr>
        <w:fldChar w:fldCharType="begin"/>
      </w:r>
      <w:r>
        <w:rPr>
          <w:noProof/>
        </w:rPr>
        <w:instrText xml:space="preserve"> PAGEREF _Toc391972941 \h </w:instrText>
      </w:r>
      <w:r>
        <w:rPr>
          <w:noProof/>
        </w:rPr>
      </w:r>
      <w:r>
        <w:rPr>
          <w:noProof/>
        </w:rPr>
        <w:fldChar w:fldCharType="separate"/>
      </w:r>
      <w:r>
        <w:rPr>
          <w:noProof/>
        </w:rPr>
        <w:t>17</w:t>
      </w:r>
      <w:r>
        <w:rPr>
          <w:noProof/>
        </w:rPr>
        <w:fldChar w:fldCharType="end"/>
      </w:r>
    </w:p>
    <w:p w:rsidR="000C6913" w:rsidRDefault="000C6913">
      <w:pPr>
        <w:pStyle w:val="TableofFigures"/>
        <w:rPr>
          <w:rFonts w:eastAsiaTheme="minorEastAsia" w:cstheme="minorBidi"/>
          <w:noProof/>
          <w:sz w:val="22"/>
          <w:szCs w:val="22"/>
        </w:rPr>
      </w:pPr>
      <w:r>
        <w:rPr>
          <w:noProof/>
        </w:rPr>
        <w:t>2.5</w:t>
      </w:r>
      <w:r>
        <w:rPr>
          <w:rFonts w:eastAsiaTheme="minorEastAsia" w:cstheme="minorBidi"/>
          <w:noProof/>
          <w:sz w:val="22"/>
          <w:szCs w:val="22"/>
        </w:rPr>
        <w:tab/>
      </w:r>
      <w:r>
        <w:rPr>
          <w:noProof/>
        </w:rPr>
        <w:t>Welfare impacts of price controls — case 3</w:t>
      </w:r>
      <w:r>
        <w:rPr>
          <w:noProof/>
        </w:rPr>
        <w:tab/>
      </w:r>
      <w:r>
        <w:rPr>
          <w:noProof/>
        </w:rPr>
        <w:fldChar w:fldCharType="begin"/>
      </w:r>
      <w:r>
        <w:rPr>
          <w:noProof/>
        </w:rPr>
        <w:instrText xml:space="preserve"> PAGEREF _Toc391972942 \h </w:instrText>
      </w:r>
      <w:r>
        <w:rPr>
          <w:noProof/>
        </w:rPr>
      </w:r>
      <w:r>
        <w:rPr>
          <w:noProof/>
        </w:rPr>
        <w:fldChar w:fldCharType="separate"/>
      </w:r>
      <w:r>
        <w:rPr>
          <w:noProof/>
        </w:rPr>
        <w:t>18</w:t>
      </w:r>
      <w:r>
        <w:rPr>
          <w:noProof/>
        </w:rPr>
        <w:fldChar w:fldCharType="end"/>
      </w:r>
    </w:p>
    <w:p w:rsidR="000C6913" w:rsidRDefault="000C6913">
      <w:pPr>
        <w:pStyle w:val="TableofFigures"/>
        <w:rPr>
          <w:rFonts w:eastAsiaTheme="minorEastAsia" w:cstheme="minorBidi"/>
          <w:noProof/>
          <w:sz w:val="22"/>
          <w:szCs w:val="22"/>
        </w:rPr>
      </w:pPr>
      <w:r>
        <w:rPr>
          <w:noProof/>
        </w:rPr>
        <w:t>2.6</w:t>
      </w:r>
      <w:r>
        <w:rPr>
          <w:rFonts w:eastAsiaTheme="minorEastAsia" w:cstheme="minorBidi"/>
          <w:noProof/>
          <w:sz w:val="22"/>
          <w:szCs w:val="22"/>
        </w:rPr>
        <w:tab/>
      </w:r>
      <w:r>
        <w:rPr>
          <w:noProof/>
        </w:rPr>
        <w:t>The California electricity crisis</w:t>
      </w:r>
      <w:r>
        <w:rPr>
          <w:noProof/>
        </w:rPr>
        <w:tab/>
      </w:r>
      <w:r>
        <w:rPr>
          <w:noProof/>
        </w:rPr>
        <w:fldChar w:fldCharType="begin"/>
      </w:r>
      <w:r>
        <w:rPr>
          <w:noProof/>
        </w:rPr>
        <w:instrText xml:space="preserve"> PAGEREF _Toc391972943 \h </w:instrText>
      </w:r>
      <w:r>
        <w:rPr>
          <w:noProof/>
        </w:rPr>
      </w:r>
      <w:r>
        <w:rPr>
          <w:noProof/>
        </w:rPr>
        <w:fldChar w:fldCharType="separate"/>
      </w:r>
      <w:r>
        <w:rPr>
          <w:noProof/>
        </w:rPr>
        <w:t>19</w:t>
      </w:r>
      <w:r>
        <w:rPr>
          <w:noProof/>
        </w:rPr>
        <w:fldChar w:fldCharType="end"/>
      </w:r>
    </w:p>
    <w:p w:rsidR="000C6913" w:rsidRDefault="000C6913">
      <w:pPr>
        <w:pStyle w:val="TableofFigures"/>
        <w:rPr>
          <w:rFonts w:eastAsiaTheme="minorEastAsia" w:cstheme="minorBidi"/>
          <w:noProof/>
          <w:sz w:val="22"/>
          <w:szCs w:val="22"/>
        </w:rPr>
      </w:pPr>
      <w:r>
        <w:rPr>
          <w:noProof/>
        </w:rPr>
        <w:t>3.1</w:t>
      </w:r>
      <w:r>
        <w:rPr>
          <w:rFonts w:eastAsiaTheme="minorEastAsia" w:cstheme="minorBidi"/>
          <w:noProof/>
          <w:sz w:val="22"/>
          <w:szCs w:val="22"/>
        </w:rPr>
        <w:tab/>
      </w:r>
      <w:r>
        <w:rPr>
          <w:noProof/>
        </w:rPr>
        <w:t>Comparison of regulated and actual prices</w:t>
      </w:r>
      <w:r>
        <w:rPr>
          <w:noProof/>
        </w:rPr>
        <w:tab/>
      </w:r>
      <w:r>
        <w:rPr>
          <w:noProof/>
        </w:rPr>
        <w:fldChar w:fldCharType="begin"/>
      </w:r>
      <w:r>
        <w:rPr>
          <w:noProof/>
        </w:rPr>
        <w:instrText xml:space="preserve"> PAGEREF _Toc391972944 \h </w:instrText>
      </w:r>
      <w:r>
        <w:rPr>
          <w:noProof/>
        </w:rPr>
      </w:r>
      <w:r>
        <w:rPr>
          <w:noProof/>
        </w:rPr>
        <w:fldChar w:fldCharType="separate"/>
      </w:r>
      <w:r>
        <w:rPr>
          <w:noProof/>
        </w:rPr>
        <w:t>23</w:t>
      </w:r>
      <w:r>
        <w:rPr>
          <w:noProof/>
        </w:rPr>
        <w:fldChar w:fldCharType="end"/>
      </w:r>
    </w:p>
    <w:p w:rsidR="000C6913" w:rsidRDefault="000C6913">
      <w:pPr>
        <w:pStyle w:val="TableofFigures"/>
        <w:rPr>
          <w:rFonts w:eastAsiaTheme="minorEastAsia" w:cstheme="minorBidi"/>
          <w:noProof/>
          <w:sz w:val="22"/>
          <w:szCs w:val="22"/>
        </w:rPr>
      </w:pPr>
      <w:r>
        <w:rPr>
          <w:noProof/>
        </w:rPr>
        <w:t>3.2</w:t>
      </w:r>
      <w:r>
        <w:rPr>
          <w:rFonts w:eastAsiaTheme="minorEastAsia" w:cstheme="minorBidi"/>
          <w:noProof/>
          <w:sz w:val="22"/>
          <w:szCs w:val="22"/>
        </w:rPr>
        <w:tab/>
      </w:r>
      <w:r>
        <w:rPr>
          <w:noProof/>
        </w:rPr>
        <w:t>Price changes in basket 1</w:t>
      </w:r>
      <w:r>
        <w:rPr>
          <w:noProof/>
        </w:rPr>
        <w:tab/>
      </w:r>
      <w:r>
        <w:rPr>
          <w:noProof/>
        </w:rPr>
        <w:fldChar w:fldCharType="begin"/>
      </w:r>
      <w:r>
        <w:rPr>
          <w:noProof/>
        </w:rPr>
        <w:instrText xml:space="preserve"> PAGEREF _Toc391972945 \h </w:instrText>
      </w:r>
      <w:r>
        <w:rPr>
          <w:noProof/>
        </w:rPr>
      </w:r>
      <w:r>
        <w:rPr>
          <w:noProof/>
        </w:rPr>
        <w:fldChar w:fldCharType="separate"/>
      </w:r>
      <w:r>
        <w:rPr>
          <w:noProof/>
        </w:rPr>
        <w:t>23</w:t>
      </w:r>
      <w:r>
        <w:rPr>
          <w:noProof/>
        </w:rPr>
        <w:fldChar w:fldCharType="end"/>
      </w:r>
    </w:p>
    <w:p w:rsidR="000C6913" w:rsidRDefault="000C6913">
      <w:pPr>
        <w:pStyle w:val="TableofFigures"/>
        <w:rPr>
          <w:rFonts w:eastAsiaTheme="minorEastAsia" w:cstheme="minorBidi"/>
          <w:noProof/>
          <w:sz w:val="22"/>
          <w:szCs w:val="22"/>
        </w:rPr>
      </w:pPr>
      <w:r>
        <w:rPr>
          <w:noProof/>
        </w:rPr>
        <w:t>3.3</w:t>
      </w:r>
      <w:r>
        <w:rPr>
          <w:rFonts w:eastAsiaTheme="minorEastAsia" w:cstheme="minorBidi"/>
          <w:noProof/>
          <w:sz w:val="22"/>
          <w:szCs w:val="22"/>
        </w:rPr>
        <w:tab/>
      </w:r>
      <w:r>
        <w:rPr>
          <w:noProof/>
        </w:rPr>
        <w:t>National uniform pricing by telecommunication carriers</w:t>
      </w:r>
      <w:r>
        <w:rPr>
          <w:noProof/>
        </w:rPr>
        <w:tab/>
      </w:r>
      <w:r>
        <w:rPr>
          <w:noProof/>
        </w:rPr>
        <w:fldChar w:fldCharType="begin"/>
      </w:r>
      <w:r>
        <w:rPr>
          <w:noProof/>
        </w:rPr>
        <w:instrText xml:space="preserve"> PAGEREF _Toc391972946 \h </w:instrText>
      </w:r>
      <w:r>
        <w:rPr>
          <w:noProof/>
        </w:rPr>
      </w:r>
      <w:r>
        <w:rPr>
          <w:noProof/>
        </w:rPr>
        <w:fldChar w:fldCharType="separate"/>
      </w:r>
      <w:r>
        <w:rPr>
          <w:noProof/>
        </w:rPr>
        <w:t>25</w:t>
      </w:r>
      <w:r>
        <w:rPr>
          <w:noProof/>
        </w:rPr>
        <w:fldChar w:fldCharType="end"/>
      </w:r>
    </w:p>
    <w:p w:rsidR="000C6913" w:rsidRDefault="000C6913">
      <w:pPr>
        <w:pStyle w:val="TableofFigures"/>
        <w:rPr>
          <w:rFonts w:eastAsiaTheme="minorEastAsia" w:cstheme="minorBidi"/>
          <w:noProof/>
          <w:sz w:val="22"/>
          <w:szCs w:val="22"/>
        </w:rPr>
      </w:pPr>
      <w:r>
        <w:rPr>
          <w:noProof/>
        </w:rPr>
        <w:t>3.4</w:t>
      </w:r>
      <w:r>
        <w:rPr>
          <w:rFonts w:eastAsiaTheme="minorEastAsia" w:cstheme="minorBidi"/>
          <w:noProof/>
          <w:sz w:val="22"/>
          <w:szCs w:val="22"/>
        </w:rPr>
        <w:tab/>
      </w:r>
      <w:r>
        <w:rPr>
          <w:noProof/>
        </w:rPr>
        <w:t>Nationally uniform pricing in other telecommunications markets</w:t>
      </w:r>
      <w:r>
        <w:rPr>
          <w:noProof/>
        </w:rPr>
        <w:tab/>
      </w:r>
      <w:r>
        <w:rPr>
          <w:noProof/>
        </w:rPr>
        <w:fldChar w:fldCharType="begin"/>
      </w:r>
      <w:r>
        <w:rPr>
          <w:noProof/>
        </w:rPr>
        <w:instrText xml:space="preserve"> PAGEREF _Toc391972947 \h </w:instrText>
      </w:r>
      <w:r>
        <w:rPr>
          <w:noProof/>
        </w:rPr>
      </w:r>
      <w:r>
        <w:rPr>
          <w:noProof/>
        </w:rPr>
        <w:fldChar w:fldCharType="separate"/>
      </w:r>
      <w:r>
        <w:rPr>
          <w:noProof/>
        </w:rPr>
        <w:t>25</w:t>
      </w:r>
      <w:r>
        <w:rPr>
          <w:noProof/>
        </w:rPr>
        <w:fldChar w:fldCharType="end"/>
      </w:r>
    </w:p>
    <w:p w:rsidR="000C6913" w:rsidRDefault="000C6913">
      <w:pPr>
        <w:pStyle w:val="TableofFigures"/>
        <w:rPr>
          <w:rFonts w:eastAsiaTheme="minorEastAsia" w:cstheme="minorBidi"/>
          <w:noProof/>
          <w:sz w:val="22"/>
          <w:szCs w:val="22"/>
        </w:rPr>
      </w:pPr>
      <w:r>
        <w:rPr>
          <w:noProof/>
        </w:rPr>
        <w:t>3.5</w:t>
      </w:r>
      <w:r>
        <w:rPr>
          <w:rFonts w:eastAsiaTheme="minorEastAsia" w:cstheme="minorBidi"/>
          <w:noProof/>
          <w:sz w:val="22"/>
          <w:szCs w:val="22"/>
        </w:rPr>
        <w:tab/>
      </w:r>
      <w:r>
        <w:rPr>
          <w:noProof/>
        </w:rPr>
        <w:t>Examples of geographically</w:t>
      </w:r>
      <w:r>
        <w:rPr>
          <w:noProof/>
        </w:rPr>
        <w:noBreakHyphen/>
        <w:t>differentiated prices for telephony services</w:t>
      </w:r>
      <w:r>
        <w:rPr>
          <w:noProof/>
        </w:rPr>
        <w:tab/>
      </w:r>
      <w:r>
        <w:rPr>
          <w:noProof/>
        </w:rPr>
        <w:fldChar w:fldCharType="begin"/>
      </w:r>
      <w:r>
        <w:rPr>
          <w:noProof/>
        </w:rPr>
        <w:instrText xml:space="preserve"> PAGEREF _Toc391972948 \h </w:instrText>
      </w:r>
      <w:r>
        <w:rPr>
          <w:noProof/>
        </w:rPr>
      </w:r>
      <w:r>
        <w:rPr>
          <w:noProof/>
        </w:rPr>
        <w:fldChar w:fldCharType="separate"/>
      </w:r>
      <w:r>
        <w:rPr>
          <w:noProof/>
        </w:rPr>
        <w:t>26</w:t>
      </w:r>
      <w:r>
        <w:rPr>
          <w:noProof/>
        </w:rPr>
        <w:fldChar w:fldCharType="end"/>
      </w:r>
    </w:p>
    <w:p w:rsidR="000C6913" w:rsidRDefault="000C6913">
      <w:pPr>
        <w:pStyle w:val="TableofFigures"/>
        <w:rPr>
          <w:rFonts w:eastAsiaTheme="minorEastAsia" w:cstheme="minorBidi"/>
          <w:noProof/>
          <w:sz w:val="22"/>
          <w:szCs w:val="22"/>
        </w:rPr>
      </w:pPr>
      <w:r>
        <w:rPr>
          <w:noProof/>
        </w:rPr>
        <w:t>3.6</w:t>
      </w:r>
      <w:r>
        <w:rPr>
          <w:rFonts w:eastAsiaTheme="minorEastAsia" w:cstheme="minorBidi"/>
          <w:noProof/>
          <w:sz w:val="22"/>
          <w:szCs w:val="22"/>
        </w:rPr>
        <w:tab/>
      </w:r>
      <w:r>
        <w:rPr>
          <w:noProof/>
        </w:rPr>
        <w:t>Number of public payphones</w:t>
      </w:r>
      <w:r>
        <w:rPr>
          <w:noProof/>
        </w:rPr>
        <w:tab/>
      </w:r>
      <w:r>
        <w:rPr>
          <w:noProof/>
        </w:rPr>
        <w:fldChar w:fldCharType="begin"/>
      </w:r>
      <w:r>
        <w:rPr>
          <w:noProof/>
        </w:rPr>
        <w:instrText xml:space="preserve"> PAGEREF _Toc391972949 \h </w:instrText>
      </w:r>
      <w:r>
        <w:rPr>
          <w:noProof/>
        </w:rPr>
      </w:r>
      <w:r>
        <w:rPr>
          <w:noProof/>
        </w:rPr>
        <w:fldChar w:fldCharType="separate"/>
      </w:r>
      <w:r>
        <w:rPr>
          <w:noProof/>
        </w:rPr>
        <w:t>29</w:t>
      </w:r>
      <w:r>
        <w:rPr>
          <w:noProof/>
        </w:rPr>
        <w:fldChar w:fldCharType="end"/>
      </w:r>
    </w:p>
    <w:p w:rsidR="000C6913" w:rsidRDefault="000C6913">
      <w:pPr>
        <w:pStyle w:val="TableofFigures"/>
        <w:rPr>
          <w:rFonts w:eastAsiaTheme="minorEastAsia" w:cstheme="minorBidi"/>
          <w:noProof/>
          <w:sz w:val="22"/>
          <w:szCs w:val="22"/>
        </w:rPr>
      </w:pPr>
      <w:r>
        <w:rPr>
          <w:noProof/>
        </w:rPr>
        <w:t>3.7</w:t>
      </w:r>
      <w:r>
        <w:rPr>
          <w:rFonts w:eastAsiaTheme="minorEastAsia" w:cstheme="minorBidi"/>
          <w:noProof/>
          <w:sz w:val="22"/>
          <w:szCs w:val="22"/>
        </w:rPr>
        <w:tab/>
      </w:r>
      <w:r>
        <w:rPr>
          <w:noProof/>
        </w:rPr>
        <w:t>Telstra’s administrative costs</w:t>
      </w:r>
      <w:r>
        <w:rPr>
          <w:noProof/>
        </w:rPr>
        <w:tab/>
      </w:r>
      <w:r>
        <w:rPr>
          <w:noProof/>
        </w:rPr>
        <w:fldChar w:fldCharType="begin"/>
      </w:r>
      <w:r>
        <w:rPr>
          <w:noProof/>
        </w:rPr>
        <w:instrText xml:space="preserve"> PAGEREF _Toc391972950 \h </w:instrText>
      </w:r>
      <w:r>
        <w:rPr>
          <w:noProof/>
        </w:rPr>
      </w:r>
      <w:r>
        <w:rPr>
          <w:noProof/>
        </w:rPr>
        <w:fldChar w:fldCharType="separate"/>
      </w:r>
      <w:r>
        <w:rPr>
          <w:noProof/>
        </w:rPr>
        <w:t>31</w:t>
      </w:r>
      <w:r>
        <w:rPr>
          <w:noProof/>
        </w:rPr>
        <w:fldChar w:fldCharType="end"/>
      </w:r>
    </w:p>
    <w:p w:rsidR="000C6913" w:rsidRDefault="000C6913">
      <w:pPr>
        <w:pStyle w:val="TableofFigures"/>
        <w:rPr>
          <w:rFonts w:eastAsiaTheme="minorEastAsia" w:cstheme="minorBidi"/>
          <w:noProof/>
          <w:sz w:val="22"/>
          <w:szCs w:val="22"/>
        </w:rPr>
      </w:pPr>
      <w:r>
        <w:rPr>
          <w:noProof/>
        </w:rPr>
        <w:t>3.8</w:t>
      </w:r>
      <w:r>
        <w:rPr>
          <w:rFonts w:eastAsiaTheme="minorEastAsia" w:cstheme="minorBidi"/>
          <w:noProof/>
          <w:sz w:val="22"/>
          <w:szCs w:val="22"/>
        </w:rPr>
        <w:tab/>
      </w:r>
      <w:r>
        <w:rPr>
          <w:noProof/>
        </w:rPr>
        <w:t>Assessment against objectives</w:t>
      </w:r>
      <w:r>
        <w:rPr>
          <w:noProof/>
        </w:rPr>
        <w:tab/>
      </w:r>
      <w:r>
        <w:rPr>
          <w:noProof/>
        </w:rPr>
        <w:fldChar w:fldCharType="begin"/>
      </w:r>
      <w:r>
        <w:rPr>
          <w:noProof/>
        </w:rPr>
        <w:instrText xml:space="preserve"> PAGEREF _Toc391972951 \h </w:instrText>
      </w:r>
      <w:r>
        <w:rPr>
          <w:noProof/>
        </w:rPr>
      </w:r>
      <w:r>
        <w:rPr>
          <w:noProof/>
        </w:rPr>
        <w:fldChar w:fldCharType="separate"/>
      </w:r>
      <w:r>
        <w:rPr>
          <w:noProof/>
        </w:rPr>
        <w:t>33</w:t>
      </w:r>
      <w:r>
        <w:rPr>
          <w:noProof/>
        </w:rPr>
        <w:fldChar w:fldCharType="end"/>
      </w:r>
    </w:p>
    <w:p w:rsidR="000C6913" w:rsidRDefault="000C6913">
      <w:pPr>
        <w:pStyle w:val="TableofFigures"/>
        <w:rPr>
          <w:rFonts w:eastAsiaTheme="minorEastAsia" w:cstheme="minorBidi"/>
          <w:noProof/>
          <w:sz w:val="22"/>
          <w:szCs w:val="22"/>
        </w:rPr>
      </w:pPr>
      <w:r>
        <w:rPr>
          <w:noProof/>
        </w:rPr>
        <w:t>4.1</w:t>
      </w:r>
      <w:r>
        <w:rPr>
          <w:rFonts w:eastAsiaTheme="minorEastAsia" w:cstheme="minorBidi"/>
          <w:noProof/>
          <w:sz w:val="22"/>
          <w:szCs w:val="22"/>
        </w:rPr>
        <w:tab/>
      </w:r>
      <w:r>
        <w:rPr>
          <w:noProof/>
        </w:rPr>
        <w:t>The ACCC approach to defining a market</w:t>
      </w:r>
      <w:r>
        <w:rPr>
          <w:noProof/>
        </w:rPr>
        <w:tab/>
      </w:r>
      <w:r>
        <w:rPr>
          <w:noProof/>
        </w:rPr>
        <w:fldChar w:fldCharType="begin"/>
      </w:r>
      <w:r>
        <w:rPr>
          <w:noProof/>
        </w:rPr>
        <w:instrText xml:space="preserve"> PAGEREF _Toc391972952 \h </w:instrText>
      </w:r>
      <w:r>
        <w:rPr>
          <w:noProof/>
        </w:rPr>
      </w:r>
      <w:r>
        <w:rPr>
          <w:noProof/>
        </w:rPr>
        <w:fldChar w:fldCharType="separate"/>
      </w:r>
      <w:r>
        <w:rPr>
          <w:noProof/>
        </w:rPr>
        <w:t>35</w:t>
      </w:r>
      <w:r>
        <w:rPr>
          <w:noProof/>
        </w:rPr>
        <w:fldChar w:fldCharType="end"/>
      </w:r>
    </w:p>
    <w:p w:rsidR="000C6913" w:rsidRDefault="000C6913">
      <w:pPr>
        <w:pStyle w:val="TableofFigures"/>
        <w:rPr>
          <w:rFonts w:eastAsiaTheme="minorEastAsia" w:cstheme="minorBidi"/>
          <w:noProof/>
          <w:sz w:val="22"/>
          <w:szCs w:val="22"/>
        </w:rPr>
      </w:pPr>
      <w:r>
        <w:rPr>
          <w:noProof/>
        </w:rPr>
        <w:t>4.2</w:t>
      </w:r>
      <w:r>
        <w:rPr>
          <w:rFonts w:eastAsiaTheme="minorEastAsia" w:cstheme="minorBidi"/>
          <w:noProof/>
          <w:sz w:val="22"/>
          <w:szCs w:val="22"/>
        </w:rPr>
        <w:tab/>
      </w:r>
      <w:r>
        <w:rPr>
          <w:noProof/>
        </w:rPr>
        <w:t>Prices for fixed line wholesale inputs</w:t>
      </w:r>
      <w:r>
        <w:rPr>
          <w:noProof/>
        </w:rPr>
        <w:tab/>
      </w:r>
      <w:r>
        <w:rPr>
          <w:noProof/>
        </w:rPr>
        <w:fldChar w:fldCharType="begin"/>
      </w:r>
      <w:r>
        <w:rPr>
          <w:noProof/>
        </w:rPr>
        <w:instrText xml:space="preserve"> PAGEREF _Toc391972953 \h </w:instrText>
      </w:r>
      <w:r>
        <w:rPr>
          <w:noProof/>
        </w:rPr>
      </w:r>
      <w:r>
        <w:rPr>
          <w:noProof/>
        </w:rPr>
        <w:fldChar w:fldCharType="separate"/>
      </w:r>
      <w:r>
        <w:rPr>
          <w:noProof/>
        </w:rPr>
        <w:t>37</w:t>
      </w:r>
      <w:r>
        <w:rPr>
          <w:noProof/>
        </w:rPr>
        <w:fldChar w:fldCharType="end"/>
      </w:r>
    </w:p>
    <w:p w:rsidR="000C6913" w:rsidRDefault="000C6913">
      <w:pPr>
        <w:pStyle w:val="TableofFigures"/>
        <w:rPr>
          <w:rFonts w:eastAsiaTheme="minorEastAsia" w:cstheme="minorBidi"/>
          <w:noProof/>
          <w:sz w:val="22"/>
          <w:szCs w:val="22"/>
        </w:rPr>
      </w:pPr>
      <w:r>
        <w:rPr>
          <w:noProof/>
        </w:rPr>
        <w:t>4.3</w:t>
      </w:r>
      <w:r>
        <w:rPr>
          <w:rFonts w:eastAsiaTheme="minorEastAsia" w:cstheme="minorBidi"/>
          <w:noProof/>
          <w:sz w:val="22"/>
          <w:szCs w:val="22"/>
        </w:rPr>
        <w:tab/>
      </w:r>
      <w:r>
        <w:rPr>
          <w:noProof/>
        </w:rPr>
        <w:t>Retail fixed voice services — market share</w:t>
      </w:r>
      <w:r>
        <w:rPr>
          <w:noProof/>
        </w:rPr>
        <w:tab/>
      </w:r>
      <w:r>
        <w:rPr>
          <w:noProof/>
        </w:rPr>
        <w:fldChar w:fldCharType="begin"/>
      </w:r>
      <w:r>
        <w:rPr>
          <w:noProof/>
        </w:rPr>
        <w:instrText xml:space="preserve"> PAGEREF _Toc391972954 \h </w:instrText>
      </w:r>
      <w:r>
        <w:rPr>
          <w:noProof/>
        </w:rPr>
      </w:r>
      <w:r>
        <w:rPr>
          <w:noProof/>
        </w:rPr>
        <w:fldChar w:fldCharType="separate"/>
      </w:r>
      <w:r>
        <w:rPr>
          <w:noProof/>
        </w:rPr>
        <w:t>37</w:t>
      </w:r>
      <w:r>
        <w:rPr>
          <w:noProof/>
        </w:rPr>
        <w:fldChar w:fldCharType="end"/>
      </w:r>
    </w:p>
    <w:p w:rsidR="000C6913" w:rsidRDefault="000C6913">
      <w:pPr>
        <w:pStyle w:val="TableofFigures"/>
        <w:rPr>
          <w:rFonts w:eastAsiaTheme="minorEastAsia" w:cstheme="minorBidi"/>
          <w:noProof/>
          <w:sz w:val="22"/>
          <w:szCs w:val="22"/>
        </w:rPr>
      </w:pPr>
      <w:r>
        <w:rPr>
          <w:noProof/>
        </w:rPr>
        <w:t>4.4</w:t>
      </w:r>
      <w:r>
        <w:rPr>
          <w:rFonts w:eastAsiaTheme="minorEastAsia" w:cstheme="minorBidi"/>
          <w:noProof/>
          <w:sz w:val="22"/>
          <w:szCs w:val="22"/>
        </w:rPr>
        <w:tab/>
      </w:r>
      <w:r>
        <w:rPr>
          <w:noProof/>
        </w:rPr>
        <w:t>Number of fixed line voice services in operation</w:t>
      </w:r>
      <w:r>
        <w:rPr>
          <w:noProof/>
        </w:rPr>
        <w:tab/>
      </w:r>
      <w:r>
        <w:rPr>
          <w:noProof/>
        </w:rPr>
        <w:fldChar w:fldCharType="begin"/>
      </w:r>
      <w:r>
        <w:rPr>
          <w:noProof/>
        </w:rPr>
        <w:instrText xml:space="preserve"> PAGEREF _Toc391972955 \h </w:instrText>
      </w:r>
      <w:r>
        <w:rPr>
          <w:noProof/>
        </w:rPr>
      </w:r>
      <w:r>
        <w:rPr>
          <w:noProof/>
        </w:rPr>
        <w:fldChar w:fldCharType="separate"/>
      </w:r>
      <w:r>
        <w:rPr>
          <w:noProof/>
        </w:rPr>
        <w:t>38</w:t>
      </w:r>
      <w:r>
        <w:rPr>
          <w:noProof/>
        </w:rPr>
        <w:fldChar w:fldCharType="end"/>
      </w:r>
    </w:p>
    <w:p w:rsidR="000C6913" w:rsidRDefault="000C6913">
      <w:pPr>
        <w:pStyle w:val="TableofFigures"/>
        <w:rPr>
          <w:rFonts w:eastAsiaTheme="minorEastAsia" w:cstheme="minorBidi"/>
          <w:noProof/>
          <w:sz w:val="22"/>
          <w:szCs w:val="22"/>
        </w:rPr>
      </w:pPr>
      <w:r>
        <w:rPr>
          <w:noProof/>
        </w:rPr>
        <w:t>4.5</w:t>
      </w:r>
      <w:r>
        <w:rPr>
          <w:rFonts w:eastAsiaTheme="minorEastAsia" w:cstheme="minorBidi"/>
          <w:noProof/>
          <w:sz w:val="22"/>
          <w:szCs w:val="22"/>
        </w:rPr>
        <w:tab/>
      </w:r>
      <w:r>
        <w:rPr>
          <w:noProof/>
        </w:rPr>
        <w:t>Profitability of Telstra products – Earnings before interest, tax, depreciation and amortisation (EBITDA)</w:t>
      </w:r>
      <w:r>
        <w:rPr>
          <w:noProof/>
        </w:rPr>
        <w:tab/>
      </w:r>
      <w:r>
        <w:rPr>
          <w:noProof/>
        </w:rPr>
        <w:fldChar w:fldCharType="begin"/>
      </w:r>
      <w:r>
        <w:rPr>
          <w:noProof/>
        </w:rPr>
        <w:instrText xml:space="preserve"> PAGEREF _Toc391972956 \h </w:instrText>
      </w:r>
      <w:r>
        <w:rPr>
          <w:noProof/>
        </w:rPr>
      </w:r>
      <w:r>
        <w:rPr>
          <w:noProof/>
        </w:rPr>
        <w:fldChar w:fldCharType="separate"/>
      </w:r>
      <w:r>
        <w:rPr>
          <w:noProof/>
        </w:rPr>
        <w:t>38</w:t>
      </w:r>
      <w:r>
        <w:rPr>
          <w:noProof/>
        </w:rPr>
        <w:fldChar w:fldCharType="end"/>
      </w:r>
    </w:p>
    <w:p w:rsidR="000C6913" w:rsidRDefault="000C6913">
      <w:pPr>
        <w:pStyle w:val="TableofFigures"/>
        <w:rPr>
          <w:rFonts w:eastAsiaTheme="minorEastAsia" w:cstheme="minorBidi"/>
          <w:noProof/>
          <w:sz w:val="22"/>
          <w:szCs w:val="22"/>
        </w:rPr>
      </w:pPr>
      <w:r>
        <w:rPr>
          <w:noProof/>
        </w:rPr>
        <w:t>4.6</w:t>
      </w:r>
      <w:r>
        <w:rPr>
          <w:rFonts w:eastAsiaTheme="minorEastAsia" w:cstheme="minorBidi"/>
          <w:noProof/>
          <w:sz w:val="22"/>
          <w:szCs w:val="22"/>
        </w:rPr>
        <w:tab/>
      </w:r>
      <w:r>
        <w:rPr>
          <w:noProof/>
        </w:rPr>
        <w:t>Retail market share for fixed broadband (DSL and cable)</w:t>
      </w:r>
      <w:r>
        <w:rPr>
          <w:noProof/>
        </w:rPr>
        <w:tab/>
      </w:r>
      <w:r>
        <w:rPr>
          <w:noProof/>
        </w:rPr>
        <w:fldChar w:fldCharType="begin"/>
      </w:r>
      <w:r>
        <w:rPr>
          <w:noProof/>
        </w:rPr>
        <w:instrText xml:space="preserve"> PAGEREF _Toc391972957 \h </w:instrText>
      </w:r>
      <w:r>
        <w:rPr>
          <w:noProof/>
        </w:rPr>
      </w:r>
      <w:r>
        <w:rPr>
          <w:noProof/>
        </w:rPr>
        <w:fldChar w:fldCharType="separate"/>
      </w:r>
      <w:r>
        <w:rPr>
          <w:noProof/>
        </w:rPr>
        <w:t>39</w:t>
      </w:r>
      <w:r>
        <w:rPr>
          <w:noProof/>
        </w:rPr>
        <w:fldChar w:fldCharType="end"/>
      </w:r>
    </w:p>
    <w:p w:rsidR="000C6913" w:rsidRDefault="000C6913">
      <w:pPr>
        <w:pStyle w:val="TableofFigures"/>
        <w:rPr>
          <w:rFonts w:eastAsiaTheme="minorEastAsia" w:cstheme="minorBidi"/>
          <w:noProof/>
          <w:sz w:val="22"/>
          <w:szCs w:val="22"/>
        </w:rPr>
      </w:pPr>
      <w:r>
        <w:rPr>
          <w:noProof/>
        </w:rPr>
        <w:lastRenderedPageBreak/>
        <w:t>4.7</w:t>
      </w:r>
      <w:r>
        <w:rPr>
          <w:rFonts w:eastAsiaTheme="minorEastAsia" w:cstheme="minorBidi"/>
          <w:noProof/>
          <w:sz w:val="22"/>
          <w:szCs w:val="22"/>
        </w:rPr>
        <w:tab/>
      </w:r>
      <w:r>
        <w:rPr>
          <w:noProof/>
        </w:rPr>
        <w:t>ULL and LSS prices (nominal)</w:t>
      </w:r>
      <w:r>
        <w:rPr>
          <w:noProof/>
        </w:rPr>
        <w:tab/>
      </w:r>
      <w:r>
        <w:rPr>
          <w:noProof/>
        </w:rPr>
        <w:fldChar w:fldCharType="begin"/>
      </w:r>
      <w:r>
        <w:rPr>
          <w:noProof/>
        </w:rPr>
        <w:instrText xml:space="preserve"> PAGEREF _Toc391972958 \h </w:instrText>
      </w:r>
      <w:r>
        <w:rPr>
          <w:noProof/>
        </w:rPr>
      </w:r>
      <w:r>
        <w:rPr>
          <w:noProof/>
        </w:rPr>
        <w:fldChar w:fldCharType="separate"/>
      </w:r>
      <w:r>
        <w:rPr>
          <w:noProof/>
        </w:rPr>
        <w:t>41</w:t>
      </w:r>
      <w:r>
        <w:rPr>
          <w:noProof/>
        </w:rPr>
        <w:fldChar w:fldCharType="end"/>
      </w:r>
    </w:p>
    <w:p w:rsidR="000C6913" w:rsidRDefault="000C6913">
      <w:pPr>
        <w:pStyle w:val="TableofFigures"/>
        <w:rPr>
          <w:rFonts w:eastAsiaTheme="minorEastAsia" w:cstheme="minorBidi"/>
          <w:noProof/>
          <w:sz w:val="22"/>
          <w:szCs w:val="22"/>
        </w:rPr>
      </w:pPr>
      <w:r>
        <w:rPr>
          <w:noProof/>
        </w:rPr>
        <w:t>4.8</w:t>
      </w:r>
      <w:r>
        <w:rPr>
          <w:rFonts w:eastAsiaTheme="minorEastAsia" w:cstheme="minorBidi"/>
          <w:noProof/>
          <w:sz w:val="22"/>
          <w:szCs w:val="22"/>
        </w:rPr>
        <w:tab/>
      </w:r>
      <w:r>
        <w:rPr>
          <w:noProof/>
        </w:rPr>
        <w:t>Number of ULLS and LSS services in operation (SIOs)</w:t>
      </w:r>
      <w:r>
        <w:rPr>
          <w:noProof/>
        </w:rPr>
        <w:tab/>
      </w:r>
      <w:r>
        <w:rPr>
          <w:noProof/>
        </w:rPr>
        <w:fldChar w:fldCharType="begin"/>
      </w:r>
      <w:r>
        <w:rPr>
          <w:noProof/>
        </w:rPr>
        <w:instrText xml:space="preserve"> PAGEREF _Toc391972959 \h </w:instrText>
      </w:r>
      <w:r>
        <w:rPr>
          <w:noProof/>
        </w:rPr>
      </w:r>
      <w:r>
        <w:rPr>
          <w:noProof/>
        </w:rPr>
        <w:fldChar w:fldCharType="separate"/>
      </w:r>
      <w:r>
        <w:rPr>
          <w:noProof/>
        </w:rPr>
        <w:t>42</w:t>
      </w:r>
      <w:r>
        <w:rPr>
          <w:noProof/>
        </w:rPr>
        <w:fldChar w:fldCharType="end"/>
      </w:r>
    </w:p>
    <w:p w:rsidR="000C6913" w:rsidRDefault="000C6913">
      <w:pPr>
        <w:pStyle w:val="TableofFigures"/>
        <w:rPr>
          <w:rFonts w:eastAsiaTheme="minorEastAsia" w:cstheme="minorBidi"/>
          <w:noProof/>
          <w:sz w:val="22"/>
          <w:szCs w:val="22"/>
        </w:rPr>
      </w:pPr>
      <w:r>
        <w:rPr>
          <w:noProof/>
        </w:rPr>
        <w:t>4.9</w:t>
      </w:r>
      <w:r>
        <w:rPr>
          <w:rFonts w:eastAsiaTheme="minorEastAsia" w:cstheme="minorBidi"/>
          <w:noProof/>
          <w:sz w:val="22"/>
          <w:szCs w:val="22"/>
        </w:rPr>
        <w:tab/>
      </w:r>
      <w:r>
        <w:rPr>
          <w:noProof/>
        </w:rPr>
        <w:t>Number of ULL services in operation — Telstra v other service providers</w:t>
      </w:r>
      <w:r>
        <w:rPr>
          <w:noProof/>
        </w:rPr>
        <w:tab/>
      </w:r>
      <w:r>
        <w:rPr>
          <w:noProof/>
        </w:rPr>
        <w:fldChar w:fldCharType="begin"/>
      </w:r>
      <w:r>
        <w:rPr>
          <w:noProof/>
        </w:rPr>
        <w:instrText xml:space="preserve"> PAGEREF _Toc391972960 \h </w:instrText>
      </w:r>
      <w:r>
        <w:rPr>
          <w:noProof/>
        </w:rPr>
      </w:r>
      <w:r>
        <w:rPr>
          <w:noProof/>
        </w:rPr>
        <w:fldChar w:fldCharType="separate"/>
      </w:r>
      <w:r>
        <w:rPr>
          <w:noProof/>
        </w:rPr>
        <w:t>42</w:t>
      </w:r>
      <w:r>
        <w:rPr>
          <w:noProof/>
        </w:rPr>
        <w:fldChar w:fldCharType="end"/>
      </w:r>
    </w:p>
    <w:p w:rsidR="000C6913" w:rsidRDefault="000C6913">
      <w:pPr>
        <w:pStyle w:val="TableofFigures"/>
        <w:rPr>
          <w:rFonts w:eastAsiaTheme="minorEastAsia" w:cstheme="minorBidi"/>
          <w:noProof/>
          <w:sz w:val="22"/>
          <w:szCs w:val="22"/>
        </w:rPr>
      </w:pPr>
      <w:r>
        <w:rPr>
          <w:noProof/>
        </w:rPr>
        <w:t>4.10</w:t>
      </w:r>
      <w:r>
        <w:rPr>
          <w:rFonts w:eastAsiaTheme="minorEastAsia" w:cstheme="minorBidi"/>
          <w:noProof/>
          <w:sz w:val="22"/>
          <w:szCs w:val="22"/>
        </w:rPr>
        <w:tab/>
      </w:r>
      <w:r>
        <w:rPr>
          <w:noProof/>
        </w:rPr>
        <w:t>Services included in bundling arrangements</w:t>
      </w:r>
      <w:r>
        <w:rPr>
          <w:noProof/>
        </w:rPr>
        <w:tab/>
      </w:r>
      <w:r>
        <w:rPr>
          <w:noProof/>
        </w:rPr>
        <w:fldChar w:fldCharType="begin"/>
      </w:r>
      <w:r>
        <w:rPr>
          <w:noProof/>
        </w:rPr>
        <w:instrText xml:space="preserve"> PAGEREF _Toc391972961 \h </w:instrText>
      </w:r>
      <w:r>
        <w:rPr>
          <w:noProof/>
        </w:rPr>
      </w:r>
      <w:r>
        <w:rPr>
          <w:noProof/>
        </w:rPr>
        <w:fldChar w:fldCharType="separate"/>
      </w:r>
      <w:r>
        <w:rPr>
          <w:noProof/>
        </w:rPr>
        <w:t>43</w:t>
      </w:r>
      <w:r>
        <w:rPr>
          <w:noProof/>
        </w:rPr>
        <w:fldChar w:fldCharType="end"/>
      </w:r>
    </w:p>
    <w:p w:rsidR="000C6913" w:rsidRDefault="000C6913">
      <w:pPr>
        <w:pStyle w:val="TableofFigures"/>
        <w:rPr>
          <w:rFonts w:eastAsiaTheme="minorEastAsia" w:cstheme="minorBidi"/>
          <w:noProof/>
          <w:sz w:val="22"/>
          <w:szCs w:val="22"/>
        </w:rPr>
      </w:pPr>
      <w:r>
        <w:rPr>
          <w:noProof/>
        </w:rPr>
        <w:t>4.11</w:t>
      </w:r>
      <w:r>
        <w:rPr>
          <w:rFonts w:eastAsiaTheme="minorEastAsia" w:cstheme="minorBidi"/>
          <w:noProof/>
          <w:sz w:val="22"/>
          <w:szCs w:val="22"/>
        </w:rPr>
        <w:tab/>
      </w:r>
      <w:r>
        <w:rPr>
          <w:noProof/>
        </w:rPr>
        <w:t>Telecommunication services price index</w:t>
      </w:r>
      <w:r>
        <w:rPr>
          <w:noProof/>
        </w:rPr>
        <w:tab/>
      </w:r>
      <w:r>
        <w:rPr>
          <w:noProof/>
        </w:rPr>
        <w:fldChar w:fldCharType="begin"/>
      </w:r>
      <w:r>
        <w:rPr>
          <w:noProof/>
        </w:rPr>
        <w:instrText xml:space="preserve"> PAGEREF _Toc391972962 \h </w:instrText>
      </w:r>
      <w:r>
        <w:rPr>
          <w:noProof/>
        </w:rPr>
      </w:r>
      <w:r>
        <w:rPr>
          <w:noProof/>
        </w:rPr>
        <w:fldChar w:fldCharType="separate"/>
      </w:r>
      <w:r>
        <w:rPr>
          <w:noProof/>
        </w:rPr>
        <w:t>44</w:t>
      </w:r>
      <w:r>
        <w:rPr>
          <w:noProof/>
        </w:rPr>
        <w:fldChar w:fldCharType="end"/>
      </w:r>
    </w:p>
    <w:p w:rsidR="000C6913" w:rsidRDefault="000C6913">
      <w:pPr>
        <w:pStyle w:val="TableofFigures"/>
        <w:rPr>
          <w:rFonts w:eastAsiaTheme="minorEastAsia" w:cstheme="minorBidi"/>
          <w:noProof/>
          <w:sz w:val="22"/>
          <w:szCs w:val="22"/>
        </w:rPr>
      </w:pPr>
      <w:r>
        <w:rPr>
          <w:noProof/>
        </w:rPr>
        <w:t>4.12</w:t>
      </w:r>
      <w:r>
        <w:rPr>
          <w:rFonts w:eastAsiaTheme="minorEastAsia" w:cstheme="minorBidi"/>
          <w:noProof/>
          <w:sz w:val="22"/>
          <w:szCs w:val="22"/>
        </w:rPr>
        <w:tab/>
      </w:r>
      <w:r>
        <w:rPr>
          <w:noProof/>
        </w:rPr>
        <w:t>Number of people (aged 18 years and over) with a mobile only</w:t>
      </w:r>
      <w:r>
        <w:rPr>
          <w:noProof/>
        </w:rPr>
        <w:tab/>
      </w:r>
      <w:r>
        <w:rPr>
          <w:noProof/>
        </w:rPr>
        <w:fldChar w:fldCharType="begin"/>
      </w:r>
      <w:r>
        <w:rPr>
          <w:noProof/>
        </w:rPr>
        <w:instrText xml:space="preserve"> PAGEREF _Toc391972963 \h </w:instrText>
      </w:r>
      <w:r>
        <w:rPr>
          <w:noProof/>
        </w:rPr>
      </w:r>
      <w:r>
        <w:rPr>
          <w:noProof/>
        </w:rPr>
        <w:fldChar w:fldCharType="separate"/>
      </w:r>
      <w:r>
        <w:rPr>
          <w:noProof/>
        </w:rPr>
        <w:t>45</w:t>
      </w:r>
      <w:r>
        <w:rPr>
          <w:noProof/>
        </w:rPr>
        <w:fldChar w:fldCharType="end"/>
      </w:r>
    </w:p>
    <w:p w:rsidR="000C6913" w:rsidRDefault="000C6913">
      <w:pPr>
        <w:pStyle w:val="TableofFigures"/>
        <w:rPr>
          <w:rFonts w:eastAsiaTheme="minorEastAsia" w:cstheme="minorBidi"/>
          <w:noProof/>
          <w:sz w:val="22"/>
          <w:szCs w:val="22"/>
        </w:rPr>
      </w:pPr>
      <w:r>
        <w:rPr>
          <w:noProof/>
        </w:rPr>
        <w:t>4.13</w:t>
      </w:r>
      <w:r>
        <w:rPr>
          <w:rFonts w:eastAsiaTheme="minorEastAsia" w:cstheme="minorBidi"/>
          <w:noProof/>
          <w:sz w:val="22"/>
          <w:szCs w:val="22"/>
        </w:rPr>
        <w:tab/>
      </w:r>
      <w:r>
        <w:rPr>
          <w:noProof/>
        </w:rPr>
        <w:t>Voice call minutes</w:t>
      </w:r>
      <w:r>
        <w:rPr>
          <w:noProof/>
        </w:rPr>
        <w:tab/>
      </w:r>
      <w:r>
        <w:rPr>
          <w:noProof/>
        </w:rPr>
        <w:fldChar w:fldCharType="begin"/>
      </w:r>
      <w:r>
        <w:rPr>
          <w:noProof/>
        </w:rPr>
        <w:instrText xml:space="preserve"> PAGEREF _Toc391972964 \h </w:instrText>
      </w:r>
      <w:r>
        <w:rPr>
          <w:noProof/>
        </w:rPr>
      </w:r>
      <w:r>
        <w:rPr>
          <w:noProof/>
        </w:rPr>
        <w:fldChar w:fldCharType="separate"/>
      </w:r>
      <w:r>
        <w:rPr>
          <w:noProof/>
        </w:rPr>
        <w:t>45</w:t>
      </w:r>
      <w:r>
        <w:rPr>
          <w:noProof/>
        </w:rPr>
        <w:fldChar w:fldCharType="end"/>
      </w:r>
    </w:p>
    <w:p w:rsidR="000C6913" w:rsidRDefault="000C6913">
      <w:pPr>
        <w:pStyle w:val="TableofFigures"/>
        <w:rPr>
          <w:rFonts w:eastAsiaTheme="minorEastAsia" w:cstheme="minorBidi"/>
          <w:noProof/>
          <w:sz w:val="22"/>
          <w:szCs w:val="22"/>
        </w:rPr>
      </w:pPr>
      <w:r>
        <w:rPr>
          <w:noProof/>
        </w:rPr>
        <w:t>4.14</w:t>
      </w:r>
      <w:r>
        <w:rPr>
          <w:rFonts w:eastAsiaTheme="minorEastAsia" w:cstheme="minorBidi"/>
          <w:noProof/>
          <w:sz w:val="22"/>
          <w:szCs w:val="22"/>
        </w:rPr>
        <w:tab/>
      </w:r>
      <w:r>
        <w:rPr>
          <w:noProof/>
        </w:rPr>
        <w:t>Most used communication service — share of population</w:t>
      </w:r>
      <w:r>
        <w:rPr>
          <w:noProof/>
        </w:rPr>
        <w:tab/>
      </w:r>
      <w:r>
        <w:rPr>
          <w:noProof/>
        </w:rPr>
        <w:fldChar w:fldCharType="begin"/>
      </w:r>
      <w:r>
        <w:rPr>
          <w:noProof/>
        </w:rPr>
        <w:instrText xml:space="preserve"> PAGEREF _Toc391972965 \h </w:instrText>
      </w:r>
      <w:r>
        <w:rPr>
          <w:noProof/>
        </w:rPr>
      </w:r>
      <w:r>
        <w:rPr>
          <w:noProof/>
        </w:rPr>
        <w:fldChar w:fldCharType="separate"/>
      </w:r>
      <w:r>
        <w:rPr>
          <w:noProof/>
        </w:rPr>
        <w:t>46</w:t>
      </w:r>
      <w:r>
        <w:rPr>
          <w:noProof/>
        </w:rPr>
        <w:fldChar w:fldCharType="end"/>
      </w:r>
    </w:p>
    <w:p w:rsidR="000C6913" w:rsidRDefault="000C6913">
      <w:pPr>
        <w:pStyle w:val="TableofFigures"/>
        <w:rPr>
          <w:rFonts w:eastAsiaTheme="minorEastAsia" w:cstheme="minorBidi"/>
          <w:noProof/>
          <w:sz w:val="22"/>
          <w:szCs w:val="22"/>
        </w:rPr>
      </w:pPr>
      <w:r>
        <w:rPr>
          <w:noProof/>
        </w:rPr>
        <w:t>4.15</w:t>
      </w:r>
      <w:r>
        <w:rPr>
          <w:rFonts w:eastAsiaTheme="minorEastAsia" w:cstheme="minorBidi"/>
          <w:noProof/>
          <w:sz w:val="22"/>
          <w:szCs w:val="22"/>
        </w:rPr>
        <w:tab/>
      </w:r>
      <w:r>
        <w:rPr>
          <w:noProof/>
        </w:rPr>
        <w:t>Take-up of VoIP services by household consumers</w:t>
      </w:r>
      <w:r>
        <w:rPr>
          <w:noProof/>
        </w:rPr>
        <w:tab/>
      </w:r>
      <w:r>
        <w:rPr>
          <w:noProof/>
        </w:rPr>
        <w:fldChar w:fldCharType="begin"/>
      </w:r>
      <w:r>
        <w:rPr>
          <w:noProof/>
        </w:rPr>
        <w:instrText xml:space="preserve"> PAGEREF _Toc391972966 \h </w:instrText>
      </w:r>
      <w:r>
        <w:rPr>
          <w:noProof/>
        </w:rPr>
      </w:r>
      <w:r>
        <w:rPr>
          <w:noProof/>
        </w:rPr>
        <w:fldChar w:fldCharType="separate"/>
      </w:r>
      <w:r>
        <w:rPr>
          <w:noProof/>
        </w:rPr>
        <w:t>46</w:t>
      </w:r>
      <w:r>
        <w:rPr>
          <w:noProof/>
        </w:rPr>
        <w:fldChar w:fldCharType="end"/>
      </w:r>
    </w:p>
    <w:p w:rsidR="000C6913" w:rsidRDefault="000C6913">
      <w:pPr>
        <w:pStyle w:val="TableofFigures"/>
        <w:rPr>
          <w:rFonts w:eastAsiaTheme="minorEastAsia" w:cstheme="minorBidi"/>
          <w:noProof/>
          <w:sz w:val="22"/>
          <w:szCs w:val="22"/>
        </w:rPr>
      </w:pPr>
      <w:r>
        <w:rPr>
          <w:noProof/>
        </w:rPr>
        <w:t>4.16</w:t>
      </w:r>
      <w:r>
        <w:rPr>
          <w:rFonts w:eastAsiaTheme="minorEastAsia" w:cstheme="minorBidi"/>
          <w:noProof/>
          <w:sz w:val="22"/>
          <w:szCs w:val="22"/>
        </w:rPr>
        <w:tab/>
      </w:r>
      <w:r>
        <w:rPr>
          <w:noProof/>
        </w:rPr>
        <w:t>Characteristics of Voice over Internet Protocol services</w:t>
      </w:r>
      <w:r>
        <w:rPr>
          <w:noProof/>
        </w:rPr>
        <w:tab/>
      </w:r>
      <w:r>
        <w:rPr>
          <w:noProof/>
        </w:rPr>
        <w:fldChar w:fldCharType="begin"/>
      </w:r>
      <w:r>
        <w:rPr>
          <w:noProof/>
        </w:rPr>
        <w:instrText xml:space="preserve"> PAGEREF _Toc391972967 \h </w:instrText>
      </w:r>
      <w:r>
        <w:rPr>
          <w:noProof/>
        </w:rPr>
      </w:r>
      <w:r>
        <w:rPr>
          <w:noProof/>
        </w:rPr>
        <w:fldChar w:fldCharType="separate"/>
      </w:r>
      <w:r>
        <w:rPr>
          <w:noProof/>
        </w:rPr>
        <w:t>47</w:t>
      </w:r>
      <w:r>
        <w:rPr>
          <w:noProof/>
        </w:rPr>
        <w:fldChar w:fldCharType="end"/>
      </w:r>
    </w:p>
    <w:p w:rsidR="000C6913" w:rsidRDefault="000C6913">
      <w:pPr>
        <w:pStyle w:val="TableofFigures"/>
        <w:rPr>
          <w:rFonts w:eastAsiaTheme="minorEastAsia" w:cstheme="minorBidi"/>
          <w:noProof/>
          <w:sz w:val="22"/>
          <w:szCs w:val="22"/>
        </w:rPr>
      </w:pPr>
      <w:r>
        <w:rPr>
          <w:noProof/>
        </w:rPr>
        <w:t>5.1</w:t>
      </w:r>
      <w:r>
        <w:rPr>
          <w:rFonts w:eastAsiaTheme="minorEastAsia" w:cstheme="minorBidi"/>
          <w:noProof/>
          <w:sz w:val="22"/>
          <w:szCs w:val="22"/>
        </w:rPr>
        <w:tab/>
      </w:r>
      <w:r>
        <w:rPr>
          <w:noProof/>
        </w:rPr>
        <w:t>Remoteness adjustments for budgets</w:t>
      </w:r>
      <w:r>
        <w:rPr>
          <w:noProof/>
        </w:rPr>
        <w:tab/>
      </w:r>
      <w:r>
        <w:rPr>
          <w:noProof/>
        </w:rPr>
        <w:fldChar w:fldCharType="begin"/>
      </w:r>
      <w:r>
        <w:rPr>
          <w:noProof/>
        </w:rPr>
        <w:instrText xml:space="preserve"> PAGEREF _Toc391972968 \h </w:instrText>
      </w:r>
      <w:r>
        <w:rPr>
          <w:noProof/>
        </w:rPr>
      </w:r>
      <w:r>
        <w:rPr>
          <w:noProof/>
        </w:rPr>
        <w:fldChar w:fldCharType="separate"/>
      </w:r>
      <w:r>
        <w:rPr>
          <w:noProof/>
        </w:rPr>
        <w:t>54</w:t>
      </w:r>
      <w:r>
        <w:rPr>
          <w:noProof/>
        </w:rPr>
        <w:fldChar w:fldCharType="end"/>
      </w:r>
    </w:p>
    <w:p w:rsidR="000C6913" w:rsidRDefault="000C6913">
      <w:pPr>
        <w:pStyle w:val="TableofFigures"/>
        <w:rPr>
          <w:rFonts w:eastAsiaTheme="minorEastAsia" w:cstheme="minorBidi"/>
          <w:noProof/>
          <w:sz w:val="22"/>
          <w:szCs w:val="22"/>
        </w:rPr>
      </w:pPr>
      <w:r>
        <w:rPr>
          <w:noProof/>
        </w:rPr>
        <w:t>5.2</w:t>
      </w:r>
      <w:r>
        <w:rPr>
          <w:rFonts w:eastAsiaTheme="minorEastAsia" w:cstheme="minorBidi"/>
          <w:noProof/>
          <w:sz w:val="22"/>
          <w:szCs w:val="22"/>
        </w:rPr>
        <w:tab/>
      </w:r>
      <w:r>
        <w:rPr>
          <w:noProof/>
        </w:rPr>
        <w:t>Housing costs by remoteness class 2006</w:t>
      </w:r>
      <w:r>
        <w:rPr>
          <w:noProof/>
        </w:rPr>
        <w:tab/>
      </w:r>
      <w:r>
        <w:rPr>
          <w:noProof/>
        </w:rPr>
        <w:fldChar w:fldCharType="begin"/>
      </w:r>
      <w:r>
        <w:rPr>
          <w:noProof/>
        </w:rPr>
        <w:instrText xml:space="preserve"> PAGEREF _Toc391972969 \h </w:instrText>
      </w:r>
      <w:r>
        <w:rPr>
          <w:noProof/>
        </w:rPr>
      </w:r>
      <w:r>
        <w:rPr>
          <w:noProof/>
        </w:rPr>
        <w:fldChar w:fldCharType="separate"/>
      </w:r>
      <w:r>
        <w:rPr>
          <w:noProof/>
        </w:rPr>
        <w:t>54</w:t>
      </w:r>
      <w:r>
        <w:rPr>
          <w:noProof/>
        </w:rPr>
        <w:fldChar w:fldCharType="end"/>
      </w:r>
    </w:p>
    <w:p w:rsidR="000C6913" w:rsidRDefault="000C6913">
      <w:pPr>
        <w:pStyle w:val="TableofFigures"/>
        <w:rPr>
          <w:rFonts w:eastAsiaTheme="minorEastAsia" w:cstheme="minorBidi"/>
          <w:noProof/>
          <w:sz w:val="22"/>
          <w:szCs w:val="22"/>
        </w:rPr>
      </w:pPr>
      <w:r>
        <w:rPr>
          <w:noProof/>
        </w:rPr>
        <w:t>6.1</w:t>
      </w:r>
      <w:r>
        <w:rPr>
          <w:rFonts w:eastAsiaTheme="minorEastAsia" w:cstheme="minorBidi"/>
          <w:noProof/>
          <w:sz w:val="22"/>
          <w:szCs w:val="22"/>
        </w:rPr>
        <w:tab/>
      </w:r>
      <w:r>
        <w:rPr>
          <w:noProof/>
        </w:rPr>
        <w:t>Assessment of options in limiting use of market power</w:t>
      </w:r>
      <w:r>
        <w:rPr>
          <w:noProof/>
        </w:rPr>
        <w:tab/>
      </w:r>
      <w:r>
        <w:rPr>
          <w:noProof/>
        </w:rPr>
        <w:fldChar w:fldCharType="begin"/>
      </w:r>
      <w:r>
        <w:rPr>
          <w:noProof/>
        </w:rPr>
        <w:instrText xml:space="preserve"> PAGEREF _Toc391972970 \h </w:instrText>
      </w:r>
      <w:r>
        <w:rPr>
          <w:noProof/>
        </w:rPr>
      </w:r>
      <w:r>
        <w:rPr>
          <w:noProof/>
        </w:rPr>
        <w:fldChar w:fldCharType="separate"/>
      </w:r>
      <w:r>
        <w:rPr>
          <w:noProof/>
        </w:rPr>
        <w:t>57</w:t>
      </w:r>
      <w:r>
        <w:rPr>
          <w:noProof/>
        </w:rPr>
        <w:fldChar w:fldCharType="end"/>
      </w:r>
    </w:p>
    <w:p w:rsidR="000C6913" w:rsidRDefault="000C6913">
      <w:pPr>
        <w:pStyle w:val="TableofFigures"/>
        <w:rPr>
          <w:rFonts w:eastAsiaTheme="minorEastAsia" w:cstheme="minorBidi"/>
          <w:noProof/>
          <w:sz w:val="22"/>
          <w:szCs w:val="22"/>
        </w:rPr>
      </w:pPr>
      <w:r>
        <w:rPr>
          <w:noProof/>
        </w:rPr>
        <w:t>6.2</w:t>
      </w:r>
      <w:r>
        <w:rPr>
          <w:rFonts w:eastAsiaTheme="minorEastAsia" w:cstheme="minorBidi"/>
          <w:noProof/>
          <w:sz w:val="22"/>
          <w:szCs w:val="22"/>
        </w:rPr>
        <w:tab/>
      </w:r>
      <w:r>
        <w:rPr>
          <w:noProof/>
        </w:rPr>
        <w:t>Assessment of options in meeting social equity objectives</w:t>
      </w:r>
      <w:r>
        <w:rPr>
          <w:noProof/>
        </w:rPr>
        <w:tab/>
      </w:r>
      <w:r>
        <w:rPr>
          <w:noProof/>
        </w:rPr>
        <w:fldChar w:fldCharType="begin"/>
      </w:r>
      <w:r>
        <w:rPr>
          <w:noProof/>
        </w:rPr>
        <w:instrText xml:space="preserve"> PAGEREF _Toc391972971 \h </w:instrText>
      </w:r>
      <w:r>
        <w:rPr>
          <w:noProof/>
        </w:rPr>
      </w:r>
      <w:r>
        <w:rPr>
          <w:noProof/>
        </w:rPr>
        <w:fldChar w:fldCharType="separate"/>
      </w:r>
      <w:r>
        <w:rPr>
          <w:noProof/>
        </w:rPr>
        <w:t>58</w:t>
      </w:r>
      <w:r>
        <w:rPr>
          <w:noProof/>
        </w:rPr>
        <w:fldChar w:fldCharType="end"/>
      </w:r>
    </w:p>
    <w:p w:rsidR="000C6913" w:rsidRDefault="000C6913">
      <w:pPr>
        <w:pStyle w:val="TableofFigures"/>
        <w:rPr>
          <w:rFonts w:eastAsiaTheme="minorEastAsia" w:cstheme="minorBidi"/>
          <w:noProof/>
          <w:sz w:val="22"/>
          <w:szCs w:val="22"/>
        </w:rPr>
      </w:pPr>
      <w:r>
        <w:rPr>
          <w:noProof/>
        </w:rPr>
        <w:t>6.3</w:t>
      </w:r>
      <w:r>
        <w:rPr>
          <w:rFonts w:eastAsiaTheme="minorEastAsia" w:cstheme="minorBidi"/>
          <w:noProof/>
          <w:sz w:val="22"/>
          <w:szCs w:val="22"/>
        </w:rPr>
        <w:tab/>
      </w:r>
      <w:r>
        <w:rPr>
          <w:noProof/>
        </w:rPr>
        <w:t>Telstra’s carrier conditions</w:t>
      </w:r>
      <w:r>
        <w:rPr>
          <w:noProof/>
        </w:rPr>
        <w:tab/>
      </w:r>
      <w:r>
        <w:rPr>
          <w:noProof/>
        </w:rPr>
        <w:fldChar w:fldCharType="begin"/>
      </w:r>
      <w:r>
        <w:rPr>
          <w:noProof/>
        </w:rPr>
        <w:instrText xml:space="preserve"> PAGEREF _Toc391972972 \h </w:instrText>
      </w:r>
      <w:r>
        <w:rPr>
          <w:noProof/>
        </w:rPr>
      </w:r>
      <w:r>
        <w:rPr>
          <w:noProof/>
        </w:rPr>
        <w:fldChar w:fldCharType="separate"/>
      </w:r>
      <w:r>
        <w:rPr>
          <w:noProof/>
        </w:rPr>
        <w:t>60</w:t>
      </w:r>
      <w:r>
        <w:rPr>
          <w:noProof/>
        </w:rPr>
        <w:fldChar w:fldCharType="end"/>
      </w:r>
    </w:p>
    <w:p w:rsidR="000C6913" w:rsidRDefault="000C6913">
      <w:pPr>
        <w:pStyle w:val="TableofFigures"/>
        <w:rPr>
          <w:rFonts w:eastAsiaTheme="minorEastAsia" w:cstheme="minorBidi"/>
          <w:noProof/>
          <w:sz w:val="22"/>
          <w:szCs w:val="22"/>
        </w:rPr>
      </w:pPr>
      <w:r>
        <w:rPr>
          <w:noProof/>
        </w:rPr>
        <w:t>6.4</w:t>
      </w:r>
      <w:r>
        <w:rPr>
          <w:rFonts w:eastAsiaTheme="minorEastAsia" w:cstheme="minorBidi"/>
          <w:noProof/>
          <w:sz w:val="22"/>
          <w:szCs w:val="22"/>
        </w:rPr>
        <w:tab/>
      </w:r>
      <w:r>
        <w:rPr>
          <w:noProof/>
        </w:rPr>
        <w:t>Differences in telecommunication use by household income</w:t>
      </w:r>
      <w:r>
        <w:rPr>
          <w:noProof/>
        </w:rPr>
        <w:tab/>
      </w:r>
      <w:r>
        <w:rPr>
          <w:noProof/>
        </w:rPr>
        <w:fldChar w:fldCharType="begin"/>
      </w:r>
      <w:r>
        <w:rPr>
          <w:noProof/>
        </w:rPr>
        <w:instrText xml:space="preserve"> PAGEREF _Toc391972973 \h </w:instrText>
      </w:r>
      <w:r>
        <w:rPr>
          <w:noProof/>
        </w:rPr>
      </w:r>
      <w:r>
        <w:rPr>
          <w:noProof/>
        </w:rPr>
        <w:fldChar w:fldCharType="separate"/>
      </w:r>
      <w:r>
        <w:rPr>
          <w:noProof/>
        </w:rPr>
        <w:t>61</w:t>
      </w:r>
      <w:r>
        <w:rPr>
          <w:noProof/>
        </w:rPr>
        <w:fldChar w:fldCharType="end"/>
      </w:r>
    </w:p>
    <w:p w:rsidR="000C6913" w:rsidRDefault="000C6913">
      <w:pPr>
        <w:pStyle w:val="TableofFigures"/>
        <w:rPr>
          <w:rFonts w:eastAsiaTheme="minorEastAsia" w:cstheme="minorBidi"/>
          <w:noProof/>
          <w:sz w:val="22"/>
          <w:szCs w:val="22"/>
        </w:rPr>
      </w:pPr>
      <w:r>
        <w:rPr>
          <w:noProof/>
        </w:rPr>
        <w:t>6.5</w:t>
      </w:r>
      <w:r>
        <w:rPr>
          <w:rFonts w:eastAsiaTheme="minorEastAsia" w:cstheme="minorBidi"/>
          <w:noProof/>
          <w:sz w:val="22"/>
          <w:szCs w:val="22"/>
        </w:rPr>
        <w:tab/>
      </w:r>
      <w:r>
        <w:rPr>
          <w:noProof/>
        </w:rPr>
        <w:t>Differences in welfare by regions of Australia</w:t>
      </w:r>
      <w:r>
        <w:rPr>
          <w:noProof/>
        </w:rPr>
        <w:tab/>
      </w:r>
      <w:r>
        <w:rPr>
          <w:noProof/>
        </w:rPr>
        <w:fldChar w:fldCharType="begin"/>
      </w:r>
      <w:r>
        <w:rPr>
          <w:noProof/>
        </w:rPr>
        <w:instrText xml:space="preserve"> PAGEREF _Toc391972974 \h </w:instrText>
      </w:r>
      <w:r>
        <w:rPr>
          <w:noProof/>
        </w:rPr>
      </w:r>
      <w:r>
        <w:rPr>
          <w:noProof/>
        </w:rPr>
        <w:fldChar w:fldCharType="separate"/>
      </w:r>
      <w:r>
        <w:rPr>
          <w:noProof/>
        </w:rPr>
        <w:t>62</w:t>
      </w:r>
      <w:r>
        <w:rPr>
          <w:noProof/>
        </w:rPr>
        <w:fldChar w:fldCharType="end"/>
      </w:r>
    </w:p>
    <w:p w:rsidR="000C6913" w:rsidRDefault="000C6913">
      <w:pPr>
        <w:pStyle w:val="TableofFigures"/>
        <w:rPr>
          <w:rFonts w:eastAsiaTheme="minorEastAsia" w:cstheme="minorBidi"/>
          <w:noProof/>
          <w:sz w:val="22"/>
          <w:szCs w:val="22"/>
        </w:rPr>
      </w:pPr>
      <w:r>
        <w:rPr>
          <w:noProof/>
        </w:rPr>
        <w:t>6.6</w:t>
      </w:r>
      <w:r>
        <w:rPr>
          <w:rFonts w:eastAsiaTheme="minorEastAsia" w:cstheme="minorBidi"/>
          <w:noProof/>
          <w:sz w:val="22"/>
          <w:szCs w:val="22"/>
        </w:rPr>
        <w:tab/>
      </w:r>
      <w:r>
        <w:rPr>
          <w:noProof/>
        </w:rPr>
        <w:t>Targeted arrangements for NSW electricity consumers</w:t>
      </w:r>
      <w:r>
        <w:rPr>
          <w:noProof/>
        </w:rPr>
        <w:tab/>
      </w:r>
      <w:r>
        <w:rPr>
          <w:noProof/>
        </w:rPr>
        <w:fldChar w:fldCharType="begin"/>
      </w:r>
      <w:r>
        <w:rPr>
          <w:noProof/>
        </w:rPr>
        <w:instrText xml:space="preserve"> PAGEREF _Toc391972975 \h </w:instrText>
      </w:r>
      <w:r>
        <w:rPr>
          <w:noProof/>
        </w:rPr>
      </w:r>
      <w:r>
        <w:rPr>
          <w:noProof/>
        </w:rPr>
        <w:fldChar w:fldCharType="separate"/>
      </w:r>
      <w:r>
        <w:rPr>
          <w:noProof/>
        </w:rPr>
        <w:t>64</w:t>
      </w:r>
      <w:r>
        <w:rPr>
          <w:noProof/>
        </w:rPr>
        <w:fldChar w:fldCharType="end"/>
      </w:r>
    </w:p>
    <w:p w:rsidR="000C6913" w:rsidRDefault="000C6913">
      <w:pPr>
        <w:pStyle w:val="TableofFigures"/>
        <w:rPr>
          <w:rFonts w:eastAsiaTheme="minorEastAsia" w:cstheme="minorBidi"/>
          <w:noProof/>
          <w:sz w:val="22"/>
          <w:szCs w:val="22"/>
        </w:rPr>
      </w:pPr>
      <w:r>
        <w:rPr>
          <w:noProof/>
        </w:rPr>
        <w:t>7.1</w:t>
      </w:r>
      <w:r>
        <w:rPr>
          <w:rFonts w:eastAsiaTheme="minorEastAsia" w:cstheme="minorBidi"/>
          <w:noProof/>
          <w:sz w:val="22"/>
          <w:szCs w:val="22"/>
        </w:rPr>
        <w:tab/>
      </w:r>
      <w:r>
        <w:rPr>
          <w:noProof/>
        </w:rPr>
        <w:t>Types of costs and benefits</w:t>
      </w:r>
      <w:r>
        <w:rPr>
          <w:noProof/>
        </w:rPr>
        <w:tab/>
      </w:r>
      <w:r>
        <w:rPr>
          <w:noProof/>
        </w:rPr>
        <w:fldChar w:fldCharType="begin"/>
      </w:r>
      <w:r>
        <w:rPr>
          <w:noProof/>
        </w:rPr>
        <w:instrText xml:space="preserve"> PAGEREF _Toc391972976 \h </w:instrText>
      </w:r>
      <w:r>
        <w:rPr>
          <w:noProof/>
        </w:rPr>
      </w:r>
      <w:r>
        <w:rPr>
          <w:noProof/>
        </w:rPr>
        <w:fldChar w:fldCharType="separate"/>
      </w:r>
      <w:r>
        <w:rPr>
          <w:noProof/>
        </w:rPr>
        <w:t>66</w:t>
      </w:r>
      <w:r>
        <w:rPr>
          <w:noProof/>
        </w:rPr>
        <w:fldChar w:fldCharType="end"/>
      </w:r>
    </w:p>
    <w:p w:rsidR="000C6913" w:rsidRDefault="000C6913">
      <w:pPr>
        <w:pStyle w:val="TableofFigures"/>
        <w:rPr>
          <w:rFonts w:eastAsiaTheme="minorEastAsia" w:cstheme="minorBidi"/>
          <w:noProof/>
          <w:sz w:val="22"/>
          <w:szCs w:val="22"/>
        </w:rPr>
      </w:pPr>
      <w:r>
        <w:rPr>
          <w:noProof/>
        </w:rPr>
        <w:t>7.2</w:t>
      </w:r>
      <w:r>
        <w:rPr>
          <w:rFonts w:eastAsiaTheme="minorEastAsia" w:cstheme="minorBidi"/>
          <w:noProof/>
          <w:sz w:val="22"/>
          <w:szCs w:val="22"/>
        </w:rPr>
        <w:tab/>
      </w:r>
      <w:r>
        <w:rPr>
          <w:noProof/>
        </w:rPr>
        <w:t>Example of net impacts of a binding retail price control</w:t>
      </w:r>
      <w:r>
        <w:rPr>
          <w:noProof/>
        </w:rPr>
        <w:tab/>
      </w:r>
      <w:r>
        <w:rPr>
          <w:noProof/>
        </w:rPr>
        <w:fldChar w:fldCharType="begin"/>
      </w:r>
      <w:r>
        <w:rPr>
          <w:noProof/>
        </w:rPr>
        <w:instrText xml:space="preserve"> PAGEREF _Toc391972977 \h </w:instrText>
      </w:r>
      <w:r>
        <w:rPr>
          <w:noProof/>
        </w:rPr>
      </w:r>
      <w:r>
        <w:rPr>
          <w:noProof/>
        </w:rPr>
        <w:fldChar w:fldCharType="separate"/>
      </w:r>
      <w:r>
        <w:rPr>
          <w:noProof/>
        </w:rPr>
        <w:t>68</w:t>
      </w:r>
      <w:r>
        <w:rPr>
          <w:noProof/>
        </w:rPr>
        <w:fldChar w:fldCharType="end"/>
      </w:r>
    </w:p>
    <w:p w:rsidR="000C6913" w:rsidRDefault="000C6913">
      <w:pPr>
        <w:pStyle w:val="TableofFigures"/>
        <w:rPr>
          <w:rFonts w:eastAsiaTheme="minorEastAsia" w:cstheme="minorBidi"/>
          <w:noProof/>
          <w:sz w:val="22"/>
          <w:szCs w:val="22"/>
        </w:rPr>
      </w:pPr>
      <w:r>
        <w:rPr>
          <w:noProof/>
        </w:rPr>
        <w:t>7.3</w:t>
      </w:r>
      <w:r>
        <w:rPr>
          <w:rFonts w:eastAsiaTheme="minorEastAsia" w:cstheme="minorBidi"/>
          <w:noProof/>
          <w:sz w:val="22"/>
          <w:szCs w:val="22"/>
        </w:rPr>
        <w:tab/>
      </w:r>
      <w:r>
        <w:rPr>
          <w:noProof/>
        </w:rPr>
        <w:t>Administrative costs (Government and Telstra)</w:t>
      </w:r>
      <w:r>
        <w:rPr>
          <w:noProof/>
        </w:rPr>
        <w:tab/>
      </w:r>
      <w:r>
        <w:rPr>
          <w:noProof/>
        </w:rPr>
        <w:fldChar w:fldCharType="begin"/>
      </w:r>
      <w:r>
        <w:rPr>
          <w:noProof/>
        </w:rPr>
        <w:instrText xml:space="preserve"> PAGEREF _Toc391972978 \h </w:instrText>
      </w:r>
      <w:r>
        <w:rPr>
          <w:noProof/>
        </w:rPr>
      </w:r>
      <w:r>
        <w:rPr>
          <w:noProof/>
        </w:rPr>
        <w:fldChar w:fldCharType="separate"/>
      </w:r>
      <w:r>
        <w:rPr>
          <w:noProof/>
        </w:rPr>
        <w:t>69</w:t>
      </w:r>
      <w:r>
        <w:rPr>
          <w:noProof/>
        </w:rPr>
        <w:fldChar w:fldCharType="end"/>
      </w:r>
    </w:p>
    <w:p w:rsidR="000C6913" w:rsidRDefault="000C6913">
      <w:pPr>
        <w:pStyle w:val="TableofFigures"/>
        <w:rPr>
          <w:rFonts w:eastAsiaTheme="minorEastAsia" w:cstheme="minorBidi"/>
          <w:noProof/>
          <w:sz w:val="22"/>
          <w:szCs w:val="22"/>
        </w:rPr>
      </w:pPr>
      <w:r>
        <w:rPr>
          <w:noProof/>
        </w:rPr>
        <w:t>7.4</w:t>
      </w:r>
      <w:r>
        <w:rPr>
          <w:rFonts w:eastAsiaTheme="minorEastAsia" w:cstheme="minorBidi"/>
          <w:noProof/>
          <w:sz w:val="22"/>
          <w:szCs w:val="22"/>
        </w:rPr>
        <w:tab/>
      </w:r>
      <w:r>
        <w:rPr>
          <w:noProof/>
        </w:rPr>
        <w:t>Impact of price controls — competitive retail market</w:t>
      </w:r>
      <w:r>
        <w:rPr>
          <w:noProof/>
        </w:rPr>
        <w:tab/>
      </w:r>
      <w:r>
        <w:rPr>
          <w:noProof/>
        </w:rPr>
        <w:fldChar w:fldCharType="begin"/>
      </w:r>
      <w:r>
        <w:rPr>
          <w:noProof/>
        </w:rPr>
        <w:instrText xml:space="preserve"> PAGEREF _Toc391972979 \h </w:instrText>
      </w:r>
      <w:r>
        <w:rPr>
          <w:noProof/>
        </w:rPr>
      </w:r>
      <w:r>
        <w:rPr>
          <w:noProof/>
        </w:rPr>
        <w:fldChar w:fldCharType="separate"/>
      </w:r>
      <w:r>
        <w:rPr>
          <w:noProof/>
        </w:rPr>
        <w:t>70</w:t>
      </w:r>
      <w:r>
        <w:rPr>
          <w:noProof/>
        </w:rPr>
        <w:fldChar w:fldCharType="end"/>
      </w:r>
    </w:p>
    <w:p w:rsidR="000C6913" w:rsidRDefault="000C6913">
      <w:pPr>
        <w:pStyle w:val="TableofFigures"/>
        <w:rPr>
          <w:rFonts w:eastAsiaTheme="minorEastAsia" w:cstheme="minorBidi"/>
          <w:noProof/>
          <w:sz w:val="22"/>
          <w:szCs w:val="22"/>
        </w:rPr>
      </w:pPr>
      <w:r>
        <w:rPr>
          <w:noProof/>
        </w:rPr>
        <w:t>7.5</w:t>
      </w:r>
      <w:r>
        <w:rPr>
          <w:rFonts w:eastAsiaTheme="minorEastAsia" w:cstheme="minorBidi"/>
          <w:noProof/>
          <w:sz w:val="22"/>
          <w:szCs w:val="22"/>
        </w:rPr>
        <w:tab/>
      </w:r>
      <w:r>
        <w:rPr>
          <w:noProof/>
        </w:rPr>
        <w:t>Impact of price controls — uncompetitive retail market</w:t>
      </w:r>
      <w:r>
        <w:rPr>
          <w:noProof/>
        </w:rPr>
        <w:tab/>
      </w:r>
      <w:r>
        <w:rPr>
          <w:noProof/>
        </w:rPr>
        <w:fldChar w:fldCharType="begin"/>
      </w:r>
      <w:r>
        <w:rPr>
          <w:noProof/>
        </w:rPr>
        <w:instrText xml:space="preserve"> PAGEREF _Toc391972980 \h </w:instrText>
      </w:r>
      <w:r>
        <w:rPr>
          <w:noProof/>
        </w:rPr>
      </w:r>
      <w:r>
        <w:rPr>
          <w:noProof/>
        </w:rPr>
        <w:fldChar w:fldCharType="separate"/>
      </w:r>
      <w:r>
        <w:rPr>
          <w:noProof/>
        </w:rPr>
        <w:t>70</w:t>
      </w:r>
      <w:r>
        <w:rPr>
          <w:noProof/>
        </w:rPr>
        <w:fldChar w:fldCharType="end"/>
      </w:r>
    </w:p>
    <w:p w:rsidR="000C6913" w:rsidRDefault="000C6913">
      <w:pPr>
        <w:pStyle w:val="TableofFigures"/>
        <w:rPr>
          <w:rFonts w:eastAsiaTheme="minorEastAsia" w:cstheme="minorBidi"/>
          <w:noProof/>
          <w:sz w:val="22"/>
          <w:szCs w:val="22"/>
        </w:rPr>
      </w:pPr>
      <w:r>
        <w:rPr>
          <w:noProof/>
        </w:rPr>
        <w:t>7.6</w:t>
      </w:r>
      <w:r>
        <w:rPr>
          <w:rFonts w:eastAsiaTheme="minorEastAsia" w:cstheme="minorBidi"/>
          <w:noProof/>
          <w:sz w:val="22"/>
          <w:szCs w:val="22"/>
        </w:rPr>
        <w:tab/>
      </w:r>
      <w:r>
        <w:rPr>
          <w:noProof/>
        </w:rPr>
        <w:t>Comparison of Telstra and Optus pricing for home phone bundles</w:t>
      </w:r>
      <w:r>
        <w:rPr>
          <w:noProof/>
        </w:rPr>
        <w:tab/>
      </w:r>
      <w:r>
        <w:rPr>
          <w:noProof/>
        </w:rPr>
        <w:fldChar w:fldCharType="begin"/>
      </w:r>
      <w:r>
        <w:rPr>
          <w:noProof/>
        </w:rPr>
        <w:instrText xml:space="preserve"> PAGEREF _Toc391972981 \h </w:instrText>
      </w:r>
      <w:r>
        <w:rPr>
          <w:noProof/>
        </w:rPr>
      </w:r>
      <w:r>
        <w:rPr>
          <w:noProof/>
        </w:rPr>
        <w:fldChar w:fldCharType="separate"/>
      </w:r>
      <w:r>
        <w:rPr>
          <w:noProof/>
        </w:rPr>
        <w:t>72</w:t>
      </w:r>
      <w:r>
        <w:rPr>
          <w:noProof/>
        </w:rPr>
        <w:fldChar w:fldCharType="end"/>
      </w:r>
    </w:p>
    <w:p w:rsidR="000C6913" w:rsidRDefault="000C6913">
      <w:pPr>
        <w:pStyle w:val="TableofFigures"/>
        <w:rPr>
          <w:rFonts w:eastAsiaTheme="minorEastAsia" w:cstheme="minorBidi"/>
          <w:noProof/>
          <w:sz w:val="22"/>
          <w:szCs w:val="22"/>
        </w:rPr>
      </w:pPr>
      <w:r>
        <w:rPr>
          <w:noProof/>
        </w:rPr>
        <w:t>7.7</w:t>
      </w:r>
      <w:r>
        <w:rPr>
          <w:rFonts w:eastAsiaTheme="minorEastAsia" w:cstheme="minorBidi"/>
          <w:noProof/>
          <w:sz w:val="22"/>
          <w:szCs w:val="22"/>
        </w:rPr>
        <w:tab/>
      </w:r>
      <w:r>
        <w:rPr>
          <w:noProof/>
        </w:rPr>
        <w:t>Examples of price monitoring in Australia</w:t>
      </w:r>
      <w:r>
        <w:rPr>
          <w:noProof/>
        </w:rPr>
        <w:tab/>
      </w:r>
      <w:r>
        <w:rPr>
          <w:noProof/>
        </w:rPr>
        <w:fldChar w:fldCharType="begin"/>
      </w:r>
      <w:r>
        <w:rPr>
          <w:noProof/>
        </w:rPr>
        <w:instrText xml:space="preserve"> PAGEREF _Toc391972982 \h </w:instrText>
      </w:r>
      <w:r>
        <w:rPr>
          <w:noProof/>
        </w:rPr>
      </w:r>
      <w:r>
        <w:rPr>
          <w:noProof/>
        </w:rPr>
        <w:fldChar w:fldCharType="separate"/>
      </w:r>
      <w:r>
        <w:rPr>
          <w:noProof/>
        </w:rPr>
        <w:t>74</w:t>
      </w:r>
      <w:r>
        <w:rPr>
          <w:noProof/>
        </w:rPr>
        <w:fldChar w:fldCharType="end"/>
      </w:r>
    </w:p>
    <w:p w:rsidR="000C6913" w:rsidRDefault="000C6913">
      <w:pPr>
        <w:pStyle w:val="TableofFigures"/>
        <w:rPr>
          <w:rFonts w:eastAsiaTheme="minorEastAsia" w:cstheme="minorBidi"/>
          <w:noProof/>
          <w:sz w:val="22"/>
          <w:szCs w:val="22"/>
        </w:rPr>
      </w:pPr>
      <w:r>
        <w:rPr>
          <w:noProof/>
        </w:rPr>
        <w:t>7.8</w:t>
      </w:r>
      <w:r>
        <w:rPr>
          <w:rFonts w:eastAsiaTheme="minorEastAsia" w:cstheme="minorBidi"/>
          <w:noProof/>
          <w:sz w:val="22"/>
          <w:szCs w:val="22"/>
        </w:rPr>
        <w:tab/>
      </w:r>
      <w:r>
        <w:rPr>
          <w:noProof/>
        </w:rPr>
        <w:t>Costs and benefits of options to address market power</w:t>
      </w:r>
      <w:r>
        <w:rPr>
          <w:noProof/>
        </w:rPr>
        <w:tab/>
      </w:r>
      <w:r>
        <w:rPr>
          <w:noProof/>
        </w:rPr>
        <w:fldChar w:fldCharType="begin"/>
      </w:r>
      <w:r>
        <w:rPr>
          <w:noProof/>
        </w:rPr>
        <w:instrText xml:space="preserve"> PAGEREF _Toc391972983 \h </w:instrText>
      </w:r>
      <w:r>
        <w:rPr>
          <w:noProof/>
        </w:rPr>
      </w:r>
      <w:r>
        <w:rPr>
          <w:noProof/>
        </w:rPr>
        <w:fldChar w:fldCharType="separate"/>
      </w:r>
      <w:r>
        <w:rPr>
          <w:noProof/>
        </w:rPr>
        <w:t>75</w:t>
      </w:r>
      <w:r>
        <w:rPr>
          <w:noProof/>
        </w:rPr>
        <w:fldChar w:fldCharType="end"/>
      </w:r>
    </w:p>
    <w:p w:rsidR="000C6913" w:rsidRDefault="000C6913">
      <w:pPr>
        <w:pStyle w:val="TableofFigures"/>
        <w:rPr>
          <w:rFonts w:eastAsiaTheme="minorEastAsia" w:cstheme="minorBidi"/>
          <w:noProof/>
          <w:sz w:val="22"/>
          <w:szCs w:val="22"/>
        </w:rPr>
      </w:pPr>
      <w:r>
        <w:rPr>
          <w:noProof/>
        </w:rPr>
        <w:t>A.1</w:t>
      </w:r>
      <w:r>
        <w:rPr>
          <w:rFonts w:eastAsiaTheme="minorEastAsia" w:cstheme="minorBidi"/>
          <w:noProof/>
          <w:sz w:val="22"/>
          <w:szCs w:val="22"/>
        </w:rPr>
        <w:tab/>
      </w:r>
      <w:r>
        <w:rPr>
          <w:noProof/>
        </w:rPr>
        <w:t>Telecommunication services declared by the ACCC</w:t>
      </w:r>
      <w:r>
        <w:rPr>
          <w:noProof/>
        </w:rPr>
        <w:tab/>
      </w:r>
      <w:r>
        <w:rPr>
          <w:noProof/>
        </w:rPr>
        <w:fldChar w:fldCharType="begin"/>
      </w:r>
      <w:r>
        <w:rPr>
          <w:noProof/>
        </w:rPr>
        <w:instrText xml:space="preserve"> PAGEREF _Toc391972984 \h </w:instrText>
      </w:r>
      <w:r>
        <w:rPr>
          <w:noProof/>
        </w:rPr>
      </w:r>
      <w:r>
        <w:rPr>
          <w:noProof/>
        </w:rPr>
        <w:fldChar w:fldCharType="separate"/>
      </w:r>
      <w:r>
        <w:rPr>
          <w:noProof/>
        </w:rPr>
        <w:t>76</w:t>
      </w:r>
      <w:r>
        <w:rPr>
          <w:noProof/>
        </w:rPr>
        <w:fldChar w:fldCharType="end"/>
      </w:r>
    </w:p>
    <w:p w:rsidR="000C6913" w:rsidRDefault="000C6913">
      <w:pPr>
        <w:pStyle w:val="TableofFigures"/>
        <w:rPr>
          <w:rFonts w:eastAsiaTheme="minorEastAsia" w:cstheme="minorBidi"/>
          <w:noProof/>
          <w:sz w:val="22"/>
          <w:szCs w:val="22"/>
        </w:rPr>
      </w:pPr>
      <w:r>
        <w:rPr>
          <w:noProof/>
        </w:rPr>
        <w:t>B.1</w:t>
      </w:r>
      <w:r>
        <w:rPr>
          <w:rFonts w:eastAsiaTheme="minorEastAsia" w:cstheme="minorBidi"/>
          <w:noProof/>
          <w:sz w:val="22"/>
          <w:szCs w:val="22"/>
        </w:rPr>
        <w:tab/>
      </w:r>
      <w:r>
        <w:rPr>
          <w:noProof/>
        </w:rPr>
        <w:t>Overview of IEN modelled in ACM</w:t>
      </w:r>
      <w:r>
        <w:rPr>
          <w:noProof/>
        </w:rPr>
        <w:tab/>
      </w:r>
      <w:r>
        <w:rPr>
          <w:noProof/>
        </w:rPr>
        <w:fldChar w:fldCharType="begin"/>
      </w:r>
      <w:r>
        <w:rPr>
          <w:noProof/>
        </w:rPr>
        <w:instrText xml:space="preserve"> PAGEREF _Toc391972985 \h </w:instrText>
      </w:r>
      <w:r>
        <w:rPr>
          <w:noProof/>
        </w:rPr>
      </w:r>
      <w:r>
        <w:rPr>
          <w:noProof/>
        </w:rPr>
        <w:fldChar w:fldCharType="separate"/>
      </w:r>
      <w:r>
        <w:rPr>
          <w:noProof/>
        </w:rPr>
        <w:t>81</w:t>
      </w:r>
      <w:r>
        <w:rPr>
          <w:noProof/>
        </w:rPr>
        <w:fldChar w:fldCharType="end"/>
      </w:r>
    </w:p>
    <w:p w:rsidR="000C6913" w:rsidRDefault="000C6913">
      <w:pPr>
        <w:pStyle w:val="TableofFigures"/>
        <w:rPr>
          <w:rFonts w:eastAsiaTheme="minorEastAsia" w:cstheme="minorBidi"/>
          <w:noProof/>
          <w:sz w:val="22"/>
          <w:szCs w:val="22"/>
        </w:rPr>
      </w:pPr>
      <w:r>
        <w:rPr>
          <w:noProof/>
        </w:rPr>
        <w:t>B.2</w:t>
      </w:r>
      <w:r>
        <w:rPr>
          <w:rFonts w:eastAsiaTheme="minorEastAsia" w:cstheme="minorBidi"/>
          <w:noProof/>
          <w:sz w:val="22"/>
          <w:szCs w:val="22"/>
        </w:rPr>
        <w:tab/>
      </w:r>
      <w:r>
        <w:rPr>
          <w:noProof/>
        </w:rPr>
        <w:t>Summary of ULLS Band definitions used by the ACCC</w:t>
      </w:r>
      <w:r>
        <w:rPr>
          <w:noProof/>
        </w:rPr>
        <w:tab/>
      </w:r>
      <w:r>
        <w:rPr>
          <w:noProof/>
        </w:rPr>
        <w:fldChar w:fldCharType="begin"/>
      </w:r>
      <w:r>
        <w:rPr>
          <w:noProof/>
        </w:rPr>
        <w:instrText xml:space="preserve"> PAGEREF _Toc391972986 \h </w:instrText>
      </w:r>
      <w:r>
        <w:rPr>
          <w:noProof/>
        </w:rPr>
      </w:r>
      <w:r>
        <w:rPr>
          <w:noProof/>
        </w:rPr>
        <w:fldChar w:fldCharType="separate"/>
      </w:r>
      <w:r>
        <w:rPr>
          <w:noProof/>
        </w:rPr>
        <w:t>82</w:t>
      </w:r>
      <w:r>
        <w:rPr>
          <w:noProof/>
        </w:rPr>
        <w:fldChar w:fldCharType="end"/>
      </w:r>
    </w:p>
    <w:p w:rsidR="000C6913" w:rsidRDefault="000C6913">
      <w:pPr>
        <w:pStyle w:val="TableofFigures"/>
        <w:rPr>
          <w:rFonts w:eastAsiaTheme="minorEastAsia" w:cstheme="minorBidi"/>
          <w:noProof/>
          <w:sz w:val="22"/>
          <w:szCs w:val="22"/>
        </w:rPr>
      </w:pPr>
      <w:r>
        <w:rPr>
          <w:noProof/>
        </w:rPr>
        <w:t>B.3</w:t>
      </w:r>
      <w:r>
        <w:rPr>
          <w:rFonts w:eastAsiaTheme="minorEastAsia" w:cstheme="minorBidi"/>
          <w:noProof/>
          <w:sz w:val="22"/>
          <w:szCs w:val="22"/>
        </w:rPr>
        <w:tab/>
      </w:r>
      <w:r>
        <w:rPr>
          <w:noProof/>
        </w:rPr>
        <w:t>Average costs of ULLS by geotype and by ULLS Band</w:t>
      </w:r>
      <w:r>
        <w:rPr>
          <w:noProof/>
        </w:rPr>
        <w:tab/>
      </w:r>
      <w:r>
        <w:rPr>
          <w:noProof/>
        </w:rPr>
        <w:fldChar w:fldCharType="begin"/>
      </w:r>
      <w:r>
        <w:rPr>
          <w:noProof/>
        </w:rPr>
        <w:instrText xml:space="preserve"> PAGEREF _Toc391972987 \h </w:instrText>
      </w:r>
      <w:r>
        <w:rPr>
          <w:noProof/>
        </w:rPr>
      </w:r>
      <w:r>
        <w:rPr>
          <w:noProof/>
        </w:rPr>
        <w:fldChar w:fldCharType="separate"/>
      </w:r>
      <w:r>
        <w:rPr>
          <w:noProof/>
        </w:rPr>
        <w:t>83</w:t>
      </w:r>
      <w:r>
        <w:rPr>
          <w:noProof/>
        </w:rPr>
        <w:fldChar w:fldCharType="end"/>
      </w:r>
    </w:p>
    <w:p w:rsidR="000C6913" w:rsidRDefault="000C6913">
      <w:pPr>
        <w:pStyle w:val="TableofFigures"/>
        <w:rPr>
          <w:rFonts w:eastAsiaTheme="minorEastAsia" w:cstheme="minorBidi"/>
          <w:noProof/>
          <w:sz w:val="22"/>
          <w:szCs w:val="22"/>
        </w:rPr>
      </w:pPr>
      <w:r>
        <w:rPr>
          <w:noProof/>
        </w:rPr>
        <w:t>B.4</w:t>
      </w:r>
      <w:r>
        <w:rPr>
          <w:rFonts w:eastAsiaTheme="minorEastAsia" w:cstheme="minorBidi"/>
          <w:noProof/>
          <w:sz w:val="22"/>
          <w:szCs w:val="22"/>
        </w:rPr>
        <w:tab/>
      </w:r>
      <w:r>
        <w:rPr>
          <w:noProof/>
        </w:rPr>
        <w:t>Comparison of average costs per line by ULLS Band for different types of access line</w:t>
      </w:r>
      <w:r>
        <w:rPr>
          <w:noProof/>
        </w:rPr>
        <w:tab/>
      </w:r>
      <w:r>
        <w:rPr>
          <w:noProof/>
        </w:rPr>
        <w:fldChar w:fldCharType="begin"/>
      </w:r>
      <w:r>
        <w:rPr>
          <w:noProof/>
        </w:rPr>
        <w:instrText xml:space="preserve"> PAGEREF _Toc391972988 \h </w:instrText>
      </w:r>
      <w:r>
        <w:rPr>
          <w:noProof/>
        </w:rPr>
      </w:r>
      <w:r>
        <w:rPr>
          <w:noProof/>
        </w:rPr>
        <w:fldChar w:fldCharType="separate"/>
      </w:r>
      <w:r>
        <w:rPr>
          <w:noProof/>
        </w:rPr>
        <w:t>83</w:t>
      </w:r>
      <w:r>
        <w:rPr>
          <w:noProof/>
        </w:rPr>
        <w:fldChar w:fldCharType="end"/>
      </w:r>
    </w:p>
    <w:p w:rsidR="000C6913" w:rsidRDefault="000C6913">
      <w:pPr>
        <w:pStyle w:val="TableofFigures"/>
        <w:rPr>
          <w:rFonts w:eastAsiaTheme="minorEastAsia" w:cstheme="minorBidi"/>
          <w:noProof/>
          <w:sz w:val="22"/>
          <w:szCs w:val="22"/>
        </w:rPr>
      </w:pPr>
      <w:r>
        <w:rPr>
          <w:noProof/>
        </w:rPr>
        <w:t>B.5</w:t>
      </w:r>
      <w:r>
        <w:rPr>
          <w:rFonts w:eastAsiaTheme="minorEastAsia" w:cstheme="minorBidi"/>
          <w:noProof/>
          <w:sz w:val="22"/>
          <w:szCs w:val="22"/>
        </w:rPr>
        <w:tab/>
      </w:r>
      <w:r>
        <w:rPr>
          <w:noProof/>
        </w:rPr>
        <w:t>Overview of the LE and PoC nodes we have considered in our analysis of the ACM</w:t>
      </w:r>
      <w:r>
        <w:rPr>
          <w:noProof/>
        </w:rPr>
        <w:tab/>
      </w:r>
      <w:r>
        <w:rPr>
          <w:noProof/>
        </w:rPr>
        <w:fldChar w:fldCharType="begin"/>
      </w:r>
      <w:r>
        <w:rPr>
          <w:noProof/>
        </w:rPr>
        <w:instrText xml:space="preserve"> PAGEREF _Toc391972989 \h </w:instrText>
      </w:r>
      <w:r>
        <w:rPr>
          <w:noProof/>
        </w:rPr>
      </w:r>
      <w:r>
        <w:rPr>
          <w:noProof/>
        </w:rPr>
        <w:fldChar w:fldCharType="separate"/>
      </w:r>
      <w:r>
        <w:rPr>
          <w:noProof/>
        </w:rPr>
        <w:t>85</w:t>
      </w:r>
      <w:r>
        <w:rPr>
          <w:noProof/>
        </w:rPr>
        <w:fldChar w:fldCharType="end"/>
      </w:r>
    </w:p>
    <w:p w:rsidR="000C6913" w:rsidRDefault="000C6913">
      <w:pPr>
        <w:pStyle w:val="TableofFigures"/>
        <w:rPr>
          <w:rFonts w:eastAsiaTheme="minorEastAsia" w:cstheme="minorBidi"/>
          <w:noProof/>
          <w:sz w:val="22"/>
          <w:szCs w:val="22"/>
        </w:rPr>
      </w:pPr>
      <w:r>
        <w:rPr>
          <w:noProof/>
        </w:rPr>
        <w:t>B.6</w:t>
      </w:r>
      <w:r>
        <w:rPr>
          <w:rFonts w:eastAsiaTheme="minorEastAsia" w:cstheme="minorBidi"/>
          <w:noProof/>
          <w:sz w:val="22"/>
          <w:szCs w:val="22"/>
        </w:rPr>
        <w:tab/>
      </w:r>
      <w:r>
        <w:rPr>
          <w:noProof/>
        </w:rPr>
        <w:t>Comparison of partial incremental unit costs by ULLS Band (AUD)</w:t>
      </w:r>
      <w:r>
        <w:rPr>
          <w:noProof/>
        </w:rPr>
        <w:tab/>
      </w:r>
      <w:r>
        <w:rPr>
          <w:noProof/>
        </w:rPr>
        <w:fldChar w:fldCharType="begin"/>
      </w:r>
      <w:r>
        <w:rPr>
          <w:noProof/>
        </w:rPr>
        <w:instrText xml:space="preserve"> PAGEREF _Toc391972990 \h </w:instrText>
      </w:r>
      <w:r>
        <w:rPr>
          <w:noProof/>
        </w:rPr>
      </w:r>
      <w:r>
        <w:rPr>
          <w:noProof/>
        </w:rPr>
        <w:fldChar w:fldCharType="separate"/>
      </w:r>
      <w:r>
        <w:rPr>
          <w:noProof/>
        </w:rPr>
        <w:t>85</w:t>
      </w:r>
      <w:r>
        <w:rPr>
          <w:noProof/>
        </w:rPr>
        <w:fldChar w:fldCharType="end"/>
      </w:r>
    </w:p>
    <w:p w:rsidR="00675046" w:rsidRPr="00C778E9" w:rsidRDefault="00675046" w:rsidP="00675046">
      <w:pPr>
        <w:pStyle w:val="TableofFigures"/>
      </w:pPr>
      <w:r>
        <w:rPr>
          <w:b/>
          <w:bCs/>
          <w:noProof/>
          <w:lang w:val="en-US"/>
        </w:rPr>
        <w:fldChar w:fldCharType="end"/>
      </w:r>
    </w:p>
    <w:p w:rsidR="00675046" w:rsidRDefault="00675046" w:rsidP="00675046">
      <w:pPr>
        <w:pStyle w:val="Heading1"/>
        <w:numPr>
          <w:ilvl w:val="0"/>
          <w:numId w:val="0"/>
        </w:numPr>
        <w:sectPr w:rsidR="00675046" w:rsidSect="00675046">
          <w:headerReference w:type="even" r:id="rId18"/>
          <w:headerReference w:type="default" r:id="rId19"/>
          <w:footerReference w:type="even" r:id="rId20"/>
          <w:footerReference w:type="default" r:id="rId21"/>
          <w:pgSz w:w="11906" w:h="16838" w:code="9"/>
          <w:pgMar w:top="2268" w:right="1701" w:bottom="1418" w:left="2268" w:header="680" w:footer="680" w:gutter="0"/>
          <w:pgNumType w:fmt="lowerRoman"/>
          <w:cols w:space="708"/>
          <w:docGrid w:linePitch="360"/>
        </w:sectPr>
      </w:pPr>
    </w:p>
    <w:p w:rsidR="00EA009D" w:rsidRDefault="00EA009D" w:rsidP="00402F0D">
      <w:pPr>
        <w:pStyle w:val="Heading1"/>
        <w:numPr>
          <w:ilvl w:val="0"/>
          <w:numId w:val="0"/>
        </w:numPr>
        <w:ind w:left="567" w:hanging="567"/>
      </w:pPr>
      <w:bookmarkStart w:id="0" w:name="_Toc388269610"/>
      <w:r>
        <w:lastRenderedPageBreak/>
        <w:t>Executive summary</w:t>
      </w:r>
      <w:bookmarkEnd w:id="0"/>
    </w:p>
    <w:p w:rsidR="00EA009D" w:rsidRDefault="00EA009D" w:rsidP="00EA009D">
      <w:pPr>
        <w:pStyle w:val="ListBullet"/>
        <w:numPr>
          <w:ilvl w:val="0"/>
          <w:numId w:val="0"/>
        </w:numPr>
      </w:pPr>
      <w:r>
        <w:t>Retail p</w:t>
      </w:r>
      <w:r w:rsidRPr="007A7526">
        <w:t>rice controls currently apply to Telstra through the Telstra Carrier Charges — Price Control Arrangements, Notification and Disallowance Determination No. 1 of 2005 (</w:t>
      </w:r>
      <w:r>
        <w:t>The Determination). The D</w:t>
      </w:r>
      <w:r w:rsidRPr="007A7526">
        <w:t xml:space="preserve">etermination </w:t>
      </w:r>
      <w:proofErr w:type="gramStart"/>
      <w:r w:rsidRPr="007A7526">
        <w:t>was amended</w:t>
      </w:r>
      <w:proofErr w:type="gramEnd"/>
      <w:r w:rsidRPr="007A7526">
        <w:t xml:space="preserve"> in 2010 and 2012. </w:t>
      </w:r>
    </w:p>
    <w:p w:rsidR="00EA009D" w:rsidRDefault="00EA009D" w:rsidP="00EA009D">
      <w:pPr>
        <w:pStyle w:val="BodyText"/>
      </w:pPr>
      <w:r>
        <w:t>The current price controls include price caps and other constraints and restrictions imposed on the price of selected services offered by Telstra at the retail level.</w:t>
      </w:r>
    </w:p>
    <w:p w:rsidR="00EA009D" w:rsidRDefault="00EA009D" w:rsidP="00EA009D">
      <w:pPr>
        <w:pStyle w:val="BodyText"/>
      </w:pPr>
      <w:r>
        <w:t xml:space="preserve">The CIE </w:t>
      </w:r>
      <w:proofErr w:type="gramStart"/>
      <w:r>
        <w:t>has been asked</w:t>
      </w:r>
      <w:proofErr w:type="gramEnd"/>
      <w:r>
        <w:t xml:space="preserve"> to provide a review of the impacts of retail price controls from 2012 to 2014, to assess the state of competition in retail telecommunications services and </w:t>
      </w:r>
      <w:r w:rsidR="00983D0E">
        <w:t xml:space="preserve">to </w:t>
      </w:r>
      <w:r>
        <w:t xml:space="preserve">consider future </w:t>
      </w:r>
      <w:r w:rsidR="00447D60">
        <w:t xml:space="preserve">regulatory </w:t>
      </w:r>
      <w:r>
        <w:t>options to address market failures and achieve social equity objectives in the provision of telecommunications services.</w:t>
      </w:r>
      <w:r w:rsidR="00983D0E">
        <w:t xml:space="preserve"> The economic analysis of retail price controls set out in this report is an input into two processes </w:t>
      </w:r>
      <w:proofErr w:type="gramStart"/>
      <w:r w:rsidR="00983D0E">
        <w:t>being undertaken</w:t>
      </w:r>
      <w:proofErr w:type="gramEnd"/>
      <w:r w:rsidR="00983D0E">
        <w:t xml:space="preserve"> by t</w:t>
      </w:r>
      <w:r w:rsidR="008513AE">
        <w:t>he Department of Communications:</w:t>
      </w:r>
    </w:p>
    <w:p w:rsidR="00983D0E" w:rsidRDefault="00983D0E" w:rsidP="00983D0E">
      <w:pPr>
        <w:pStyle w:val="ListBullet"/>
      </w:pPr>
      <w:r>
        <w:t>a post-implementation review (PIR) of the amendments to the Principal Determination, as made by the Amendment Determination; and</w:t>
      </w:r>
    </w:p>
    <w:p w:rsidR="00983D0E" w:rsidRDefault="00983D0E" w:rsidP="00983D0E">
      <w:pPr>
        <w:pStyle w:val="ListBullet"/>
      </w:pPr>
      <w:proofErr w:type="gramStart"/>
      <w:r>
        <w:t>the</w:t>
      </w:r>
      <w:proofErr w:type="gramEnd"/>
      <w:r>
        <w:t xml:space="preserve"> provision of advice to government on the future of price control arrangements.</w:t>
      </w:r>
    </w:p>
    <w:p w:rsidR="00EA009D" w:rsidRDefault="00EA009D" w:rsidP="00EA009D">
      <w:pPr>
        <w:pStyle w:val="Heading2"/>
      </w:pPr>
      <w:bookmarkStart w:id="1" w:name="_Toc388269611"/>
      <w:r>
        <w:t>Assessment of retail price controls from 2012 to 2014</w:t>
      </w:r>
      <w:bookmarkEnd w:id="1"/>
    </w:p>
    <w:p w:rsidR="00EA009D" w:rsidRDefault="00EA009D" w:rsidP="00EA009D">
      <w:pPr>
        <w:pStyle w:val="BodyText"/>
      </w:pPr>
      <w:r>
        <w:t>The Department of Communications is required to prepare of post implementation review of the 2012 amendment to retail price controls. Our assessment forms an input into this post implementation review.</w:t>
      </w:r>
    </w:p>
    <w:p w:rsidR="00EA009D" w:rsidRDefault="0087161D" w:rsidP="00EA009D">
      <w:pPr>
        <w:pStyle w:val="BodyText"/>
      </w:pPr>
      <w:r>
        <w:t>Our key findings are as follows.</w:t>
      </w:r>
    </w:p>
    <w:p w:rsidR="00983D0E" w:rsidRDefault="00983D0E" w:rsidP="00983D0E">
      <w:pPr>
        <w:pStyle w:val="ListBullet"/>
      </w:pPr>
      <w:r>
        <w:t xml:space="preserve">With the development of a competitive retail market for telecommunications services Retail Price Controls are redundant. </w:t>
      </w:r>
    </w:p>
    <w:p w:rsidR="00EB5D1D" w:rsidRDefault="00EA009D" w:rsidP="00EA009D">
      <w:pPr>
        <w:pStyle w:val="ListBullet"/>
      </w:pPr>
      <w:r>
        <w:t xml:space="preserve">Retail price controls have had no discernible impact on prices charged by Telstra </w:t>
      </w:r>
      <w:r w:rsidR="00447D60">
        <w:t>from</w:t>
      </w:r>
      <w:r>
        <w:t xml:space="preserve"> 2012</w:t>
      </w:r>
      <w:r w:rsidR="00447D60">
        <w:t xml:space="preserve"> to 2014</w:t>
      </w:r>
      <w:r>
        <w:t xml:space="preserve"> — Telstra offers prices below the level required by price controls in all four baskets of services. </w:t>
      </w:r>
      <w:r w:rsidR="00EB5D1D">
        <w:t xml:space="preserve">Its prices are substantially below in basket 1, which contains the majority of services. </w:t>
      </w:r>
    </w:p>
    <w:p w:rsidR="00EA009D" w:rsidRDefault="00EB5D1D" w:rsidP="00EA009D">
      <w:pPr>
        <w:pStyle w:val="ListBullet"/>
      </w:pPr>
      <w:r>
        <w:t>I</w:t>
      </w:r>
      <w:r w:rsidR="00EA009D">
        <w:t xml:space="preserve">t </w:t>
      </w:r>
      <w:r>
        <w:t xml:space="preserve">is </w:t>
      </w:r>
      <w:r w:rsidR="00EA009D">
        <w:t>likely that Telstra would have offered nationally consistent prices in the a</w:t>
      </w:r>
      <w:r>
        <w:t xml:space="preserve">bsence of retail price controls. </w:t>
      </w:r>
      <w:proofErr w:type="gramStart"/>
      <w:r>
        <w:t>All 16 other providers of voice services did not</w:t>
      </w:r>
      <w:proofErr w:type="gramEnd"/>
      <w:r>
        <w:t xml:space="preserve"> have regionally differentiated prices, Telstra does not differentiate regionally where it is allowed to do so, Telstra and other mobile providers do not differentiate prices regionally and there are few examples of regional price differentiation amongst overseas telecommunications companies.</w:t>
      </w:r>
      <w:r w:rsidR="00EA009D">
        <w:t xml:space="preserve"> </w:t>
      </w:r>
    </w:p>
    <w:p w:rsidR="00EB5D1D" w:rsidRDefault="00EB5D1D" w:rsidP="00EB5D1D">
      <w:pPr>
        <w:pStyle w:val="ListBullet"/>
      </w:pPr>
      <w:r>
        <w:t>Retail price controls have imposed a net economic cost because of administration costs for the A</w:t>
      </w:r>
      <w:r w:rsidR="00CF51D4">
        <w:t>CCC and Telstra</w:t>
      </w:r>
      <w:r>
        <w:t>, at around $0.5 million over 2 years.</w:t>
      </w:r>
      <w:r w:rsidR="00983D0E">
        <w:t xml:space="preserve"> Potentially the cost could have been larger, if the level at which retail price controls were set had </w:t>
      </w:r>
      <w:r w:rsidR="00983D0E">
        <w:lastRenderedPageBreak/>
        <w:t>constrained competitive pricing and led to distortions in investment and restrictions on competition.</w:t>
      </w:r>
    </w:p>
    <w:p w:rsidR="00EA009D" w:rsidRDefault="00EA009D" w:rsidP="00EA009D">
      <w:pPr>
        <w:pStyle w:val="ListBullet"/>
      </w:pPr>
      <w:r>
        <w:t xml:space="preserve">The objectives of retail price controls were to address a lack of competitive tension in Telstra’s fixed line service pricing, promote greater social equity in ensuring affordability of access to services, ensuring efficiency benefits are passed on to customers and safeguarding low-income consumers. Because retail price controls have not led to any discernible changes in prices relative to what would have otherwise occurred, retail price controls have played no role in achieving the objectives sought. </w:t>
      </w:r>
      <w:r w:rsidR="00983D0E">
        <w:t xml:space="preserve">This largely reflects that the development of a competitive market rather than government regulation has led to the achievement of these objectives. </w:t>
      </w:r>
      <w:r>
        <w:t xml:space="preserve"> </w:t>
      </w:r>
    </w:p>
    <w:p w:rsidR="00EB5D1D" w:rsidRDefault="00EB5D1D" w:rsidP="00EA009D">
      <w:pPr>
        <w:pStyle w:val="ListBullet"/>
      </w:pPr>
      <w:r>
        <w:t>Retail price controls have not acted as a barrier to competition from 2012 to 2014.</w:t>
      </w:r>
    </w:p>
    <w:p w:rsidR="00EA009D" w:rsidRDefault="00EA009D" w:rsidP="00EA009D">
      <w:pPr>
        <w:pStyle w:val="Heading2"/>
      </w:pPr>
      <w:bookmarkStart w:id="2" w:name="_Toc388269612"/>
      <w:r>
        <w:t xml:space="preserve">Assessment </w:t>
      </w:r>
      <w:r w:rsidR="00EB5D1D">
        <w:t xml:space="preserve">of the </w:t>
      </w:r>
      <w:r>
        <w:t xml:space="preserve">state of competition </w:t>
      </w:r>
      <w:r w:rsidR="00EB5D1D">
        <w:t>in the</w:t>
      </w:r>
      <w:r>
        <w:t xml:space="preserve"> telecommunications market</w:t>
      </w:r>
      <w:bookmarkEnd w:id="2"/>
    </w:p>
    <w:p w:rsidR="00983D0E" w:rsidRDefault="00983D0E" w:rsidP="00983D0E">
      <w:pPr>
        <w:pStyle w:val="BodyText"/>
      </w:pPr>
      <w:r>
        <w:t xml:space="preserve">Over time, alternatives to using fixed line voice services have become increasingly important in the Australian market. More minutes of voice calls </w:t>
      </w:r>
      <w:proofErr w:type="gramStart"/>
      <w:r>
        <w:t>are now made</w:t>
      </w:r>
      <w:proofErr w:type="gramEnd"/>
      <w:r>
        <w:t xml:space="preserve"> on mobile networks than on fixed line networks, the penetration of infrastructure to offer competing services through broadband (combined with regulation of Telstra’s copper loop) and the increased use of wholesale rental of infrastructure from Telstra have all provided some level of competitive constraint on Telstra. However, despite this, Telstra retains the majority of market share in fixed line telecommunications products and has the largest market share in mobile communications.</w:t>
      </w:r>
    </w:p>
    <w:p w:rsidR="00EA009D" w:rsidRDefault="00EA009D" w:rsidP="00EA009D">
      <w:pPr>
        <w:pStyle w:val="BodyText"/>
      </w:pPr>
      <w:r>
        <w:t xml:space="preserve">It is our view that, despite Telstra’s substantial market share, </w:t>
      </w:r>
      <w:r w:rsidR="00174354">
        <w:t xml:space="preserve">there are sufficient constraints around Telstra pricing in the </w:t>
      </w:r>
      <w:r>
        <w:t xml:space="preserve">retail </w:t>
      </w:r>
      <w:r w:rsidR="00983D0E">
        <w:t xml:space="preserve">component of the </w:t>
      </w:r>
      <w:r w:rsidR="00174354">
        <w:t xml:space="preserve">delivery of telecommunications services. This is due to </w:t>
      </w:r>
      <w:r w:rsidR="00983D0E">
        <w:t>a number of factors</w:t>
      </w:r>
      <w:r>
        <w:t>.</w:t>
      </w:r>
    </w:p>
    <w:p w:rsidR="00174354" w:rsidRDefault="00174354" w:rsidP="00174354">
      <w:pPr>
        <w:pStyle w:val="ListBullet"/>
      </w:pPr>
      <w:r>
        <w:t xml:space="preserve">The infrastructure required to provide fixed line voice services is a natural monopoly. However, under the </w:t>
      </w:r>
      <w:r>
        <w:rPr>
          <w:i/>
        </w:rPr>
        <w:t>Competition and Consumer Act 2010</w:t>
      </w:r>
      <w:r>
        <w:t xml:space="preserve"> telecommunications providers may gain access to telecommunications monopoly infrastructure in order to provide a competitive service. </w:t>
      </w:r>
    </w:p>
    <w:p w:rsidR="00174354" w:rsidRDefault="00174354" w:rsidP="00174354">
      <w:pPr>
        <w:pStyle w:val="ListBullet"/>
      </w:pPr>
      <w:r>
        <w:t>There are no economic barriers to entry into the retail component of providing telecommunications services, given regulated access to telecommunications infrastructure.</w:t>
      </w:r>
    </w:p>
    <w:p w:rsidR="00983D0E" w:rsidRPr="00597AC3" w:rsidRDefault="00174354" w:rsidP="00983D0E">
      <w:pPr>
        <w:pStyle w:val="ListBullet"/>
      </w:pPr>
      <w:r>
        <w:t xml:space="preserve">As such, there is a </w:t>
      </w:r>
      <w:r w:rsidR="00983D0E">
        <w:t>su</w:t>
      </w:r>
      <w:r>
        <w:t>fficient competitive constraint</w:t>
      </w:r>
      <w:r w:rsidR="00983D0E">
        <w:t xml:space="preserve"> on Telstra’s retail pricing.</w:t>
      </w:r>
    </w:p>
    <w:p w:rsidR="00451DDC" w:rsidRDefault="00451DDC" w:rsidP="00EA009D">
      <w:pPr>
        <w:pStyle w:val="BodyText"/>
      </w:pPr>
      <w:r>
        <w:t xml:space="preserve">Note that the level of competitive pressure is lower in regional areas. This partly reflects that prices in these areas recover lower margins and hence it is not profitable for entry. </w:t>
      </w:r>
      <w:r w:rsidR="00174354">
        <w:t>T</w:t>
      </w:r>
      <w:r>
        <w:t>here is</w:t>
      </w:r>
      <w:r w:rsidR="00174354">
        <w:t xml:space="preserve"> also</w:t>
      </w:r>
      <w:r>
        <w:t xml:space="preserve"> less of a constraint from competition from mobile services</w:t>
      </w:r>
      <w:r w:rsidR="00174354">
        <w:t>, as Telstra retains a greater market share in regional areas</w:t>
      </w:r>
      <w:r>
        <w:t>.</w:t>
      </w:r>
      <w:r w:rsidR="00341986">
        <w:t xml:space="preserve"> </w:t>
      </w:r>
      <w:r w:rsidR="00AE70C1">
        <w:t xml:space="preserve">However, </w:t>
      </w:r>
      <w:r w:rsidR="00ED1218">
        <w:t xml:space="preserve">it is unlikely that removal of price controls would result in differential pricing from Telstra. The evidence for this is that no service provider currently engages in differential pricing in regional areas, even where the company is free to do so for either fixed line or mobile telecommunications </w:t>
      </w:r>
      <w:r w:rsidR="00304215">
        <w:t xml:space="preserve">voice </w:t>
      </w:r>
      <w:r w:rsidR="00ED1218">
        <w:t xml:space="preserve">services. Where Telstra is able to price on a differential basis, for example in mobile services it does not. As such, consumers in regional area benefit from competition in </w:t>
      </w:r>
      <w:r w:rsidR="00ED1218">
        <w:lastRenderedPageBreak/>
        <w:t xml:space="preserve">metropolitan areas because of national pricing. </w:t>
      </w:r>
      <w:r w:rsidR="00341986">
        <w:t>Telstra has</w:t>
      </w:r>
      <w:r w:rsidR="00ED1218">
        <w:t xml:space="preserve"> also</w:t>
      </w:r>
      <w:r w:rsidR="00341986">
        <w:t xml:space="preserve"> indicated that it is </w:t>
      </w:r>
      <w:r w:rsidR="00ED1218">
        <w:t>commercially rational</w:t>
      </w:r>
      <w:r w:rsidR="00341986">
        <w:t xml:space="preserve"> for it to continue to price on a uniform national basis rather than introduce region specific pricing</w:t>
      </w:r>
      <w:r w:rsidR="00756197">
        <w:t xml:space="preserve">. </w:t>
      </w:r>
      <w:r w:rsidR="00341986">
        <w:t xml:space="preserve"> If </w:t>
      </w:r>
      <w:r w:rsidR="00756197">
        <w:t>Telstra does move away from national pricing and there was a view that this was a concern,</w:t>
      </w:r>
      <w:r w:rsidR="00341986">
        <w:t xml:space="preserve"> it is open to the government to reintroduce price controls to address regional pricing concerns.</w:t>
      </w:r>
    </w:p>
    <w:p w:rsidR="00EA009D" w:rsidRDefault="00EA009D" w:rsidP="00EA009D">
      <w:pPr>
        <w:pStyle w:val="BodyText"/>
      </w:pPr>
      <w:r>
        <w:t>The clearest evidence that Telstra has been constrained in the retail market by competition is that the prices that it charges are well below the prices allowed under retail price controls, particularly for basket 1</w:t>
      </w:r>
      <w:r w:rsidR="00EB5D1D">
        <w:t>, which contains the largest part of revenue from voice services</w:t>
      </w:r>
      <w:r>
        <w:t xml:space="preserve">. </w:t>
      </w:r>
    </w:p>
    <w:p w:rsidR="00EA009D" w:rsidRDefault="00EA009D" w:rsidP="00EA009D">
      <w:pPr>
        <w:pStyle w:val="BodyText"/>
      </w:pPr>
      <w:r>
        <w:t xml:space="preserve">We also note that Telstra retains </w:t>
      </w:r>
      <w:r w:rsidR="00C21F44">
        <w:t>substantial</w:t>
      </w:r>
      <w:r>
        <w:t xml:space="preserve"> market share in markets where it does not have ownership of infrastructure, such as on the National Broadband Network.</w:t>
      </w:r>
      <w:r w:rsidR="00CF51D4">
        <w:t xml:space="preserve"> This also suggests that market share is not necessarily the best indicator of competition.</w:t>
      </w:r>
    </w:p>
    <w:p w:rsidR="00EA009D" w:rsidRDefault="00EA009D" w:rsidP="00EA009D">
      <w:pPr>
        <w:pStyle w:val="Heading2"/>
      </w:pPr>
      <w:bookmarkStart w:id="3" w:name="_Toc388269613"/>
      <w:r>
        <w:t>Assessment of future options for Government intervention</w:t>
      </w:r>
      <w:bookmarkEnd w:id="3"/>
    </w:p>
    <w:p w:rsidR="00EA009D" w:rsidRDefault="00EA009D" w:rsidP="00EA009D">
      <w:pPr>
        <w:pStyle w:val="BodyText"/>
      </w:pPr>
      <w:r>
        <w:t>The key objectives that might underpin Government intervention in retail telecommunications markets are as follows.</w:t>
      </w:r>
    </w:p>
    <w:p w:rsidR="00EA009D" w:rsidRDefault="00EA009D" w:rsidP="00EA009D">
      <w:pPr>
        <w:pStyle w:val="ListNumber"/>
      </w:pPr>
      <w:r>
        <w:t>To constrain the use of market power by Telstra, should it possess such market power — this is a standard market failure problem</w:t>
      </w:r>
    </w:p>
    <w:p w:rsidR="00EA009D" w:rsidRPr="007A5D6D" w:rsidRDefault="00EA009D" w:rsidP="00EA009D">
      <w:pPr>
        <w:pStyle w:val="ListNumber"/>
      </w:pPr>
      <w:r>
        <w:t>To ensure that all households can access telecommunications services sufficient to allow social inclusion and at prices that do not lead to standard of living below a minimum acceptable standard — this is a social equity objective</w:t>
      </w:r>
    </w:p>
    <w:p w:rsidR="00B54414" w:rsidRDefault="00B33706" w:rsidP="00B54414">
      <w:pPr>
        <w:pStyle w:val="KeyPoint"/>
      </w:pPr>
      <w:r>
        <w:t>T</w:t>
      </w:r>
      <w:r w:rsidR="00B54414" w:rsidRPr="00B54414">
        <w:t xml:space="preserve">here is no rationale for government intervention in retail pricing of </w:t>
      </w:r>
      <w:r w:rsidR="00B54414">
        <w:t xml:space="preserve">fixed line </w:t>
      </w:r>
      <w:r w:rsidR="00B54414" w:rsidRPr="00B54414">
        <w:t>voice services on the basis of market power</w:t>
      </w:r>
    </w:p>
    <w:p w:rsidR="009B0CD9" w:rsidRDefault="00EA009D" w:rsidP="00EA009D">
      <w:pPr>
        <w:pStyle w:val="BodyText"/>
      </w:pPr>
      <w:r>
        <w:t xml:space="preserve">Our assessment is that effective wholesale regulation is the most appropriate intervention to </w:t>
      </w:r>
      <w:r w:rsidR="00B33706">
        <w:t>address issues related to market power</w:t>
      </w:r>
      <w:r>
        <w:t xml:space="preserve">. </w:t>
      </w:r>
      <w:r w:rsidR="00420A76">
        <w:t xml:space="preserve">Retail price controls would impose net costs </w:t>
      </w:r>
      <w:r w:rsidR="00B33706">
        <w:t>to the community, reflecting additional</w:t>
      </w:r>
      <w:r>
        <w:t xml:space="preserve"> administrative costs and </w:t>
      </w:r>
      <w:r w:rsidR="00B33706">
        <w:t>potentially</w:t>
      </w:r>
      <w:r>
        <w:t xml:space="preserve"> additional </w:t>
      </w:r>
      <w:r w:rsidR="00B33706">
        <w:t xml:space="preserve">economic </w:t>
      </w:r>
      <w:r>
        <w:t xml:space="preserve">costs depending on the level of price controls. </w:t>
      </w:r>
    </w:p>
    <w:p w:rsidR="009B0CD9" w:rsidRDefault="00EA009D" w:rsidP="009B0CD9">
      <w:pPr>
        <w:pStyle w:val="ListBullet"/>
      </w:pPr>
      <w:r>
        <w:t xml:space="preserve">Over a </w:t>
      </w:r>
      <w:r w:rsidR="00172B01">
        <w:t>five-year</w:t>
      </w:r>
      <w:r>
        <w:t xml:space="preserve"> period, the administrative costs imposed would be around $1 million (discounted to today’s dollars). </w:t>
      </w:r>
    </w:p>
    <w:p w:rsidR="009B0CD9" w:rsidRDefault="00EA009D" w:rsidP="009B0CD9">
      <w:pPr>
        <w:pStyle w:val="ListBullet"/>
      </w:pPr>
      <w:r>
        <w:t>Additional costs could be much higher than this should retail price controls be effective in constraining prices and distort market outcomes to less efficient services or less efficient service providers.</w:t>
      </w:r>
      <w:r w:rsidR="00B97E59">
        <w:t xml:space="preserve"> </w:t>
      </w:r>
    </w:p>
    <w:p w:rsidR="009B0CD9" w:rsidRDefault="00AB11B5" w:rsidP="009B0CD9">
      <w:pPr>
        <w:pStyle w:val="ListBullet2"/>
      </w:pPr>
      <w:r>
        <w:t xml:space="preserve">The amount of the costs imposed would depend on the level of prices that were set. If retail price controls reduced retail prices to </w:t>
      </w:r>
      <w:r w:rsidR="00AC5877">
        <w:t>5</w:t>
      </w:r>
      <w:r>
        <w:t xml:space="preserve"> per cent below cost, then this would impose a net economic cost in the order of </w:t>
      </w:r>
      <w:r w:rsidR="00B97E59">
        <w:t>$</w:t>
      </w:r>
      <w:r w:rsidR="00AC5877">
        <w:t>2 to $4</w:t>
      </w:r>
      <w:r w:rsidR="00B97E59">
        <w:t xml:space="preserve"> million per </w:t>
      </w:r>
      <w:proofErr w:type="gramStart"/>
      <w:r w:rsidR="00B97E59">
        <w:t>year,</w:t>
      </w:r>
      <w:proofErr w:type="gramEnd"/>
      <w:r w:rsidR="00B97E59">
        <w:t xml:space="preserve"> or </w:t>
      </w:r>
      <w:r w:rsidR="00AC5877">
        <w:t xml:space="preserve">in the order of </w:t>
      </w:r>
      <w:r w:rsidR="00B97E59">
        <w:t>$</w:t>
      </w:r>
      <w:r w:rsidR="00AC5877">
        <w:t>1</w:t>
      </w:r>
      <w:r w:rsidR="00B97E59">
        <w:t>0 million over five years.</w:t>
      </w:r>
      <w:r>
        <w:t xml:space="preserve"> </w:t>
      </w:r>
    </w:p>
    <w:p w:rsidR="009B0CD9" w:rsidRDefault="00AB11B5" w:rsidP="009B0CD9">
      <w:pPr>
        <w:pStyle w:val="ListBullet2"/>
      </w:pPr>
      <w:r>
        <w:t xml:space="preserve">The costs would be larger still if price controls led to a decline in service quality or a withdrawal of service. </w:t>
      </w:r>
    </w:p>
    <w:p w:rsidR="00EA009D" w:rsidRDefault="009B0CD9" w:rsidP="009B0CD9">
      <w:pPr>
        <w:pStyle w:val="ListBullet2"/>
      </w:pPr>
      <w:r>
        <w:t xml:space="preserve">If price controls were adjusted in a similar manner as they have been in the past, the likelihood of retail price controls </w:t>
      </w:r>
      <w:proofErr w:type="gramStart"/>
      <w:r>
        <w:t>impacting on</w:t>
      </w:r>
      <w:proofErr w:type="gramEnd"/>
      <w:r>
        <w:t xml:space="preserve"> prices over the next five years is low. This is because prices for the largest set of services (Basket 1) are over 10 per </w:t>
      </w:r>
      <w:r>
        <w:lastRenderedPageBreak/>
        <w:t>cent below the currently allowable level. It would therefore take substantial changes in underlying costs to push the market price above the price control in the short term.</w:t>
      </w:r>
    </w:p>
    <w:p w:rsidR="002E5C43" w:rsidRDefault="00420A76" w:rsidP="00341986">
      <w:pPr>
        <w:pStyle w:val="BodyText"/>
      </w:pPr>
      <w:r w:rsidRPr="00B54414">
        <w:t xml:space="preserve">We have </w:t>
      </w:r>
      <w:r w:rsidR="00B54414" w:rsidRPr="00B54414">
        <w:t xml:space="preserve">also </w:t>
      </w:r>
      <w:r w:rsidRPr="00B54414">
        <w:t xml:space="preserve">considered whether there would be different outcomes in regional </w:t>
      </w:r>
      <w:r w:rsidR="00B54414" w:rsidRPr="00B54414">
        <w:t>versus</w:t>
      </w:r>
      <w:r w:rsidRPr="00B54414">
        <w:t xml:space="preserve"> metropolitan areas if retail price controls </w:t>
      </w:r>
      <w:proofErr w:type="gramStart"/>
      <w:r w:rsidRPr="00B54414">
        <w:t>were removed</w:t>
      </w:r>
      <w:proofErr w:type="gramEnd"/>
      <w:r w:rsidRPr="00B54414">
        <w:t xml:space="preserve">. We consider that it is likely that retail prices are not sufficient to cover costs in many regional and rural areas and that this is a primary reason for lack of entry into these markets. </w:t>
      </w:r>
      <w:r w:rsidR="00B54414" w:rsidRPr="00B54414">
        <w:t>Despite this</w:t>
      </w:r>
      <w:r w:rsidRPr="00B54414">
        <w:t>,</w:t>
      </w:r>
      <w:r w:rsidR="00B54414" w:rsidRPr="00B54414">
        <w:t xml:space="preserve"> the evidence suggests that it is </w:t>
      </w:r>
      <w:r w:rsidRPr="00B54414">
        <w:t xml:space="preserve">likely that Telstra would continue </w:t>
      </w:r>
      <w:r w:rsidR="00B54414" w:rsidRPr="00B54414">
        <w:t>to charge nationally consistent prices. Telstra currently sets nationally consistent prices, even where not required to do so. Other telecommunications companies in Australia and overseas also generally set consistent prices across their areas of operations. If Telstra did move to differentiate pricing by location then this could well align prices more closely to costs, in which case there is not a market failure rationale for government intervention. W</w:t>
      </w:r>
      <w:r w:rsidR="00756197" w:rsidRPr="00B54414">
        <w:t xml:space="preserve">holesale regulation </w:t>
      </w:r>
      <w:r w:rsidR="00B54414" w:rsidRPr="00B54414">
        <w:t xml:space="preserve">would </w:t>
      </w:r>
      <w:r w:rsidR="00756197" w:rsidRPr="00B54414">
        <w:t>allow for entry of competitors if regional prices increase</w:t>
      </w:r>
      <w:r w:rsidR="00B54414" w:rsidRPr="00B54414">
        <w:t>d</w:t>
      </w:r>
      <w:r w:rsidR="00756197" w:rsidRPr="00B54414">
        <w:t xml:space="preserve"> to a level at which entry is commercially viable.</w:t>
      </w:r>
      <w:r w:rsidR="00341986" w:rsidRPr="00B54414">
        <w:t xml:space="preserve"> </w:t>
      </w:r>
    </w:p>
    <w:p w:rsidR="00B54414" w:rsidRDefault="00B54414" w:rsidP="00341986">
      <w:pPr>
        <w:pStyle w:val="BodyText"/>
      </w:pPr>
      <w:r>
        <w:t xml:space="preserve">We have also considered retail price monitoring as an alternative option for addressing </w:t>
      </w:r>
      <w:r w:rsidR="00B33706">
        <w:t>market power</w:t>
      </w:r>
      <w:r>
        <w:t xml:space="preserve">. We also consider that imposing retail price monitoring is likely to impose net costs. </w:t>
      </w:r>
      <w:proofErr w:type="gramStart"/>
      <w:r>
        <w:t>It would impose administrative costs and is unlikely to have any impact on the prices charged for services.</w:t>
      </w:r>
      <w:proofErr w:type="gramEnd"/>
      <w:r>
        <w:t xml:space="preserve"> Retail price monitoring may provide comfort to consumers and, at a political level increase the likelihood of the removal of retail price controls.</w:t>
      </w:r>
    </w:p>
    <w:p w:rsidR="00B54414" w:rsidRPr="00B54414" w:rsidRDefault="00B33706" w:rsidP="00341986">
      <w:pPr>
        <w:pStyle w:val="KeyPoint"/>
      </w:pPr>
      <w:r>
        <w:t>T</w:t>
      </w:r>
      <w:r w:rsidRPr="00B54414">
        <w:t>here is no rationale for government intervention</w:t>
      </w:r>
      <w:r w:rsidR="00172B01">
        <w:t xml:space="preserve"> through price controls</w:t>
      </w:r>
      <w:r w:rsidRPr="00B54414">
        <w:t xml:space="preserve"> in </w:t>
      </w:r>
      <w:r>
        <w:t xml:space="preserve">fixed line </w:t>
      </w:r>
      <w:r w:rsidRPr="00B54414">
        <w:t xml:space="preserve">voice services on the basis of </w:t>
      </w:r>
      <w:r>
        <w:t>social equity</w:t>
      </w:r>
    </w:p>
    <w:p w:rsidR="00EA009D" w:rsidRDefault="00EA009D" w:rsidP="00EA009D">
      <w:pPr>
        <w:pStyle w:val="BodyText"/>
      </w:pPr>
      <w:r>
        <w:t xml:space="preserve">Our assessment is that there is no need for additional Government interventions in the form of retail price controls or additional subsidies on social equity grounds. </w:t>
      </w:r>
    </w:p>
    <w:p w:rsidR="00EA009D" w:rsidRDefault="00B33706" w:rsidP="00EA009D">
      <w:pPr>
        <w:pStyle w:val="ListBullet"/>
      </w:pPr>
      <w:r>
        <w:t>I</w:t>
      </w:r>
      <w:r w:rsidR="00EA009D">
        <w:t>t is most likely that Telstra will maintain similar pricing of telecommunications services across Australia</w:t>
      </w:r>
      <w:r>
        <w:t>, as discussed above</w:t>
      </w:r>
      <w:r w:rsidR="00EA009D">
        <w:t>. In this case, the welfare system redistributes income in order to achi</w:t>
      </w:r>
      <w:r w:rsidR="00451DDC">
        <w:t>eve minimum acceptable standard</w:t>
      </w:r>
      <w:r w:rsidR="00EA009D">
        <w:t xml:space="preserve"> of living and there would be no need for additional telecommunications specific subsidies</w:t>
      </w:r>
      <w:r>
        <w:t>.</w:t>
      </w:r>
      <w:r w:rsidR="00EA009D">
        <w:t xml:space="preserve"> (Note that </w:t>
      </w:r>
      <w:proofErr w:type="spellStart"/>
      <w:r w:rsidR="00EA009D">
        <w:t>Centrelink</w:t>
      </w:r>
      <w:proofErr w:type="spellEnd"/>
      <w:r w:rsidR="00EA009D">
        <w:t xml:space="preserve"> already provides a Telephone Allowance.)</w:t>
      </w:r>
    </w:p>
    <w:p w:rsidR="00EA009D" w:rsidRDefault="00EA009D" w:rsidP="00EA009D">
      <w:pPr>
        <w:pStyle w:val="ListBullet"/>
      </w:pPr>
      <w:r>
        <w:t xml:space="preserve">Should Telstra decide to charge different prices across Australia in order to reflect different costs, we do not view this as a </w:t>
      </w:r>
      <w:r w:rsidR="00451DDC">
        <w:t xml:space="preserve">major </w:t>
      </w:r>
      <w:r>
        <w:t xml:space="preserve">concern. Prices for many essential products (such as food, water, electricity and housing) vary between regional and metropolitan areas. If this does eventuate, targeted subsidies to households that are low-income and in areas with high telecommunications prices would align most closely to social equity objectives. In contrast, retail price controls may provide implicit cross-subsidies that do not reflect </w:t>
      </w:r>
      <w:r w:rsidR="00EB5D1D">
        <w:t>a well-defined social equity objective</w:t>
      </w:r>
      <w:r>
        <w:t>.</w:t>
      </w:r>
    </w:p>
    <w:p w:rsidR="00B33706" w:rsidRDefault="00B33706" w:rsidP="00EA009D">
      <w:pPr>
        <w:pStyle w:val="ListBullet"/>
      </w:pPr>
      <w:r>
        <w:t xml:space="preserve">The additional (minor) retail price control arrangements targeted at social equity objectives </w:t>
      </w:r>
      <w:proofErr w:type="gramStart"/>
      <w:r>
        <w:t>should also be removed</w:t>
      </w:r>
      <w:proofErr w:type="gramEnd"/>
      <w:r>
        <w:t>.</w:t>
      </w:r>
    </w:p>
    <w:p w:rsidR="00B33706" w:rsidRPr="00CB58A4" w:rsidRDefault="00B33706" w:rsidP="00B33706">
      <w:pPr>
        <w:pStyle w:val="ListBullet2"/>
      </w:pPr>
      <w:r w:rsidRPr="00CB58A4">
        <w:t xml:space="preserve">The social equity basis for </w:t>
      </w:r>
      <w:r w:rsidR="00C35DDA" w:rsidRPr="00CB58A4">
        <w:t>limiting line rental prices for schools and charities to that charged for residential is not clear</w:t>
      </w:r>
      <w:r w:rsidRPr="00CB58A4">
        <w:t>. .</w:t>
      </w:r>
      <w:r w:rsidR="00C35DDA" w:rsidRPr="00CB58A4">
        <w:t xml:space="preserve"> </w:t>
      </w:r>
      <w:r w:rsidR="00304215">
        <w:t xml:space="preserve">If this provision is required, a direct subsidy is a more appropriate mechanism for achieving desired price outcomes for schools and charities. </w:t>
      </w:r>
      <w:proofErr w:type="gramStart"/>
      <w:r w:rsidR="00C35DDA" w:rsidRPr="00CB58A4">
        <w:t>Hence</w:t>
      </w:r>
      <w:proofErr w:type="gramEnd"/>
      <w:r w:rsidR="00C35DDA" w:rsidRPr="00CB58A4">
        <w:t xml:space="preserve"> this price control should be removed.</w:t>
      </w:r>
    </w:p>
    <w:p w:rsidR="00B33706" w:rsidRPr="00CB58A4" w:rsidRDefault="00C35DDA" w:rsidP="00B33706">
      <w:pPr>
        <w:pStyle w:val="ListBullet2"/>
      </w:pPr>
      <w:r w:rsidRPr="00CB58A4">
        <w:lastRenderedPageBreak/>
        <w:t xml:space="preserve">The requirement that untimed local calls </w:t>
      </w:r>
      <w:proofErr w:type="gramStart"/>
      <w:r w:rsidRPr="00CB58A4">
        <w:t>are charged</w:t>
      </w:r>
      <w:proofErr w:type="gramEnd"/>
      <w:r w:rsidRPr="00CB58A4">
        <w:t xml:space="preserve"> at a maximum of 22 cents (except for discount plans) is</w:t>
      </w:r>
      <w:r w:rsidR="00B33706" w:rsidRPr="00CB58A4">
        <w:t xml:space="preserve"> not </w:t>
      </w:r>
      <w:r w:rsidR="00EB42DD" w:rsidRPr="00CB58A4">
        <w:t>having any impact on prices</w:t>
      </w:r>
      <w:r w:rsidR="00B33706" w:rsidRPr="00CB58A4">
        <w:t xml:space="preserve">. Currently, Telstra charges 30 cents for discount plans and zero </w:t>
      </w:r>
      <w:r w:rsidRPr="00CB58A4">
        <w:t>for other plans (that is, they are included in a fixed monthly price)</w:t>
      </w:r>
      <w:r w:rsidR="00B33706" w:rsidRPr="00CB58A4">
        <w:t>.</w:t>
      </w:r>
    </w:p>
    <w:p w:rsidR="00304215" w:rsidRDefault="00EB42DD" w:rsidP="00304215">
      <w:pPr>
        <w:pStyle w:val="ListBullet2"/>
        <w:ind w:left="568" w:hanging="284"/>
      </w:pPr>
      <w:r w:rsidRPr="00CB58A4">
        <w:t xml:space="preserve">The requirement that local calls from payphones </w:t>
      </w:r>
      <w:proofErr w:type="gramStart"/>
      <w:r w:rsidRPr="00CB58A4">
        <w:t>should be charged</w:t>
      </w:r>
      <w:proofErr w:type="gramEnd"/>
      <w:r w:rsidR="004F2C9F" w:rsidRPr="00CB58A4">
        <w:t xml:space="preserve"> at a maximum of 50 cents</w:t>
      </w:r>
      <w:r w:rsidR="00CB58A4" w:rsidRPr="00CB58A4">
        <w:t xml:space="preserve"> is not likely to have an impact on prices charged by Telstra</w:t>
      </w:r>
      <w:r w:rsidR="004F2C9F" w:rsidRPr="00CB58A4">
        <w:t>.</w:t>
      </w:r>
      <w:r w:rsidR="00CB58A4" w:rsidRPr="00CB58A4">
        <w:t xml:space="preserve"> Telstra is required to provide payphones through a contract with the Telecommunications Universal Service Management Agency (TUSMA). This arrangement does not set prices, but </w:t>
      </w:r>
      <w:proofErr w:type="gramStart"/>
      <w:r w:rsidR="00CB58A4" w:rsidRPr="00CB58A4">
        <w:t>could be extended</w:t>
      </w:r>
      <w:proofErr w:type="gramEnd"/>
      <w:r w:rsidR="00CB58A4" w:rsidRPr="00CB58A4">
        <w:t xml:space="preserve"> to include prices if required</w:t>
      </w:r>
      <w:r w:rsidR="00172B01">
        <w:t>, although this would require renegotiation of contracts between TUSMA and Telstra</w:t>
      </w:r>
      <w:r w:rsidR="00CB58A4" w:rsidRPr="00CB58A4">
        <w:t>.</w:t>
      </w:r>
    </w:p>
    <w:p w:rsidR="00C35DDA" w:rsidRPr="00CB58A4" w:rsidRDefault="00CB58A4" w:rsidP="00304215">
      <w:pPr>
        <w:pStyle w:val="ListBullet2"/>
        <w:ind w:left="568" w:hanging="284"/>
      </w:pPr>
      <w:r w:rsidRPr="00CB58A4">
        <w:t xml:space="preserve">Telstra is required to provide untimed local calls within (and to adjacent) </w:t>
      </w:r>
      <w:r w:rsidR="00635737">
        <w:t>E</w:t>
      </w:r>
      <w:r w:rsidRPr="00CB58A4">
        <w:t xml:space="preserve">xtended </w:t>
      </w:r>
      <w:r w:rsidR="00635737">
        <w:t>Z</w:t>
      </w:r>
      <w:r w:rsidRPr="00CB58A4">
        <w:t xml:space="preserve">ones in its contract with TUSMA. </w:t>
      </w:r>
      <w:r w:rsidR="00C35DDA" w:rsidRPr="00CB58A4">
        <w:t xml:space="preserve">Telstra would be unlikely to put in place separate pricing arrangements for the small amount of revenue at stake in extended zones. </w:t>
      </w:r>
    </w:p>
    <w:p w:rsidR="00EA009D" w:rsidRPr="00EA009D" w:rsidRDefault="00EA009D" w:rsidP="00304215">
      <w:pPr>
        <w:pStyle w:val="ListBullet2"/>
        <w:numPr>
          <w:ilvl w:val="0"/>
          <w:numId w:val="0"/>
        </w:numPr>
        <w:ind w:left="284"/>
      </w:pPr>
    </w:p>
    <w:p w:rsidR="00675046" w:rsidRPr="00EB5D1D" w:rsidRDefault="00675046" w:rsidP="00392639">
      <w:pPr>
        <w:pStyle w:val="Heading1"/>
        <w:numPr>
          <w:ilvl w:val="0"/>
          <w:numId w:val="43"/>
        </w:numPr>
      </w:pPr>
      <w:bookmarkStart w:id="4" w:name="_Toc388269614"/>
      <w:r w:rsidRPr="00EB5D1D">
        <w:lastRenderedPageBreak/>
        <w:t>Background</w:t>
      </w:r>
      <w:bookmarkEnd w:id="4"/>
    </w:p>
    <w:p w:rsidR="00675046" w:rsidRDefault="00675046" w:rsidP="00675046">
      <w:pPr>
        <w:pStyle w:val="Heading2"/>
      </w:pPr>
      <w:bookmarkStart w:id="5" w:name="_Toc381784731"/>
      <w:bookmarkStart w:id="6" w:name="_Toc388269615"/>
      <w:r>
        <w:t>Telstra’s retail price controls</w:t>
      </w:r>
      <w:bookmarkEnd w:id="5"/>
      <w:bookmarkEnd w:id="6"/>
    </w:p>
    <w:p w:rsidR="00675046" w:rsidRDefault="00675046" w:rsidP="00675046">
      <w:pPr>
        <w:pStyle w:val="Heading3"/>
      </w:pPr>
      <w:r>
        <w:t xml:space="preserve">Current controls </w:t>
      </w:r>
    </w:p>
    <w:p w:rsidR="00341986" w:rsidRDefault="00341986" w:rsidP="00341986">
      <w:pPr>
        <w:pStyle w:val="BodyText"/>
      </w:pPr>
      <w:r>
        <w:t xml:space="preserve">Retail price controls on Telstra </w:t>
      </w:r>
      <w:proofErr w:type="gramStart"/>
      <w:r>
        <w:t>were introduced</w:t>
      </w:r>
      <w:proofErr w:type="gramEnd"/>
      <w:r>
        <w:t xml:space="preserve"> in 1989, at a time when Telstra was the only telecommunications provider and fixed line telephony was the only telecommunications service.</w:t>
      </w:r>
    </w:p>
    <w:p w:rsidR="00675046" w:rsidRDefault="00675046" w:rsidP="00675046">
      <w:pPr>
        <w:pStyle w:val="ListBullet"/>
        <w:numPr>
          <w:ilvl w:val="0"/>
          <w:numId w:val="0"/>
        </w:numPr>
      </w:pPr>
      <w:r>
        <w:t>Retail p</w:t>
      </w:r>
      <w:r w:rsidRPr="007A7526">
        <w:t>rice controls currently apply to Telstra through the Telstra Carrier Charges — Price Control Arrangements, Notification and Disallowance Determination No. 1 of 2005 (</w:t>
      </w:r>
      <w:r>
        <w:t>The Determination). The D</w:t>
      </w:r>
      <w:r w:rsidRPr="007A7526">
        <w:t xml:space="preserve">etermination </w:t>
      </w:r>
      <w:proofErr w:type="gramStart"/>
      <w:r w:rsidRPr="007A7526">
        <w:t>was amended</w:t>
      </w:r>
      <w:proofErr w:type="gramEnd"/>
      <w:r w:rsidRPr="007A7526">
        <w:t xml:space="preserve"> in 2010 and 2012. </w:t>
      </w:r>
    </w:p>
    <w:p w:rsidR="00675046" w:rsidRPr="00BF47A3" w:rsidRDefault="00675046" w:rsidP="00675046">
      <w:pPr>
        <w:pStyle w:val="ListBullet"/>
        <w:numPr>
          <w:ilvl w:val="0"/>
          <w:numId w:val="0"/>
        </w:numPr>
      </w:pPr>
      <w:r>
        <w:t xml:space="preserve">The current price controls include price caps and other constraints and restrictions imposed on the price of selected services. </w:t>
      </w:r>
      <w:r w:rsidRPr="00BF47A3">
        <w:t>The service</w:t>
      </w:r>
      <w:r>
        <w:t>s</w:t>
      </w:r>
      <w:r w:rsidRPr="00BF47A3">
        <w:t xml:space="preserve"> subject to price caps </w:t>
      </w:r>
      <w:proofErr w:type="gramStart"/>
      <w:r w:rsidRPr="00BF47A3">
        <w:t>are split</w:t>
      </w:r>
      <w:proofErr w:type="gramEnd"/>
      <w:r w:rsidRPr="00BF47A3">
        <w:t xml:space="preserve"> among four regulated baskets. </w:t>
      </w:r>
    </w:p>
    <w:p w:rsidR="00675046" w:rsidRPr="00F543C4" w:rsidRDefault="00675046" w:rsidP="00F543C4">
      <w:pPr>
        <w:pStyle w:val="ListBullet"/>
      </w:pPr>
      <w:r w:rsidRPr="00F543C4">
        <w:t xml:space="preserve">The first basket of services consists of local calls, national long-distance and fixed-to-mobile calls (grouped as ‘trunk’ calls), international calls and line rentals. </w:t>
      </w:r>
      <w:proofErr w:type="gramStart"/>
      <w:r w:rsidRPr="00F543C4">
        <w:t>These services are usually purchased by retail consumers</w:t>
      </w:r>
      <w:proofErr w:type="gramEnd"/>
      <w:r w:rsidRPr="00F543C4">
        <w:t xml:space="preserve"> as part of a ‘bundle’ which can reduce the price of individual call and line rental services. While Telstra is able to vary individual prices in the basket, the combined variation of all prices must equal </w:t>
      </w:r>
      <w:r w:rsidR="00C21F44">
        <w:t>a nominal price increase of zero per cent</w:t>
      </w:r>
      <w:r w:rsidRPr="00F543C4">
        <w:t>.</w:t>
      </w:r>
    </w:p>
    <w:p w:rsidR="00675046" w:rsidRPr="00F543C4" w:rsidRDefault="00675046" w:rsidP="00F543C4">
      <w:pPr>
        <w:pStyle w:val="ListBullet"/>
      </w:pPr>
      <w:r w:rsidRPr="00F543C4">
        <w:t xml:space="preserve">The second basket consists of Telstra’s basic line rental product offered to residential customers (branded as </w:t>
      </w:r>
      <w:proofErr w:type="spellStart"/>
      <w:r w:rsidRPr="00F543C4">
        <w:t>HomeLine</w:t>
      </w:r>
      <w:proofErr w:type="spellEnd"/>
      <w:r w:rsidRPr="00F543C4">
        <w:t xml:space="preserve"> Part). This product </w:t>
      </w:r>
      <w:proofErr w:type="gramStart"/>
      <w:r w:rsidRPr="00F543C4">
        <w:t>is capped</w:t>
      </w:r>
      <w:proofErr w:type="gramEnd"/>
      <w:r w:rsidRPr="00F543C4">
        <w:t xml:space="preserve"> by growth in the CPI. </w:t>
      </w:r>
    </w:p>
    <w:p w:rsidR="00675046" w:rsidRPr="00F543C4" w:rsidRDefault="00675046" w:rsidP="00F543C4">
      <w:pPr>
        <w:pStyle w:val="ListBullet"/>
      </w:pPr>
      <w:r w:rsidRPr="00F543C4">
        <w:t xml:space="preserve">The third basket consists of the basic line rental product supplied to business customers and charity customers. Branded as </w:t>
      </w:r>
      <w:proofErr w:type="spellStart"/>
      <w:r w:rsidRPr="00F543C4">
        <w:t>BusinessLine</w:t>
      </w:r>
      <w:proofErr w:type="spellEnd"/>
      <w:r w:rsidRPr="00F543C4">
        <w:t xml:space="preserve"> Part, this basket </w:t>
      </w:r>
      <w:proofErr w:type="gramStart"/>
      <w:r w:rsidRPr="00F543C4">
        <w:t>is also capped</w:t>
      </w:r>
      <w:proofErr w:type="gramEnd"/>
      <w:r w:rsidRPr="00F543C4">
        <w:t xml:space="preserve"> by growth in the CPI. </w:t>
      </w:r>
    </w:p>
    <w:p w:rsidR="00675046" w:rsidRPr="00F543C4" w:rsidRDefault="00675046" w:rsidP="00F543C4">
      <w:pPr>
        <w:pStyle w:val="ListBullet"/>
      </w:pPr>
      <w:r w:rsidRPr="00F543C4">
        <w:t xml:space="preserve">A fourth basket consists of ten individual connection </w:t>
      </w:r>
      <w:proofErr w:type="gramStart"/>
      <w:r w:rsidRPr="00F543C4">
        <w:t>services which</w:t>
      </w:r>
      <w:proofErr w:type="gramEnd"/>
      <w:r w:rsidRPr="00F543C4">
        <w:t xml:space="preserve"> are all capped by growth in the CPI.</w:t>
      </w:r>
      <w:r w:rsidRPr="00402F0D">
        <w:rPr>
          <w:rStyle w:val="FootnoteReference"/>
        </w:rPr>
        <w:footnoteReference w:id="1"/>
      </w:r>
    </w:p>
    <w:p w:rsidR="00675046" w:rsidRPr="003702E1" w:rsidRDefault="00675046" w:rsidP="00675046">
      <w:pPr>
        <w:pStyle w:val="ListBullet"/>
        <w:numPr>
          <w:ilvl w:val="0"/>
          <w:numId w:val="0"/>
        </w:numPr>
      </w:pPr>
      <w:r>
        <w:t>Other price controls introduced by t</w:t>
      </w:r>
      <w:r w:rsidRPr="003702E1">
        <w:t xml:space="preserve">he Determination </w:t>
      </w:r>
      <w:r>
        <w:t xml:space="preserve">and subsequent amendments include: </w:t>
      </w:r>
    </w:p>
    <w:p w:rsidR="00675046" w:rsidRPr="00F543C4" w:rsidRDefault="00675046" w:rsidP="00F543C4">
      <w:pPr>
        <w:pStyle w:val="ListBullet"/>
      </w:pPr>
      <w:r w:rsidRPr="00F543C4">
        <w:t xml:space="preserve">The price for untimed local calls is not to increase above 22 cents (GST inclusive) for each call (other than a local call made from a public payphone, or a local call made using a calling card), except in the case of discount plans when a customer may be required to pay more than 22 cents per local call. </w:t>
      </w:r>
    </w:p>
    <w:p w:rsidR="00675046" w:rsidRPr="00F543C4" w:rsidRDefault="00675046" w:rsidP="00F543C4">
      <w:pPr>
        <w:pStyle w:val="ListBullet"/>
      </w:pPr>
      <w:r w:rsidRPr="00F543C4">
        <w:lastRenderedPageBreak/>
        <w:t xml:space="preserve">Local calls, and Telstra’s most basic line rental product, supplied in non-metropolitan areas, </w:t>
      </w:r>
      <w:proofErr w:type="gramStart"/>
      <w:r w:rsidRPr="00F543C4">
        <w:t>must be offered</w:t>
      </w:r>
      <w:proofErr w:type="gramEnd"/>
      <w:r w:rsidRPr="00F543C4">
        <w:t xml:space="preserve"> at the same or a lower price and on the same price-related terms as in metropolitan areas.</w:t>
      </w:r>
    </w:p>
    <w:p w:rsidR="00675046" w:rsidRPr="00F543C4" w:rsidRDefault="00675046" w:rsidP="00F543C4">
      <w:pPr>
        <w:pStyle w:val="ListBullet"/>
      </w:pPr>
      <w:r w:rsidRPr="00F543C4">
        <w:t>Telstra must offer a line rental to schools and charities at a price at or below the standard line rental offered to residential customers.</w:t>
      </w:r>
    </w:p>
    <w:p w:rsidR="00675046" w:rsidRPr="00F543C4" w:rsidRDefault="00675046" w:rsidP="00F543C4">
      <w:pPr>
        <w:pStyle w:val="ListBullet"/>
      </w:pPr>
      <w:r w:rsidRPr="00F543C4">
        <w:t>Increases in residential line rentals must be notified to the ACCC, and are subject to the ACCC being satisfied that Telstra has in place a low-income package endorsed by low</w:t>
      </w:r>
      <w:r w:rsidRPr="00F543C4">
        <w:noBreakHyphen/>
        <w:t>income consumer advocacy groups.</w:t>
      </w:r>
    </w:p>
    <w:p w:rsidR="00675046" w:rsidRPr="00F543C4" w:rsidRDefault="00675046" w:rsidP="00F543C4">
      <w:pPr>
        <w:pStyle w:val="ListBullet"/>
      </w:pPr>
      <w:r w:rsidRPr="00F543C4">
        <w:t xml:space="preserve">The price of each call to an internet service provider using a </w:t>
      </w:r>
      <w:proofErr w:type="gramStart"/>
      <w:r w:rsidRPr="00F543C4">
        <w:t>data network access service number</w:t>
      </w:r>
      <w:proofErr w:type="gramEnd"/>
      <w:r w:rsidRPr="00F543C4">
        <w:t xml:space="preserve"> starting with the numerals 0198 is not to exceed 22 cents (GST inclusive). </w:t>
      </w:r>
    </w:p>
    <w:p w:rsidR="00675046" w:rsidRPr="00F543C4" w:rsidRDefault="00675046" w:rsidP="00F543C4">
      <w:pPr>
        <w:pStyle w:val="ListBullet"/>
      </w:pPr>
      <w:r w:rsidRPr="00F543C4">
        <w:t xml:space="preserve">Calls in and between adjacent extended zones, and </w:t>
      </w:r>
      <w:proofErr w:type="spellStart"/>
      <w:r w:rsidRPr="00F543C4">
        <w:t>Bigpond</w:t>
      </w:r>
      <w:proofErr w:type="spellEnd"/>
      <w:r w:rsidRPr="00F543C4">
        <w:t xml:space="preserve"> calls made from these zones, are required to </w:t>
      </w:r>
      <w:proofErr w:type="gramStart"/>
      <w:r w:rsidRPr="00F543C4">
        <w:t>be charged</w:t>
      </w:r>
      <w:proofErr w:type="gramEnd"/>
      <w:r w:rsidRPr="00F543C4">
        <w:t xml:space="preserve"> as untimed local calls. </w:t>
      </w:r>
    </w:p>
    <w:p w:rsidR="00675046" w:rsidRPr="00F543C4" w:rsidRDefault="00675046" w:rsidP="00F543C4">
      <w:pPr>
        <w:pStyle w:val="ListBullet"/>
      </w:pPr>
      <w:r w:rsidRPr="00F543C4">
        <w:t xml:space="preserve">Telstra must notify the Minister in advance if it intends to alter charges for directory assistance services, with the Minister able to disallow the proposed changes if they </w:t>
      </w:r>
      <w:proofErr w:type="gramStart"/>
      <w:r w:rsidRPr="00F543C4">
        <w:t>are considered</w:t>
      </w:r>
      <w:proofErr w:type="gramEnd"/>
      <w:r w:rsidRPr="00F543C4">
        <w:t xml:space="preserve"> not to be in the public interest. </w:t>
      </w:r>
    </w:p>
    <w:p w:rsidR="00675046" w:rsidRPr="003702E1" w:rsidRDefault="00675046" w:rsidP="00675046">
      <w:pPr>
        <w:pStyle w:val="Heading3"/>
      </w:pPr>
      <w:r>
        <w:t>The review process</w:t>
      </w:r>
    </w:p>
    <w:p w:rsidR="00341986" w:rsidRDefault="00341986" w:rsidP="00341986">
      <w:pPr>
        <w:pStyle w:val="BodyText"/>
      </w:pPr>
      <w:r w:rsidRPr="007E6E2B">
        <w:t>Formal reviews of the price controls imposed on Telstra have taken place every two to three years</w:t>
      </w:r>
      <w:r>
        <w:t xml:space="preserve"> since introduction in 1989</w:t>
      </w:r>
      <w:r w:rsidRPr="007E6E2B">
        <w:t xml:space="preserve">. The review process has typically involved a public inquiry conducted by the ACCC, which has been guided by a terms of reference set by the Minister </w:t>
      </w:r>
      <w:proofErr w:type="gramStart"/>
      <w:r>
        <w:t>For</w:t>
      </w:r>
      <w:proofErr w:type="gramEnd"/>
      <w:r w:rsidRPr="007E6E2B">
        <w:t xml:space="preserve"> Communication</w:t>
      </w:r>
      <w:r>
        <w:t>s</w:t>
      </w:r>
      <w:r w:rsidRPr="007E6E2B">
        <w:t>.</w:t>
      </w:r>
      <w:r w:rsidRPr="007E6E2B">
        <w:rPr>
          <w:rStyle w:val="FootnoteReference"/>
        </w:rPr>
        <w:footnoteReference w:id="2"/>
      </w:r>
      <w:r w:rsidRPr="007E6E2B">
        <w:t xml:space="preserve"> The</w:t>
      </w:r>
      <w:r>
        <w:t xml:space="preserve"> outcomes of the</w:t>
      </w:r>
      <w:r w:rsidRPr="007E6E2B">
        <w:t xml:space="preserve"> review </w:t>
      </w:r>
      <w:r w:rsidR="00304215">
        <w:t xml:space="preserve">then </w:t>
      </w:r>
      <w:r>
        <w:t>inform the development of</w:t>
      </w:r>
      <w:r w:rsidRPr="007E6E2B">
        <w:t xml:space="preserve"> the </w:t>
      </w:r>
      <w:r w:rsidR="005C09D0" w:rsidRPr="007E6E2B">
        <w:t xml:space="preserve">determination. </w:t>
      </w:r>
      <w:r>
        <w:t>Past reviews have considered, among other issues, the continued need for price controls given the level of competition across the telecommunications market and the duration and design of the price controls.</w:t>
      </w:r>
    </w:p>
    <w:p w:rsidR="00EA009D" w:rsidRDefault="00EA009D" w:rsidP="00675046">
      <w:pPr>
        <w:pStyle w:val="BodyText"/>
      </w:pPr>
      <w:r>
        <w:t xml:space="preserve">The most recent reviews </w:t>
      </w:r>
      <w:proofErr w:type="gramStart"/>
      <w:r w:rsidR="00341986">
        <w:t>were</w:t>
      </w:r>
      <w:r w:rsidR="00600582">
        <w:t xml:space="preserve"> conducted</w:t>
      </w:r>
      <w:proofErr w:type="gramEnd"/>
      <w:r w:rsidR="00600582">
        <w:t xml:space="preserve"> by the ACCC in 2010 and the Department of Communications in 2012.</w:t>
      </w:r>
      <w:r w:rsidR="00600582">
        <w:rPr>
          <w:rStyle w:val="FootnoteReference"/>
        </w:rPr>
        <w:footnoteReference w:id="3"/>
      </w:r>
      <w:r w:rsidR="00600582">
        <w:t xml:space="preserve"> Submissions to these reviews generally noted that retail price controls were no longer necessary to promote competition. </w:t>
      </w:r>
    </w:p>
    <w:p w:rsidR="00600582" w:rsidRDefault="00600582" w:rsidP="00402F0D">
      <w:pPr>
        <w:pStyle w:val="ListBullet"/>
      </w:pPr>
      <w:r>
        <w:t xml:space="preserve">The ACCC found in 2010 that price controls should continue until 2012 </w:t>
      </w:r>
      <w:r w:rsidR="00CF51D4">
        <w:t xml:space="preserve">and recommended </w:t>
      </w:r>
      <w:r>
        <w:t>a number of arrangements to streamline price controls.</w:t>
      </w:r>
    </w:p>
    <w:p w:rsidR="00600582" w:rsidRDefault="00600582" w:rsidP="00402F0D">
      <w:pPr>
        <w:pStyle w:val="ListBullet"/>
      </w:pPr>
      <w:r>
        <w:t xml:space="preserve">The Department of Communications found in 2012 that there was a valid case for reducing or removing retail price controls over time and a further review should occur in 2014 prior to the expiry of </w:t>
      </w:r>
      <w:r w:rsidR="00341986">
        <w:t>the current Determination</w:t>
      </w:r>
      <w:r>
        <w:t>.</w:t>
      </w:r>
    </w:p>
    <w:p w:rsidR="00600582" w:rsidRDefault="00600582" w:rsidP="00402F0D">
      <w:pPr>
        <w:pStyle w:val="BodyText"/>
      </w:pPr>
      <w:r>
        <w:t xml:space="preserve">It </w:t>
      </w:r>
      <w:proofErr w:type="gramStart"/>
      <w:r>
        <w:t>should be noted</w:t>
      </w:r>
      <w:proofErr w:type="gramEnd"/>
      <w:r>
        <w:t xml:space="preserve"> that the emphasis of these reviews was whether there was sufficient evidence to discontinue retail price controls. In contrast, this report considers that retail price controls </w:t>
      </w:r>
      <w:proofErr w:type="gramStart"/>
      <w:r>
        <w:t xml:space="preserve">should be </w:t>
      </w:r>
      <w:r w:rsidR="00341986">
        <w:t>revoked</w:t>
      </w:r>
      <w:proofErr w:type="gramEnd"/>
      <w:r>
        <w:t xml:space="preserve"> unless there is sufficient evidence that continuation of controls would lead to net benefits to society.</w:t>
      </w:r>
    </w:p>
    <w:p w:rsidR="00675046" w:rsidRPr="003702E1" w:rsidRDefault="00675046" w:rsidP="00675046">
      <w:pPr>
        <w:pStyle w:val="Heading3"/>
      </w:pPr>
      <w:r>
        <w:lastRenderedPageBreak/>
        <w:t>The setting of price caps</w:t>
      </w:r>
    </w:p>
    <w:p w:rsidR="00675046" w:rsidRPr="007E6E2B" w:rsidRDefault="00675046" w:rsidP="00675046">
      <w:pPr>
        <w:pStyle w:val="BodyText"/>
      </w:pPr>
      <w:r>
        <w:t>Price caps have generally</w:t>
      </w:r>
      <w:r w:rsidRPr="002A2315">
        <w:t xml:space="preserve"> been designed in the form of  </w:t>
      </w:r>
      <w:r w:rsidRPr="007E6E2B">
        <w:t xml:space="preserve">CPI – X, where CPI is an annual rate of growth in the consumer price index and X </w:t>
      </w:r>
      <w:r>
        <w:t xml:space="preserve">reflects </w:t>
      </w:r>
      <w:r w:rsidRPr="007E6E2B">
        <w:t xml:space="preserve">the expected annual growth in Telstra’s total factor productivity (TFP) for fixed-line voice infrastructure. The latter </w:t>
      </w:r>
      <w:proofErr w:type="gramStart"/>
      <w:r w:rsidRPr="007E6E2B">
        <w:t>has typic</w:t>
      </w:r>
      <w:r>
        <w:t>ally been estimated</w:t>
      </w:r>
      <w:proofErr w:type="gramEnd"/>
      <w:r>
        <w:t xml:space="preserve"> by the ACCC based, in part, on past rates of productivity growth. </w:t>
      </w:r>
      <w:r w:rsidRPr="007E6E2B">
        <w:t>This price cap design h</w:t>
      </w:r>
      <w:r>
        <w:t xml:space="preserve">elps to ensure that efficiency gains </w:t>
      </w:r>
      <w:proofErr w:type="gramStart"/>
      <w:r w:rsidRPr="007E6E2B">
        <w:t>are passed</w:t>
      </w:r>
      <w:proofErr w:type="gramEnd"/>
      <w:r w:rsidRPr="007E6E2B">
        <w:t xml:space="preserve"> onto </w:t>
      </w:r>
      <w:r>
        <w:t xml:space="preserve">retail </w:t>
      </w:r>
      <w:r w:rsidRPr="007E6E2B">
        <w:t xml:space="preserve">consumers. </w:t>
      </w:r>
    </w:p>
    <w:p w:rsidR="00675046" w:rsidRDefault="00675046" w:rsidP="00675046">
      <w:pPr>
        <w:pStyle w:val="BodyText"/>
      </w:pPr>
      <w:r>
        <w:t>T</w:t>
      </w:r>
      <w:r w:rsidRPr="007E6E2B">
        <w:t xml:space="preserve">he value of X has also </w:t>
      </w:r>
      <w:r>
        <w:t xml:space="preserve">previously </w:t>
      </w:r>
      <w:r w:rsidRPr="007E6E2B">
        <w:t xml:space="preserve">been chosen to help the prices of selected Telstra services rebalance to </w:t>
      </w:r>
      <w:proofErr w:type="gramStart"/>
      <w:r w:rsidRPr="007E6E2B">
        <w:t>more efficient levels</w:t>
      </w:r>
      <w:proofErr w:type="gramEnd"/>
      <w:r w:rsidRPr="007E6E2B">
        <w:t xml:space="preserve">. For example, in 2002 a price cap of CPI+4.0 </w:t>
      </w:r>
      <w:proofErr w:type="gramStart"/>
      <w:r w:rsidRPr="007E6E2B">
        <w:t>was imposed</w:t>
      </w:r>
      <w:proofErr w:type="gramEnd"/>
      <w:r w:rsidRPr="007E6E2B">
        <w:t xml:space="preserve"> on business and residential line rentals as the retail price of these services had fallen below the estimated efficient cost of provision. This in part reflected the introduction of sub-caps imposed on line rentals in previous reviews. </w:t>
      </w:r>
    </w:p>
    <w:p w:rsidR="00600582" w:rsidRDefault="00600582" w:rsidP="00675046">
      <w:pPr>
        <w:pStyle w:val="BodyText"/>
      </w:pPr>
      <w:r>
        <w:t>The price changes allowed since 2005 have used an unusual form for the largest basket of services, basket 1</w:t>
      </w:r>
      <w:r w:rsidR="005C09D0">
        <w:t>.</w:t>
      </w:r>
      <w:r>
        <w:t xml:space="preserve"> The</w:t>
      </w:r>
      <w:r w:rsidR="00341986">
        <w:t xml:space="preserve">y </w:t>
      </w:r>
      <w:proofErr w:type="gramStart"/>
      <w:r w:rsidR="00341986">
        <w:t>have been specified</w:t>
      </w:r>
      <w:proofErr w:type="gramEnd"/>
      <w:r w:rsidR="00341986">
        <w:t xml:space="preserve"> as a </w:t>
      </w:r>
      <w:r>
        <w:t>zero nominal increase in prices.</w:t>
      </w:r>
      <w:r w:rsidR="00341986">
        <w:rPr>
          <w:rStyle w:val="FootnoteReference"/>
        </w:rPr>
        <w:footnoteReference w:id="4"/>
      </w:r>
      <w:r>
        <w:t xml:space="preserve">  </w:t>
      </w:r>
    </w:p>
    <w:p w:rsidR="00CF51D4" w:rsidRPr="007E6E2B" w:rsidRDefault="00CF51D4" w:rsidP="00675046">
      <w:pPr>
        <w:pStyle w:val="BodyText"/>
      </w:pPr>
      <w:r>
        <w:t xml:space="preserve">There is also potentially a problematic relationship between wholesale market regulation and retail price controls. There is some necessary gap between wholesale and retail prices necessary to cover retail costs. If regulatory arrangements lead to this gap being insufficient at some times or in some areas, then this would lead competitors to discontinue retail competition enabled by wholesale infrastructure access. </w:t>
      </w:r>
    </w:p>
    <w:p w:rsidR="00675046" w:rsidRDefault="00675046" w:rsidP="00675046">
      <w:pPr>
        <w:pStyle w:val="Heading3"/>
      </w:pPr>
      <w:r>
        <w:t>History of price caps</w:t>
      </w:r>
    </w:p>
    <w:p w:rsidR="00675046" w:rsidRDefault="00675046" w:rsidP="00675046">
      <w:pPr>
        <w:pStyle w:val="BodyText"/>
      </w:pPr>
      <w:r>
        <w:t xml:space="preserve">Retail price caps </w:t>
      </w:r>
      <w:proofErr w:type="gramStart"/>
      <w:r>
        <w:t>were first applied</w:t>
      </w:r>
      <w:proofErr w:type="gramEnd"/>
      <w:r>
        <w:t xml:space="preserve"> with the introduction of the </w:t>
      </w:r>
      <w:r w:rsidRPr="00297BB5">
        <w:rPr>
          <w:i/>
        </w:rPr>
        <w:t>Telecommunications Act 1989</w:t>
      </w:r>
      <w:r>
        <w:t xml:space="preserve"> and have been subject to a number of reviews processes since. </w:t>
      </w:r>
    </w:p>
    <w:p w:rsidR="00675046" w:rsidRDefault="00675046" w:rsidP="00675046">
      <w:pPr>
        <w:pStyle w:val="BodyText"/>
      </w:pPr>
      <w:r>
        <w:t xml:space="preserve">Price restrictions have typically applied to a basket of services with additional restrictions placed on individual services within the basket. A history of the retail price controls imposed on the telecommunications sector </w:t>
      </w:r>
      <w:proofErr w:type="gramStart"/>
      <w:r>
        <w:t>is provided</w:t>
      </w:r>
      <w:proofErr w:type="gramEnd"/>
      <w:r>
        <w:t xml:space="preserve"> in table</w:t>
      </w:r>
      <w:r w:rsidR="00402F0D">
        <w:t> </w:t>
      </w:r>
      <w:fldSimple w:instr=" REF _Caption5815 ">
        <w:r w:rsidR="00304215">
          <w:rPr>
            <w:noProof/>
          </w:rPr>
          <w:t>1</w:t>
        </w:r>
        <w:r w:rsidR="00304215" w:rsidRPr="00695C93">
          <w:rPr>
            <w:noProof/>
          </w:rPr>
          <w:t>.</w:t>
        </w:r>
        <w:r w:rsidR="00304215">
          <w:rPr>
            <w:noProof/>
          </w:rPr>
          <w:t>1</w:t>
        </w:r>
      </w:fldSimple>
      <w:r>
        <w:t xml:space="preserve">  below. The changes in the composition of the baskets of services that </w:t>
      </w:r>
      <w:proofErr w:type="gramStart"/>
      <w:r>
        <w:t>are regulated</w:t>
      </w:r>
      <w:proofErr w:type="gramEnd"/>
      <w:r>
        <w:t xml:space="preserve"> reflect:</w:t>
      </w:r>
    </w:p>
    <w:p w:rsidR="00675046" w:rsidRPr="00F543C4" w:rsidRDefault="00675046" w:rsidP="00F543C4">
      <w:pPr>
        <w:pStyle w:val="ListBullet"/>
      </w:pPr>
      <w:r w:rsidRPr="00F543C4">
        <w:t xml:space="preserve">changes in the competitiveness of some telecommunication markets (e.g. leased lines and mobile services)  </w:t>
      </w:r>
    </w:p>
    <w:p w:rsidR="00675046" w:rsidRPr="00F543C4" w:rsidRDefault="00675046" w:rsidP="00F543C4">
      <w:pPr>
        <w:pStyle w:val="ListBullet"/>
      </w:pPr>
      <w:proofErr w:type="gramStart"/>
      <w:r w:rsidRPr="00F543C4">
        <w:t>a</w:t>
      </w:r>
      <w:proofErr w:type="gramEnd"/>
      <w:r w:rsidRPr="00F543C4">
        <w:t xml:space="preserve"> need to rebalance the price of selected services provided by Telstra.</w:t>
      </w:r>
    </w:p>
    <w:p w:rsidR="00675046" w:rsidRDefault="00304215" w:rsidP="00675046">
      <w:pPr>
        <w:pStyle w:val="Caption"/>
      </w:pPr>
      <w:r>
        <w:br w:type="page"/>
      </w:r>
      <w:r w:rsidR="00675046" w:rsidRPr="00695C93">
        <w:lastRenderedPageBreak/>
        <w:fldChar w:fldCharType="begin"/>
      </w:r>
      <w:r w:rsidR="00675046" w:rsidRPr="00695C93">
        <w:instrText xml:space="preserve"> IF 1 = 1 "</w:instrText>
      </w:r>
      <w:r w:rsidR="00675046" w:rsidRPr="00695C93">
        <w:fldChar w:fldCharType="begin"/>
      </w:r>
      <w:r w:rsidR="00675046" w:rsidRPr="00695C93">
        <w:instrText xml:space="preserve"> IF </w:instrText>
      </w:r>
      <w:fldSimple w:instr=" STYLEREF &quot;Heading 6&quot; \l \n ">
        <w:r>
          <w:rPr>
            <w:noProof/>
          </w:rPr>
          <w:instrText>0</w:instrText>
        </w:r>
      </w:fldSimple>
      <w:r w:rsidR="00675046" w:rsidRPr="00695C93">
        <w:instrText xml:space="preserve"> = 0 "</w:instrText>
      </w:r>
      <w:r w:rsidR="00675046" w:rsidRPr="00695C93">
        <w:fldChar w:fldCharType="begin"/>
      </w:r>
      <w:r w:rsidR="00675046" w:rsidRPr="00695C93">
        <w:instrText xml:space="preserve"> IF </w:instrText>
      </w:r>
      <w:fldSimple w:instr=" STYLEREF &quot;Heading 1&quot; \l \n ">
        <w:r>
          <w:rPr>
            <w:noProof/>
          </w:rPr>
          <w:instrText>1</w:instrText>
        </w:r>
      </w:fldSimple>
      <w:r w:rsidR="00675046" w:rsidRPr="00695C93">
        <w:instrText xml:space="preserve"> = 0 "" "</w:instrText>
      </w:r>
      <w:fldSimple w:instr=" STYLEREF &quot;Heading 1&quot; \l \n ">
        <w:r>
          <w:rPr>
            <w:noProof/>
          </w:rPr>
          <w:instrText>1</w:instrText>
        </w:r>
      </w:fldSimple>
      <w:r w:rsidR="00675046" w:rsidRPr="00695C93">
        <w:instrText xml:space="preserve">." </w:instrText>
      </w:r>
      <w:r w:rsidR="00675046" w:rsidRPr="00695C93">
        <w:fldChar w:fldCharType="separate"/>
      </w:r>
      <w:r>
        <w:rPr>
          <w:noProof/>
        </w:rPr>
        <w:instrText>1</w:instrText>
      </w:r>
      <w:r w:rsidRPr="00695C93">
        <w:rPr>
          <w:noProof/>
        </w:rPr>
        <w:instrText>.</w:instrText>
      </w:r>
      <w:r w:rsidR="00675046" w:rsidRPr="00695C93">
        <w:fldChar w:fldCharType="end"/>
      </w:r>
      <w:r w:rsidR="00675046" w:rsidRPr="00695C93">
        <w:instrText>" "</w:instrText>
      </w:r>
      <w:fldSimple w:instr=" STYLEREF &quot;Heading 6&quot; \l \n ">
        <w:r w:rsidR="00675046" w:rsidRPr="00695C93">
          <w:instrText>B</w:instrText>
        </w:r>
      </w:fldSimple>
      <w:r w:rsidR="00675046" w:rsidRPr="00695C93">
        <w:instrText xml:space="preserve">." </w:instrText>
      </w:r>
      <w:r w:rsidR="00675046" w:rsidRPr="00695C93">
        <w:fldChar w:fldCharType="separate"/>
      </w:r>
      <w:r w:rsidR="00584F9A">
        <w:rPr>
          <w:noProof/>
        </w:rPr>
        <w:instrText>1</w:instrText>
      </w:r>
      <w:r w:rsidR="00584F9A" w:rsidRPr="00695C93">
        <w:rPr>
          <w:noProof/>
        </w:rPr>
        <w:instrText>.</w:instrText>
      </w:r>
      <w:r w:rsidR="00675046" w:rsidRPr="00695C93">
        <w:fldChar w:fldCharType="end"/>
      </w:r>
      <w:r w:rsidR="00675046" w:rsidRPr="00695C93">
        <w:fldChar w:fldCharType="begin"/>
      </w:r>
      <w:r w:rsidR="00675046" w:rsidRPr="00695C93">
        <w:instrText xml:space="preserve"> SEQ Item \* ARABIC \s </w:instrText>
      </w:r>
      <w:r w:rsidR="00675046" w:rsidRPr="00695C93">
        <w:fldChar w:fldCharType="begin"/>
      </w:r>
      <w:r w:rsidR="00675046" w:rsidRPr="00695C93">
        <w:instrText xml:space="preserve"> IF </w:instrText>
      </w:r>
      <w:fldSimple w:instr=" STYLEREF &quot;Heading 6&quot; \l \n ">
        <w:r>
          <w:rPr>
            <w:noProof/>
          </w:rPr>
          <w:instrText>0</w:instrText>
        </w:r>
      </w:fldSimple>
      <w:r w:rsidR="00675046" w:rsidRPr="00695C93">
        <w:instrText xml:space="preserve"> = 0 "</w:instrText>
      </w:r>
      <w:r w:rsidR="00675046" w:rsidRPr="00695C93">
        <w:fldChar w:fldCharType="begin"/>
      </w:r>
      <w:r w:rsidR="00675046" w:rsidRPr="00695C93">
        <w:instrText xml:space="preserve"> IF </w:instrText>
      </w:r>
      <w:fldSimple w:instr=" STYLEREF &quot;Heading 1&quot; \l \n ">
        <w:r>
          <w:rPr>
            <w:noProof/>
          </w:rPr>
          <w:instrText>1</w:instrText>
        </w:r>
      </w:fldSimple>
      <w:r w:rsidR="00675046" w:rsidRPr="00695C93">
        <w:instrText xml:space="preserve"> = 0 "" "1" </w:instrText>
      </w:r>
      <w:r w:rsidR="00675046" w:rsidRPr="00695C93">
        <w:fldChar w:fldCharType="separate"/>
      </w:r>
      <w:r w:rsidR="00584F9A" w:rsidRPr="00695C93">
        <w:rPr>
          <w:noProof/>
        </w:rPr>
        <w:instrText>1</w:instrText>
      </w:r>
      <w:r w:rsidR="00675046" w:rsidRPr="00695C93">
        <w:fldChar w:fldCharType="end"/>
      </w:r>
      <w:r w:rsidR="00675046" w:rsidRPr="00695C93">
        <w:instrText xml:space="preserve">" "6" </w:instrText>
      </w:r>
      <w:r w:rsidR="00675046" w:rsidRPr="00695C93">
        <w:fldChar w:fldCharType="separate"/>
      </w:r>
      <w:r w:rsidR="00584F9A" w:rsidRPr="00695C93">
        <w:rPr>
          <w:noProof/>
        </w:rPr>
        <w:instrText>1</w:instrText>
      </w:r>
      <w:r w:rsidR="00675046" w:rsidRPr="00695C93">
        <w:fldChar w:fldCharType="end"/>
      </w:r>
      <w:r w:rsidR="00675046" w:rsidRPr="00695C93">
        <w:instrText xml:space="preserve"> </w:instrText>
      </w:r>
      <w:r w:rsidR="00675046" w:rsidRPr="00695C93">
        <w:fldChar w:fldCharType="separate"/>
      </w:r>
      <w:r>
        <w:rPr>
          <w:noProof/>
        </w:rPr>
        <w:instrText>1</w:instrText>
      </w:r>
      <w:r w:rsidR="00675046" w:rsidRPr="00695C93">
        <w:fldChar w:fldCharType="end"/>
      </w:r>
      <w:r w:rsidR="00675046" w:rsidRPr="00695C93">
        <w:instrText xml:space="preserve">" "" </w:instrText>
      </w:r>
      <w:r w:rsidR="00675046" w:rsidRPr="00695C93">
        <w:fldChar w:fldCharType="separate"/>
      </w:r>
      <w:bookmarkStart w:id="7" w:name="_Caption0041"/>
      <w:bookmarkStart w:id="8" w:name="_Caption9198"/>
      <w:bookmarkStart w:id="9" w:name="_Caption9188"/>
      <w:bookmarkStart w:id="10" w:name="_Caption0858"/>
      <w:bookmarkStart w:id="11" w:name="_Caption9799"/>
      <w:bookmarkStart w:id="12" w:name="_Caption3198"/>
      <w:bookmarkStart w:id="13" w:name="_Caption0544"/>
      <w:bookmarkStart w:id="14" w:name="_Caption2751"/>
      <w:bookmarkStart w:id="15" w:name="_Caption8081"/>
      <w:bookmarkStart w:id="16" w:name="_Caption7718"/>
      <w:bookmarkStart w:id="17" w:name="_Caption8754"/>
      <w:bookmarkStart w:id="18" w:name="_Caption7795"/>
      <w:bookmarkStart w:id="19" w:name="_Caption9811"/>
      <w:bookmarkStart w:id="20" w:name="_Caption1717"/>
      <w:bookmarkStart w:id="21" w:name="_Caption4344"/>
      <w:bookmarkStart w:id="22" w:name="_Caption9521"/>
      <w:bookmarkStart w:id="23" w:name="_Caption8446"/>
      <w:bookmarkStart w:id="24" w:name="_Caption6913"/>
      <w:bookmarkStart w:id="25" w:name="_Caption5815"/>
      <w:bookmarkStart w:id="26" w:name="_Caption7275"/>
      <w:bookmarkStart w:id="27" w:name="_Caption3155"/>
      <w:bookmarkStart w:id="28" w:name="_Caption7609"/>
      <w:bookmarkStart w:id="29" w:name="_Caption5195"/>
      <w:bookmarkStart w:id="30" w:name="_Caption0790"/>
      <w:bookmarkStart w:id="31" w:name="_Caption4429"/>
      <w:bookmarkStart w:id="32" w:name="_Caption4297"/>
      <w:bookmarkStart w:id="33" w:name="_Caption5087"/>
      <w:bookmarkStart w:id="34" w:name="_Caption4695"/>
      <w:bookmarkStart w:id="35" w:name="_Caption4707"/>
      <w:bookmarkStart w:id="36" w:name="_Caption0746"/>
      <w:bookmarkStart w:id="37" w:name="_Caption9476"/>
      <w:bookmarkStart w:id="38" w:name="_Caption9002"/>
      <w:bookmarkStart w:id="39" w:name="_Caption0368"/>
      <w:bookmarkStart w:id="40" w:name="_Caption8732"/>
      <w:bookmarkStart w:id="41" w:name="_Caption1301"/>
      <w:bookmarkStart w:id="42" w:name="_Caption1146"/>
      <w:bookmarkStart w:id="43" w:name="_Caption3380"/>
      <w:bookmarkStart w:id="44" w:name="_Caption3418"/>
      <w:bookmarkStart w:id="45" w:name="_Toc381784715"/>
      <w:bookmarkStart w:id="46" w:name="_Toc391972934"/>
      <w:r w:rsidR="00584F9A">
        <w:rPr>
          <w:noProof/>
        </w:rPr>
        <w:t>1</w:t>
      </w:r>
      <w:r w:rsidR="00584F9A" w:rsidRPr="00695C93">
        <w:rPr>
          <w:noProof/>
        </w:rPr>
        <w:t>.</w:t>
      </w:r>
      <w:r w:rsidR="00584F9A">
        <w:rPr>
          <w:noProof/>
        </w:rPr>
        <w:t>1</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675046" w:rsidRPr="00695C93">
        <w:fldChar w:fldCharType="end"/>
      </w:r>
      <w:r w:rsidR="00675046" w:rsidRPr="00695C93">
        <w:tab/>
      </w:r>
      <w:r w:rsidR="00675046">
        <w:t>Restrictions placed on telecommunication service prices</w:t>
      </w:r>
      <w:bookmarkEnd w:id="45"/>
      <w:bookmarkEnd w:id="46"/>
    </w:p>
    <w:tbl>
      <w:tblPr>
        <w:tblW w:w="7938" w:type="dxa"/>
        <w:tblInd w:w="57" w:type="dxa"/>
        <w:tblBorders>
          <w:top w:val="single" w:sz="6" w:space="0" w:color="6F6652"/>
          <w:left w:val="single" w:sz="6" w:space="0" w:color="6F6652"/>
          <w:bottom w:val="single" w:sz="6" w:space="0" w:color="6F6652"/>
          <w:right w:val="single" w:sz="6" w:space="0" w:color="6F6652"/>
          <w:insideH w:val="single" w:sz="6" w:space="0" w:color="6F6652"/>
          <w:insideV w:val="single" w:sz="6" w:space="0" w:color="6F6652"/>
        </w:tblBorders>
        <w:tblLayout w:type="fixed"/>
        <w:tblLook w:val="0000" w:firstRow="0" w:lastRow="0" w:firstColumn="0" w:lastColumn="0" w:noHBand="0" w:noVBand="0"/>
      </w:tblPr>
      <w:tblGrid>
        <w:gridCol w:w="1276"/>
        <w:gridCol w:w="3969"/>
        <w:gridCol w:w="2693"/>
      </w:tblGrid>
      <w:tr w:rsidR="00675046" w:rsidTr="005C7B71">
        <w:trPr>
          <w:tblHeader/>
        </w:trPr>
        <w:tc>
          <w:tcPr>
            <w:tcW w:w="1276" w:type="dxa"/>
            <w:tcBorders>
              <w:top w:val="nil"/>
              <w:left w:val="nil"/>
              <w:bottom w:val="nil"/>
              <w:right w:val="nil"/>
            </w:tcBorders>
            <w:shd w:val="clear" w:color="auto" w:fill="6F6652"/>
            <w:tcMar>
              <w:left w:w="57" w:type="dxa"/>
              <w:right w:w="57" w:type="dxa"/>
            </w:tcMar>
          </w:tcPr>
          <w:p w:rsidR="00675046" w:rsidRDefault="00675046" w:rsidP="00675046">
            <w:pPr>
              <w:pStyle w:val="TableDataColumnHeading"/>
              <w:jc w:val="left"/>
            </w:pPr>
            <w:r>
              <w:t>Period</w:t>
            </w:r>
          </w:p>
        </w:tc>
        <w:tc>
          <w:tcPr>
            <w:tcW w:w="3969" w:type="dxa"/>
            <w:tcBorders>
              <w:top w:val="nil"/>
              <w:left w:val="nil"/>
              <w:bottom w:val="nil"/>
              <w:right w:val="nil"/>
            </w:tcBorders>
            <w:shd w:val="clear" w:color="auto" w:fill="6F6652"/>
            <w:tcMar>
              <w:left w:w="57" w:type="dxa"/>
              <w:right w:w="57" w:type="dxa"/>
            </w:tcMar>
          </w:tcPr>
          <w:p w:rsidR="00675046" w:rsidRDefault="00675046" w:rsidP="00675046">
            <w:pPr>
              <w:pStyle w:val="TableDataColumnHeading"/>
              <w:jc w:val="left"/>
            </w:pPr>
            <w:r>
              <w:t>Basket(s) of services</w:t>
            </w:r>
          </w:p>
        </w:tc>
        <w:tc>
          <w:tcPr>
            <w:tcW w:w="2693" w:type="dxa"/>
            <w:tcBorders>
              <w:top w:val="nil"/>
              <w:left w:val="nil"/>
              <w:bottom w:val="nil"/>
              <w:right w:val="nil"/>
            </w:tcBorders>
            <w:shd w:val="clear" w:color="auto" w:fill="6F6652"/>
            <w:tcMar>
              <w:left w:w="57" w:type="dxa"/>
              <w:right w:w="57" w:type="dxa"/>
            </w:tcMar>
          </w:tcPr>
          <w:p w:rsidR="00675046" w:rsidRDefault="00675046" w:rsidP="00675046">
            <w:pPr>
              <w:pStyle w:val="TableDataColumnHeading"/>
              <w:jc w:val="left"/>
            </w:pPr>
            <w:r>
              <w:t xml:space="preserve">Annual (nominal) price growth cap </w:t>
            </w:r>
          </w:p>
        </w:tc>
      </w:tr>
      <w:tr w:rsidR="00675046" w:rsidTr="005C7B71">
        <w:tc>
          <w:tcPr>
            <w:tcW w:w="1276" w:type="dxa"/>
            <w:tcBorders>
              <w:top w:val="nil"/>
              <w:left w:val="nil"/>
              <w:bottom w:val="single" w:sz="8" w:space="0" w:color="FFFFFF" w:themeColor="background1"/>
              <w:right w:val="nil"/>
            </w:tcBorders>
            <w:shd w:val="clear" w:color="auto" w:fill="E9E8E5" w:themeFill="background2"/>
            <w:tcMar>
              <w:left w:w="57" w:type="dxa"/>
              <w:right w:w="57" w:type="dxa"/>
            </w:tcMar>
          </w:tcPr>
          <w:p w:rsidR="00675046" w:rsidRPr="009C1F87" w:rsidRDefault="00675046" w:rsidP="00675046">
            <w:pPr>
              <w:pStyle w:val="TableUnit"/>
              <w:jc w:val="left"/>
              <w:rPr>
                <w:szCs w:val="16"/>
              </w:rPr>
            </w:pPr>
            <w:r w:rsidRPr="009C1F87">
              <w:rPr>
                <w:szCs w:val="16"/>
              </w:rPr>
              <w:t>1989 to 1992</w:t>
            </w:r>
          </w:p>
        </w:tc>
        <w:tc>
          <w:tcPr>
            <w:tcW w:w="3969" w:type="dxa"/>
            <w:tcBorders>
              <w:top w:val="nil"/>
              <w:left w:val="nil"/>
              <w:bottom w:val="single" w:sz="8" w:space="0" w:color="FFFFFF" w:themeColor="background1"/>
              <w:right w:val="nil"/>
            </w:tcBorders>
            <w:shd w:val="clear" w:color="auto" w:fill="E9E8E5" w:themeFill="background2"/>
            <w:tcMar>
              <w:left w:w="57" w:type="dxa"/>
              <w:right w:w="57" w:type="dxa"/>
            </w:tcMar>
          </w:tcPr>
          <w:p w:rsidR="00675046" w:rsidRPr="009C1F87" w:rsidRDefault="00675046" w:rsidP="00675046">
            <w:pPr>
              <w:pStyle w:val="TableUnit"/>
              <w:jc w:val="left"/>
              <w:rPr>
                <w:szCs w:val="16"/>
              </w:rPr>
            </w:pPr>
            <w:r w:rsidRPr="009C1F87">
              <w:rPr>
                <w:szCs w:val="16"/>
              </w:rPr>
              <w:t>Line rentals, local calls, STD and IDD calls</w:t>
            </w:r>
          </w:p>
        </w:tc>
        <w:tc>
          <w:tcPr>
            <w:tcW w:w="2693" w:type="dxa"/>
            <w:tcBorders>
              <w:top w:val="nil"/>
              <w:left w:val="nil"/>
              <w:bottom w:val="single" w:sz="8" w:space="0" w:color="FFFFFF" w:themeColor="background1"/>
              <w:right w:val="nil"/>
            </w:tcBorders>
            <w:shd w:val="clear" w:color="auto" w:fill="E9E8E5" w:themeFill="background2"/>
            <w:tcMar>
              <w:left w:w="57" w:type="dxa"/>
              <w:right w:w="57" w:type="dxa"/>
            </w:tcMar>
          </w:tcPr>
          <w:p w:rsidR="00675046" w:rsidRPr="009C1F87" w:rsidRDefault="00675046" w:rsidP="00675046">
            <w:pPr>
              <w:pStyle w:val="TableUnit"/>
              <w:jc w:val="left"/>
              <w:rPr>
                <w:szCs w:val="16"/>
              </w:rPr>
            </w:pPr>
            <w:r>
              <w:rPr>
                <w:szCs w:val="16"/>
              </w:rPr>
              <w:t>CPI - 4%</w:t>
            </w:r>
          </w:p>
        </w:tc>
      </w:tr>
      <w:tr w:rsidR="00675046" w:rsidTr="00675046">
        <w:tc>
          <w:tcPr>
            <w:tcW w:w="1276" w:type="dxa"/>
            <w:tcBorders>
              <w:top w:val="single" w:sz="8" w:space="0" w:color="FFFFFF" w:themeColor="background1"/>
              <w:left w:val="nil"/>
              <w:bottom w:val="single" w:sz="8" w:space="0" w:color="FFFFFF" w:themeColor="background1"/>
              <w:right w:val="nil"/>
            </w:tcBorders>
            <w:shd w:val="clear" w:color="auto" w:fill="E9E8E5" w:themeFill="background2"/>
            <w:tcMar>
              <w:left w:w="57" w:type="dxa"/>
              <w:right w:w="57" w:type="dxa"/>
            </w:tcMar>
          </w:tcPr>
          <w:p w:rsidR="00675046" w:rsidRPr="009C1F87" w:rsidRDefault="00675046" w:rsidP="00675046">
            <w:pPr>
              <w:pStyle w:val="TableDataEntries"/>
              <w:jc w:val="left"/>
              <w:rPr>
                <w:szCs w:val="16"/>
              </w:rPr>
            </w:pPr>
            <w:r w:rsidRPr="009C1F87">
              <w:rPr>
                <w:szCs w:val="16"/>
              </w:rPr>
              <w:t>1992 to 1995</w:t>
            </w:r>
          </w:p>
        </w:tc>
        <w:tc>
          <w:tcPr>
            <w:tcW w:w="3969" w:type="dxa"/>
            <w:tcBorders>
              <w:top w:val="single" w:sz="8" w:space="0" w:color="FFFFFF" w:themeColor="background1"/>
              <w:left w:val="nil"/>
              <w:bottom w:val="single" w:sz="8" w:space="0" w:color="FFFFFF" w:themeColor="background1"/>
              <w:right w:val="nil"/>
            </w:tcBorders>
            <w:shd w:val="clear" w:color="auto" w:fill="E9E8E5" w:themeFill="background2"/>
            <w:tcMar>
              <w:left w:w="57" w:type="dxa"/>
              <w:right w:w="57" w:type="dxa"/>
            </w:tcMar>
          </w:tcPr>
          <w:p w:rsidR="00675046" w:rsidRDefault="00675046" w:rsidP="00675046">
            <w:pPr>
              <w:pStyle w:val="TableDataEntries"/>
              <w:jc w:val="left"/>
              <w:rPr>
                <w:szCs w:val="16"/>
              </w:rPr>
            </w:pPr>
            <w:r w:rsidRPr="009C1F87">
              <w:rPr>
                <w:szCs w:val="16"/>
              </w:rPr>
              <w:t xml:space="preserve">Line rentals, local calls, international calls, </w:t>
            </w:r>
          </w:p>
          <w:p w:rsidR="00675046" w:rsidRPr="009C1F87" w:rsidRDefault="00675046" w:rsidP="00675046">
            <w:pPr>
              <w:pStyle w:val="TableDataEntries"/>
              <w:jc w:val="left"/>
              <w:rPr>
                <w:szCs w:val="16"/>
              </w:rPr>
            </w:pPr>
            <w:proofErr w:type="gramStart"/>
            <w:r w:rsidRPr="009C1F87">
              <w:rPr>
                <w:szCs w:val="16"/>
              </w:rPr>
              <w:t>connection</w:t>
            </w:r>
            <w:proofErr w:type="gramEnd"/>
            <w:r w:rsidRPr="009C1F87">
              <w:rPr>
                <w:szCs w:val="16"/>
              </w:rPr>
              <w:t xml:space="preserve"> services, leased lines, mobile services.</w:t>
            </w:r>
          </w:p>
        </w:tc>
        <w:tc>
          <w:tcPr>
            <w:tcW w:w="2693" w:type="dxa"/>
            <w:tcBorders>
              <w:top w:val="single" w:sz="8" w:space="0" w:color="FFFFFF" w:themeColor="background1"/>
              <w:left w:val="nil"/>
              <w:bottom w:val="single" w:sz="8" w:space="0" w:color="FFFFFF" w:themeColor="background1"/>
              <w:right w:val="nil"/>
            </w:tcBorders>
            <w:shd w:val="clear" w:color="auto" w:fill="E9E8E5" w:themeFill="background2"/>
            <w:tcMar>
              <w:left w:w="57" w:type="dxa"/>
              <w:right w:w="57" w:type="dxa"/>
            </w:tcMar>
            <w:vAlign w:val="center"/>
          </w:tcPr>
          <w:p w:rsidR="00675046" w:rsidRPr="009C1F87" w:rsidRDefault="00675046" w:rsidP="00675046">
            <w:pPr>
              <w:pStyle w:val="TableDataEntries"/>
              <w:jc w:val="left"/>
              <w:rPr>
                <w:szCs w:val="16"/>
              </w:rPr>
            </w:pPr>
            <w:r>
              <w:rPr>
                <w:szCs w:val="16"/>
              </w:rPr>
              <w:t xml:space="preserve">CPI -5.5% </w:t>
            </w:r>
          </w:p>
        </w:tc>
      </w:tr>
      <w:tr w:rsidR="00675046" w:rsidTr="00675046">
        <w:tc>
          <w:tcPr>
            <w:tcW w:w="1276" w:type="dxa"/>
            <w:tcBorders>
              <w:top w:val="single" w:sz="8" w:space="0" w:color="FFFFFF" w:themeColor="background1"/>
              <w:left w:val="nil"/>
              <w:bottom w:val="single" w:sz="8" w:space="0" w:color="FFFFFF" w:themeColor="background1"/>
              <w:right w:val="nil"/>
            </w:tcBorders>
            <w:shd w:val="clear" w:color="auto" w:fill="E9E8E5" w:themeFill="background2"/>
            <w:tcMar>
              <w:left w:w="57" w:type="dxa"/>
              <w:right w:w="57" w:type="dxa"/>
            </w:tcMar>
          </w:tcPr>
          <w:p w:rsidR="00675046" w:rsidRPr="009C1F87" w:rsidRDefault="00675046" w:rsidP="00675046">
            <w:pPr>
              <w:pStyle w:val="TableDataEntries"/>
              <w:jc w:val="left"/>
              <w:rPr>
                <w:szCs w:val="16"/>
              </w:rPr>
            </w:pPr>
            <w:r w:rsidRPr="009C1F87">
              <w:rPr>
                <w:szCs w:val="16"/>
              </w:rPr>
              <w:t>1996 to 1999</w:t>
            </w:r>
          </w:p>
        </w:tc>
        <w:tc>
          <w:tcPr>
            <w:tcW w:w="3969" w:type="dxa"/>
            <w:tcBorders>
              <w:top w:val="single" w:sz="8" w:space="0" w:color="FFFFFF" w:themeColor="background1"/>
              <w:left w:val="nil"/>
              <w:bottom w:val="single" w:sz="8" w:space="0" w:color="FFFFFF" w:themeColor="background1"/>
              <w:right w:val="nil"/>
            </w:tcBorders>
            <w:shd w:val="clear" w:color="auto" w:fill="E9E8E5" w:themeFill="background2"/>
            <w:tcMar>
              <w:left w:w="57" w:type="dxa"/>
              <w:right w:w="57" w:type="dxa"/>
            </w:tcMar>
          </w:tcPr>
          <w:p w:rsidR="00675046" w:rsidRDefault="00675046" w:rsidP="00675046">
            <w:pPr>
              <w:pStyle w:val="TableDataEntries"/>
              <w:jc w:val="left"/>
              <w:rPr>
                <w:szCs w:val="16"/>
              </w:rPr>
            </w:pPr>
            <w:r w:rsidRPr="009C1F87">
              <w:rPr>
                <w:szCs w:val="16"/>
              </w:rPr>
              <w:t xml:space="preserve">Line rentals, local calls, international calls, </w:t>
            </w:r>
          </w:p>
          <w:p w:rsidR="00675046" w:rsidRPr="009C1F87" w:rsidRDefault="00675046" w:rsidP="00675046">
            <w:pPr>
              <w:pStyle w:val="TableDataEntries"/>
              <w:jc w:val="left"/>
              <w:rPr>
                <w:szCs w:val="16"/>
              </w:rPr>
            </w:pPr>
            <w:proofErr w:type="gramStart"/>
            <w:r w:rsidRPr="009C1F87">
              <w:rPr>
                <w:szCs w:val="16"/>
              </w:rPr>
              <w:t>connection</w:t>
            </w:r>
            <w:proofErr w:type="gramEnd"/>
            <w:r w:rsidRPr="009C1F87">
              <w:rPr>
                <w:szCs w:val="16"/>
              </w:rPr>
              <w:t xml:space="preserve"> services, leased lines, mobile services.</w:t>
            </w:r>
          </w:p>
        </w:tc>
        <w:tc>
          <w:tcPr>
            <w:tcW w:w="2693" w:type="dxa"/>
            <w:tcBorders>
              <w:top w:val="single" w:sz="8" w:space="0" w:color="FFFFFF" w:themeColor="background1"/>
              <w:left w:val="nil"/>
              <w:bottom w:val="single" w:sz="8" w:space="0" w:color="FFFFFF" w:themeColor="background1"/>
              <w:right w:val="nil"/>
            </w:tcBorders>
            <w:shd w:val="clear" w:color="auto" w:fill="E9E8E5" w:themeFill="background2"/>
            <w:tcMar>
              <w:left w:w="57" w:type="dxa"/>
              <w:right w:w="57" w:type="dxa"/>
            </w:tcMar>
            <w:vAlign w:val="center"/>
          </w:tcPr>
          <w:p w:rsidR="00675046" w:rsidRPr="009C1F87" w:rsidRDefault="00675046" w:rsidP="00675046">
            <w:pPr>
              <w:pStyle w:val="TableDataEntries"/>
              <w:jc w:val="left"/>
              <w:rPr>
                <w:szCs w:val="16"/>
              </w:rPr>
            </w:pPr>
            <w:r>
              <w:rPr>
                <w:szCs w:val="16"/>
              </w:rPr>
              <w:t xml:space="preserve">CPI + 7.5% </w:t>
            </w:r>
          </w:p>
        </w:tc>
      </w:tr>
      <w:tr w:rsidR="00675046" w:rsidTr="00675046">
        <w:trPr>
          <w:trHeight w:val="580"/>
        </w:trPr>
        <w:tc>
          <w:tcPr>
            <w:tcW w:w="1276" w:type="dxa"/>
            <w:tcBorders>
              <w:top w:val="single" w:sz="8" w:space="0" w:color="FFFFFF" w:themeColor="background1"/>
              <w:left w:val="nil"/>
              <w:bottom w:val="single" w:sz="8" w:space="0" w:color="FFFFFF" w:themeColor="background1"/>
              <w:right w:val="nil"/>
            </w:tcBorders>
            <w:shd w:val="clear" w:color="auto" w:fill="E9E8E5" w:themeFill="background2"/>
            <w:tcMar>
              <w:left w:w="57" w:type="dxa"/>
              <w:right w:w="57" w:type="dxa"/>
            </w:tcMar>
          </w:tcPr>
          <w:p w:rsidR="00675046" w:rsidRPr="009C1F87" w:rsidRDefault="00675046" w:rsidP="00675046">
            <w:pPr>
              <w:pStyle w:val="TableDataEntries"/>
              <w:jc w:val="left"/>
              <w:rPr>
                <w:szCs w:val="16"/>
              </w:rPr>
            </w:pPr>
            <w:r w:rsidRPr="009C1F87">
              <w:rPr>
                <w:szCs w:val="16"/>
              </w:rPr>
              <w:t>1999 to 2001</w:t>
            </w:r>
          </w:p>
        </w:tc>
        <w:tc>
          <w:tcPr>
            <w:tcW w:w="3969" w:type="dxa"/>
            <w:tcBorders>
              <w:top w:val="single" w:sz="8" w:space="0" w:color="FFFFFF" w:themeColor="background1"/>
              <w:left w:val="nil"/>
              <w:bottom w:val="single" w:sz="8" w:space="0" w:color="FFFFFF" w:themeColor="background1"/>
              <w:right w:val="nil"/>
            </w:tcBorders>
            <w:shd w:val="clear" w:color="auto" w:fill="E9E8E5" w:themeFill="background2"/>
            <w:tcMar>
              <w:left w:w="57" w:type="dxa"/>
              <w:right w:w="57" w:type="dxa"/>
            </w:tcMar>
          </w:tcPr>
          <w:p w:rsidR="00675046" w:rsidRDefault="00675046" w:rsidP="00675046">
            <w:pPr>
              <w:pStyle w:val="TableDataEntries"/>
              <w:jc w:val="left"/>
              <w:rPr>
                <w:szCs w:val="16"/>
              </w:rPr>
            </w:pPr>
            <w:r w:rsidRPr="009C1F87">
              <w:rPr>
                <w:szCs w:val="16"/>
              </w:rPr>
              <w:t xml:space="preserve">Line rentals, local calls, international calls, </w:t>
            </w:r>
          </w:p>
          <w:p w:rsidR="00675046" w:rsidRPr="009C1F87" w:rsidRDefault="00675046" w:rsidP="00675046">
            <w:pPr>
              <w:pStyle w:val="TableDataEntries"/>
              <w:jc w:val="left"/>
              <w:rPr>
                <w:szCs w:val="16"/>
              </w:rPr>
            </w:pPr>
            <w:proofErr w:type="gramStart"/>
            <w:r w:rsidRPr="009C1F87">
              <w:rPr>
                <w:szCs w:val="16"/>
              </w:rPr>
              <w:t>connection</w:t>
            </w:r>
            <w:proofErr w:type="gramEnd"/>
            <w:r w:rsidRPr="009C1F87">
              <w:rPr>
                <w:szCs w:val="16"/>
              </w:rPr>
              <w:t xml:space="preserve"> services, leased lines, mobile services.</w:t>
            </w:r>
          </w:p>
        </w:tc>
        <w:tc>
          <w:tcPr>
            <w:tcW w:w="2693" w:type="dxa"/>
            <w:tcBorders>
              <w:top w:val="single" w:sz="8" w:space="0" w:color="FFFFFF" w:themeColor="background1"/>
              <w:left w:val="nil"/>
              <w:bottom w:val="single" w:sz="8" w:space="0" w:color="FFFFFF" w:themeColor="background1"/>
              <w:right w:val="nil"/>
            </w:tcBorders>
            <w:shd w:val="clear" w:color="auto" w:fill="E9E8E5" w:themeFill="background2"/>
            <w:tcMar>
              <w:left w:w="57" w:type="dxa"/>
              <w:right w:w="57" w:type="dxa"/>
            </w:tcMar>
            <w:vAlign w:val="center"/>
          </w:tcPr>
          <w:p w:rsidR="00675046" w:rsidRPr="009C1F87" w:rsidRDefault="00675046" w:rsidP="00675046">
            <w:pPr>
              <w:pStyle w:val="TableDataEntries"/>
              <w:jc w:val="left"/>
              <w:rPr>
                <w:szCs w:val="16"/>
              </w:rPr>
            </w:pPr>
            <w:r>
              <w:rPr>
                <w:szCs w:val="16"/>
              </w:rPr>
              <w:t>CPI - 5.5%</w:t>
            </w:r>
          </w:p>
        </w:tc>
      </w:tr>
      <w:tr w:rsidR="00675046" w:rsidTr="005C7B71">
        <w:trPr>
          <w:cantSplit/>
        </w:trPr>
        <w:tc>
          <w:tcPr>
            <w:tcW w:w="1276" w:type="dxa"/>
            <w:tcBorders>
              <w:top w:val="single" w:sz="8" w:space="0" w:color="FFFFFF" w:themeColor="background1"/>
              <w:left w:val="nil"/>
              <w:bottom w:val="single" w:sz="8" w:space="0" w:color="FFFFFF" w:themeColor="background1"/>
              <w:right w:val="nil"/>
            </w:tcBorders>
            <w:shd w:val="clear" w:color="auto" w:fill="E9E8E5" w:themeFill="background2"/>
            <w:tcMar>
              <w:left w:w="57" w:type="dxa"/>
              <w:right w:w="57" w:type="dxa"/>
            </w:tcMar>
          </w:tcPr>
          <w:p w:rsidR="00675046" w:rsidRPr="009C1F87" w:rsidRDefault="00675046" w:rsidP="00675046">
            <w:pPr>
              <w:pStyle w:val="TableDataEntries"/>
              <w:jc w:val="left"/>
              <w:rPr>
                <w:szCs w:val="16"/>
              </w:rPr>
            </w:pPr>
            <w:r w:rsidRPr="009C1F87">
              <w:rPr>
                <w:szCs w:val="16"/>
              </w:rPr>
              <w:t>2002 to 2005</w:t>
            </w:r>
          </w:p>
        </w:tc>
        <w:tc>
          <w:tcPr>
            <w:tcW w:w="3969" w:type="dxa"/>
            <w:tcBorders>
              <w:top w:val="single" w:sz="8" w:space="0" w:color="FFFFFF" w:themeColor="background1"/>
              <w:left w:val="nil"/>
              <w:bottom w:val="single" w:sz="8" w:space="0" w:color="FFFFFF" w:themeColor="background1"/>
              <w:right w:val="nil"/>
            </w:tcBorders>
            <w:shd w:val="clear" w:color="auto" w:fill="E9E8E5" w:themeFill="background2"/>
            <w:tcMar>
              <w:left w:w="57" w:type="dxa"/>
              <w:right w:w="57" w:type="dxa"/>
            </w:tcMar>
          </w:tcPr>
          <w:p w:rsidR="00675046" w:rsidRPr="009C1F87" w:rsidRDefault="00675046" w:rsidP="009C1B85">
            <w:pPr>
              <w:pStyle w:val="TableDataEntries"/>
              <w:numPr>
                <w:ilvl w:val="0"/>
                <w:numId w:val="17"/>
              </w:numPr>
              <w:ind w:left="360"/>
              <w:jc w:val="left"/>
              <w:rPr>
                <w:szCs w:val="16"/>
              </w:rPr>
            </w:pPr>
            <w:r w:rsidRPr="009C1F87">
              <w:rPr>
                <w:szCs w:val="16"/>
              </w:rPr>
              <w:t>Local, trunk, international calls</w:t>
            </w:r>
          </w:p>
          <w:p w:rsidR="00675046" w:rsidRPr="009C1F87" w:rsidRDefault="00675046" w:rsidP="009C1B85">
            <w:pPr>
              <w:pStyle w:val="TableDataEntries"/>
              <w:numPr>
                <w:ilvl w:val="0"/>
                <w:numId w:val="17"/>
              </w:numPr>
              <w:ind w:left="360"/>
              <w:jc w:val="left"/>
              <w:rPr>
                <w:szCs w:val="16"/>
              </w:rPr>
            </w:pPr>
            <w:r w:rsidRPr="009C1F87">
              <w:rPr>
                <w:szCs w:val="16"/>
              </w:rPr>
              <w:t xml:space="preserve">Business and residential line rentals </w:t>
            </w:r>
          </w:p>
          <w:p w:rsidR="00675046" w:rsidRPr="009C1F87" w:rsidRDefault="00675046" w:rsidP="009C1B85">
            <w:pPr>
              <w:pStyle w:val="TableDataEntries"/>
              <w:numPr>
                <w:ilvl w:val="0"/>
                <w:numId w:val="17"/>
              </w:numPr>
              <w:ind w:left="360"/>
              <w:jc w:val="left"/>
              <w:rPr>
                <w:szCs w:val="16"/>
              </w:rPr>
            </w:pPr>
            <w:r w:rsidRPr="009C1F87">
              <w:rPr>
                <w:szCs w:val="16"/>
              </w:rPr>
              <w:t>Connection services</w:t>
            </w:r>
          </w:p>
        </w:tc>
        <w:tc>
          <w:tcPr>
            <w:tcW w:w="2693" w:type="dxa"/>
            <w:tcBorders>
              <w:top w:val="single" w:sz="8" w:space="0" w:color="FFFFFF" w:themeColor="background1"/>
              <w:left w:val="nil"/>
              <w:bottom w:val="single" w:sz="8" w:space="0" w:color="FFFFFF" w:themeColor="background1"/>
              <w:right w:val="nil"/>
            </w:tcBorders>
            <w:shd w:val="clear" w:color="auto" w:fill="E9E8E5" w:themeFill="background2"/>
            <w:tcMar>
              <w:left w:w="57" w:type="dxa"/>
              <w:right w:w="57" w:type="dxa"/>
            </w:tcMar>
          </w:tcPr>
          <w:p w:rsidR="00675046" w:rsidRPr="009C1F87" w:rsidRDefault="00675046" w:rsidP="009C1B85">
            <w:pPr>
              <w:pStyle w:val="TableDataEntries"/>
              <w:numPr>
                <w:ilvl w:val="0"/>
                <w:numId w:val="20"/>
              </w:numPr>
              <w:jc w:val="left"/>
              <w:rPr>
                <w:szCs w:val="16"/>
              </w:rPr>
            </w:pPr>
            <w:r>
              <w:rPr>
                <w:szCs w:val="16"/>
              </w:rPr>
              <w:t>CPI – 4.5%</w:t>
            </w:r>
          </w:p>
          <w:p w:rsidR="00675046" w:rsidRPr="009C1F87" w:rsidRDefault="00675046" w:rsidP="009C1B85">
            <w:pPr>
              <w:pStyle w:val="TableDataEntries"/>
              <w:numPr>
                <w:ilvl w:val="0"/>
                <w:numId w:val="20"/>
              </w:numPr>
              <w:jc w:val="left"/>
              <w:rPr>
                <w:szCs w:val="16"/>
              </w:rPr>
            </w:pPr>
            <w:r>
              <w:rPr>
                <w:szCs w:val="16"/>
              </w:rPr>
              <w:t>CPI + 4.0%</w:t>
            </w:r>
          </w:p>
          <w:p w:rsidR="00675046" w:rsidRPr="009C1F87" w:rsidRDefault="00675046" w:rsidP="009C1B85">
            <w:pPr>
              <w:pStyle w:val="TableDataEntries"/>
              <w:numPr>
                <w:ilvl w:val="0"/>
                <w:numId w:val="20"/>
              </w:numPr>
              <w:jc w:val="left"/>
              <w:rPr>
                <w:szCs w:val="16"/>
              </w:rPr>
            </w:pPr>
            <w:r>
              <w:rPr>
                <w:szCs w:val="16"/>
              </w:rPr>
              <w:t>CPI – 0%</w:t>
            </w:r>
          </w:p>
        </w:tc>
      </w:tr>
      <w:tr w:rsidR="00675046" w:rsidTr="00675046">
        <w:tc>
          <w:tcPr>
            <w:tcW w:w="1276" w:type="dxa"/>
            <w:tcBorders>
              <w:top w:val="single" w:sz="8" w:space="0" w:color="FFFFFF" w:themeColor="background1"/>
              <w:left w:val="nil"/>
              <w:bottom w:val="single" w:sz="6" w:space="0" w:color="6F6652"/>
              <w:right w:val="nil"/>
            </w:tcBorders>
            <w:shd w:val="clear" w:color="auto" w:fill="E9E8E5" w:themeFill="background2"/>
            <w:tcMar>
              <w:left w:w="57" w:type="dxa"/>
              <w:right w:w="57" w:type="dxa"/>
            </w:tcMar>
          </w:tcPr>
          <w:p w:rsidR="00675046" w:rsidRPr="009C1F87" w:rsidRDefault="00675046" w:rsidP="00675046">
            <w:pPr>
              <w:pStyle w:val="TableDataEntries"/>
              <w:jc w:val="left"/>
              <w:rPr>
                <w:szCs w:val="16"/>
              </w:rPr>
            </w:pPr>
            <w:r w:rsidRPr="009C1F87">
              <w:rPr>
                <w:szCs w:val="16"/>
              </w:rPr>
              <w:t xml:space="preserve">2006 to </w:t>
            </w:r>
            <w:r>
              <w:rPr>
                <w:szCs w:val="16"/>
              </w:rPr>
              <w:t>2014</w:t>
            </w:r>
            <w:r w:rsidRPr="009C1F87">
              <w:rPr>
                <w:szCs w:val="16"/>
              </w:rPr>
              <w:t xml:space="preserve"> </w:t>
            </w:r>
          </w:p>
        </w:tc>
        <w:tc>
          <w:tcPr>
            <w:tcW w:w="3969" w:type="dxa"/>
            <w:tcBorders>
              <w:top w:val="single" w:sz="8" w:space="0" w:color="FFFFFF" w:themeColor="background1"/>
              <w:left w:val="nil"/>
              <w:bottom w:val="single" w:sz="6" w:space="0" w:color="6F6652"/>
              <w:right w:val="nil"/>
            </w:tcBorders>
            <w:shd w:val="clear" w:color="auto" w:fill="E9E8E5" w:themeFill="background2"/>
            <w:tcMar>
              <w:left w:w="57" w:type="dxa"/>
              <w:right w:w="57" w:type="dxa"/>
            </w:tcMar>
          </w:tcPr>
          <w:p w:rsidR="00675046" w:rsidRPr="009C1F87" w:rsidRDefault="00675046" w:rsidP="009C1B85">
            <w:pPr>
              <w:pStyle w:val="TableDataEntries"/>
              <w:numPr>
                <w:ilvl w:val="0"/>
                <w:numId w:val="18"/>
              </w:numPr>
              <w:ind w:left="360"/>
              <w:jc w:val="left"/>
              <w:rPr>
                <w:szCs w:val="16"/>
              </w:rPr>
            </w:pPr>
            <w:r w:rsidRPr="009C1F87">
              <w:rPr>
                <w:szCs w:val="16"/>
              </w:rPr>
              <w:t>Local, trunk, international calls</w:t>
            </w:r>
            <w:r>
              <w:rPr>
                <w:szCs w:val="16"/>
              </w:rPr>
              <w:t>, line rentals</w:t>
            </w:r>
          </w:p>
          <w:p w:rsidR="00675046" w:rsidRPr="009C1F87" w:rsidRDefault="00675046" w:rsidP="009C1B85">
            <w:pPr>
              <w:pStyle w:val="TableDataEntries"/>
              <w:numPr>
                <w:ilvl w:val="0"/>
                <w:numId w:val="18"/>
              </w:numPr>
              <w:ind w:left="360"/>
              <w:jc w:val="left"/>
              <w:rPr>
                <w:szCs w:val="16"/>
              </w:rPr>
            </w:pPr>
            <w:r>
              <w:rPr>
                <w:szCs w:val="16"/>
              </w:rPr>
              <w:t xml:space="preserve">Basic line rental services </w:t>
            </w:r>
            <w:r w:rsidRPr="009C1F87">
              <w:rPr>
                <w:szCs w:val="16"/>
              </w:rPr>
              <w:t xml:space="preserve">to consumers </w:t>
            </w:r>
          </w:p>
          <w:p w:rsidR="00675046" w:rsidRPr="009C1F87" w:rsidRDefault="00675046" w:rsidP="009C1B85">
            <w:pPr>
              <w:pStyle w:val="TableDataEntries"/>
              <w:numPr>
                <w:ilvl w:val="0"/>
                <w:numId w:val="18"/>
              </w:numPr>
              <w:ind w:left="360"/>
              <w:jc w:val="left"/>
              <w:rPr>
                <w:szCs w:val="16"/>
              </w:rPr>
            </w:pPr>
            <w:r>
              <w:rPr>
                <w:szCs w:val="16"/>
              </w:rPr>
              <w:t>Basic l</w:t>
            </w:r>
            <w:r w:rsidRPr="009C1F87">
              <w:rPr>
                <w:szCs w:val="16"/>
              </w:rPr>
              <w:t xml:space="preserve">ine rentals </w:t>
            </w:r>
            <w:r>
              <w:rPr>
                <w:szCs w:val="16"/>
              </w:rPr>
              <w:t xml:space="preserve">services </w:t>
            </w:r>
            <w:r w:rsidRPr="009C1F87">
              <w:rPr>
                <w:szCs w:val="16"/>
              </w:rPr>
              <w:t xml:space="preserve">to business </w:t>
            </w:r>
          </w:p>
          <w:p w:rsidR="00675046" w:rsidRPr="009C1F87" w:rsidRDefault="00675046" w:rsidP="009C1B85">
            <w:pPr>
              <w:pStyle w:val="TableDataEntries"/>
              <w:numPr>
                <w:ilvl w:val="0"/>
                <w:numId w:val="18"/>
              </w:numPr>
              <w:ind w:left="360"/>
              <w:jc w:val="left"/>
              <w:rPr>
                <w:szCs w:val="16"/>
              </w:rPr>
            </w:pPr>
            <w:r w:rsidRPr="009C1F87">
              <w:rPr>
                <w:szCs w:val="16"/>
              </w:rPr>
              <w:t>Connection services</w:t>
            </w:r>
          </w:p>
        </w:tc>
        <w:tc>
          <w:tcPr>
            <w:tcW w:w="2693" w:type="dxa"/>
            <w:tcBorders>
              <w:top w:val="single" w:sz="8" w:space="0" w:color="FFFFFF" w:themeColor="background1"/>
              <w:left w:val="nil"/>
              <w:bottom w:val="single" w:sz="6" w:space="0" w:color="6F6652"/>
              <w:right w:val="nil"/>
            </w:tcBorders>
            <w:shd w:val="clear" w:color="auto" w:fill="E9E8E5" w:themeFill="background2"/>
            <w:tcMar>
              <w:left w:w="57" w:type="dxa"/>
              <w:right w:w="57" w:type="dxa"/>
            </w:tcMar>
          </w:tcPr>
          <w:p w:rsidR="00675046" w:rsidRPr="009C1F87" w:rsidRDefault="00675046" w:rsidP="009C1B85">
            <w:pPr>
              <w:pStyle w:val="TableDataEntries"/>
              <w:numPr>
                <w:ilvl w:val="0"/>
                <w:numId w:val="19"/>
              </w:numPr>
              <w:jc w:val="left"/>
              <w:rPr>
                <w:szCs w:val="16"/>
              </w:rPr>
            </w:pPr>
            <w:r>
              <w:rPr>
                <w:szCs w:val="16"/>
              </w:rPr>
              <w:t>0.0%</w:t>
            </w:r>
          </w:p>
          <w:p w:rsidR="00675046" w:rsidRPr="009C1F87" w:rsidRDefault="00675046" w:rsidP="009C1B85">
            <w:pPr>
              <w:pStyle w:val="TableDataEntries"/>
              <w:numPr>
                <w:ilvl w:val="0"/>
                <w:numId w:val="19"/>
              </w:numPr>
              <w:jc w:val="left"/>
              <w:rPr>
                <w:szCs w:val="16"/>
              </w:rPr>
            </w:pPr>
            <w:r>
              <w:rPr>
                <w:szCs w:val="16"/>
              </w:rPr>
              <w:t>CPI</w:t>
            </w:r>
          </w:p>
          <w:p w:rsidR="00675046" w:rsidRPr="009C1F87" w:rsidRDefault="00675046" w:rsidP="009C1B85">
            <w:pPr>
              <w:pStyle w:val="TableDataEntries"/>
              <w:numPr>
                <w:ilvl w:val="0"/>
                <w:numId w:val="19"/>
              </w:numPr>
              <w:jc w:val="left"/>
              <w:rPr>
                <w:szCs w:val="16"/>
              </w:rPr>
            </w:pPr>
            <w:r>
              <w:rPr>
                <w:szCs w:val="16"/>
              </w:rPr>
              <w:t>CPI</w:t>
            </w:r>
          </w:p>
          <w:p w:rsidR="00675046" w:rsidRPr="009C1F87" w:rsidRDefault="00675046" w:rsidP="009C1B85">
            <w:pPr>
              <w:pStyle w:val="TableDataEntries"/>
              <w:numPr>
                <w:ilvl w:val="0"/>
                <w:numId w:val="19"/>
              </w:numPr>
              <w:jc w:val="left"/>
              <w:rPr>
                <w:szCs w:val="16"/>
              </w:rPr>
            </w:pPr>
            <w:r>
              <w:rPr>
                <w:szCs w:val="16"/>
              </w:rPr>
              <w:t>CPI</w:t>
            </w:r>
          </w:p>
        </w:tc>
      </w:tr>
    </w:tbl>
    <w:p w:rsidR="00675046" w:rsidRDefault="00675046" w:rsidP="00675046">
      <w:pPr>
        <w:pStyle w:val="Note"/>
      </w:pPr>
      <w:r w:rsidRPr="007D1B4F">
        <w:rPr>
          <w:i/>
        </w:rPr>
        <w:t>Note:</w:t>
      </w:r>
      <w:r w:rsidRPr="00E879B8">
        <w:t xml:space="preserve"> </w:t>
      </w:r>
      <w:r>
        <w:t>Sub-caps often apply to services within the baskets identified above.</w:t>
      </w:r>
    </w:p>
    <w:p w:rsidR="00675046" w:rsidRDefault="00675046" w:rsidP="00675046">
      <w:pPr>
        <w:pStyle w:val="Source"/>
      </w:pPr>
      <w:proofErr w:type="gramStart"/>
      <w:r>
        <w:rPr>
          <w:i/>
        </w:rPr>
        <w:t>Sources</w:t>
      </w:r>
      <w:r w:rsidRPr="00E4232C">
        <w:rPr>
          <w:i/>
        </w:rPr>
        <w:t>:</w:t>
      </w:r>
      <w:r>
        <w:t xml:space="preserve"> ACCC, CIE</w:t>
      </w:r>
      <w:r w:rsidR="00402F0D">
        <w:t>.</w:t>
      </w:r>
      <w:proofErr w:type="gramEnd"/>
      <w:r>
        <w:t xml:space="preserve"> </w:t>
      </w:r>
    </w:p>
    <w:p w:rsidR="00675046" w:rsidRPr="003702E1" w:rsidRDefault="00675046" w:rsidP="00675046">
      <w:pPr>
        <w:pStyle w:val="Heading3"/>
      </w:pPr>
      <w:r>
        <w:t>O</w:t>
      </w:r>
      <w:r w:rsidRPr="003702E1">
        <w:t xml:space="preserve">bjectives sought from the </w:t>
      </w:r>
      <w:r>
        <w:t xml:space="preserve">retail </w:t>
      </w:r>
      <w:r w:rsidRPr="003702E1">
        <w:t>price controls</w:t>
      </w:r>
    </w:p>
    <w:p w:rsidR="00675046" w:rsidRDefault="00675046" w:rsidP="00675046">
      <w:pPr>
        <w:pStyle w:val="ListBullet"/>
        <w:numPr>
          <w:ilvl w:val="0"/>
          <w:numId w:val="0"/>
        </w:numPr>
        <w:spacing w:before="140"/>
      </w:pPr>
      <w:r>
        <w:t>Currently, Telstra retail price controls seek to address four policy objectives</w:t>
      </w:r>
      <w:r w:rsidR="00402F0D">
        <w:t>.</w:t>
      </w:r>
    </w:p>
    <w:p w:rsidR="00675046" w:rsidRPr="00F543C4" w:rsidRDefault="00402F0D" w:rsidP="009C1B85">
      <w:pPr>
        <w:pStyle w:val="ListNumber"/>
        <w:numPr>
          <w:ilvl w:val="0"/>
          <w:numId w:val="38"/>
        </w:numPr>
      </w:pPr>
      <w:r>
        <w:t>A</w:t>
      </w:r>
      <w:r w:rsidR="00675046" w:rsidRPr="00F543C4">
        <w:t>ddress a lack of competitive tension in Telstra’s fixed-line service pricing</w:t>
      </w:r>
    </w:p>
    <w:p w:rsidR="00675046" w:rsidRPr="00F543C4" w:rsidRDefault="00402F0D" w:rsidP="009C1B85">
      <w:pPr>
        <w:pStyle w:val="ListNumber"/>
        <w:numPr>
          <w:ilvl w:val="0"/>
          <w:numId w:val="38"/>
        </w:numPr>
      </w:pPr>
      <w:r>
        <w:t>P</w:t>
      </w:r>
      <w:r w:rsidR="00675046" w:rsidRPr="00F543C4">
        <w:t>romote greater social equity in ensuring affordability of access</w:t>
      </w:r>
    </w:p>
    <w:p w:rsidR="00675046" w:rsidRPr="00F543C4" w:rsidRDefault="00402F0D" w:rsidP="009C1B85">
      <w:pPr>
        <w:pStyle w:val="ListNumber"/>
        <w:numPr>
          <w:ilvl w:val="0"/>
          <w:numId w:val="38"/>
        </w:numPr>
      </w:pPr>
      <w:r>
        <w:t>E</w:t>
      </w:r>
      <w:r w:rsidR="00675046" w:rsidRPr="00F543C4">
        <w:t>nsure that efficiency benefits are passed on to customers</w:t>
      </w:r>
    </w:p>
    <w:p w:rsidR="00675046" w:rsidRDefault="00402F0D" w:rsidP="009C1B85">
      <w:pPr>
        <w:pStyle w:val="ListNumber"/>
        <w:numPr>
          <w:ilvl w:val="0"/>
          <w:numId w:val="38"/>
        </w:numPr>
      </w:pPr>
      <w:r>
        <w:t>S</w:t>
      </w:r>
      <w:r w:rsidR="00675046" w:rsidRPr="00F543C4">
        <w:t xml:space="preserve">afeguarded </w:t>
      </w:r>
      <w:proofErr w:type="gramStart"/>
      <w:r w:rsidR="00675046" w:rsidRPr="00F543C4">
        <w:t>low income</w:t>
      </w:r>
      <w:proofErr w:type="gramEnd"/>
      <w:r w:rsidR="00675046" w:rsidRPr="00F543C4">
        <w:t xml:space="preserve"> consumers</w:t>
      </w:r>
      <w:r w:rsidR="00385261">
        <w:t>.</w:t>
      </w:r>
    </w:p>
    <w:p w:rsidR="00402F0D" w:rsidRPr="00F543C4" w:rsidRDefault="00402F0D" w:rsidP="00402F0D">
      <w:pPr>
        <w:pStyle w:val="BodyText"/>
      </w:pPr>
      <w:r>
        <w:t>In essence, objectives 1 and 3 are about market power and objectives 2 and 4 are about social equity.</w:t>
      </w:r>
    </w:p>
    <w:p w:rsidR="00675046" w:rsidRDefault="00675046" w:rsidP="00675046">
      <w:pPr>
        <w:pStyle w:val="Heading2"/>
      </w:pPr>
      <w:bookmarkStart w:id="47" w:name="_Toc381784732"/>
      <w:bookmarkStart w:id="48" w:name="_Toc388269616"/>
      <w:r>
        <w:t xml:space="preserve">Other </w:t>
      </w:r>
      <w:r w:rsidR="004F2C9F">
        <w:t>go</w:t>
      </w:r>
      <w:r>
        <w:t>vernment interventions in telecommunications markets</w:t>
      </w:r>
      <w:bookmarkEnd w:id="47"/>
      <w:bookmarkEnd w:id="48"/>
    </w:p>
    <w:p w:rsidR="00675046" w:rsidRDefault="00675046" w:rsidP="00675046">
      <w:pPr>
        <w:pStyle w:val="BodyText"/>
      </w:pPr>
      <w:r>
        <w:t xml:space="preserve">The Government intervenes in a number of other ways into telecommunications markets. These interventions often seek to achieve the same objectives as retail price controls. For example, wholesale access and price regulation aims to address issues of market power. Understanding this context is important because it influences what the counterfactual would be in the absence of retail price controls. The main interventions made by the Government are set out below, where these </w:t>
      </w:r>
      <w:proofErr w:type="gramStart"/>
      <w:r>
        <w:t>are expected</w:t>
      </w:r>
      <w:proofErr w:type="gramEnd"/>
      <w:r>
        <w:t xml:space="preserve"> to overlap with objectives of retail price controls.</w:t>
      </w:r>
      <w:r w:rsidR="00EB5D1D">
        <w:t xml:space="preserve"> A detailed set of Government interventions is set out in Attachment A.</w:t>
      </w:r>
    </w:p>
    <w:p w:rsidR="00675046" w:rsidRDefault="00675046" w:rsidP="00675046">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1</w:instrText>
        </w:r>
      </w:fldSimple>
      <w:r w:rsidRPr="00695C93">
        <w:instrText xml:space="preserve"> = 0 "" "</w:instrText>
      </w:r>
      <w:fldSimple w:instr=" STYLEREF &quot;Heading 1&quot; \l \n ">
        <w:r w:rsidR="00304215">
          <w:rPr>
            <w:noProof/>
          </w:rPr>
          <w:instrText>1</w:instrText>
        </w:r>
      </w:fldSimple>
      <w:r w:rsidRPr="00695C93">
        <w:instrText xml:space="preserve">." </w:instrText>
      </w:r>
      <w:r w:rsidRPr="00695C93">
        <w:fldChar w:fldCharType="separate"/>
      </w:r>
      <w:r w:rsidR="00304215">
        <w:rPr>
          <w:noProof/>
        </w:rPr>
        <w:instrText>1</w:instrText>
      </w:r>
      <w:r w:rsidR="00304215" w:rsidRPr="00695C93">
        <w:rPr>
          <w:noProof/>
        </w:rPr>
        <w:instrText>.</w:instrText>
      </w:r>
      <w:r w:rsidRPr="00695C93">
        <w:fldChar w:fldCharType="end"/>
      </w:r>
      <w:r w:rsidRPr="00695C93">
        <w:instrText>" "</w:instrText>
      </w:r>
      <w:fldSimple w:instr=" STYLEREF &quot;Heading 6&quot; \l \n ">
        <w:r>
          <w:rPr>
            <w:noProof/>
          </w:rPr>
          <w:instrText>A</w:instrText>
        </w:r>
      </w:fldSimple>
      <w:r w:rsidRPr="00695C93">
        <w:instrText xml:space="preserve">." </w:instrText>
      </w:r>
      <w:r w:rsidRPr="00695C93">
        <w:fldChar w:fldCharType="separate"/>
      </w:r>
      <w:r w:rsidR="00584F9A">
        <w:rPr>
          <w:noProof/>
        </w:rPr>
        <w:instrText>1</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1</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2</w:instrText>
      </w:r>
      <w:r w:rsidRPr="00695C93">
        <w:fldChar w:fldCharType="end"/>
      </w:r>
      <w:r w:rsidRPr="00695C93">
        <w:instrText xml:space="preserve">" "" </w:instrText>
      </w:r>
      <w:r w:rsidRPr="00695C93">
        <w:fldChar w:fldCharType="separate"/>
      </w:r>
      <w:bookmarkStart w:id="49" w:name="_Caption9085"/>
      <w:bookmarkStart w:id="50" w:name="_Caption8819"/>
      <w:bookmarkStart w:id="51" w:name="_Caption9999"/>
      <w:bookmarkStart w:id="52" w:name="_Caption3378"/>
      <w:bookmarkStart w:id="53" w:name="_Caption7008"/>
      <w:bookmarkStart w:id="54" w:name="_Caption9482"/>
      <w:bookmarkStart w:id="55" w:name="_Caption6840"/>
      <w:bookmarkStart w:id="56" w:name="_Caption5063"/>
      <w:bookmarkStart w:id="57" w:name="_Caption1420"/>
      <w:bookmarkStart w:id="58" w:name="_Caption7502"/>
      <w:bookmarkStart w:id="59" w:name="_Caption5667"/>
      <w:bookmarkStart w:id="60" w:name="_Caption8364"/>
      <w:bookmarkStart w:id="61" w:name="_Caption8925"/>
      <w:bookmarkStart w:id="62" w:name="_Caption7758"/>
      <w:bookmarkStart w:id="63" w:name="_Caption7153"/>
      <w:bookmarkStart w:id="64" w:name="_Caption4760"/>
      <w:bookmarkStart w:id="65" w:name="_Caption5526"/>
      <w:bookmarkStart w:id="66" w:name="_Caption7368"/>
      <w:bookmarkStart w:id="67" w:name="_Caption7479"/>
      <w:bookmarkStart w:id="68" w:name="_Caption7531"/>
      <w:bookmarkStart w:id="69" w:name="_Caption1555"/>
      <w:bookmarkStart w:id="70" w:name="_Caption2060"/>
      <w:bookmarkStart w:id="71" w:name="_Caption1846"/>
      <w:bookmarkStart w:id="72" w:name="_Caption0735"/>
      <w:bookmarkStart w:id="73" w:name="_Caption7322"/>
      <w:bookmarkStart w:id="74" w:name="_Caption3868"/>
      <w:bookmarkStart w:id="75" w:name="_Caption7700"/>
      <w:bookmarkStart w:id="76" w:name="_Caption7605"/>
      <w:bookmarkStart w:id="77" w:name="_Caption8417"/>
      <w:bookmarkStart w:id="78" w:name="_Caption9457"/>
      <w:bookmarkStart w:id="79" w:name="_Caption3010"/>
      <w:bookmarkStart w:id="80" w:name="_Caption8072"/>
      <w:bookmarkStart w:id="81" w:name="_Caption0243"/>
      <w:bookmarkStart w:id="82" w:name="_Caption0997"/>
      <w:bookmarkStart w:id="83" w:name="_Caption6052"/>
      <w:bookmarkStart w:id="84" w:name="_Caption7199"/>
      <w:bookmarkStart w:id="85" w:name="_Caption8812"/>
      <w:bookmarkStart w:id="86" w:name="_Caption0767"/>
      <w:bookmarkStart w:id="87" w:name="_Toc381784716"/>
      <w:bookmarkStart w:id="88" w:name="_Toc391972935"/>
      <w:r w:rsidR="00584F9A">
        <w:rPr>
          <w:noProof/>
        </w:rPr>
        <w:t>1</w:t>
      </w:r>
      <w:r w:rsidR="00584F9A" w:rsidRPr="00695C93">
        <w:rPr>
          <w:noProof/>
        </w:rPr>
        <w:t>.</w:t>
      </w:r>
      <w:r w:rsidR="00584F9A">
        <w:rPr>
          <w:noProof/>
        </w:rPr>
        <w:t>2</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695C93">
        <w:fldChar w:fldCharType="end"/>
      </w:r>
      <w:r w:rsidRPr="00695C93">
        <w:tab/>
      </w:r>
      <w:r>
        <w:t>Areas of regulation in the telecommunication sector</w:t>
      </w:r>
      <w:bookmarkEnd w:id="87"/>
      <w:bookmarkEnd w:id="88"/>
      <w:r>
        <w:t xml:space="preserve"> </w:t>
      </w:r>
    </w:p>
    <w:p w:rsidR="00406ED7" w:rsidRDefault="002C073A" w:rsidP="00406ED7">
      <w:pPr>
        <w:pStyle w:val="Subtitlebox"/>
        <w:numPr>
          <w:ilvl w:val="0"/>
          <w:numId w:val="0"/>
        </w:numPr>
      </w:pPr>
      <w:r>
        <w:rPr>
          <w:noProof/>
        </w:rPr>
        <mc:AlternateContent>
          <mc:Choice Requires="wps">
            <w:drawing>
              <wp:anchor distT="0" distB="0" distL="114300" distR="114300" simplePos="0" relativeHeight="251711488" behindDoc="0" locked="0" layoutInCell="1" allowOverlap="1" wp14:anchorId="6F7EF731" wp14:editId="74DE097C">
                <wp:simplePos x="0" y="0"/>
                <wp:positionH relativeFrom="column">
                  <wp:posOffset>3331210</wp:posOffset>
                </wp:positionH>
                <wp:positionV relativeFrom="paragraph">
                  <wp:posOffset>55626</wp:posOffset>
                </wp:positionV>
                <wp:extent cx="1649730" cy="264795"/>
                <wp:effectExtent l="0" t="0" r="0" b="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264795"/>
                        </a:xfrm>
                        <a:prstGeom prst="rect">
                          <a:avLst/>
                        </a:prstGeom>
                        <a:solidFill>
                          <a:srgbClr val="FFFFFF">
                            <a:alpha val="0"/>
                          </a:srgbClr>
                        </a:solidFill>
                        <a:ln w="9525">
                          <a:noFill/>
                          <a:miter lim="800000"/>
                          <a:headEnd/>
                          <a:tailEnd/>
                        </a:ln>
                      </wps:spPr>
                      <wps:txbx>
                        <w:txbxContent>
                          <w:p w:rsidR="002C073A" w:rsidRDefault="002C073A" w:rsidP="002C073A">
                            <w:r w:rsidRPr="00F34B44">
                              <w:rPr>
                                <w:rStyle w:val="DraftingNote"/>
                                <w:rFonts w:ascii="Franklin Gothic Book" w:hAnsi="Franklin Gothic Book"/>
                                <w:color w:val="000000" w:themeColor="text1"/>
                                <w:sz w:val="18"/>
                                <w:szCs w:val="18"/>
                                <w:u w:val="none"/>
                              </w:rPr>
                              <w:t>Other regulatory 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3pt;margin-top:4.4pt;width:129.9pt;height:20.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" stroked="f">
                <v:fill opacity="0"/>
                <v:textbox>
                  <w:txbxContent>
                    <w:p w:rsidR="002C073A" w:rsidRDefault="002C073A" w:rsidP="002C073A">
                      <w:r w:rsidRPr="00F34B44">
                        <w:rPr>
                          <w:rStyle w:val="DraftingNote"/>
                          <w:rFonts w:ascii="Franklin Gothic Book" w:hAnsi="Franklin Gothic Book"/>
                          <w:color w:val="000000" w:themeColor="text1"/>
                          <w:sz w:val="18"/>
                          <w:szCs w:val="18"/>
                          <w:u w:val="none"/>
                        </w:rPr>
                        <w:t>Other regulatory intervention</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74B32996" wp14:editId="184F44F3">
                <wp:simplePos x="0" y="0"/>
                <wp:positionH relativeFrom="column">
                  <wp:posOffset>1976755</wp:posOffset>
                </wp:positionH>
                <wp:positionV relativeFrom="paragraph">
                  <wp:posOffset>67564</wp:posOffset>
                </wp:positionV>
                <wp:extent cx="1033145" cy="264795"/>
                <wp:effectExtent l="0" t="0" r="0" b="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264795"/>
                        </a:xfrm>
                        <a:prstGeom prst="rect">
                          <a:avLst/>
                        </a:prstGeom>
                        <a:solidFill>
                          <a:srgbClr val="FFFFFF">
                            <a:alpha val="0"/>
                          </a:srgbClr>
                        </a:solidFill>
                        <a:ln w="9525">
                          <a:noFill/>
                          <a:miter lim="800000"/>
                          <a:headEnd/>
                          <a:tailEnd/>
                        </a:ln>
                      </wps:spPr>
                      <wps:txbx>
                        <w:txbxContent>
                          <w:p w:rsidR="002C073A" w:rsidRDefault="002C073A" w:rsidP="002C073A">
                            <w:r w:rsidRPr="00F34B44">
                              <w:rPr>
                                <w:rStyle w:val="DraftingNote"/>
                                <w:rFonts w:ascii="Franklin Gothic Book" w:hAnsi="Franklin Gothic Book"/>
                                <w:color w:val="000000" w:themeColor="text1"/>
                                <w:sz w:val="18"/>
                                <w:szCs w:val="18"/>
                                <w:u w:val="none"/>
                              </w:rPr>
                              <w:t>Policy objectives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5.65pt;margin-top:5.3pt;width:81.35pt;height:20.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" stroked="f">
                <v:fill opacity="0"/>
                <v:textbox>
                  <w:txbxContent>
                    <w:p w:rsidR="002C073A" w:rsidRDefault="002C073A" w:rsidP="002C073A">
                      <w:r w:rsidRPr="00F34B44">
                        <w:rPr>
                          <w:rStyle w:val="DraftingNote"/>
                          <w:rFonts w:ascii="Franklin Gothic Book" w:hAnsi="Franklin Gothic Book"/>
                          <w:color w:val="000000" w:themeColor="text1"/>
                          <w:sz w:val="18"/>
                          <w:szCs w:val="18"/>
                          <w:u w:val="none"/>
                        </w:rPr>
                        <w:t>Policy objectives</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3414CF82" wp14:editId="1D696EAB">
                <wp:simplePos x="0" y="0"/>
                <wp:positionH relativeFrom="column">
                  <wp:posOffset>209550</wp:posOffset>
                </wp:positionH>
                <wp:positionV relativeFrom="paragraph">
                  <wp:posOffset>42291</wp:posOffset>
                </wp:positionV>
                <wp:extent cx="1160780" cy="26479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264795"/>
                        </a:xfrm>
                        <a:prstGeom prst="rect">
                          <a:avLst/>
                        </a:prstGeom>
                        <a:solidFill>
                          <a:srgbClr val="FFFFFF">
                            <a:alpha val="0"/>
                          </a:srgbClr>
                        </a:solidFill>
                        <a:ln w="9525">
                          <a:noFill/>
                          <a:miter lim="800000"/>
                          <a:headEnd/>
                          <a:tailEnd/>
                        </a:ln>
                      </wps:spPr>
                      <wps:txbx>
                        <w:txbxContent>
                          <w:p w:rsidR="00406ED7" w:rsidRDefault="00406ED7">
                            <w:r w:rsidRPr="00F34B44">
                              <w:rPr>
                                <w:rStyle w:val="DraftingNote"/>
                                <w:rFonts w:ascii="Franklin Gothic Book" w:hAnsi="Franklin Gothic Book"/>
                                <w:color w:val="000000" w:themeColor="text1"/>
                                <w:sz w:val="18"/>
                                <w:szCs w:val="18"/>
                                <w:u w:val="none"/>
                              </w:rPr>
                              <w:t>Retail price controls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5pt;margin-top:3.35pt;width:91.4pt;height:20.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" stroked="f">
                <v:fill opacity="0"/>
                <v:textbox>
                  <w:txbxContent>
                    <w:p w:rsidR="00406ED7" w:rsidRDefault="00406ED7">
                      <w:r w:rsidRPr="00F34B44">
                        <w:rPr>
                          <w:rStyle w:val="DraftingNote"/>
                          <w:rFonts w:ascii="Franklin Gothic Book" w:hAnsi="Franklin Gothic Book"/>
                          <w:color w:val="000000" w:themeColor="text1"/>
                          <w:sz w:val="18"/>
                          <w:szCs w:val="18"/>
                          <w:u w:val="none"/>
                        </w:rPr>
                        <w:t>Retail price controls</w:t>
                      </w: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70C751B0" wp14:editId="2995B64A">
                <wp:simplePos x="0" y="0"/>
                <wp:positionH relativeFrom="column">
                  <wp:posOffset>-5080</wp:posOffset>
                </wp:positionH>
                <wp:positionV relativeFrom="paragraph">
                  <wp:posOffset>17399</wp:posOffset>
                </wp:positionV>
                <wp:extent cx="5019675" cy="3071495"/>
                <wp:effectExtent l="0" t="0" r="9525" b="0"/>
                <wp:wrapNone/>
                <wp:docPr id="18" name="Rectangle 18"/>
                <wp:cNvGraphicFramePr/>
                <a:graphic xmlns:a="http://schemas.openxmlformats.org/drawingml/2006/main">
                  <a:graphicData uri="http://schemas.microsoft.com/office/word/2010/wordprocessingShape">
                    <wps:wsp>
                      <wps:cNvSpPr/>
                      <wps:spPr>
                        <a:xfrm>
                          <a:off x="0" y="0"/>
                          <a:ext cx="5019675" cy="307149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26" style="position:absolute;margin-left:-.4pt;margin-top:1.35pt;width:395.25pt;height:241.8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" fillcolor="#e9e8e5 [3214]" stroked="f" strokeweight="2pt"/>
            </w:pict>
          </mc:Fallback>
        </mc:AlternateContent>
      </w:r>
    </w:p>
    <w:p w:rsidR="00406ED7" w:rsidRDefault="002C073A" w:rsidP="00406ED7">
      <w:pPr>
        <w:pStyle w:val="Subtitlebox"/>
        <w:numPr>
          <w:ilvl w:val="0"/>
          <w:numId w:val="0"/>
        </w:numPr>
      </w:pPr>
      <w:r>
        <w:rPr>
          <w:b/>
          <w:noProof/>
          <w:color w:val="0070C0"/>
          <w:u w:val="dotted"/>
        </w:rPr>
        <mc:AlternateContent>
          <mc:Choice Requires="wpg">
            <w:drawing>
              <wp:anchor distT="0" distB="0" distL="114300" distR="114300" simplePos="0" relativeHeight="251680768" behindDoc="0" locked="0" layoutInCell="1" allowOverlap="1" wp14:anchorId="77F7E053" wp14:editId="7B65C689">
                <wp:simplePos x="0" y="0"/>
                <wp:positionH relativeFrom="column">
                  <wp:posOffset>84455</wp:posOffset>
                </wp:positionH>
                <wp:positionV relativeFrom="paragraph">
                  <wp:posOffset>96139</wp:posOffset>
                </wp:positionV>
                <wp:extent cx="4841875" cy="2680970"/>
                <wp:effectExtent l="0" t="0" r="15875" b="24130"/>
                <wp:wrapNone/>
                <wp:docPr id="16" name="Group 16" descr="Chart outlining retail price control regulation in the Australian telecommunications sector."/>
                <wp:cNvGraphicFramePr/>
                <a:graphic xmlns:a="http://schemas.openxmlformats.org/drawingml/2006/main">
                  <a:graphicData uri="http://schemas.microsoft.com/office/word/2010/wordprocessingGroup">
                    <wpg:wgp>
                      <wpg:cNvGrpSpPr/>
                      <wpg:grpSpPr>
                        <a:xfrm>
                          <a:off x="0" y="0"/>
                          <a:ext cx="4841875" cy="2680970"/>
                          <a:chOff x="0" y="0"/>
                          <a:chExt cx="4842506" cy="2681346"/>
                        </a:xfrm>
                      </wpg:grpSpPr>
                      <wps:wsp>
                        <wps:cNvPr id="234" name="Rectangle 234"/>
                        <wps:cNvSpPr/>
                        <wps:spPr>
                          <a:xfrm>
                            <a:off x="0" y="0"/>
                            <a:ext cx="1463086" cy="267906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Default="00584F9A" w:rsidP="00675046">
                              <w:pPr>
                                <w:pStyle w:val="ChartBoldText"/>
                                <w:jc w:val="left"/>
                                <w:rPr>
                                  <w:sz w:val="20"/>
                                  <w:szCs w:val="20"/>
                                </w:rPr>
                              </w:pPr>
                              <w:r>
                                <w:rPr>
                                  <w:sz w:val="20"/>
                                  <w:szCs w:val="20"/>
                                </w:rPr>
                                <w:t>Retail p</w:t>
                              </w:r>
                              <w:r w:rsidRPr="003D7B72">
                                <w:rPr>
                                  <w:sz w:val="20"/>
                                  <w:szCs w:val="20"/>
                                </w:rPr>
                                <w:t>rice</w:t>
                              </w:r>
                              <w:r>
                                <w:rPr>
                                  <w:sz w:val="20"/>
                                  <w:szCs w:val="20"/>
                                </w:rPr>
                                <w:t xml:space="preserve"> controls </w:t>
                              </w:r>
                            </w:p>
                            <w:p w:rsidR="00584F9A" w:rsidRPr="007B1942" w:rsidRDefault="00584F9A" w:rsidP="00F543C4">
                              <w:pPr>
                                <w:pStyle w:val="ChartListBullet"/>
                              </w:pPr>
                              <w:r w:rsidRPr="007B1942">
                                <w:t>Calls</w:t>
                              </w:r>
                            </w:p>
                            <w:p w:rsidR="00584F9A" w:rsidRPr="007B1942" w:rsidRDefault="00584F9A" w:rsidP="00F543C4">
                              <w:pPr>
                                <w:pStyle w:val="ChartListBullet"/>
                              </w:pPr>
                              <w:r w:rsidRPr="007B1942">
                                <w:t>Line rental</w:t>
                              </w:r>
                            </w:p>
                            <w:p w:rsidR="00584F9A" w:rsidRPr="007B1942" w:rsidRDefault="00584F9A" w:rsidP="00F543C4">
                              <w:pPr>
                                <w:pStyle w:val="ChartListBullet"/>
                              </w:pPr>
                              <w:r w:rsidRPr="007B1942">
                                <w:t>Basic line rental products</w:t>
                              </w:r>
                            </w:p>
                            <w:p w:rsidR="00584F9A" w:rsidRPr="007B1942" w:rsidRDefault="00584F9A" w:rsidP="00F543C4">
                              <w:pPr>
                                <w:pStyle w:val="ChartListBullet"/>
                              </w:pPr>
                              <w:r w:rsidRPr="007B1942">
                                <w:t>Connection services</w:t>
                              </w:r>
                            </w:p>
                            <w:p w:rsidR="00584F9A" w:rsidRPr="00787EE1" w:rsidRDefault="00584F9A" w:rsidP="00675046">
                              <w:pPr>
                                <w:pStyle w:val="ListBullet"/>
                                <w:numPr>
                                  <w:ilvl w:val="0"/>
                                  <w:numId w:val="0"/>
                                </w:numPr>
                                <w:ind w:left="284" w:hanging="284"/>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41" name="Rectangle 241"/>
                        <wps:cNvSpPr/>
                        <wps:spPr>
                          <a:xfrm>
                            <a:off x="3275648" y="2075290"/>
                            <a:ext cx="1566426" cy="605790"/>
                          </a:xfrm>
                          <a:prstGeom prst="rect">
                            <a:avLst/>
                          </a:prstGeom>
                          <a:solidFill>
                            <a:schemeClr val="accent3"/>
                          </a:solid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F543C4" w:rsidRDefault="00584F9A" w:rsidP="00F543C4">
                              <w:pPr>
                                <w:pStyle w:val="ChartBoldText"/>
                                <w:spacing w:after="0" w:line="240" w:lineRule="auto"/>
                                <w:jc w:val="left"/>
                                <w:rPr>
                                  <w:rFonts w:ascii="Franklin Gothic Book" w:hAnsi="Franklin Gothic Book"/>
                                  <w:color w:val="000000" w:themeColor="text1"/>
                                  <w:sz w:val="18"/>
                                  <w:szCs w:val="18"/>
                                </w:rPr>
                              </w:pPr>
                              <w:r w:rsidRPr="00F543C4">
                                <w:rPr>
                                  <w:rFonts w:ascii="Franklin Gothic Book" w:hAnsi="Franklin Gothic Book"/>
                                  <w:color w:val="000000" w:themeColor="text1"/>
                                  <w:sz w:val="18"/>
                                  <w:szCs w:val="18"/>
                                </w:rPr>
                                <w:t>Telstra carrier condition</w:t>
                              </w:r>
                            </w:p>
                            <w:p w:rsidR="00584F9A" w:rsidRPr="00F543C4" w:rsidRDefault="00584F9A" w:rsidP="00F543C4">
                              <w:pPr>
                                <w:pStyle w:val="ChartText"/>
                                <w:spacing w:after="0" w:line="240" w:lineRule="auto"/>
                                <w:rPr>
                                  <w:rFonts w:ascii="Franklin Gothic Book" w:hAnsi="Franklin Gothic Book"/>
                                  <w:color w:val="000000" w:themeColor="text1"/>
                                  <w:sz w:val="18"/>
                                </w:rPr>
                              </w:pPr>
                              <w:r w:rsidRPr="00F543C4">
                                <w:rPr>
                                  <w:rFonts w:ascii="Franklin Gothic Book" w:hAnsi="Franklin Gothic Book"/>
                                  <w:color w:val="000000" w:themeColor="text1"/>
                                  <w:sz w:val="18"/>
                                </w:rPr>
                                <w:t>Clause 22</w:t>
                              </w:r>
                            </w:p>
                            <w:p w:rsidR="00584F9A" w:rsidRPr="00F543C4" w:rsidRDefault="00584F9A" w:rsidP="00F543C4">
                              <w:pPr>
                                <w:pStyle w:val="ChartText"/>
                                <w:spacing w:after="0" w:line="240" w:lineRule="auto"/>
                                <w:rPr>
                                  <w:rFonts w:ascii="Franklin Gothic Book" w:hAnsi="Franklin Gothic Book"/>
                                  <w:color w:val="000000" w:themeColor="text1"/>
                                  <w:sz w:val="18"/>
                                </w:rPr>
                              </w:pPr>
                              <w:r w:rsidRPr="00F543C4">
                                <w:rPr>
                                  <w:rFonts w:ascii="Franklin Gothic Book" w:hAnsi="Franklin Gothic Book"/>
                                  <w:color w:val="000000" w:themeColor="text1"/>
                                  <w:sz w:val="18"/>
                                </w:rPr>
                                <w:t xml:space="preserve">‘Access for everyone’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43" name="Rectangle 243"/>
                        <wps:cNvSpPr/>
                        <wps:spPr>
                          <a:xfrm>
                            <a:off x="3275648" y="699715"/>
                            <a:ext cx="1566426" cy="574040"/>
                          </a:xfrm>
                          <a:prstGeom prst="rect">
                            <a:avLst/>
                          </a:prstGeom>
                          <a:solidFill>
                            <a:schemeClr val="accent3"/>
                          </a:solid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F543C4" w:rsidRDefault="00584F9A" w:rsidP="00F543C4">
                              <w:pPr>
                                <w:pStyle w:val="ListBullet"/>
                                <w:numPr>
                                  <w:ilvl w:val="0"/>
                                  <w:numId w:val="0"/>
                                </w:numPr>
                                <w:spacing w:before="0" w:line="240" w:lineRule="auto"/>
                                <w:rPr>
                                  <w:rFonts w:ascii="Franklin Gothic Book" w:hAnsi="Franklin Gothic Book"/>
                                  <w:color w:val="000000" w:themeColor="text1"/>
                                  <w:sz w:val="18"/>
                                  <w:szCs w:val="18"/>
                                </w:rPr>
                              </w:pPr>
                              <w:r w:rsidRPr="00F543C4">
                                <w:rPr>
                                  <w:rFonts w:ascii="Franklin Gothic Book" w:hAnsi="Franklin Gothic Book"/>
                                  <w:color w:val="000000" w:themeColor="text1"/>
                                  <w:sz w:val="18"/>
                                  <w:szCs w:val="18"/>
                                </w:rPr>
                                <w:t xml:space="preserve">Universal service obligation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40" name="Rectangle 240"/>
                        <wps:cNvSpPr/>
                        <wps:spPr>
                          <a:xfrm>
                            <a:off x="1773145" y="7951"/>
                            <a:ext cx="1219200" cy="594995"/>
                          </a:xfrm>
                          <a:prstGeom prst="rect">
                            <a:avLst/>
                          </a:prstGeom>
                          <a:solidFill>
                            <a:schemeClr val="accent3"/>
                          </a:solid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F543C4" w:rsidRDefault="00584F9A" w:rsidP="00F543C4">
                              <w:pPr>
                                <w:pStyle w:val="ListBullet"/>
                                <w:numPr>
                                  <w:ilvl w:val="0"/>
                                  <w:numId w:val="0"/>
                                </w:numPr>
                                <w:spacing w:before="0" w:line="240" w:lineRule="auto"/>
                                <w:rPr>
                                  <w:rFonts w:ascii="Franklin Gothic Book" w:hAnsi="Franklin Gothic Book"/>
                                  <w:color w:val="000000" w:themeColor="text1"/>
                                  <w:sz w:val="18"/>
                                  <w:szCs w:val="18"/>
                                </w:rPr>
                              </w:pPr>
                              <w:r w:rsidRPr="00F543C4">
                                <w:rPr>
                                  <w:rFonts w:ascii="Franklin Gothic Book" w:hAnsi="Franklin Gothic Book"/>
                                  <w:color w:val="000000" w:themeColor="text1"/>
                                  <w:sz w:val="18"/>
                                  <w:szCs w:val="18"/>
                                </w:rPr>
                                <w:t>Competitive market for fixed-line services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42" name="Rectangle 242"/>
                        <wps:cNvSpPr/>
                        <wps:spPr>
                          <a:xfrm>
                            <a:off x="3275648" y="1415332"/>
                            <a:ext cx="1566426" cy="574040"/>
                          </a:xfrm>
                          <a:prstGeom prst="rect">
                            <a:avLst/>
                          </a:prstGeom>
                          <a:solidFill>
                            <a:schemeClr val="accent3"/>
                          </a:solid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F543C4" w:rsidRDefault="00584F9A" w:rsidP="00F543C4">
                              <w:pPr>
                                <w:pStyle w:val="ListBullet"/>
                                <w:numPr>
                                  <w:ilvl w:val="0"/>
                                  <w:numId w:val="0"/>
                                </w:numPr>
                                <w:spacing w:before="0" w:line="240" w:lineRule="auto"/>
                                <w:rPr>
                                  <w:rFonts w:ascii="Franklin Gothic Book" w:hAnsi="Franklin Gothic Book"/>
                                  <w:color w:val="000000" w:themeColor="text1"/>
                                  <w:sz w:val="18"/>
                                  <w:szCs w:val="18"/>
                                </w:rPr>
                              </w:pPr>
                              <w:r w:rsidRPr="00F543C4">
                                <w:rPr>
                                  <w:rFonts w:ascii="Franklin Gothic Book" w:hAnsi="Franklin Gothic Book"/>
                                  <w:color w:val="000000" w:themeColor="text1"/>
                                  <w:sz w:val="18"/>
                                  <w:szCs w:val="18"/>
                                </w:rPr>
                                <w:t xml:space="preserve">ACCC wholesale access and price regulation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33" name="Rectangle 233"/>
                        <wps:cNvSpPr/>
                        <wps:spPr>
                          <a:xfrm>
                            <a:off x="3275648" y="7951"/>
                            <a:ext cx="1566858" cy="594995"/>
                          </a:xfrm>
                          <a:prstGeom prst="rect">
                            <a:avLst/>
                          </a:prstGeom>
                          <a:solidFill>
                            <a:schemeClr val="accent3"/>
                          </a:solid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F543C4" w:rsidRDefault="00584F9A" w:rsidP="00F543C4">
                              <w:pPr>
                                <w:pStyle w:val="ListBullet"/>
                                <w:numPr>
                                  <w:ilvl w:val="0"/>
                                  <w:numId w:val="0"/>
                                </w:numPr>
                                <w:spacing w:before="0" w:line="240" w:lineRule="auto"/>
                                <w:rPr>
                                  <w:rFonts w:ascii="Franklin Gothic Book" w:hAnsi="Franklin Gothic Book"/>
                                  <w:color w:val="000000" w:themeColor="text1"/>
                                  <w:sz w:val="18"/>
                                  <w:szCs w:val="18"/>
                                </w:rPr>
                              </w:pPr>
                              <w:r w:rsidRPr="00F543C4">
                                <w:rPr>
                                  <w:rFonts w:ascii="Franklin Gothic Book" w:hAnsi="Franklin Gothic Book"/>
                                  <w:color w:val="000000" w:themeColor="text1"/>
                                  <w:sz w:val="18"/>
                                  <w:szCs w:val="18"/>
                                </w:rPr>
                                <w:t xml:space="preserve">ACCC wholesale access and price regulation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39" name="Straight Arrow Connector 239"/>
                        <wps:cNvCnPr/>
                        <wps:spPr>
                          <a:xfrm>
                            <a:off x="1470992" y="286247"/>
                            <a:ext cx="297712" cy="0"/>
                          </a:xfrm>
                          <a:prstGeom prst="straightConnector1">
                            <a:avLst/>
                          </a:prstGeom>
                          <a:ln w="15875">
                            <a:solidFill>
                              <a:schemeClr val="accent2"/>
                            </a:solidFill>
                            <a:tailEnd type="triangle"/>
                          </a:ln>
                        </wps:spPr>
                        <wps:style>
                          <a:lnRef idx="1">
                            <a:schemeClr val="accent4"/>
                          </a:lnRef>
                          <a:fillRef idx="0">
                            <a:schemeClr val="accent4"/>
                          </a:fillRef>
                          <a:effectRef idx="0">
                            <a:schemeClr val="accent4"/>
                          </a:effectRef>
                          <a:fontRef idx="minor">
                            <a:schemeClr val="tx1"/>
                          </a:fontRef>
                        </wps:style>
                        <wps:bodyPr/>
                      </wps:wsp>
                      <wps:wsp>
                        <wps:cNvPr id="238" name="Straight Arrow Connector 238"/>
                        <wps:cNvCnPr/>
                        <wps:spPr>
                          <a:xfrm>
                            <a:off x="1470992" y="1709530"/>
                            <a:ext cx="287020" cy="0"/>
                          </a:xfrm>
                          <a:prstGeom prst="straightConnector1">
                            <a:avLst/>
                          </a:prstGeom>
                          <a:ln w="15875">
                            <a:solidFill>
                              <a:schemeClr val="accent2"/>
                            </a:solidFill>
                            <a:tailEnd type="triangle"/>
                          </a:ln>
                        </wps:spPr>
                        <wps:style>
                          <a:lnRef idx="1">
                            <a:schemeClr val="accent4"/>
                          </a:lnRef>
                          <a:fillRef idx="0">
                            <a:schemeClr val="accent4"/>
                          </a:fillRef>
                          <a:effectRef idx="0">
                            <a:schemeClr val="accent4"/>
                          </a:effectRef>
                          <a:fontRef idx="minor">
                            <a:schemeClr val="tx1"/>
                          </a:fontRef>
                        </wps:style>
                        <wps:bodyPr/>
                      </wps:wsp>
                      <wps:wsp>
                        <wps:cNvPr id="237" name="Straight Arrow Connector 237"/>
                        <wps:cNvCnPr/>
                        <wps:spPr>
                          <a:xfrm>
                            <a:off x="1463043" y="2433099"/>
                            <a:ext cx="286385" cy="0"/>
                          </a:xfrm>
                          <a:prstGeom prst="straightConnector1">
                            <a:avLst/>
                          </a:prstGeom>
                          <a:ln w="15875">
                            <a:solidFill>
                              <a:schemeClr val="accent2"/>
                            </a:solidFill>
                            <a:tailEnd type="triangle"/>
                          </a:ln>
                        </wps:spPr>
                        <wps:style>
                          <a:lnRef idx="1">
                            <a:schemeClr val="accent4"/>
                          </a:lnRef>
                          <a:fillRef idx="0">
                            <a:schemeClr val="accent4"/>
                          </a:fillRef>
                          <a:effectRef idx="0">
                            <a:schemeClr val="accent4"/>
                          </a:effectRef>
                          <a:fontRef idx="minor">
                            <a:schemeClr val="tx1"/>
                          </a:fontRef>
                        </wps:style>
                        <wps:bodyPr/>
                      </wps:wsp>
                      <wps:wsp>
                        <wps:cNvPr id="519" name="Rectangle 519"/>
                        <wps:cNvSpPr/>
                        <wps:spPr>
                          <a:xfrm>
                            <a:off x="1773145" y="699715"/>
                            <a:ext cx="1222375" cy="574158"/>
                          </a:xfrm>
                          <a:prstGeom prst="rect">
                            <a:avLst/>
                          </a:prstGeom>
                          <a:solidFill>
                            <a:schemeClr val="accent3"/>
                          </a:solid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F543C4" w:rsidRDefault="00584F9A" w:rsidP="00F543C4">
                              <w:pPr>
                                <w:pStyle w:val="ListBullet"/>
                                <w:numPr>
                                  <w:ilvl w:val="0"/>
                                  <w:numId w:val="0"/>
                                </w:numPr>
                                <w:spacing w:before="0" w:line="240" w:lineRule="auto"/>
                                <w:rPr>
                                  <w:rFonts w:ascii="Franklin Gothic Book" w:hAnsi="Franklin Gothic Book"/>
                                  <w:color w:val="000000" w:themeColor="text1"/>
                                  <w:sz w:val="18"/>
                                  <w:szCs w:val="18"/>
                                </w:rPr>
                              </w:pPr>
                              <w:r w:rsidRPr="00F543C4">
                                <w:rPr>
                                  <w:rFonts w:ascii="Franklin Gothic Book" w:hAnsi="Franklin Gothic Book"/>
                                  <w:color w:val="000000" w:themeColor="text1"/>
                                  <w:sz w:val="18"/>
                                  <w:szCs w:val="18"/>
                                </w:rPr>
                                <w:t>Affordability of access to services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520" name="Rectangle 520"/>
                        <wps:cNvSpPr/>
                        <wps:spPr>
                          <a:xfrm>
                            <a:off x="1773145" y="1367624"/>
                            <a:ext cx="1219200" cy="621665"/>
                          </a:xfrm>
                          <a:prstGeom prst="rect">
                            <a:avLst/>
                          </a:prstGeom>
                          <a:solidFill>
                            <a:schemeClr val="accent3"/>
                          </a:solid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F543C4" w:rsidRDefault="00584F9A" w:rsidP="00F543C4">
                              <w:pPr>
                                <w:pStyle w:val="ListBullet"/>
                                <w:numPr>
                                  <w:ilvl w:val="0"/>
                                  <w:numId w:val="0"/>
                                </w:numPr>
                                <w:spacing w:before="0" w:line="240" w:lineRule="auto"/>
                                <w:rPr>
                                  <w:rFonts w:ascii="Franklin Gothic Book" w:hAnsi="Franklin Gothic Book"/>
                                  <w:color w:val="000000" w:themeColor="text1"/>
                                  <w:sz w:val="18"/>
                                  <w:szCs w:val="18"/>
                                </w:rPr>
                              </w:pPr>
                              <w:r w:rsidRPr="00F543C4">
                                <w:rPr>
                                  <w:rFonts w:ascii="Franklin Gothic Book" w:hAnsi="Franklin Gothic Book"/>
                                  <w:color w:val="000000" w:themeColor="text1"/>
                                  <w:sz w:val="18"/>
                                  <w:szCs w:val="18"/>
                                </w:rPr>
                                <w:t>Efficiency benefits are passed onto consumers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521" name="Rectangle 521"/>
                        <wps:cNvSpPr/>
                        <wps:spPr>
                          <a:xfrm>
                            <a:off x="1765190" y="2075290"/>
                            <a:ext cx="1233170" cy="606056"/>
                          </a:xfrm>
                          <a:prstGeom prst="rect">
                            <a:avLst/>
                          </a:prstGeom>
                          <a:solidFill>
                            <a:schemeClr val="accent3"/>
                          </a:solid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F543C4" w:rsidRDefault="00584F9A" w:rsidP="00F543C4">
                              <w:pPr>
                                <w:pStyle w:val="ListBullet"/>
                                <w:numPr>
                                  <w:ilvl w:val="0"/>
                                  <w:numId w:val="0"/>
                                </w:numPr>
                                <w:spacing w:before="0" w:line="240" w:lineRule="auto"/>
                                <w:rPr>
                                  <w:rFonts w:ascii="Franklin Gothic Book" w:hAnsi="Franklin Gothic Book"/>
                                  <w:color w:val="000000" w:themeColor="text1"/>
                                  <w:sz w:val="18"/>
                                  <w:szCs w:val="18"/>
                                </w:rPr>
                              </w:pPr>
                              <w:r w:rsidRPr="00F543C4">
                                <w:rPr>
                                  <w:rFonts w:ascii="Franklin Gothic Book" w:hAnsi="Franklin Gothic Book"/>
                                  <w:color w:val="000000" w:themeColor="text1"/>
                                  <w:sz w:val="18"/>
                                  <w:szCs w:val="18"/>
                                </w:rPr>
                                <w:t>Safeguard low-income consumers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522" name="Straight Arrow Connector 522"/>
                        <wps:cNvCnPr/>
                        <wps:spPr>
                          <a:xfrm>
                            <a:off x="1470992" y="1017767"/>
                            <a:ext cx="297180" cy="0"/>
                          </a:xfrm>
                          <a:prstGeom prst="straightConnector1">
                            <a:avLst/>
                          </a:prstGeom>
                          <a:ln w="15875">
                            <a:solidFill>
                              <a:schemeClr val="accent2"/>
                            </a:solidFill>
                            <a:tailEnd type="triangle"/>
                          </a:ln>
                        </wps:spPr>
                        <wps:style>
                          <a:lnRef idx="1">
                            <a:schemeClr val="accent4"/>
                          </a:lnRef>
                          <a:fillRef idx="0">
                            <a:schemeClr val="accent4"/>
                          </a:fillRef>
                          <a:effectRef idx="0">
                            <a:schemeClr val="accent4"/>
                          </a:effectRef>
                          <a:fontRef idx="minor">
                            <a:schemeClr val="tx1"/>
                          </a:fontRef>
                        </wps:style>
                        <wps:bodyPr/>
                      </wps:wsp>
                      <wps:wsp>
                        <wps:cNvPr id="523" name="Straight Arrow Connector 523"/>
                        <wps:cNvCnPr/>
                        <wps:spPr>
                          <a:xfrm flipH="1">
                            <a:off x="2997642" y="2369489"/>
                            <a:ext cx="276225" cy="0"/>
                          </a:xfrm>
                          <a:prstGeom prst="straightConnector1">
                            <a:avLst/>
                          </a:prstGeom>
                          <a:ln w="15875">
                            <a:solidFill>
                              <a:schemeClr val="accent2"/>
                            </a:solidFill>
                            <a:tailEnd type="triangle"/>
                          </a:ln>
                        </wps:spPr>
                        <wps:style>
                          <a:lnRef idx="1">
                            <a:schemeClr val="accent4"/>
                          </a:lnRef>
                          <a:fillRef idx="0">
                            <a:schemeClr val="accent4"/>
                          </a:fillRef>
                          <a:effectRef idx="0">
                            <a:schemeClr val="accent4"/>
                          </a:effectRef>
                          <a:fontRef idx="minor">
                            <a:schemeClr val="tx1"/>
                          </a:fontRef>
                        </wps:style>
                        <wps:bodyPr/>
                      </wps:wsp>
                      <wps:wsp>
                        <wps:cNvPr id="524" name="Straight Arrow Connector 524"/>
                        <wps:cNvCnPr/>
                        <wps:spPr>
                          <a:xfrm flipH="1">
                            <a:off x="2997642" y="970059"/>
                            <a:ext cx="276225" cy="0"/>
                          </a:xfrm>
                          <a:prstGeom prst="straightConnector1">
                            <a:avLst/>
                          </a:prstGeom>
                          <a:ln w="15875">
                            <a:solidFill>
                              <a:schemeClr val="accent2"/>
                            </a:solidFill>
                            <a:tailEnd type="triangle"/>
                          </a:ln>
                        </wps:spPr>
                        <wps:style>
                          <a:lnRef idx="1">
                            <a:schemeClr val="accent4"/>
                          </a:lnRef>
                          <a:fillRef idx="0">
                            <a:schemeClr val="accent4"/>
                          </a:fillRef>
                          <a:effectRef idx="0">
                            <a:schemeClr val="accent4"/>
                          </a:effectRef>
                          <a:fontRef idx="minor">
                            <a:schemeClr val="tx1"/>
                          </a:fontRef>
                        </wps:style>
                        <wps:bodyPr/>
                      </wps:wsp>
                      <wps:wsp>
                        <wps:cNvPr id="525" name="Straight Arrow Connector 525"/>
                        <wps:cNvCnPr/>
                        <wps:spPr>
                          <a:xfrm flipH="1">
                            <a:off x="2997642" y="286247"/>
                            <a:ext cx="276225" cy="0"/>
                          </a:xfrm>
                          <a:prstGeom prst="straightConnector1">
                            <a:avLst/>
                          </a:prstGeom>
                          <a:ln w="15875">
                            <a:solidFill>
                              <a:schemeClr val="accent2"/>
                            </a:solidFill>
                            <a:tailEnd type="triangle"/>
                          </a:ln>
                        </wps:spPr>
                        <wps:style>
                          <a:lnRef idx="1">
                            <a:schemeClr val="accent4"/>
                          </a:lnRef>
                          <a:fillRef idx="0">
                            <a:schemeClr val="accent4"/>
                          </a:fillRef>
                          <a:effectRef idx="0">
                            <a:schemeClr val="accent4"/>
                          </a:effectRef>
                          <a:fontRef idx="minor">
                            <a:schemeClr val="tx1"/>
                          </a:fontRef>
                        </wps:style>
                        <wps:bodyPr/>
                      </wps:wsp>
                      <wps:wsp>
                        <wps:cNvPr id="528" name="Straight Arrow Connector 528"/>
                        <wps:cNvCnPr/>
                        <wps:spPr>
                          <a:xfrm flipH="1">
                            <a:off x="2997642" y="1725433"/>
                            <a:ext cx="276225" cy="0"/>
                          </a:xfrm>
                          <a:prstGeom prst="straightConnector1">
                            <a:avLst/>
                          </a:prstGeom>
                          <a:ln w="15875">
                            <a:solidFill>
                              <a:schemeClr val="accent2"/>
                            </a:solidFill>
                            <a:tailEnd type="triangle"/>
                          </a:ln>
                        </wps:spPr>
                        <wps:style>
                          <a:lnRef idx="1">
                            <a:schemeClr val="accent4"/>
                          </a:lnRef>
                          <a:fillRef idx="0">
                            <a:schemeClr val="accent4"/>
                          </a:fillRef>
                          <a:effectRef idx="0">
                            <a:schemeClr val="accent4"/>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6" o:spid="_x0000_s1029" alt="Chart outlining retail price control regulation in the Australian telecommunications sector." style="position:absolute;margin-left:6.65pt;margin-top:7.55pt;width:381.25pt;height:211.1pt;z-index:251680768;mso-width-relative:margin;mso-height-relative:margin" coordsize="48425,2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">
                <v:rect id="Rectangle 234" o:spid="_x0000_s1030" style="position:absolute;width:14630;height:26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9lSsUA&#10;AADcAAAADwAAAGRycy9kb3ducmV2LnhtbESPW2vCQBSE3wX/w3IE33TjBZHUVbzE4ptVW+jjMXtM&#10;otmzIbvV+O+7BaGPw8x8w8wWjSnFnWpXWFYw6EcgiFOrC84UfJ62vSkI55E1lpZJwZMcLObt1gxj&#10;bR98oPvRZyJA2MWoIPe+iqV0aU4GXd9WxMG72NqgD7LOpK7xEeCmlMMomkiDBYeFHCta55Tejj9G&#10;wccz3dJk85Xsv8/JO0f6tFwlV6W6nWb5BsJT4//Dr/ZOKxiOxv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j2VKxQAAANwAAAAPAAAAAAAAAAAAAAAAAJgCAABkcnMv&#10;ZG93bnJldi54bWxQSwUGAAAAAAQABAD1AAAAigMAAAAA&#10;" fillcolor="#006b7a [3204]" stroked="f" strokeweight="2pt">
                  <v:textbox inset="2mm,1mm,2mm,1mm">
                    <w:txbxContent>
                      <w:p w:rsidR="00584F9A" w:rsidRDefault="00584F9A" w:rsidP="00675046">
                        <w:pPr>
                          <w:pStyle w:val="ChartBoldText"/>
                          <w:jc w:val="left"/>
                          <w:rPr>
                            <w:sz w:val="20"/>
                            <w:szCs w:val="20"/>
                          </w:rPr>
                        </w:pPr>
                        <w:r>
                          <w:rPr>
                            <w:sz w:val="20"/>
                            <w:szCs w:val="20"/>
                          </w:rPr>
                          <w:t>Retail p</w:t>
                        </w:r>
                        <w:r w:rsidRPr="003D7B72">
                          <w:rPr>
                            <w:sz w:val="20"/>
                            <w:szCs w:val="20"/>
                          </w:rPr>
                          <w:t>rice</w:t>
                        </w:r>
                        <w:r>
                          <w:rPr>
                            <w:sz w:val="20"/>
                            <w:szCs w:val="20"/>
                          </w:rPr>
                          <w:t xml:space="preserve"> controls </w:t>
                        </w:r>
                      </w:p>
                      <w:p w:rsidR="00584F9A" w:rsidRPr="007B1942" w:rsidRDefault="00584F9A" w:rsidP="00F543C4">
                        <w:pPr>
                          <w:pStyle w:val="ChartListBullet"/>
                        </w:pPr>
                        <w:r w:rsidRPr="007B1942">
                          <w:t>Calls</w:t>
                        </w:r>
                      </w:p>
                      <w:p w:rsidR="00584F9A" w:rsidRPr="007B1942" w:rsidRDefault="00584F9A" w:rsidP="00F543C4">
                        <w:pPr>
                          <w:pStyle w:val="ChartListBullet"/>
                        </w:pPr>
                        <w:r w:rsidRPr="007B1942">
                          <w:t>Line rental</w:t>
                        </w:r>
                      </w:p>
                      <w:p w:rsidR="00584F9A" w:rsidRPr="007B1942" w:rsidRDefault="00584F9A" w:rsidP="00F543C4">
                        <w:pPr>
                          <w:pStyle w:val="ChartListBullet"/>
                        </w:pPr>
                        <w:r w:rsidRPr="007B1942">
                          <w:t>Basic line rental products</w:t>
                        </w:r>
                      </w:p>
                      <w:p w:rsidR="00584F9A" w:rsidRPr="007B1942" w:rsidRDefault="00584F9A" w:rsidP="00F543C4">
                        <w:pPr>
                          <w:pStyle w:val="ChartListBullet"/>
                        </w:pPr>
                        <w:r w:rsidRPr="007B1942">
                          <w:t>Connection services</w:t>
                        </w:r>
                      </w:p>
                      <w:p w:rsidR="00584F9A" w:rsidRPr="00787EE1" w:rsidRDefault="00584F9A" w:rsidP="00675046">
                        <w:pPr>
                          <w:pStyle w:val="ListBullet"/>
                          <w:numPr>
                            <w:ilvl w:val="0"/>
                            <w:numId w:val="0"/>
                          </w:numPr>
                          <w:ind w:left="284" w:hanging="284"/>
                        </w:pPr>
                      </w:p>
                    </w:txbxContent>
                  </v:textbox>
                </v:rect>
                <v:rect id="Rectangle 241" o:spid="_x0000_s1031" style="position:absolute;left:32756;top:20752;width:15664;height:6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PvdcMA&#10;AADcAAAADwAAAGRycy9kb3ducmV2LnhtbESP0YrCMBRE34X9h3AFX2RNLSKlGkUXlH0SVv2Au821&#10;rSY3pYm1/v1GEPZxmJkzzHLdWyM6an3tWMF0koAgLpyuuVRwPu0+MxA+IGs0jknBkzysVx+DJeba&#10;PfiHumMoRYSwz1FBFUKTS+mLiiz6iWuIo3dxrcUQZVtK3eIjwq2RaZLMpcWa40KFDX1VVNyOd6vA&#10;uKuR48tzu/OH7e/NjffZvUuVGg37zQJEoD78h9/tb60gnU3hdSYe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PvdcMAAADcAAAADwAAAAAAAAAAAAAAAACYAgAAZHJzL2Rv&#10;d25yZXYueG1sUEsFBgAAAAAEAAQA9QAAAIgDAAAAAA==&#10;" fillcolor="#c6bfab [3206]" strokecolor="#6f6652 [3208]">
                  <v:textbox inset="2mm,1mm,2mm,1mm">
                    <w:txbxContent>
                      <w:p w:rsidR="00584F9A" w:rsidRPr="00F543C4" w:rsidRDefault="00584F9A" w:rsidP="00F543C4">
                        <w:pPr>
                          <w:pStyle w:val="ChartBoldText"/>
                          <w:spacing w:after="0" w:line="240" w:lineRule="auto"/>
                          <w:jc w:val="left"/>
                          <w:rPr>
                            <w:rFonts w:ascii="Franklin Gothic Book" w:hAnsi="Franklin Gothic Book"/>
                            <w:color w:val="000000" w:themeColor="text1"/>
                            <w:sz w:val="18"/>
                            <w:szCs w:val="18"/>
                          </w:rPr>
                        </w:pPr>
                        <w:r w:rsidRPr="00F543C4">
                          <w:rPr>
                            <w:rFonts w:ascii="Franklin Gothic Book" w:hAnsi="Franklin Gothic Book"/>
                            <w:color w:val="000000" w:themeColor="text1"/>
                            <w:sz w:val="18"/>
                            <w:szCs w:val="18"/>
                          </w:rPr>
                          <w:t>Telstra carrier condition</w:t>
                        </w:r>
                      </w:p>
                      <w:p w:rsidR="00584F9A" w:rsidRPr="00F543C4" w:rsidRDefault="00584F9A" w:rsidP="00F543C4">
                        <w:pPr>
                          <w:pStyle w:val="ChartText"/>
                          <w:spacing w:after="0" w:line="240" w:lineRule="auto"/>
                          <w:rPr>
                            <w:rFonts w:ascii="Franklin Gothic Book" w:hAnsi="Franklin Gothic Book"/>
                            <w:color w:val="000000" w:themeColor="text1"/>
                            <w:sz w:val="18"/>
                          </w:rPr>
                        </w:pPr>
                        <w:r w:rsidRPr="00F543C4">
                          <w:rPr>
                            <w:rFonts w:ascii="Franklin Gothic Book" w:hAnsi="Franklin Gothic Book"/>
                            <w:color w:val="000000" w:themeColor="text1"/>
                            <w:sz w:val="18"/>
                          </w:rPr>
                          <w:t>Clause 22</w:t>
                        </w:r>
                      </w:p>
                      <w:p w:rsidR="00584F9A" w:rsidRPr="00F543C4" w:rsidRDefault="00584F9A" w:rsidP="00F543C4">
                        <w:pPr>
                          <w:pStyle w:val="ChartText"/>
                          <w:spacing w:after="0" w:line="240" w:lineRule="auto"/>
                          <w:rPr>
                            <w:rFonts w:ascii="Franklin Gothic Book" w:hAnsi="Franklin Gothic Book"/>
                            <w:color w:val="000000" w:themeColor="text1"/>
                            <w:sz w:val="18"/>
                          </w:rPr>
                        </w:pPr>
                        <w:r w:rsidRPr="00F543C4">
                          <w:rPr>
                            <w:rFonts w:ascii="Franklin Gothic Book" w:hAnsi="Franklin Gothic Book"/>
                            <w:color w:val="000000" w:themeColor="text1"/>
                            <w:sz w:val="18"/>
                          </w:rPr>
                          <w:t xml:space="preserve">‘Access for everyone’  </w:t>
                        </w:r>
                      </w:p>
                    </w:txbxContent>
                  </v:textbox>
                </v:rect>
                <v:rect id="Rectangle 243" o:spid="_x0000_s1032" style="position:absolute;left:32756;top:6997;width:15664;height:5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3UmcMA&#10;AADcAAAADwAAAGRycy9kb3ducmV2LnhtbESP0YrCMBRE34X9h3CFfZE1tYpINcoquPi0oO4HXJtr&#10;W01uShNr/XsjLPg4zMwZZrHqrBEtNb5yrGA0TEAQ505XXCj4O26/ZiB8QNZoHJOCB3lYLT96C8y0&#10;u/Oe2kMoRISwz1BBGUKdSenzkiz6oauJo3d2jcUQZVNI3eA9wq2RaZJMpcWK40KJNW1Kyq+Hm1Vg&#10;3MXIwfmx3vrf9enqBj+zW5sq9dnvvucgAnXhHf5v77SCdDKG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3UmcMAAADcAAAADwAAAAAAAAAAAAAAAACYAgAAZHJzL2Rv&#10;d25yZXYueG1sUEsFBgAAAAAEAAQA9QAAAIgDAAAAAA==&#10;" fillcolor="#c6bfab [3206]" strokecolor="#6f6652 [3208]">
                  <v:textbox inset="2mm,1mm,2mm,1mm">
                    <w:txbxContent>
                      <w:p w:rsidR="00584F9A" w:rsidRPr="00F543C4" w:rsidRDefault="00584F9A" w:rsidP="00F543C4">
                        <w:pPr>
                          <w:pStyle w:val="ListBullet"/>
                          <w:numPr>
                            <w:ilvl w:val="0"/>
                            <w:numId w:val="0"/>
                          </w:numPr>
                          <w:spacing w:before="0" w:line="240" w:lineRule="auto"/>
                          <w:rPr>
                            <w:rFonts w:ascii="Franklin Gothic Book" w:hAnsi="Franklin Gothic Book"/>
                            <w:color w:val="000000" w:themeColor="text1"/>
                            <w:sz w:val="18"/>
                            <w:szCs w:val="18"/>
                          </w:rPr>
                        </w:pPr>
                        <w:r w:rsidRPr="00F543C4">
                          <w:rPr>
                            <w:rFonts w:ascii="Franklin Gothic Book" w:hAnsi="Franklin Gothic Book"/>
                            <w:color w:val="000000" w:themeColor="text1"/>
                            <w:sz w:val="18"/>
                            <w:szCs w:val="18"/>
                          </w:rPr>
                          <w:t xml:space="preserve">Universal service obligation </w:t>
                        </w:r>
                      </w:p>
                    </w:txbxContent>
                  </v:textbox>
                </v:rect>
                <v:rect id="Rectangle 240" o:spid="_x0000_s1033" style="position:absolute;left:17731;top:79;width:12192;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K7sEA&#10;AADcAAAADwAAAGRycy9kb3ducmV2LnhtbERPyWrDMBC9B/oPYgq9mEaOKSE4VkJTSOipULcfMLXG&#10;SyKNjKV4+fvqUOjx8fbiOFsjRhp851jBZp2CIK6c7rhR8P11ft6B8AFZo3FMChbycDw8rArMtZv4&#10;k8YyNCKGsM9RQRtCn0vpq5Ys+rXriSNXu8FiiHBopB5wiuHWyCxNt9Jix7GhxZ7eWqpu5d0qMO5q&#10;ZFIvp7P/OP3cXHLZ3cdMqafH+XUPItAc/sV/7netIHuJ8+OZeATk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vSu7BAAAA3AAAAA8AAAAAAAAAAAAAAAAAmAIAAGRycy9kb3du&#10;cmV2LnhtbFBLBQYAAAAABAAEAPUAAACGAwAAAAA=&#10;" fillcolor="#c6bfab [3206]" strokecolor="#6f6652 [3208]">
                  <v:textbox inset="2mm,1mm,2mm,1mm">
                    <w:txbxContent>
                      <w:p w:rsidR="00584F9A" w:rsidRPr="00F543C4" w:rsidRDefault="00584F9A" w:rsidP="00F543C4">
                        <w:pPr>
                          <w:pStyle w:val="ListBullet"/>
                          <w:numPr>
                            <w:ilvl w:val="0"/>
                            <w:numId w:val="0"/>
                          </w:numPr>
                          <w:spacing w:before="0" w:line="240" w:lineRule="auto"/>
                          <w:rPr>
                            <w:rFonts w:ascii="Franklin Gothic Book" w:hAnsi="Franklin Gothic Book"/>
                            <w:color w:val="000000" w:themeColor="text1"/>
                            <w:sz w:val="18"/>
                            <w:szCs w:val="18"/>
                          </w:rPr>
                        </w:pPr>
                        <w:r w:rsidRPr="00F543C4">
                          <w:rPr>
                            <w:rFonts w:ascii="Franklin Gothic Book" w:hAnsi="Franklin Gothic Book"/>
                            <w:color w:val="000000" w:themeColor="text1"/>
                            <w:sz w:val="18"/>
                            <w:szCs w:val="18"/>
                          </w:rPr>
                          <w:t>Competitive market for fixed-line services</w:t>
                        </w:r>
                      </w:p>
                    </w:txbxContent>
                  </v:textbox>
                </v:rect>
                <v:rect id="Rectangle 242" o:spid="_x0000_s1034" style="position:absolute;left:32756;top:14153;width:15664;height:5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xAsQA&#10;AADcAAAADwAAAGRycy9kb3ducmV2LnhtbESP3WrCQBSE7wu+w3KE3ojZGEqR6CpVSOlVoeoDHLMn&#10;P3X3bMiuSXz7bqHQy2FmvmG2+8kaMVDvW8cKVkkKgrh0uuVaweVcLNcgfEDWaByTggd52O9mT1vM&#10;tRv5i4ZTqEWEsM9RQRNCl0vpy4Ys+sR1xNGrXG8xRNnXUvc4Rrg1MkvTV2mx5bjQYEfHhsrb6W4V&#10;GPdt5KJ6HAr/ebje3OJ9fR8ypZ7n09sGRKAp/If/2h9aQfaS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xcQLEAAAA3AAAAA8AAAAAAAAAAAAAAAAAmAIAAGRycy9k&#10;b3ducmV2LnhtbFBLBQYAAAAABAAEAPUAAACJAwAAAAA=&#10;" fillcolor="#c6bfab [3206]" strokecolor="#6f6652 [3208]">
                  <v:textbox inset="2mm,1mm,2mm,1mm">
                    <w:txbxContent>
                      <w:p w:rsidR="00584F9A" w:rsidRPr="00F543C4" w:rsidRDefault="00584F9A" w:rsidP="00F543C4">
                        <w:pPr>
                          <w:pStyle w:val="ListBullet"/>
                          <w:numPr>
                            <w:ilvl w:val="0"/>
                            <w:numId w:val="0"/>
                          </w:numPr>
                          <w:spacing w:before="0" w:line="240" w:lineRule="auto"/>
                          <w:rPr>
                            <w:rFonts w:ascii="Franklin Gothic Book" w:hAnsi="Franklin Gothic Book"/>
                            <w:color w:val="000000" w:themeColor="text1"/>
                            <w:sz w:val="18"/>
                            <w:szCs w:val="18"/>
                          </w:rPr>
                        </w:pPr>
                        <w:r w:rsidRPr="00F543C4">
                          <w:rPr>
                            <w:rFonts w:ascii="Franklin Gothic Book" w:hAnsi="Franklin Gothic Book"/>
                            <w:color w:val="000000" w:themeColor="text1"/>
                            <w:sz w:val="18"/>
                            <w:szCs w:val="18"/>
                          </w:rPr>
                          <w:t xml:space="preserve">ACCC wholesale access and price regulation </w:t>
                        </w:r>
                      </w:p>
                    </w:txbxContent>
                  </v:textbox>
                </v:rect>
                <v:rect id="Rectangle 233" o:spid="_x0000_s1035" style="position:absolute;left:32756;top:79;width:15669;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n5MUA&#10;AADcAAAADwAAAGRycy9kb3ducmV2LnhtbESP3WrCQBSE7wu+w3IEb8RsmkCR1FVUsHhVqO0DHLMn&#10;P3X3bMiuMXn7bqHQy2FmvmE2u9EaMVDvW8cKnpMUBHHpdMu1gq/P02oNwgdkjcYxKZjIw247e9pg&#10;od2DP2i4hFpECPsCFTQhdIWUvmzIok9cRxy9yvUWQ5R9LXWPjwi3RmZp+iItthwXGuzo2FB5u9yt&#10;AuO+jVxW0+Hk3w/Xm1u+re9DptRiPu5fQQQaw3/4r33WCrI8h9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6fkxQAAANwAAAAPAAAAAAAAAAAAAAAAAJgCAABkcnMv&#10;ZG93bnJldi54bWxQSwUGAAAAAAQABAD1AAAAigMAAAAA&#10;" fillcolor="#c6bfab [3206]" strokecolor="#6f6652 [3208]">
                  <v:textbox inset="2mm,1mm,2mm,1mm">
                    <w:txbxContent>
                      <w:p w:rsidR="00584F9A" w:rsidRPr="00F543C4" w:rsidRDefault="00584F9A" w:rsidP="00F543C4">
                        <w:pPr>
                          <w:pStyle w:val="ListBullet"/>
                          <w:numPr>
                            <w:ilvl w:val="0"/>
                            <w:numId w:val="0"/>
                          </w:numPr>
                          <w:spacing w:before="0" w:line="240" w:lineRule="auto"/>
                          <w:rPr>
                            <w:rFonts w:ascii="Franklin Gothic Book" w:hAnsi="Franklin Gothic Book"/>
                            <w:color w:val="000000" w:themeColor="text1"/>
                            <w:sz w:val="18"/>
                            <w:szCs w:val="18"/>
                          </w:rPr>
                        </w:pPr>
                        <w:r w:rsidRPr="00F543C4">
                          <w:rPr>
                            <w:rFonts w:ascii="Franklin Gothic Book" w:hAnsi="Franklin Gothic Book"/>
                            <w:color w:val="000000" w:themeColor="text1"/>
                            <w:sz w:val="18"/>
                            <w:szCs w:val="18"/>
                          </w:rPr>
                          <w:t xml:space="preserve">ACCC wholesale access and price regulation </w:t>
                        </w:r>
                      </w:p>
                    </w:txbxContent>
                  </v:textbox>
                </v:rect>
                <v:shapetype id="_x0000_t32" coordsize="21600,21600" o:spt="32" o:oned="t" path="m,l21600,21600e" filled="f">
                  <v:path arrowok="t" fillok="f" o:connecttype="none"/>
                  <o:lock v:ext="edit" shapetype="t"/>
                </v:shapetype>
                <v:shape id="Straight Arrow Connector 239" o:spid="_x0000_s1036" type="#_x0000_t32" style="position:absolute;left:14709;top:2862;width:29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E+y8IAAADcAAAADwAAAGRycy9kb3ducmV2LnhtbESPwarCMBRE94L/EK7gTlOryHvVKCrI&#10;c+Gm6gdcmmtbbG5KE9v69+aB4HKYmTPMetubSrTUuNKygtk0AkGcWV1yruB2PU5+QDiPrLGyTApe&#10;5GC7GQ7WmGjbcUrtxeciQNglqKDwvk6kdFlBBt3U1sTBu9vGoA+yyaVusAtwU8k4ipbSYMlhocCa&#10;DgVlj8vTKMh3ptun+uzi+22R/r1iOTePVqnxqN+tQHjq/Tf8aZ+0gnj+C/9nwhG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3E+y8IAAADcAAAADwAAAAAAAAAAAAAA&#10;AAChAgAAZHJzL2Rvd25yZXYueG1sUEsFBgAAAAAEAAQA+QAAAJADAAAAAA==&#10;" strokecolor="#f61d12 [3205]" strokeweight="1.25pt">
                  <v:stroke endarrow="block"/>
                </v:shape>
                <v:shape id="Straight Arrow Connector 238" o:spid="_x0000_s1037" type="#_x0000_t32" style="position:absolute;left:14709;top:17095;width:28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2bUL0AAADcAAAADwAAAGRycy9kb3ducmV2LnhtbERPSwrCMBDdC94hjOBOU6uIVKOoILpw&#10;U/UAQzO2xWZSmtjW25uF4PLx/ptdbyrRUuNKywpm0wgEcWZ1ybmCx/00WYFwHlljZZkUfMjBbjsc&#10;bDDRtuOU2pvPRQhhl6CCwvs6kdJlBRl0U1sTB+5pG4M+wCaXusEuhJtKxlG0lAZLDg0F1nQsKHvd&#10;3kZBvjfdIdVXFz8fi/T8ieXcvFqlxqN+vwbhqfd/8c990QrieVgbzoQjIL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Q9m1C9AAAA3AAAAA8AAAAAAAAAAAAAAAAAoQIA&#10;AGRycy9kb3ducmV2LnhtbFBLBQYAAAAABAAEAPkAAACLAwAAAAA=&#10;" strokecolor="#f61d12 [3205]" strokeweight="1.25pt">
                  <v:stroke endarrow="block"/>
                </v:shape>
                <v:shape id="Straight Arrow Connector 237" o:spid="_x0000_s1038" type="#_x0000_t32" style="position:absolute;left:14630;top:24330;width:28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IPIsIAAADcAAAADwAAAGRycy9kb3ducmV2LnhtbESPwarCMBRE94L/EK7gTlOr+B7VKCrI&#10;c+Gm6gdcmmtbbG5KE9v69+aB4HKYmTPMetubSrTUuNKygtk0AkGcWV1yruB2PU5+QTiPrLGyTApe&#10;5GC7GQ7WmGjbcUrtxeciQNglqKDwvk6kdFlBBt3U1sTBu9vGoA+yyaVusAtwU8k4ipbSYMlhocCa&#10;DgVlj8vTKMh3ptun+uzi+22R/r1iOTePVqnxqN+tQHjq/Tf8aZ+0gnj+A/9nwhG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IPIsIAAADcAAAADwAAAAAAAAAAAAAA&#10;AAChAgAAZHJzL2Rvd25yZXYueG1sUEsFBgAAAAAEAAQA+QAAAJADAAAAAA==&#10;" strokecolor="#f61d12 [3205]" strokeweight="1.25pt">
                  <v:stroke endarrow="block"/>
                </v:shape>
                <v:rect id="Rectangle 519" o:spid="_x0000_s1039" style="position:absolute;left:17731;top:6997;width:12224;height:57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BC8QA&#10;AADcAAAADwAAAGRycy9kb3ducmV2LnhtbESP3WoCMRSE7wu+QziCN1KzCi12NUotrPRKqPYBTjfH&#10;3dXkZNlk/96+KQi9HGbmG2a7H6wRHTW+cqxguUhAEOdOV1wo+L5kz2sQPiBrNI5JwUge9rvJ0xZT&#10;7Xr+ou4cChEh7FNUUIZQp1L6vCSLfuFq4uhdXWMxRNkUUjfYR7g1cpUkr9JixXGhxJo+Ssrv59Yq&#10;MO5m5Pw6HjJ/Ovzc3fy4bruVUrPp8L4BEWgI/+FH+1MreFm+wd+Ze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AQvEAAAA3AAAAA8AAAAAAAAAAAAAAAAAmAIAAGRycy9k&#10;b3ducmV2LnhtbFBLBQYAAAAABAAEAPUAAACJAwAAAAA=&#10;" fillcolor="#c6bfab [3206]" strokecolor="#6f6652 [3208]">
                  <v:textbox inset="2mm,1mm,2mm,1mm">
                    <w:txbxContent>
                      <w:p w:rsidR="00584F9A" w:rsidRPr="00F543C4" w:rsidRDefault="00584F9A" w:rsidP="00F543C4">
                        <w:pPr>
                          <w:pStyle w:val="ListBullet"/>
                          <w:numPr>
                            <w:ilvl w:val="0"/>
                            <w:numId w:val="0"/>
                          </w:numPr>
                          <w:spacing w:before="0" w:line="240" w:lineRule="auto"/>
                          <w:rPr>
                            <w:rFonts w:ascii="Franklin Gothic Book" w:hAnsi="Franklin Gothic Book"/>
                            <w:color w:val="000000" w:themeColor="text1"/>
                            <w:sz w:val="18"/>
                            <w:szCs w:val="18"/>
                          </w:rPr>
                        </w:pPr>
                        <w:r w:rsidRPr="00F543C4">
                          <w:rPr>
                            <w:rFonts w:ascii="Franklin Gothic Book" w:hAnsi="Franklin Gothic Book"/>
                            <w:color w:val="000000" w:themeColor="text1"/>
                            <w:sz w:val="18"/>
                            <w:szCs w:val="18"/>
                          </w:rPr>
                          <w:t>Affordability of access to services</w:t>
                        </w:r>
                      </w:p>
                    </w:txbxContent>
                  </v:textbox>
                </v:rect>
                <v:rect id="Rectangle 520" o:spid="_x0000_s1040" style="position:absolute;left:17731;top:13676;width:12192;height:6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iK8EA&#10;AADcAAAADwAAAGRycy9kb3ducmV2LnhtbERPyWrDMBC9B/oPYgq9mEaOoSE4VkJTSOipULcfMLXG&#10;SyKNjKV4+fvqUOjx8fbiOFsjRhp851jBZp2CIK6c7rhR8P11ft6B8AFZo3FMChbycDw8rArMtZv4&#10;k8YyNCKGsM9RQRtCn0vpq5Ys+rXriSNXu8FiiHBopB5wiuHWyCxNt9Jix7GhxZ7eWqpu5d0qMO5q&#10;ZFIvp7P/OP3cXHLZ3cdMqafH+XUPItAc/sV/7net4CWL8+OZeATk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aYivBAAAA3AAAAA8AAAAAAAAAAAAAAAAAmAIAAGRycy9kb3du&#10;cmV2LnhtbFBLBQYAAAAABAAEAPUAAACGAwAAAAA=&#10;" fillcolor="#c6bfab [3206]" strokecolor="#6f6652 [3208]">
                  <v:textbox inset="2mm,1mm,2mm,1mm">
                    <w:txbxContent>
                      <w:p w:rsidR="00584F9A" w:rsidRPr="00F543C4" w:rsidRDefault="00584F9A" w:rsidP="00F543C4">
                        <w:pPr>
                          <w:pStyle w:val="ListBullet"/>
                          <w:numPr>
                            <w:ilvl w:val="0"/>
                            <w:numId w:val="0"/>
                          </w:numPr>
                          <w:spacing w:before="0" w:line="240" w:lineRule="auto"/>
                          <w:rPr>
                            <w:rFonts w:ascii="Franklin Gothic Book" w:hAnsi="Franklin Gothic Book"/>
                            <w:color w:val="000000" w:themeColor="text1"/>
                            <w:sz w:val="18"/>
                            <w:szCs w:val="18"/>
                          </w:rPr>
                        </w:pPr>
                        <w:r w:rsidRPr="00F543C4">
                          <w:rPr>
                            <w:rFonts w:ascii="Franklin Gothic Book" w:hAnsi="Franklin Gothic Book"/>
                            <w:color w:val="000000" w:themeColor="text1"/>
                            <w:sz w:val="18"/>
                            <w:szCs w:val="18"/>
                          </w:rPr>
                          <w:t>Efficiency benefits are passed onto consumers</w:t>
                        </w:r>
                      </w:p>
                    </w:txbxContent>
                  </v:textbox>
                </v:rect>
                <v:rect id="Rectangle 521" o:spid="_x0000_s1041" style="position:absolute;left:17651;top:20752;width:12332;height:6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bHsMMA&#10;AADcAAAADwAAAGRycy9kb3ducmV2LnhtbESP0YrCMBRE34X9h3AFX2RNLSilGkUXlH0SVv2Au821&#10;rSY3pYm1/v1GEPZxmJkzzHLdWyM6an3tWMF0koAgLpyuuVRwPu0+MxA+IGs0jknBkzysVx+DJeba&#10;PfiHumMoRYSwz1FBFUKTS+mLiiz6iWuIo3dxrcUQZVtK3eIjwq2RaZLMpcWa40KFDX1VVNyOd6vA&#10;uKuR48tzu/OH7e/NjffZvUuVGg37zQJEoD78h9/tb61glk7hdSYe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bHsMMAAADcAAAADwAAAAAAAAAAAAAAAACYAgAAZHJzL2Rv&#10;d25yZXYueG1sUEsFBgAAAAAEAAQA9QAAAIgDAAAAAA==&#10;" fillcolor="#c6bfab [3206]" strokecolor="#6f6652 [3208]">
                  <v:textbox inset="2mm,1mm,2mm,1mm">
                    <w:txbxContent>
                      <w:p w:rsidR="00584F9A" w:rsidRPr="00F543C4" w:rsidRDefault="00584F9A" w:rsidP="00F543C4">
                        <w:pPr>
                          <w:pStyle w:val="ListBullet"/>
                          <w:numPr>
                            <w:ilvl w:val="0"/>
                            <w:numId w:val="0"/>
                          </w:numPr>
                          <w:spacing w:before="0" w:line="240" w:lineRule="auto"/>
                          <w:rPr>
                            <w:rFonts w:ascii="Franklin Gothic Book" w:hAnsi="Franklin Gothic Book"/>
                            <w:color w:val="000000" w:themeColor="text1"/>
                            <w:sz w:val="18"/>
                            <w:szCs w:val="18"/>
                          </w:rPr>
                        </w:pPr>
                        <w:r w:rsidRPr="00F543C4">
                          <w:rPr>
                            <w:rFonts w:ascii="Franklin Gothic Book" w:hAnsi="Franklin Gothic Book"/>
                            <w:color w:val="000000" w:themeColor="text1"/>
                            <w:sz w:val="18"/>
                            <w:szCs w:val="18"/>
                          </w:rPr>
                          <w:t>Safeguard low-income consumers</w:t>
                        </w:r>
                      </w:p>
                    </w:txbxContent>
                  </v:textbox>
                </v:rect>
                <v:shape id="Straight Arrow Connector 522" o:spid="_x0000_s1042" type="#_x0000_t32" style="position:absolute;left:14709;top:10177;width:29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3AsQAAADcAAAADwAAAGRycy9kb3ducmV2LnhtbESPzWrDMBCE74W+g9hAb40ctSnBiWzc&#10;QmkPuTjNAyzWxjaxVsZS/fP2VSGQ4zAz3zCHfLadGGnwrWMNm3UCgrhypuVaw/nn83kHwgdkg51j&#10;0rCQhzx7fDhgatzEJY2nUIsIYZ+ihiaEPpXSVw1Z9GvXE0fv4gaLIcqhlmbAKcJtJ1WSvEmLLceF&#10;Bnv6aKi6nn6thrqw03tpjl5dzq/l16Lki72OWj+t5mIPItAc7uFb+9to2CoF/2fiEZ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pvcCxAAAANwAAAAPAAAAAAAAAAAA&#10;AAAAAKECAABkcnMvZG93bnJldi54bWxQSwUGAAAAAAQABAD5AAAAkgMAAAAA&#10;" strokecolor="#f61d12 [3205]" strokeweight="1.25pt">
                  <v:stroke endarrow="block"/>
                </v:shape>
                <v:shape id="Straight Arrow Connector 523" o:spid="_x0000_s1043" type="#_x0000_t32" style="position:absolute;left:29976;top:23694;width:27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7BasUAAADcAAAADwAAAGRycy9kb3ducmV2LnhtbESPQWvCQBSE7wX/w/IEb3VjbEobXSUI&#10;AaGU0mjp9ZF9JsHs25BdNfn3XUHocZiZb5j1djCtuFLvGssKFvMIBHFpdcOVguMhf34D4TyyxtYy&#10;KRjJwXYzeVpjqu2Nv+la+EoECLsUFdTed6mUrqzJoJvbjjh4J9sb9EH2ldQ93gLctDKOoldpsOGw&#10;UGNHu5rKc3ExCorzb5K95MuLHWUelZ8/718fRis1mw7ZCoSnwf+HH+29VpDES7ifCUd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7BasUAAADcAAAADwAAAAAAAAAA&#10;AAAAAAChAgAAZHJzL2Rvd25yZXYueG1sUEsFBgAAAAAEAAQA+QAAAJMDAAAAAA==&#10;" strokecolor="#f61d12 [3205]" strokeweight="1.25pt">
                  <v:stroke endarrow="block"/>
                </v:shape>
                <v:shape id="Straight Arrow Connector 524" o:spid="_x0000_s1044" type="#_x0000_t32" style="position:absolute;left:29976;top:9700;width:27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dZHsUAAADcAAAADwAAAGRycy9kb3ducmV2LnhtbESPQWvCQBSE7wX/w/IKvTWbpipt6ioi&#10;BASRYtrS6yP7mgSzb0N2Y5J/7wpCj8PMfMOsNqNpxIU6V1tW8BLFIIgLq2suFXx/Zc9vIJxH1thY&#10;JgUTOdisZw8rTLUd+ESX3JciQNilqKDyvk2ldEVFBl1kW+Lg/dnOoA+yK6XucAhw08gkjpfSYM1h&#10;ocKWdhUV57w3CvLz72I7z157O8ksLo4/758Ho5V6ehy3HyA8jf4/fG/vtYJFMofbmXA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dZHsUAAADcAAAADwAAAAAAAAAA&#10;AAAAAAChAgAAZHJzL2Rvd25yZXYueG1sUEsFBgAAAAAEAAQA+QAAAJMDAAAAAA==&#10;" strokecolor="#f61d12 [3205]" strokeweight="1.25pt">
                  <v:stroke endarrow="block"/>
                </v:shape>
                <v:shape id="Straight Arrow Connector 525" o:spid="_x0000_s1045" type="#_x0000_t32" style="position:absolute;left:29976;top:2862;width:27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v8hcQAAADcAAAADwAAAGRycy9kb3ducmV2LnhtbESPQYvCMBSE78L+h/AWvGm6rl20GkUW&#10;CoKI2FW8Ppq3bbF5KU3U+u+NIHgcZuYbZr7sTC2u1LrKsoKvYQSCOLe64kLB4S8dTEA4j6yxtkwK&#10;7uRgufjozTHR9sZ7uma+EAHCLkEFpfdNIqXLSzLohrYhDt6/bQ36INtC6hZvAW5qOYqiH2mw4rBQ&#10;YkO/JeXn7GIUZOdTvBqn3xd7l2mUb4/T3cZopfqf3WoGwlPn3+FXe60VxKMY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yFxAAAANwAAAAPAAAAAAAAAAAA&#10;AAAAAKECAABkcnMvZG93bnJldi54bWxQSwUGAAAAAAQABAD5AAAAkgMAAAAA&#10;" strokecolor="#f61d12 [3205]" strokeweight="1.25pt">
                  <v:stroke endarrow="block"/>
                </v:shape>
                <v:shape id="Straight Arrow Connector 528" o:spid="_x0000_s1046" type="#_x0000_t32" style="position:absolute;left:29976;top:17254;width:27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TG8IAAADcAAAADwAAAGRycy9kb3ducmV2LnhtbERPTWuDQBC9F/Iflin0VtfapKTGNYSA&#10;UCgl1Db0OrgTFd1ZcdfE/PvsoZDj431n29n04kyjay0reIliEMSV1S3XCn5/iuc1COeRNfaWScGV&#10;HGzzxUOGqbYX/qZz6WsRQtilqKDxfkildFVDBl1kB+LAnexo0Ac41lKPeAnhppdJHL9Jgy2HhgYH&#10;2jdUdeVkFJTd32q3LF4ne5VFXH0d3w+fRiv19DjvNiA8zf4u/nd/aAWrJKwNZ8IR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TG8IAAADcAAAADwAAAAAAAAAAAAAA&#10;AAChAgAAZHJzL2Rvd25yZXYueG1sUEsFBgAAAAAEAAQA+QAAAJADAAAAAA==&#10;" strokecolor="#f61d12 [3205]" strokeweight="1.25pt">
                  <v:stroke endarrow="block"/>
                </v:shape>
              </v:group>
            </w:pict>
          </mc:Fallback>
        </mc:AlternateContent>
      </w:r>
    </w:p>
    <w:p w:rsidR="00406ED7" w:rsidRDefault="00406ED7" w:rsidP="00406ED7">
      <w:pPr>
        <w:pStyle w:val="Subtitlebox"/>
        <w:numPr>
          <w:ilvl w:val="0"/>
          <w:numId w:val="0"/>
        </w:numPr>
      </w:pPr>
    </w:p>
    <w:p w:rsidR="00406ED7" w:rsidRDefault="00406ED7" w:rsidP="00406ED7">
      <w:pPr>
        <w:pStyle w:val="Subtitlebox"/>
        <w:numPr>
          <w:ilvl w:val="0"/>
          <w:numId w:val="0"/>
        </w:numPr>
      </w:pPr>
    </w:p>
    <w:p w:rsidR="00406ED7" w:rsidRDefault="00406ED7" w:rsidP="00406ED7">
      <w:pPr>
        <w:pStyle w:val="Subtitlebox"/>
        <w:numPr>
          <w:ilvl w:val="0"/>
          <w:numId w:val="0"/>
        </w:numPr>
      </w:pPr>
    </w:p>
    <w:p w:rsidR="00406ED7" w:rsidRDefault="00406ED7" w:rsidP="00406ED7">
      <w:pPr>
        <w:pStyle w:val="Subtitlebox"/>
        <w:numPr>
          <w:ilvl w:val="0"/>
          <w:numId w:val="0"/>
        </w:numPr>
      </w:pPr>
    </w:p>
    <w:p w:rsidR="00406ED7" w:rsidRDefault="00406ED7" w:rsidP="00406ED7">
      <w:pPr>
        <w:pStyle w:val="Subtitlebox"/>
        <w:numPr>
          <w:ilvl w:val="0"/>
          <w:numId w:val="0"/>
        </w:numPr>
      </w:pPr>
    </w:p>
    <w:p w:rsidR="00406ED7" w:rsidRDefault="00406ED7" w:rsidP="00406ED7">
      <w:pPr>
        <w:pStyle w:val="Subtitlebox"/>
        <w:numPr>
          <w:ilvl w:val="0"/>
          <w:numId w:val="0"/>
        </w:numPr>
      </w:pPr>
    </w:p>
    <w:p w:rsidR="00406ED7" w:rsidRDefault="00406ED7" w:rsidP="00406ED7">
      <w:pPr>
        <w:pStyle w:val="Subtitlebox"/>
        <w:numPr>
          <w:ilvl w:val="0"/>
          <w:numId w:val="0"/>
        </w:numPr>
      </w:pPr>
    </w:p>
    <w:p w:rsidR="00406ED7" w:rsidRDefault="00406ED7" w:rsidP="00406ED7">
      <w:pPr>
        <w:pStyle w:val="Subtitlebox"/>
        <w:numPr>
          <w:ilvl w:val="0"/>
          <w:numId w:val="0"/>
        </w:numPr>
      </w:pPr>
    </w:p>
    <w:p w:rsidR="00406ED7" w:rsidRDefault="00406ED7" w:rsidP="00406ED7">
      <w:pPr>
        <w:pStyle w:val="Subtitlebox"/>
        <w:numPr>
          <w:ilvl w:val="0"/>
          <w:numId w:val="0"/>
        </w:numPr>
      </w:pPr>
    </w:p>
    <w:p w:rsidR="00406ED7" w:rsidRDefault="00406ED7" w:rsidP="00406ED7">
      <w:pPr>
        <w:pStyle w:val="Subtitlebox"/>
        <w:numPr>
          <w:ilvl w:val="0"/>
          <w:numId w:val="0"/>
        </w:numPr>
      </w:pPr>
    </w:p>
    <w:p w:rsidR="00406ED7" w:rsidRDefault="00406ED7" w:rsidP="00406ED7">
      <w:pPr>
        <w:pStyle w:val="Subtitlebox"/>
        <w:numPr>
          <w:ilvl w:val="0"/>
          <w:numId w:val="0"/>
        </w:numPr>
      </w:pPr>
    </w:p>
    <w:p w:rsidR="00406ED7" w:rsidRDefault="00406ED7" w:rsidP="00406ED7">
      <w:pPr>
        <w:pStyle w:val="Subtitlebox"/>
        <w:numPr>
          <w:ilvl w:val="0"/>
          <w:numId w:val="0"/>
        </w:numPr>
      </w:pPr>
    </w:p>
    <w:p w:rsidR="002C073A" w:rsidRDefault="002C073A" w:rsidP="002C073A">
      <w:pPr>
        <w:pStyle w:val="Source"/>
        <w:spacing w:after="0"/>
        <w:rPr>
          <w:i/>
        </w:rPr>
      </w:pPr>
    </w:p>
    <w:p w:rsidR="00675046" w:rsidRDefault="00675046" w:rsidP="002C073A">
      <w:pPr>
        <w:pStyle w:val="Source"/>
        <w:spacing w:before="0"/>
      </w:pPr>
      <w:proofErr w:type="gramStart"/>
      <w:r>
        <w:rPr>
          <w:i/>
        </w:rPr>
        <w:t>Source</w:t>
      </w:r>
      <w:r w:rsidRPr="00A67576">
        <w:rPr>
          <w:i/>
        </w:rPr>
        <w:t>:</w:t>
      </w:r>
      <w:r>
        <w:t xml:space="preserve"> The CIE.</w:t>
      </w:r>
      <w:proofErr w:type="gramEnd"/>
    </w:p>
    <w:p w:rsidR="00402F0D" w:rsidRPr="00402F0D" w:rsidRDefault="00402F0D" w:rsidP="00402F0D">
      <w:pPr>
        <w:pStyle w:val="BodyText"/>
        <w:rPr>
          <w:lang w:eastAsia="en-US"/>
        </w:rPr>
      </w:pPr>
      <w:r>
        <w:rPr>
          <w:lang w:eastAsia="en-US"/>
        </w:rPr>
        <w:t xml:space="preserve">The legislative arrangements that </w:t>
      </w:r>
      <w:r w:rsidR="00341986">
        <w:rPr>
          <w:lang w:eastAsia="en-US"/>
        </w:rPr>
        <w:t>are</w:t>
      </w:r>
      <w:r>
        <w:rPr>
          <w:lang w:eastAsia="en-US"/>
        </w:rPr>
        <w:t xml:space="preserve"> applied to telecommuni</w:t>
      </w:r>
      <w:r w:rsidR="00341986">
        <w:rPr>
          <w:lang w:eastAsia="en-US"/>
        </w:rPr>
        <w:t>c</w:t>
      </w:r>
      <w:r>
        <w:rPr>
          <w:lang w:eastAsia="en-US"/>
        </w:rPr>
        <w:t>ations are set out in table </w:t>
      </w:r>
      <w:r>
        <w:rPr>
          <w:lang w:eastAsia="en-US"/>
        </w:rPr>
        <w:fldChar w:fldCharType="begin"/>
      </w:r>
      <w:r>
        <w:rPr>
          <w:lang w:eastAsia="en-US"/>
        </w:rPr>
        <w:instrText xml:space="preserve"> REF _Caption1700 </w:instrText>
      </w:r>
      <w:r>
        <w:rPr>
          <w:lang w:eastAsia="en-US"/>
        </w:rPr>
        <w:fldChar w:fldCharType="separate"/>
      </w:r>
      <w:r w:rsidR="00304215">
        <w:rPr>
          <w:noProof/>
        </w:rPr>
        <w:t>1</w:t>
      </w:r>
      <w:r w:rsidR="00304215" w:rsidRPr="00695C93">
        <w:rPr>
          <w:noProof/>
        </w:rPr>
        <w:t>.</w:t>
      </w:r>
      <w:r w:rsidR="00304215">
        <w:rPr>
          <w:noProof/>
        </w:rPr>
        <w:t>3</w:t>
      </w:r>
      <w:r>
        <w:rPr>
          <w:lang w:eastAsia="en-US"/>
        </w:rPr>
        <w:fldChar w:fldCharType="end"/>
      </w:r>
      <w:r>
        <w:rPr>
          <w:lang w:eastAsia="en-US"/>
        </w:rPr>
        <w:t>.</w:t>
      </w:r>
    </w:p>
    <w:p w:rsidR="00675046" w:rsidRDefault="00675046" w:rsidP="00F37D93">
      <w:pPr>
        <w:pStyle w:val="Caption"/>
        <w:spacing w:before="240"/>
      </w:pPr>
      <w:r w:rsidRPr="00695C93">
        <w:lastRenderedPageBreak/>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1</w:instrText>
        </w:r>
      </w:fldSimple>
      <w:r w:rsidRPr="00695C93">
        <w:instrText xml:space="preserve"> = 0 "" "</w:instrText>
      </w:r>
      <w:fldSimple w:instr=" STYLEREF &quot;Heading 1&quot; \l \n ">
        <w:r w:rsidR="00304215">
          <w:rPr>
            <w:noProof/>
          </w:rPr>
          <w:instrText>1</w:instrText>
        </w:r>
      </w:fldSimple>
      <w:r w:rsidRPr="00695C93">
        <w:instrText xml:space="preserve">." </w:instrText>
      </w:r>
      <w:r w:rsidRPr="00695C93">
        <w:fldChar w:fldCharType="separate"/>
      </w:r>
      <w:r w:rsidR="00304215">
        <w:rPr>
          <w:noProof/>
        </w:rPr>
        <w:instrText>1</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1</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1</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3</w:instrText>
      </w:r>
      <w:r w:rsidRPr="00695C93">
        <w:fldChar w:fldCharType="end"/>
      </w:r>
      <w:r w:rsidRPr="00695C93">
        <w:instrText xml:space="preserve">" "" </w:instrText>
      </w:r>
      <w:r w:rsidRPr="00695C93">
        <w:fldChar w:fldCharType="separate"/>
      </w:r>
      <w:bookmarkStart w:id="89" w:name="_Caption3037"/>
      <w:bookmarkStart w:id="90" w:name="_Caption4480"/>
      <w:bookmarkStart w:id="91" w:name="_Caption4125"/>
      <w:bookmarkStart w:id="92" w:name="_Caption6004"/>
      <w:bookmarkStart w:id="93" w:name="_Caption3973"/>
      <w:bookmarkStart w:id="94" w:name="_Caption2499"/>
      <w:bookmarkStart w:id="95" w:name="_Caption0446"/>
      <w:bookmarkStart w:id="96" w:name="_Caption3467"/>
      <w:bookmarkStart w:id="97" w:name="_Caption6389"/>
      <w:bookmarkStart w:id="98" w:name="_Caption4087"/>
      <w:bookmarkStart w:id="99" w:name="_Caption4827"/>
      <w:bookmarkStart w:id="100" w:name="_Caption1344"/>
      <w:bookmarkStart w:id="101" w:name="_Caption0498"/>
      <w:bookmarkStart w:id="102" w:name="_Caption2749"/>
      <w:bookmarkStart w:id="103" w:name="_Caption0864"/>
      <w:bookmarkStart w:id="104" w:name="_Caption4638"/>
      <w:bookmarkStart w:id="105" w:name="_Caption0679"/>
      <w:bookmarkStart w:id="106" w:name="_Caption1700"/>
      <w:bookmarkStart w:id="107" w:name="_Caption0588"/>
      <w:bookmarkStart w:id="108" w:name="_Caption0435"/>
      <w:bookmarkStart w:id="109" w:name="_Caption6534"/>
      <w:bookmarkStart w:id="110" w:name="_Caption5331"/>
      <w:bookmarkStart w:id="111" w:name="_Caption6399"/>
      <w:bookmarkStart w:id="112" w:name="_Caption6823"/>
      <w:bookmarkStart w:id="113" w:name="_Caption0420"/>
      <w:bookmarkStart w:id="114" w:name="_Caption5963"/>
      <w:bookmarkStart w:id="115" w:name="_Caption0186"/>
      <w:bookmarkStart w:id="116" w:name="_Caption5402"/>
      <w:bookmarkStart w:id="117" w:name="_Caption6214"/>
      <w:bookmarkStart w:id="118" w:name="_Caption7254"/>
      <w:bookmarkStart w:id="119" w:name="_Caption0184"/>
      <w:bookmarkStart w:id="120" w:name="_Caption8179"/>
      <w:bookmarkStart w:id="121" w:name="_Caption2486"/>
      <w:bookmarkStart w:id="122" w:name="_Caption3414"/>
      <w:bookmarkStart w:id="123" w:name="_Caption7801"/>
      <w:bookmarkStart w:id="124" w:name="_Caption9317"/>
      <w:bookmarkStart w:id="125" w:name="_Caption7856"/>
      <w:bookmarkStart w:id="126" w:name="_Caption0620"/>
      <w:bookmarkStart w:id="127" w:name="_Toc381784717"/>
      <w:bookmarkStart w:id="128" w:name="_Toc391972936"/>
      <w:r w:rsidR="00584F9A">
        <w:rPr>
          <w:noProof/>
        </w:rPr>
        <w:t>1</w:t>
      </w:r>
      <w:r w:rsidR="00584F9A" w:rsidRPr="00695C93">
        <w:rPr>
          <w:noProof/>
        </w:rPr>
        <w:t>.</w:t>
      </w:r>
      <w:r w:rsidR="00584F9A">
        <w:rPr>
          <w:noProof/>
        </w:rPr>
        <w:t>3</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695C93">
        <w:fldChar w:fldCharType="end"/>
      </w:r>
      <w:r w:rsidRPr="00695C93">
        <w:tab/>
      </w:r>
      <w:r w:rsidR="00402F0D">
        <w:t>R</w:t>
      </w:r>
      <w:r>
        <w:t>egulation in the telecommunication sector</w:t>
      </w:r>
      <w:bookmarkEnd w:id="127"/>
      <w:bookmarkEnd w:id="128"/>
      <w:r>
        <w:t xml:space="preserve"> </w:t>
      </w:r>
    </w:p>
    <w:tbl>
      <w:tblPr>
        <w:tblW w:w="7938" w:type="dxa"/>
        <w:tblInd w:w="57" w:type="dxa"/>
        <w:tblLayout w:type="fixed"/>
        <w:tblLook w:val="0000" w:firstRow="0" w:lastRow="0" w:firstColumn="0" w:lastColumn="0" w:noHBand="0" w:noVBand="0"/>
      </w:tblPr>
      <w:tblGrid>
        <w:gridCol w:w="3464"/>
        <w:gridCol w:w="4474"/>
      </w:tblGrid>
      <w:tr w:rsidR="00675046" w:rsidTr="005C7B71">
        <w:trPr>
          <w:tblHeader/>
        </w:trPr>
        <w:tc>
          <w:tcPr>
            <w:tcW w:w="3402" w:type="dxa"/>
            <w:tcBorders>
              <w:bottom w:val="single" w:sz="8" w:space="0" w:color="FFFFFF" w:themeColor="background1"/>
            </w:tcBorders>
            <w:shd w:val="clear" w:color="auto" w:fill="6F6652"/>
            <w:tcMar>
              <w:left w:w="57" w:type="dxa"/>
              <w:right w:w="57" w:type="dxa"/>
            </w:tcMar>
          </w:tcPr>
          <w:p w:rsidR="00675046" w:rsidRDefault="00675046" w:rsidP="00675046">
            <w:pPr>
              <w:pStyle w:val="TableDataColumnHeading"/>
              <w:jc w:val="left"/>
            </w:pPr>
            <w:r>
              <w:t>Regulatory Act/Declarations</w:t>
            </w:r>
          </w:p>
        </w:tc>
        <w:tc>
          <w:tcPr>
            <w:tcW w:w="4395" w:type="dxa"/>
            <w:tcBorders>
              <w:bottom w:val="single" w:sz="8" w:space="0" w:color="FFFFFF" w:themeColor="background1"/>
            </w:tcBorders>
            <w:shd w:val="clear" w:color="auto" w:fill="6F6652"/>
            <w:tcMar>
              <w:left w:w="57" w:type="dxa"/>
              <w:right w:w="57" w:type="dxa"/>
            </w:tcMar>
          </w:tcPr>
          <w:p w:rsidR="00675046" w:rsidRDefault="00675046" w:rsidP="00675046">
            <w:pPr>
              <w:pStyle w:val="TableDataColumnHeading"/>
              <w:jc w:val="left"/>
            </w:pPr>
            <w:r>
              <w:t xml:space="preserve">Key provisions </w:t>
            </w:r>
          </w:p>
        </w:tc>
      </w:tr>
      <w:tr w:rsidR="00675046" w:rsidTr="00F37D93">
        <w:trPr>
          <w:trHeight w:hRule="exact" w:val="302"/>
        </w:trPr>
        <w:tc>
          <w:tcPr>
            <w:tcW w:w="340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675046" w:rsidP="00F37D93">
            <w:pPr>
              <w:pStyle w:val="TableUnit"/>
              <w:spacing w:before="40" w:after="0"/>
              <w:jc w:val="left"/>
            </w:pPr>
            <w:r>
              <w:t>Telecommunications Act 1989</w:t>
            </w:r>
          </w:p>
        </w:tc>
        <w:tc>
          <w:tcPr>
            <w:tcW w:w="439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675046" w:rsidP="00F37D93">
            <w:pPr>
              <w:pStyle w:val="TableUnit"/>
              <w:spacing w:before="40" w:after="0" w:line="240" w:lineRule="auto"/>
              <w:jc w:val="left"/>
            </w:pPr>
            <w:r>
              <w:t xml:space="preserve">Retail price controls </w:t>
            </w:r>
          </w:p>
        </w:tc>
      </w:tr>
      <w:tr w:rsidR="00675046" w:rsidTr="00F37D93">
        <w:trPr>
          <w:trHeight w:hRule="exact" w:val="336"/>
        </w:trPr>
        <w:tc>
          <w:tcPr>
            <w:tcW w:w="340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675046" w:rsidP="00F37D93">
            <w:pPr>
              <w:pStyle w:val="TableDataEntries"/>
              <w:spacing w:after="0"/>
              <w:jc w:val="left"/>
            </w:pPr>
            <w:r>
              <w:t>Telstra (Dilution of Public Ownership) Act 1996</w:t>
            </w:r>
          </w:p>
        </w:tc>
        <w:tc>
          <w:tcPr>
            <w:tcW w:w="439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675046" w:rsidP="00F37D93">
            <w:pPr>
              <w:pStyle w:val="TableDataEntries"/>
              <w:spacing w:after="0" w:line="240" w:lineRule="auto"/>
              <w:jc w:val="left"/>
            </w:pPr>
            <w:r>
              <w:t>Customer service guarantee (CSG)</w:t>
            </w:r>
          </w:p>
        </w:tc>
      </w:tr>
      <w:tr w:rsidR="00675046" w:rsidTr="00F37D93">
        <w:trPr>
          <w:trHeight w:hRule="exact" w:val="781"/>
        </w:trPr>
        <w:tc>
          <w:tcPr>
            <w:tcW w:w="340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675046" w:rsidP="00F37D93">
            <w:pPr>
              <w:pStyle w:val="TableDataEntries"/>
              <w:spacing w:after="0"/>
              <w:jc w:val="left"/>
            </w:pPr>
            <w:r>
              <w:t>Telecommunications Act 1997</w:t>
            </w:r>
          </w:p>
        </w:tc>
        <w:tc>
          <w:tcPr>
            <w:tcW w:w="439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675046" w:rsidP="00F37D93">
            <w:pPr>
              <w:pStyle w:val="TableDataEntries"/>
              <w:spacing w:after="0" w:line="240" w:lineRule="auto"/>
              <w:jc w:val="left"/>
            </w:pPr>
            <w:r>
              <w:t xml:space="preserve">Licence conditions </w:t>
            </w:r>
          </w:p>
          <w:p w:rsidR="00675046" w:rsidRDefault="00675046" w:rsidP="00304215">
            <w:pPr>
              <w:pStyle w:val="TableDataEntries"/>
              <w:spacing w:after="0" w:line="240" w:lineRule="auto"/>
              <w:jc w:val="left"/>
            </w:pPr>
            <w:r>
              <w:t xml:space="preserve">Industry code of conduct </w:t>
            </w:r>
          </w:p>
        </w:tc>
      </w:tr>
      <w:tr w:rsidR="00675046" w:rsidTr="00F37D93">
        <w:trPr>
          <w:trHeight w:hRule="exact" w:val="717"/>
        </w:trPr>
        <w:tc>
          <w:tcPr>
            <w:tcW w:w="340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675046" w:rsidP="00F37D93">
            <w:pPr>
              <w:pStyle w:val="TableDataEntries"/>
              <w:spacing w:after="0"/>
              <w:jc w:val="left"/>
            </w:pPr>
            <w:r>
              <w:t xml:space="preserve">Carrier Licence Declaration 1997 </w:t>
            </w:r>
          </w:p>
        </w:tc>
        <w:tc>
          <w:tcPr>
            <w:tcW w:w="439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675046" w:rsidP="00F37D93">
            <w:pPr>
              <w:pStyle w:val="TableDataEntries"/>
              <w:spacing w:before="0" w:after="0" w:line="240" w:lineRule="auto"/>
              <w:jc w:val="left"/>
            </w:pPr>
            <w:r>
              <w:t>Low income measures</w:t>
            </w:r>
          </w:p>
          <w:p w:rsidR="00675046" w:rsidRDefault="00675046" w:rsidP="00F37D93">
            <w:pPr>
              <w:pStyle w:val="TableDataEntries"/>
              <w:spacing w:after="0" w:line="240" w:lineRule="auto"/>
              <w:jc w:val="left"/>
            </w:pPr>
            <w:r>
              <w:t>Network Reliability Framework</w:t>
            </w:r>
          </w:p>
          <w:p w:rsidR="00675046" w:rsidRDefault="00675046" w:rsidP="00F37D93">
            <w:pPr>
              <w:pStyle w:val="TableDataEntries"/>
              <w:spacing w:after="0" w:line="240" w:lineRule="auto"/>
              <w:jc w:val="left"/>
            </w:pPr>
            <w:r>
              <w:t>Priority Assistance Scheme</w:t>
            </w:r>
          </w:p>
        </w:tc>
      </w:tr>
      <w:tr w:rsidR="00675046" w:rsidTr="00F37D93">
        <w:trPr>
          <w:trHeight w:hRule="exact" w:val="701"/>
        </w:trPr>
        <w:tc>
          <w:tcPr>
            <w:tcW w:w="340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341986" w:rsidP="00F37D93">
            <w:pPr>
              <w:pStyle w:val="TableDataEntries"/>
              <w:spacing w:after="0"/>
              <w:jc w:val="left"/>
            </w:pPr>
            <w:r>
              <w:t>Telecommunications (Consumer Protections and Service Standards Act 1999</w:t>
            </w:r>
          </w:p>
        </w:tc>
        <w:tc>
          <w:tcPr>
            <w:tcW w:w="439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675046" w:rsidP="00F37D93">
            <w:pPr>
              <w:pStyle w:val="TableDataEntries"/>
              <w:spacing w:after="0" w:line="240" w:lineRule="auto"/>
              <w:jc w:val="left"/>
            </w:pPr>
            <w:r>
              <w:t>U</w:t>
            </w:r>
            <w:r w:rsidR="00304215">
              <w:t>niversal Service O</w:t>
            </w:r>
            <w:r>
              <w:t>bligation</w:t>
            </w:r>
          </w:p>
          <w:p w:rsidR="00304215" w:rsidRDefault="00304215" w:rsidP="00F37D93">
            <w:pPr>
              <w:pStyle w:val="TableDataEntries"/>
              <w:spacing w:after="0" w:line="240" w:lineRule="auto"/>
              <w:jc w:val="left"/>
            </w:pPr>
            <w:r>
              <w:t>Customer Service Guarantee</w:t>
            </w:r>
          </w:p>
          <w:p w:rsidR="00675046" w:rsidRDefault="00675046" w:rsidP="00F37D93">
            <w:pPr>
              <w:pStyle w:val="TableDataEntries"/>
              <w:spacing w:after="0" w:line="240" w:lineRule="auto"/>
              <w:jc w:val="left"/>
            </w:pPr>
            <w:r>
              <w:t xml:space="preserve">Telecommunications Industry Ombudsman </w:t>
            </w:r>
          </w:p>
          <w:p w:rsidR="00675046" w:rsidRDefault="00675046" w:rsidP="00F37D93">
            <w:pPr>
              <w:pStyle w:val="TableDataEntries"/>
              <w:spacing w:after="0" w:line="240" w:lineRule="auto"/>
              <w:jc w:val="left"/>
            </w:pPr>
            <w:r>
              <w:t xml:space="preserve">Price controls </w:t>
            </w:r>
          </w:p>
        </w:tc>
      </w:tr>
      <w:tr w:rsidR="00675046" w:rsidTr="00F37D93">
        <w:trPr>
          <w:trHeight w:hRule="exact" w:val="986"/>
        </w:trPr>
        <w:tc>
          <w:tcPr>
            <w:tcW w:w="340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675046" w:rsidP="00F37D93">
            <w:pPr>
              <w:pStyle w:val="TableDataEntries"/>
              <w:spacing w:after="0"/>
              <w:jc w:val="left"/>
            </w:pPr>
            <w:r>
              <w:t xml:space="preserve">Telstra Carrier Charges 2005 </w:t>
            </w:r>
          </w:p>
        </w:tc>
        <w:tc>
          <w:tcPr>
            <w:tcW w:w="439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675046" w:rsidP="00F37D93">
            <w:pPr>
              <w:pStyle w:val="TableDataEntries"/>
              <w:spacing w:after="0" w:line="240" w:lineRule="auto"/>
              <w:jc w:val="left"/>
            </w:pPr>
            <w:r>
              <w:t>Trunk calls</w:t>
            </w:r>
          </w:p>
          <w:p w:rsidR="00675046" w:rsidRDefault="00675046" w:rsidP="00F37D93">
            <w:pPr>
              <w:pStyle w:val="TableDataEntries"/>
              <w:spacing w:after="0" w:line="240" w:lineRule="auto"/>
              <w:jc w:val="left"/>
            </w:pPr>
            <w:r>
              <w:t xml:space="preserve">International calls </w:t>
            </w:r>
          </w:p>
          <w:p w:rsidR="00675046" w:rsidRDefault="00675046" w:rsidP="00F37D93">
            <w:pPr>
              <w:pStyle w:val="TableDataEntries"/>
              <w:spacing w:after="0" w:line="240" w:lineRule="auto"/>
              <w:jc w:val="left"/>
            </w:pPr>
            <w:r>
              <w:t>Line rentals</w:t>
            </w:r>
          </w:p>
          <w:p w:rsidR="00675046" w:rsidRDefault="00675046" w:rsidP="00F37D93">
            <w:pPr>
              <w:pStyle w:val="TableDataEntries"/>
              <w:spacing w:after="0" w:line="240" w:lineRule="auto"/>
              <w:jc w:val="left"/>
            </w:pPr>
            <w:r>
              <w:t>Connection services</w:t>
            </w:r>
          </w:p>
        </w:tc>
      </w:tr>
      <w:tr w:rsidR="00675046" w:rsidTr="00F37D93">
        <w:trPr>
          <w:trHeight w:hRule="exact" w:val="1134"/>
        </w:trPr>
        <w:tc>
          <w:tcPr>
            <w:tcW w:w="340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675046" w:rsidP="00F37D93">
            <w:pPr>
              <w:pStyle w:val="TableDataEntries"/>
              <w:spacing w:after="0"/>
              <w:jc w:val="left"/>
            </w:pPr>
            <w:r>
              <w:t xml:space="preserve">Telecommunication Consumer Protection </w:t>
            </w:r>
          </w:p>
          <w:p w:rsidR="00675046" w:rsidRDefault="00341986" w:rsidP="00F37D93">
            <w:pPr>
              <w:pStyle w:val="TableDataEntries"/>
              <w:spacing w:after="0"/>
              <w:jc w:val="left"/>
            </w:pPr>
            <w:r>
              <w:t>Code (2012</w:t>
            </w:r>
            <w:r w:rsidR="00675046">
              <w:t>)</w:t>
            </w:r>
          </w:p>
        </w:tc>
        <w:tc>
          <w:tcPr>
            <w:tcW w:w="439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50030A" w:rsidRDefault="00675046" w:rsidP="00F37D93">
            <w:pPr>
              <w:pStyle w:val="TableDataEntries"/>
              <w:spacing w:after="0" w:line="240" w:lineRule="auto"/>
              <w:jc w:val="left"/>
            </w:pPr>
            <w:r>
              <w:t>O</w:t>
            </w:r>
            <w:r w:rsidRPr="0050030A">
              <w:t xml:space="preserve">ffers </w:t>
            </w:r>
          </w:p>
          <w:p w:rsidR="00675046" w:rsidRPr="0050030A" w:rsidRDefault="00675046" w:rsidP="00F37D93">
            <w:pPr>
              <w:pStyle w:val="TableDataEntries"/>
              <w:spacing w:after="0" w:line="240" w:lineRule="auto"/>
              <w:jc w:val="left"/>
            </w:pPr>
            <w:r>
              <w:t>A</w:t>
            </w:r>
            <w:r w:rsidRPr="0050030A">
              <w:t xml:space="preserve">dvertising </w:t>
            </w:r>
          </w:p>
          <w:p w:rsidR="00675046" w:rsidRPr="0050030A" w:rsidRDefault="00675046" w:rsidP="00F37D93">
            <w:pPr>
              <w:pStyle w:val="TableDataEntries"/>
              <w:spacing w:after="0" w:line="240" w:lineRule="auto"/>
              <w:jc w:val="left"/>
            </w:pPr>
            <w:r>
              <w:t>S</w:t>
            </w:r>
            <w:r w:rsidRPr="0050030A">
              <w:t>elling practices</w:t>
            </w:r>
          </w:p>
          <w:p w:rsidR="00675046" w:rsidRPr="0050030A" w:rsidRDefault="00675046" w:rsidP="00F37D93">
            <w:pPr>
              <w:pStyle w:val="TableDataEntries"/>
              <w:spacing w:after="0" w:line="240" w:lineRule="auto"/>
              <w:jc w:val="left"/>
            </w:pPr>
            <w:r>
              <w:t>B</w:t>
            </w:r>
            <w:r w:rsidRPr="0050030A">
              <w:t>illing</w:t>
            </w:r>
          </w:p>
          <w:p w:rsidR="00675046" w:rsidRDefault="00675046" w:rsidP="00F37D93">
            <w:pPr>
              <w:pStyle w:val="TableDataEntries"/>
              <w:spacing w:line="240" w:lineRule="auto"/>
              <w:jc w:val="left"/>
            </w:pPr>
            <w:r>
              <w:t>Complaint handling</w:t>
            </w:r>
          </w:p>
        </w:tc>
      </w:tr>
      <w:tr w:rsidR="00675046" w:rsidTr="00F37D93">
        <w:trPr>
          <w:trHeight w:val="374"/>
        </w:trPr>
        <w:tc>
          <w:tcPr>
            <w:tcW w:w="3402" w:type="dxa"/>
            <w:tcBorders>
              <w:top w:val="single" w:sz="8" w:space="0" w:color="FFFFFF" w:themeColor="background1"/>
              <w:bottom w:val="single" w:sz="4" w:space="0" w:color="6F6652" w:themeColor="accent5"/>
            </w:tcBorders>
            <w:shd w:val="clear" w:color="auto" w:fill="E9E8E5" w:themeFill="background2"/>
            <w:tcMar>
              <w:left w:w="57" w:type="dxa"/>
              <w:right w:w="57" w:type="dxa"/>
            </w:tcMar>
          </w:tcPr>
          <w:p w:rsidR="00675046" w:rsidRDefault="00341986" w:rsidP="00F37D93">
            <w:pPr>
              <w:pStyle w:val="TableDataEntries"/>
              <w:spacing w:after="0"/>
              <w:jc w:val="left"/>
            </w:pPr>
            <w:r>
              <w:t>Competition</w:t>
            </w:r>
            <w:r w:rsidR="00675046">
              <w:t xml:space="preserve"> and Consumer Act 2010</w:t>
            </w:r>
          </w:p>
        </w:tc>
        <w:tc>
          <w:tcPr>
            <w:tcW w:w="4395" w:type="dxa"/>
            <w:tcBorders>
              <w:top w:val="single" w:sz="8" w:space="0" w:color="FFFFFF" w:themeColor="background1"/>
              <w:bottom w:val="single" w:sz="4" w:space="0" w:color="6F6652" w:themeColor="accent5"/>
            </w:tcBorders>
            <w:shd w:val="clear" w:color="auto" w:fill="E9E8E5" w:themeFill="background2"/>
            <w:tcMar>
              <w:left w:w="57" w:type="dxa"/>
              <w:right w:w="57" w:type="dxa"/>
            </w:tcMar>
          </w:tcPr>
          <w:p w:rsidR="00675046" w:rsidRDefault="00675046" w:rsidP="00F37D93">
            <w:pPr>
              <w:pStyle w:val="TableDataEntries"/>
              <w:spacing w:after="0" w:line="240" w:lineRule="auto"/>
              <w:jc w:val="left"/>
            </w:pPr>
            <w:r>
              <w:t xml:space="preserve">Anti-competitive behaviour in the telecommunications sector </w:t>
            </w:r>
          </w:p>
          <w:p w:rsidR="00675046" w:rsidRDefault="00675046" w:rsidP="00F37D93">
            <w:pPr>
              <w:pStyle w:val="TableDataEntries"/>
              <w:spacing w:line="240" w:lineRule="auto"/>
              <w:jc w:val="left"/>
            </w:pPr>
            <w:r>
              <w:t>ACCC determination of telecommunication services</w:t>
            </w:r>
          </w:p>
        </w:tc>
      </w:tr>
    </w:tbl>
    <w:p w:rsidR="00675046" w:rsidRPr="007D05FD" w:rsidRDefault="00675046" w:rsidP="00675046">
      <w:pPr>
        <w:pStyle w:val="Source"/>
      </w:pPr>
      <w:r>
        <w:rPr>
          <w:i/>
        </w:rPr>
        <w:t>Source</w:t>
      </w:r>
      <w:r w:rsidRPr="00E4232C">
        <w:rPr>
          <w:i/>
        </w:rPr>
        <w:t>:</w:t>
      </w:r>
      <w:r>
        <w:t xml:space="preserve"> The CIE </w:t>
      </w:r>
    </w:p>
    <w:p w:rsidR="00675046" w:rsidRDefault="00675046" w:rsidP="00675046">
      <w:pPr>
        <w:pStyle w:val="Heading2"/>
      </w:pPr>
      <w:bookmarkStart w:id="129" w:name="_Toc381784733"/>
      <w:bookmarkStart w:id="130" w:name="_Toc388269617"/>
      <w:r>
        <w:t>This review</w:t>
      </w:r>
      <w:bookmarkEnd w:id="129"/>
      <w:bookmarkEnd w:id="130"/>
    </w:p>
    <w:p w:rsidR="00341986" w:rsidRPr="00341986" w:rsidRDefault="00341986" w:rsidP="00341986">
      <w:pPr>
        <w:pStyle w:val="BodyText"/>
      </w:pPr>
      <w:r>
        <w:t>The Department contracted the CIE to undertake an economic analysis of Retail Price Controls to inform the following processes.</w:t>
      </w:r>
    </w:p>
    <w:p w:rsidR="00341986" w:rsidRDefault="00341986" w:rsidP="00341986">
      <w:pPr>
        <w:pStyle w:val="Heading3"/>
      </w:pPr>
      <w:r>
        <w:t>Post implementation review</w:t>
      </w:r>
    </w:p>
    <w:p w:rsidR="00A86FF3" w:rsidRDefault="00A86FF3" w:rsidP="00A86FF3">
      <w:pPr>
        <w:pStyle w:val="BodyText"/>
      </w:pPr>
      <w:r>
        <w:t xml:space="preserve">The </w:t>
      </w:r>
      <w:proofErr w:type="gramStart"/>
      <w:r>
        <w:t>Department of Communications is required, by the Office of Best Practice Regulation</w:t>
      </w:r>
      <w:proofErr w:type="gramEnd"/>
      <w:r>
        <w:t xml:space="preserve">, to undertake a post implementation review of the Amendment Determination from its implementation on 30 June 2012. This is an assessment of the extent to which the Amendment Determination is efficient and effective in achieving its </w:t>
      </w:r>
      <w:r w:rsidR="005C09D0">
        <w:t>stated</w:t>
      </w:r>
      <w:r>
        <w:t xml:space="preserve"> objectives and whether the Principal Determination (as amended by the Amendment Determination) remains appropriate.</w:t>
      </w:r>
    </w:p>
    <w:p w:rsidR="00341986" w:rsidRDefault="00341986" w:rsidP="00341986">
      <w:pPr>
        <w:pStyle w:val="Heading3"/>
      </w:pPr>
      <w:r>
        <w:t>Advice to Government</w:t>
      </w:r>
    </w:p>
    <w:p w:rsidR="00A86FF3" w:rsidRDefault="00A86FF3" w:rsidP="00A86FF3">
      <w:pPr>
        <w:pStyle w:val="BodyText"/>
      </w:pPr>
      <w:r>
        <w:t xml:space="preserve">With the Principal </w:t>
      </w:r>
      <w:proofErr w:type="gramStart"/>
      <w:r>
        <w:t>Determination</w:t>
      </w:r>
      <w:proofErr w:type="gramEnd"/>
      <w:r>
        <w:t xml:space="preserve"> expiring on 30 June 2014 the department is required to advise the government on future arrangements for price controls. This advice </w:t>
      </w:r>
      <w:proofErr w:type="gramStart"/>
      <w:r>
        <w:t>will be framed</w:t>
      </w:r>
      <w:proofErr w:type="gramEnd"/>
      <w:r>
        <w:t xml:space="preserve"> within the government’s broader deregulation agenda and will assess the degree to which the policy intentions of price controls continue to be relevant.</w:t>
      </w:r>
    </w:p>
    <w:p w:rsidR="00A86FF3" w:rsidRDefault="00A86FF3" w:rsidP="00A86FF3">
      <w:pPr>
        <w:pStyle w:val="BodyText"/>
      </w:pPr>
      <w:r>
        <w:lastRenderedPageBreak/>
        <w:t>This project contributes to the above two requirements of the Department of Communications. In particular, the terms of reference are to:</w:t>
      </w:r>
    </w:p>
    <w:p w:rsidR="00EA392A" w:rsidRDefault="00A86FF3" w:rsidP="00EA392A">
      <w:pPr>
        <w:pStyle w:val="ListNumber"/>
        <w:numPr>
          <w:ilvl w:val="0"/>
          <w:numId w:val="46"/>
        </w:numPr>
      </w:pPr>
      <w:r>
        <w:t>Provide a quantifiable cost-benefit analysis of the Amendment Determination (from commencement on 30 June 2012).</w:t>
      </w:r>
      <w:r w:rsidR="00877813">
        <w:t xml:space="preserve"> (Chapter 3)</w:t>
      </w:r>
    </w:p>
    <w:p w:rsidR="00EA392A" w:rsidRDefault="00A86FF3" w:rsidP="00EA392A">
      <w:pPr>
        <w:pStyle w:val="ListNumber"/>
        <w:numPr>
          <w:ilvl w:val="0"/>
          <w:numId w:val="46"/>
        </w:numPr>
      </w:pPr>
      <w:r>
        <w:t>Analyse and report on how efficient and effective the Amendment Determination has been in meeting its objectives.</w:t>
      </w:r>
      <w:r w:rsidR="00877813">
        <w:t xml:space="preserve"> (Chapter 3)</w:t>
      </w:r>
    </w:p>
    <w:p w:rsidR="00EA392A" w:rsidRDefault="00A86FF3" w:rsidP="00EA392A">
      <w:pPr>
        <w:pStyle w:val="ListNumber"/>
        <w:numPr>
          <w:ilvl w:val="0"/>
          <w:numId w:val="46"/>
        </w:numPr>
      </w:pPr>
      <w:r>
        <w:t>Report on the extent to which the Principal Determination may act as a barrier to competition in the telecommunications market.</w:t>
      </w:r>
      <w:r w:rsidR="00877813">
        <w:t xml:space="preserve"> (Chapter 4)</w:t>
      </w:r>
    </w:p>
    <w:p w:rsidR="00EA392A" w:rsidRDefault="00A86FF3" w:rsidP="00EA392A">
      <w:pPr>
        <w:pStyle w:val="ListNumber"/>
        <w:numPr>
          <w:ilvl w:val="0"/>
          <w:numId w:val="46"/>
        </w:numPr>
      </w:pPr>
      <w:r>
        <w:t xml:space="preserve">Assess the current state of competition for </w:t>
      </w:r>
      <w:proofErr w:type="gramStart"/>
      <w:r>
        <w:t>retail telecommunications voice services</w:t>
      </w:r>
      <w:proofErr w:type="gramEnd"/>
      <w:r>
        <w:t>.</w:t>
      </w:r>
      <w:r w:rsidR="00877813">
        <w:t xml:space="preserve"> (Chapter 4)</w:t>
      </w:r>
    </w:p>
    <w:p w:rsidR="00A86FF3" w:rsidRPr="00A86FF3" w:rsidRDefault="00A86FF3" w:rsidP="00EA392A">
      <w:pPr>
        <w:pStyle w:val="ListNumber"/>
        <w:numPr>
          <w:ilvl w:val="0"/>
          <w:numId w:val="46"/>
        </w:numPr>
      </w:pPr>
      <w:r>
        <w:t>Examine future regulatory options for retail price controls. This should include considering the problem being addressed, the scale of the problem and the costs and benefits of options to address the problem.</w:t>
      </w:r>
      <w:r w:rsidR="00877813">
        <w:t xml:space="preserve"> (Chapters 5, 6 and 7)</w:t>
      </w:r>
    </w:p>
    <w:p w:rsidR="00A86FF3" w:rsidRDefault="00A86FF3" w:rsidP="00A86FF3">
      <w:pPr>
        <w:pStyle w:val="BodyText"/>
      </w:pPr>
      <w:r>
        <w:t>The standard framework used for undertaking regulation impact statements is set out in chart </w:t>
      </w:r>
      <w:fldSimple w:instr=" REF _Caption3070 ">
        <w:r w:rsidR="00304215">
          <w:rPr>
            <w:noProof/>
          </w:rPr>
          <w:t>1</w:t>
        </w:r>
        <w:r w:rsidR="00304215" w:rsidRPr="00695C93">
          <w:rPr>
            <w:noProof/>
          </w:rPr>
          <w:t>.</w:t>
        </w:r>
        <w:r w:rsidR="00304215">
          <w:rPr>
            <w:noProof/>
          </w:rPr>
          <w:t>4</w:t>
        </w:r>
      </w:fldSimple>
      <w:r>
        <w:t>.</w:t>
      </w:r>
    </w:p>
    <w:p w:rsidR="00675046" w:rsidRPr="00695C93" w:rsidRDefault="00675046" w:rsidP="00675046">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1</w:instrText>
        </w:r>
      </w:fldSimple>
      <w:r w:rsidRPr="00695C93">
        <w:instrText xml:space="preserve"> = 0 "" "</w:instrText>
      </w:r>
      <w:fldSimple w:instr=" STYLEREF &quot;Heading 1&quot; \l \n ">
        <w:r w:rsidR="00304215">
          <w:rPr>
            <w:noProof/>
          </w:rPr>
          <w:instrText>1</w:instrText>
        </w:r>
      </w:fldSimple>
      <w:r w:rsidRPr="00695C93">
        <w:instrText xml:space="preserve">." </w:instrText>
      </w:r>
      <w:r w:rsidRPr="00695C93">
        <w:fldChar w:fldCharType="separate"/>
      </w:r>
      <w:r w:rsidR="00304215">
        <w:rPr>
          <w:noProof/>
        </w:rPr>
        <w:instrText>1</w:instrText>
      </w:r>
      <w:r w:rsidR="00304215" w:rsidRPr="00695C93">
        <w:rPr>
          <w:noProof/>
        </w:rPr>
        <w:instrText>.</w:instrText>
      </w:r>
      <w:r w:rsidRPr="00695C93">
        <w:fldChar w:fldCharType="end"/>
      </w:r>
      <w:r w:rsidRPr="00695C93">
        <w:instrText>" "</w:instrText>
      </w:r>
      <w:fldSimple w:instr=" STYLEREF &quot;Heading 6&quot; \l \n ">
        <w:r>
          <w:rPr>
            <w:noProof/>
          </w:rPr>
          <w:instrText>A</w:instrText>
        </w:r>
      </w:fldSimple>
      <w:r w:rsidRPr="00695C93">
        <w:instrText xml:space="preserve">." </w:instrText>
      </w:r>
      <w:r w:rsidRPr="00695C93">
        <w:fldChar w:fldCharType="separate"/>
      </w:r>
      <w:r w:rsidR="00584F9A">
        <w:rPr>
          <w:noProof/>
        </w:rPr>
        <w:instrText>1</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1</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4</w:instrText>
      </w:r>
      <w:r w:rsidRPr="00695C93">
        <w:fldChar w:fldCharType="end"/>
      </w:r>
      <w:r w:rsidRPr="00695C93">
        <w:instrText xml:space="preserve">" "" </w:instrText>
      </w:r>
      <w:r w:rsidRPr="00695C93">
        <w:fldChar w:fldCharType="separate"/>
      </w:r>
      <w:bookmarkStart w:id="131" w:name="_Caption8065"/>
      <w:bookmarkStart w:id="132" w:name="_Caption8120"/>
      <w:bookmarkStart w:id="133" w:name="_Caption5028"/>
      <w:bookmarkStart w:id="134" w:name="_Caption9021"/>
      <w:bookmarkStart w:id="135" w:name="_Caption0618"/>
      <w:bookmarkStart w:id="136" w:name="_Caption6728"/>
      <w:bookmarkStart w:id="137" w:name="_Caption2284"/>
      <w:bookmarkStart w:id="138" w:name="_Caption0052"/>
      <w:bookmarkStart w:id="139" w:name="_Caption6172"/>
      <w:bookmarkStart w:id="140" w:name="_Caption0977"/>
      <w:bookmarkStart w:id="141" w:name="_Caption6101"/>
      <w:bookmarkStart w:id="142" w:name="_Caption9096"/>
      <w:bookmarkStart w:id="143" w:name="_Caption3123"/>
      <w:bookmarkStart w:id="144" w:name="_Caption2627"/>
      <w:bookmarkStart w:id="145" w:name="_Caption1819"/>
      <w:bookmarkStart w:id="146" w:name="_Caption3070"/>
      <w:bookmarkStart w:id="147" w:name="_Caption6745"/>
      <w:bookmarkStart w:id="148" w:name="_Caption0409"/>
      <w:bookmarkStart w:id="149" w:name="_Caption1127"/>
      <w:bookmarkStart w:id="150" w:name="_Caption2345"/>
      <w:bookmarkStart w:id="151" w:name="_Caption9265"/>
      <w:bookmarkStart w:id="152" w:name="_Caption8739"/>
      <w:bookmarkStart w:id="153" w:name="_Caption8082"/>
      <w:bookmarkStart w:id="154" w:name="_Caption3840"/>
      <w:bookmarkStart w:id="155" w:name="_Caption5698"/>
      <w:bookmarkStart w:id="156" w:name="_Caption3301"/>
      <w:bookmarkStart w:id="157" w:name="_Caption4761"/>
      <w:bookmarkStart w:id="158" w:name="_Caption0601"/>
      <w:bookmarkStart w:id="159" w:name="_Caption1413"/>
      <w:bookmarkStart w:id="160" w:name="_Caption8551"/>
      <w:bookmarkStart w:id="161" w:name="_Caption7702"/>
      <w:bookmarkStart w:id="162" w:name="_Caption7231"/>
      <w:bookmarkStart w:id="163" w:name="_Caption2326"/>
      <w:bookmarkStart w:id="164" w:name="_Caption3513"/>
      <w:bookmarkStart w:id="165" w:name="_Caption4119"/>
      <w:bookmarkStart w:id="166" w:name="_Caption9224"/>
      <w:bookmarkStart w:id="167" w:name="_Caption9444"/>
      <w:bookmarkStart w:id="168" w:name="_Caption4699"/>
      <w:bookmarkStart w:id="169" w:name="_Caption1898"/>
      <w:bookmarkStart w:id="170" w:name="_Caption8069"/>
      <w:bookmarkStart w:id="171" w:name="_Caption2634"/>
      <w:bookmarkStart w:id="172" w:name="_Toc378153486"/>
      <w:bookmarkStart w:id="173" w:name="_Toc381784718"/>
      <w:bookmarkStart w:id="174" w:name="_Toc391972937"/>
      <w:r w:rsidR="00584F9A">
        <w:rPr>
          <w:noProof/>
        </w:rPr>
        <w:t>1</w:t>
      </w:r>
      <w:r w:rsidR="00584F9A" w:rsidRPr="00695C93">
        <w:rPr>
          <w:noProof/>
        </w:rPr>
        <w:t>.</w:t>
      </w:r>
      <w:r w:rsidR="00584F9A">
        <w:rPr>
          <w:noProof/>
        </w:rPr>
        <w:t>4</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695C93">
        <w:fldChar w:fldCharType="end"/>
      </w:r>
      <w:r w:rsidRPr="00695C93">
        <w:tab/>
      </w:r>
      <w:r>
        <w:t>RIS requirements</w:t>
      </w:r>
      <w:bookmarkEnd w:id="172"/>
      <w:bookmarkEnd w:id="173"/>
      <w:bookmarkEnd w:id="174"/>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675046" w:rsidTr="00B01898">
        <w:trPr>
          <w:cantSplit/>
          <w:trHeight w:val="7949"/>
          <w:tblHeader/>
        </w:trPr>
        <w:tc>
          <w:tcPr>
            <w:tcW w:w="7938" w:type="dxa"/>
            <w:shd w:val="clear" w:color="auto" w:fill="E9E8E5" w:themeFill="background2"/>
          </w:tcPr>
          <w:p w:rsidR="00675046" w:rsidRDefault="00675046" w:rsidP="00675046">
            <w:pPr>
              <w:pStyle w:val="Chart"/>
            </w:pPr>
            <w:r>
              <w:rPr>
                <w:noProof/>
                <w:lang w:eastAsia="en-AU"/>
              </w:rPr>
              <mc:AlternateContent>
                <mc:Choice Requires="wps">
                  <w:drawing>
                    <wp:anchor distT="0" distB="0" distL="114300" distR="114300" simplePos="0" relativeHeight="251662336" behindDoc="0" locked="0" layoutInCell="1" allowOverlap="1" wp14:anchorId="649F3A37" wp14:editId="4B894398">
                      <wp:simplePos x="0" y="0"/>
                      <wp:positionH relativeFrom="column">
                        <wp:posOffset>2058035</wp:posOffset>
                      </wp:positionH>
                      <wp:positionV relativeFrom="paragraph">
                        <wp:posOffset>1840865</wp:posOffset>
                      </wp:positionV>
                      <wp:extent cx="0" cy="238125"/>
                      <wp:effectExtent l="76200" t="0" r="76200" b="47625"/>
                      <wp:wrapNone/>
                      <wp:docPr id="7" name="Straight Arrow Connector 7"/>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ln w="25400">
                                <a:solidFill>
                                  <a:schemeClr val="accent2"/>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62.05pt;margin-top:144.95pt;width:0;height:18.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" strokecolor="#f61d12 [3205]" strokeweight="2pt">
                      <v:stroke startarrow="block"/>
                    </v:shape>
                  </w:pict>
                </mc:Fallback>
              </mc:AlternateContent>
            </w:r>
            <w:r>
              <w:rPr>
                <w:noProof/>
                <w:lang w:eastAsia="en-AU"/>
              </w:rPr>
              <mc:AlternateContent>
                <mc:Choice Requires="wpg">
                  <w:drawing>
                    <wp:anchor distT="0" distB="0" distL="114300" distR="114300" simplePos="0" relativeHeight="251663360" behindDoc="0" locked="0" layoutInCell="1" allowOverlap="1" wp14:anchorId="6BF30278" wp14:editId="64B2B725">
                      <wp:simplePos x="0" y="0"/>
                      <wp:positionH relativeFrom="column">
                        <wp:posOffset>157784</wp:posOffset>
                      </wp:positionH>
                      <wp:positionV relativeFrom="paragraph">
                        <wp:posOffset>79375</wp:posOffset>
                      </wp:positionV>
                      <wp:extent cx="4730557" cy="4890052"/>
                      <wp:effectExtent l="0" t="0" r="13335" b="25400"/>
                      <wp:wrapNone/>
                      <wp:docPr id="11" name="Group 11" descr="Flowchart outlining the requirements for undertaking a regulation impact statement."/>
                      <wp:cNvGraphicFramePr/>
                      <a:graphic xmlns:a="http://schemas.openxmlformats.org/drawingml/2006/main">
                        <a:graphicData uri="http://schemas.microsoft.com/office/word/2010/wordprocessingGroup">
                          <wpg:wgp>
                            <wpg:cNvGrpSpPr/>
                            <wpg:grpSpPr>
                              <a:xfrm>
                                <a:off x="0" y="0"/>
                                <a:ext cx="4730557" cy="4890052"/>
                                <a:chOff x="0" y="0"/>
                                <a:chExt cx="4730557" cy="4890052"/>
                              </a:xfrm>
                            </wpg:grpSpPr>
                            <wpg:grpSp>
                              <wpg:cNvPr id="526" name="Group 526"/>
                              <wpg:cNvGrpSpPr/>
                              <wpg:grpSpPr>
                                <a:xfrm>
                                  <a:off x="0" y="0"/>
                                  <a:ext cx="2464435" cy="1764000"/>
                                  <a:chOff x="0" y="105366"/>
                                  <a:chExt cx="1860606" cy="2125052"/>
                                </a:xfrm>
                              </wpg:grpSpPr>
                              <wps:wsp>
                                <wps:cNvPr id="527" name="Rectangle 527"/>
                                <wps:cNvSpPr/>
                                <wps:spPr>
                                  <a:xfrm>
                                    <a:off x="0" y="105366"/>
                                    <a:ext cx="1860606" cy="2125052"/>
                                  </a:xfrm>
                                  <a:prstGeom prst="rect">
                                    <a:avLst/>
                                  </a:prstGeom>
                                  <a:noFill/>
                                  <a:ln w="9525">
                                    <a:solidFill>
                                      <a:schemeClr val="accent2"/>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230DCC" w:rsidRDefault="00584F9A" w:rsidP="00675046">
                                      <w:pPr>
                                        <w:pStyle w:val="ChartListBullet"/>
                                        <w:numPr>
                                          <w:ilvl w:val="0"/>
                                          <w:numId w:val="0"/>
                                        </w:numPr>
                                        <w:spacing w:before="0" w:after="40" w:line="240" w:lineRule="auto"/>
                                        <w:ind w:left="170" w:hanging="170"/>
                                        <w:jc w:val="center"/>
                                        <w:rPr>
                                          <w:rFonts w:ascii="Franklin Gothic Demi" w:hAnsi="Franklin Gothic Demi"/>
                                          <w:color w:val="000000" w:themeColor="text1"/>
                                          <w:sz w:val="18"/>
                                        </w:rPr>
                                      </w:pPr>
                                      <w:r w:rsidRPr="00230DCC">
                                        <w:rPr>
                                          <w:rFonts w:ascii="Franklin Gothic Demi" w:hAnsi="Franklin Gothic Demi"/>
                                          <w:color w:val="000000" w:themeColor="text1"/>
                                          <w:sz w:val="18"/>
                                        </w:rPr>
                                        <w:t>Options Stage RIS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g:grpSp>
                                <wpg:cNvPr id="533" name="Group 533"/>
                                <wpg:cNvGrpSpPr/>
                                <wpg:grpSpPr>
                                  <a:xfrm>
                                    <a:off x="79513" y="373572"/>
                                    <a:ext cx="1701165" cy="1780374"/>
                                    <a:chOff x="0" y="158886"/>
                                    <a:chExt cx="1701165" cy="1780374"/>
                                  </a:xfrm>
                                </wpg:grpSpPr>
                                <wps:wsp>
                                  <wps:cNvPr id="534" name="Rectangle 534"/>
                                  <wps:cNvSpPr/>
                                  <wps:spPr>
                                    <a:xfrm>
                                      <a:off x="0" y="158886"/>
                                      <a:ext cx="1701165" cy="734353"/>
                                    </a:xfrm>
                                    <a:prstGeom prst="rect">
                                      <a:avLst/>
                                    </a:prstGeom>
                                    <a:solidFill>
                                      <a:schemeClr val="accent3"/>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775556" w:rsidRDefault="00584F9A" w:rsidP="00675046">
                                        <w:pPr>
                                          <w:pStyle w:val="ChartBoldText"/>
                                          <w:spacing w:before="40" w:after="40"/>
                                          <w:jc w:val="left"/>
                                          <w:rPr>
                                            <w:color w:val="000000" w:themeColor="text1"/>
                                          </w:rPr>
                                        </w:pPr>
                                        <w:r>
                                          <w:rPr>
                                            <w:color w:val="000000" w:themeColor="text1"/>
                                          </w:rPr>
                                          <w:t xml:space="preserve">1.  </w:t>
                                        </w:r>
                                        <w:r w:rsidRPr="00775556">
                                          <w:rPr>
                                            <w:color w:val="000000" w:themeColor="text1"/>
                                          </w:rPr>
                                          <w:t>Problem</w:t>
                                        </w:r>
                                      </w:p>
                                      <w:p w:rsidR="00584F9A" w:rsidRPr="00775556" w:rsidRDefault="00584F9A" w:rsidP="00675046">
                                        <w:pPr>
                                          <w:pStyle w:val="ChartListBullet"/>
                                          <w:spacing w:line="240" w:lineRule="auto"/>
                                          <w:rPr>
                                            <w:color w:val="000000" w:themeColor="text1"/>
                                            <w:sz w:val="14"/>
                                            <w:szCs w:val="14"/>
                                          </w:rPr>
                                        </w:pPr>
                                        <w:r w:rsidRPr="00775556">
                                          <w:rPr>
                                            <w:color w:val="000000" w:themeColor="text1"/>
                                            <w:sz w:val="14"/>
                                            <w:szCs w:val="14"/>
                                          </w:rPr>
                                          <w:t>Define the problem, including evidence on the scale and scope of the problem</w:t>
                                        </w:r>
                                      </w:p>
                                      <w:p w:rsidR="00584F9A" w:rsidRPr="00775556" w:rsidRDefault="00584F9A" w:rsidP="00675046">
                                        <w:pPr>
                                          <w:pStyle w:val="ChartListBullet"/>
                                          <w:spacing w:after="40" w:line="240" w:lineRule="auto"/>
                                          <w:rPr>
                                            <w:color w:val="000000" w:themeColor="text1"/>
                                            <w:sz w:val="14"/>
                                            <w:szCs w:val="14"/>
                                          </w:rPr>
                                        </w:pPr>
                                        <w:r w:rsidRPr="00775556">
                                          <w:rPr>
                                            <w:color w:val="000000" w:themeColor="text1"/>
                                            <w:sz w:val="14"/>
                                            <w:szCs w:val="14"/>
                                          </w:rPr>
                                          <w:t>Explain why government intervention is required</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535" name="Rectangle 535"/>
                                  <wps:cNvSpPr/>
                                  <wps:spPr>
                                    <a:xfrm>
                                      <a:off x="0" y="922536"/>
                                      <a:ext cx="1701165" cy="520421"/>
                                    </a:xfrm>
                                    <a:prstGeom prst="rect">
                                      <a:avLst/>
                                    </a:prstGeom>
                                    <a:solidFill>
                                      <a:schemeClr val="accent3"/>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775556" w:rsidRDefault="00584F9A" w:rsidP="00675046">
                                        <w:pPr>
                                          <w:pStyle w:val="ChartBoldText"/>
                                          <w:spacing w:after="40"/>
                                          <w:jc w:val="left"/>
                                          <w:rPr>
                                            <w:color w:val="000000" w:themeColor="text1"/>
                                          </w:rPr>
                                        </w:pPr>
                                        <w:r>
                                          <w:rPr>
                                            <w:color w:val="000000" w:themeColor="text1"/>
                                          </w:rPr>
                                          <w:t>2.  Objectives</w:t>
                                        </w:r>
                                      </w:p>
                                      <w:p w:rsidR="00584F9A" w:rsidRPr="00775556" w:rsidRDefault="00584F9A" w:rsidP="00675046">
                                        <w:pPr>
                                          <w:pStyle w:val="ChartListBullet"/>
                                          <w:spacing w:after="40" w:line="240" w:lineRule="auto"/>
                                          <w:rPr>
                                            <w:color w:val="000000" w:themeColor="text1"/>
                                            <w:sz w:val="14"/>
                                            <w:szCs w:val="14"/>
                                          </w:rPr>
                                        </w:pPr>
                                        <w:r w:rsidRPr="00775556">
                                          <w:rPr>
                                            <w:color w:val="000000" w:themeColor="text1"/>
                                            <w:sz w:val="14"/>
                                            <w:szCs w:val="14"/>
                                          </w:rPr>
                                          <w:t>Identify objectives — outcomes, goals or targets of government action.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536" name="Rectangle 536"/>
                                  <wps:cNvSpPr/>
                                  <wps:spPr>
                                    <a:xfrm>
                                      <a:off x="0" y="1470631"/>
                                      <a:ext cx="1701165" cy="468629"/>
                                    </a:xfrm>
                                    <a:prstGeom prst="rect">
                                      <a:avLst/>
                                    </a:prstGeom>
                                    <a:solidFill>
                                      <a:schemeClr val="accent3"/>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775556" w:rsidRDefault="00584F9A" w:rsidP="00675046">
                                        <w:pPr>
                                          <w:pStyle w:val="ChartBoldText"/>
                                          <w:spacing w:after="40"/>
                                          <w:jc w:val="left"/>
                                          <w:rPr>
                                            <w:color w:val="000000" w:themeColor="text1"/>
                                          </w:rPr>
                                        </w:pPr>
                                        <w:r>
                                          <w:rPr>
                                            <w:color w:val="000000" w:themeColor="text1"/>
                                          </w:rPr>
                                          <w:t>3.  Options</w:t>
                                        </w:r>
                                      </w:p>
                                      <w:p w:rsidR="00584F9A" w:rsidRPr="00775556" w:rsidRDefault="00584F9A" w:rsidP="00675046">
                                        <w:pPr>
                                          <w:pStyle w:val="ChartListBullet"/>
                                          <w:spacing w:after="40" w:line="240" w:lineRule="auto"/>
                                          <w:rPr>
                                            <w:color w:val="000000" w:themeColor="text1"/>
                                            <w:sz w:val="14"/>
                                            <w:szCs w:val="14"/>
                                          </w:rPr>
                                        </w:pPr>
                                        <w:proofErr w:type="gramStart"/>
                                        <w:r w:rsidRPr="00775556">
                                          <w:rPr>
                                            <w:color w:val="000000" w:themeColor="text1"/>
                                            <w:sz w:val="14"/>
                                            <w:szCs w:val="14"/>
                                          </w:rPr>
                                          <w:t>Identifies a range of alternative feasible options.</w:t>
                                        </w:r>
                                        <w:proofErr w:type="gramEnd"/>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s:wsp>
                              <wps:cNvPr id="537" name="Rectangle 537"/>
                              <wps:cNvSpPr/>
                              <wps:spPr>
                                <a:xfrm>
                                  <a:off x="3729162" y="1367624"/>
                                  <a:ext cx="1001395" cy="619125"/>
                                </a:xfrm>
                                <a:prstGeom prst="rect">
                                  <a:avLst/>
                                </a:prstGeom>
                                <a:solidFill>
                                  <a:schemeClr val="accent3"/>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775556" w:rsidRDefault="00584F9A" w:rsidP="00675046">
                                    <w:pPr>
                                      <w:pStyle w:val="ChartBoldText"/>
                                      <w:tabs>
                                        <w:tab w:val="left" w:pos="284"/>
                                      </w:tabs>
                                      <w:spacing w:after="0"/>
                                      <w:ind w:left="284" w:hanging="284"/>
                                      <w:jc w:val="left"/>
                                      <w:rPr>
                                        <w:color w:val="000000" w:themeColor="text1"/>
                                      </w:rPr>
                                    </w:pPr>
                                    <w:r>
                                      <w:rPr>
                                        <w:color w:val="000000" w:themeColor="text1"/>
                                      </w:rPr>
                                      <w:t xml:space="preserve">4. </w:t>
                                    </w:r>
                                    <w:r>
                                      <w:rPr>
                                        <w:color w:val="000000" w:themeColor="text1"/>
                                      </w:rPr>
                                      <w:tab/>
                                      <w:t>Stakeholder consultation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538" name="Rectangle 538"/>
                              <wps:cNvSpPr/>
                              <wps:spPr>
                                <a:xfrm>
                                  <a:off x="1327868" y="2003729"/>
                                  <a:ext cx="1136015" cy="38925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775556" w:rsidRDefault="00584F9A" w:rsidP="00675046">
                                    <w:pPr>
                                      <w:pStyle w:val="ChartBoldText"/>
                                      <w:spacing w:after="0"/>
                                      <w:rPr>
                                        <w:color w:val="FFFFFF" w:themeColor="background1"/>
                                      </w:rPr>
                                    </w:pPr>
                                    <w:r w:rsidRPr="00775556">
                                      <w:rPr>
                                        <w:color w:val="FFFFFF" w:themeColor="background1"/>
                                      </w:rPr>
                                      <w:t xml:space="preserve">Initial </w:t>
                                    </w:r>
                                    <w:r>
                                      <w:rPr>
                                        <w:color w:val="FFFFFF" w:themeColor="background1"/>
                                      </w:rPr>
                                      <w:t xml:space="preserve">                        </w:t>
                                    </w:r>
                                    <w:r w:rsidRPr="00775556">
                                      <w:rPr>
                                        <w:color w:val="FFFFFF" w:themeColor="background1"/>
                                      </w:rPr>
                                      <w:t>decision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cNvPr id="91" name="Group 91"/>
                              <wpg:cNvGrpSpPr/>
                              <wpg:grpSpPr>
                                <a:xfrm>
                                  <a:off x="0" y="2456953"/>
                                  <a:ext cx="2464435" cy="2433099"/>
                                  <a:chOff x="0" y="0"/>
                                  <a:chExt cx="1860606" cy="2228095"/>
                                </a:xfrm>
                              </wpg:grpSpPr>
                              <wps:wsp>
                                <wps:cNvPr id="544" name="Rectangle 544"/>
                                <wps:cNvSpPr/>
                                <wps:spPr>
                                  <a:xfrm>
                                    <a:off x="0" y="0"/>
                                    <a:ext cx="1860606" cy="2228095"/>
                                  </a:xfrm>
                                  <a:prstGeom prst="rect">
                                    <a:avLst/>
                                  </a:prstGeom>
                                  <a:noFill/>
                                  <a:ln w="9525">
                                    <a:solidFill>
                                      <a:schemeClr val="accent2"/>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230DCC" w:rsidRDefault="00584F9A" w:rsidP="00675046">
                                      <w:pPr>
                                        <w:pStyle w:val="ChartListBullet"/>
                                        <w:numPr>
                                          <w:ilvl w:val="0"/>
                                          <w:numId w:val="0"/>
                                        </w:numPr>
                                        <w:spacing w:before="0" w:after="40" w:line="240" w:lineRule="auto"/>
                                        <w:ind w:left="170" w:hanging="170"/>
                                        <w:jc w:val="center"/>
                                        <w:rPr>
                                          <w:rFonts w:ascii="Franklin Gothic Demi" w:hAnsi="Franklin Gothic Demi"/>
                                          <w:color w:val="000000" w:themeColor="text1"/>
                                          <w:sz w:val="18"/>
                                        </w:rPr>
                                      </w:pPr>
                                      <w:r w:rsidRPr="00230DCC">
                                        <w:rPr>
                                          <w:rFonts w:ascii="Franklin Gothic Demi" w:hAnsi="Franklin Gothic Demi"/>
                                          <w:color w:val="000000" w:themeColor="text1"/>
                                          <w:sz w:val="18"/>
                                        </w:rPr>
                                        <w:t>Details Stage RIS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g:grpSp>
                                <wpg:cNvPr id="545" name="Group 545"/>
                                <wpg:cNvGrpSpPr/>
                                <wpg:grpSpPr>
                                  <a:xfrm>
                                    <a:off x="79513" y="214686"/>
                                    <a:ext cx="1701165" cy="1955158"/>
                                    <a:chOff x="0" y="0"/>
                                    <a:chExt cx="1701165" cy="1955158"/>
                                  </a:xfrm>
                                </wpg:grpSpPr>
                                <wps:wsp>
                                  <wps:cNvPr id="546" name="Rectangle 546"/>
                                  <wps:cNvSpPr/>
                                  <wps:spPr>
                                    <a:xfrm>
                                      <a:off x="0" y="0"/>
                                      <a:ext cx="1701165" cy="845352"/>
                                    </a:xfrm>
                                    <a:prstGeom prst="rect">
                                      <a:avLst/>
                                    </a:prstGeom>
                                    <a:solidFill>
                                      <a:schemeClr val="accent3"/>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775556" w:rsidRDefault="00584F9A" w:rsidP="00675046">
                                        <w:pPr>
                                          <w:pStyle w:val="ChartBoldText"/>
                                          <w:spacing w:before="40" w:after="40"/>
                                          <w:jc w:val="left"/>
                                          <w:rPr>
                                            <w:color w:val="000000" w:themeColor="text1"/>
                                          </w:rPr>
                                        </w:pPr>
                                        <w:r>
                                          <w:rPr>
                                            <w:color w:val="000000" w:themeColor="text1"/>
                                          </w:rPr>
                                          <w:t>5.  Impact analysis</w:t>
                                        </w:r>
                                      </w:p>
                                      <w:p w:rsidR="00584F9A" w:rsidRDefault="00584F9A" w:rsidP="00675046">
                                        <w:pPr>
                                          <w:pStyle w:val="ChartListBullet"/>
                                          <w:spacing w:after="40" w:line="240" w:lineRule="auto"/>
                                          <w:rPr>
                                            <w:color w:val="000000" w:themeColor="text1"/>
                                            <w:sz w:val="14"/>
                                            <w:szCs w:val="14"/>
                                          </w:rPr>
                                        </w:pPr>
                                        <w:r>
                                          <w:rPr>
                                            <w:color w:val="000000" w:themeColor="text1"/>
                                            <w:sz w:val="14"/>
                                            <w:szCs w:val="14"/>
                                          </w:rPr>
                                          <w:t>Identify economic, social and environmental impacts</w:t>
                                        </w:r>
                                      </w:p>
                                      <w:p w:rsidR="00584F9A" w:rsidRDefault="00584F9A" w:rsidP="00675046">
                                        <w:pPr>
                                          <w:pStyle w:val="ChartListBullet"/>
                                          <w:spacing w:after="40" w:line="240" w:lineRule="auto"/>
                                          <w:rPr>
                                            <w:color w:val="000000" w:themeColor="text1"/>
                                            <w:sz w:val="14"/>
                                            <w:szCs w:val="14"/>
                                          </w:rPr>
                                        </w:pPr>
                                        <w:r>
                                          <w:rPr>
                                            <w:color w:val="000000" w:themeColor="text1"/>
                                            <w:sz w:val="14"/>
                                            <w:szCs w:val="14"/>
                                          </w:rPr>
                                          <w:t>Identify groups within the community that receive/bears the benefits/costs</w:t>
                                        </w:r>
                                      </w:p>
                                      <w:p w:rsidR="00584F9A" w:rsidRPr="00775556" w:rsidRDefault="00584F9A" w:rsidP="00675046">
                                        <w:pPr>
                                          <w:pStyle w:val="ChartListBullet"/>
                                          <w:spacing w:after="40" w:line="240" w:lineRule="auto"/>
                                          <w:rPr>
                                            <w:color w:val="000000" w:themeColor="text1"/>
                                            <w:sz w:val="14"/>
                                            <w:szCs w:val="14"/>
                                          </w:rPr>
                                        </w:pPr>
                                        <w:r>
                                          <w:rPr>
                                            <w:color w:val="000000" w:themeColor="text1"/>
                                            <w:sz w:val="14"/>
                                            <w:szCs w:val="14"/>
                                          </w:rPr>
                                          <w:t>Quantifies significant benefits and costs (where possible)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547" name="Rectangle 547"/>
                                  <wps:cNvSpPr/>
                                  <wps:spPr>
                                    <a:xfrm>
                                      <a:off x="0" y="874452"/>
                                      <a:ext cx="1701165" cy="437824"/>
                                    </a:xfrm>
                                    <a:prstGeom prst="rect">
                                      <a:avLst/>
                                    </a:prstGeom>
                                    <a:solidFill>
                                      <a:schemeClr val="accent3"/>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775556" w:rsidRDefault="00584F9A" w:rsidP="00675046">
                                        <w:pPr>
                                          <w:pStyle w:val="ChartBoldText"/>
                                          <w:spacing w:after="40"/>
                                          <w:jc w:val="left"/>
                                          <w:rPr>
                                            <w:color w:val="000000" w:themeColor="text1"/>
                                          </w:rPr>
                                        </w:pPr>
                                        <w:r>
                                          <w:rPr>
                                            <w:color w:val="000000" w:themeColor="text1"/>
                                          </w:rPr>
                                          <w:t>6.  Conclusion</w:t>
                                        </w:r>
                                      </w:p>
                                      <w:p w:rsidR="00584F9A" w:rsidRPr="00775556" w:rsidRDefault="00584F9A" w:rsidP="00675046">
                                        <w:pPr>
                                          <w:pStyle w:val="ChartListBullet"/>
                                          <w:spacing w:after="40" w:line="240" w:lineRule="auto"/>
                                          <w:rPr>
                                            <w:color w:val="000000" w:themeColor="text1"/>
                                            <w:sz w:val="14"/>
                                            <w:szCs w:val="14"/>
                                          </w:rPr>
                                        </w:pPr>
                                        <w:r w:rsidRPr="00775556">
                                          <w:rPr>
                                            <w:color w:val="000000" w:themeColor="text1"/>
                                            <w:sz w:val="14"/>
                                            <w:szCs w:val="14"/>
                                          </w:rPr>
                                          <w:t xml:space="preserve">Identify </w:t>
                                        </w:r>
                                        <w:r>
                                          <w:rPr>
                                            <w:color w:val="000000" w:themeColor="text1"/>
                                            <w:sz w:val="14"/>
                                            <w:szCs w:val="14"/>
                                          </w:rPr>
                                          <w:t>the preferred option, including reasons why it is preferred</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548" name="Rectangle 548"/>
                                  <wps:cNvSpPr/>
                                  <wps:spPr>
                                    <a:xfrm>
                                      <a:off x="0" y="1341539"/>
                                      <a:ext cx="1701165" cy="613619"/>
                                    </a:xfrm>
                                    <a:prstGeom prst="rect">
                                      <a:avLst/>
                                    </a:prstGeom>
                                    <a:solidFill>
                                      <a:schemeClr val="accent3"/>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775556" w:rsidRDefault="00584F9A" w:rsidP="00675046">
                                        <w:pPr>
                                          <w:pStyle w:val="ChartBoldText"/>
                                          <w:spacing w:after="40"/>
                                          <w:jc w:val="left"/>
                                          <w:rPr>
                                            <w:color w:val="000000" w:themeColor="text1"/>
                                          </w:rPr>
                                        </w:pPr>
                                        <w:r>
                                          <w:rPr>
                                            <w:color w:val="000000" w:themeColor="text1"/>
                                          </w:rPr>
                                          <w:t>7.  Implementation and review</w:t>
                                        </w:r>
                                      </w:p>
                                      <w:p w:rsidR="00584F9A" w:rsidRDefault="00584F9A" w:rsidP="00675046">
                                        <w:pPr>
                                          <w:pStyle w:val="ChartListBullet"/>
                                          <w:spacing w:after="40" w:line="240" w:lineRule="auto"/>
                                          <w:rPr>
                                            <w:color w:val="000000" w:themeColor="text1"/>
                                            <w:sz w:val="14"/>
                                            <w:szCs w:val="14"/>
                                          </w:rPr>
                                        </w:pPr>
                                        <w:r>
                                          <w:rPr>
                                            <w:color w:val="000000" w:themeColor="text1"/>
                                            <w:sz w:val="14"/>
                                            <w:szCs w:val="14"/>
                                          </w:rPr>
                                          <w:t>Identify how the preferred option is going to be implemented, monitored and reviewed</w:t>
                                        </w:r>
                                      </w:p>
                                      <w:p w:rsidR="00584F9A" w:rsidRPr="00775556" w:rsidRDefault="00584F9A" w:rsidP="00675046">
                                        <w:pPr>
                                          <w:pStyle w:val="ChartListBullet"/>
                                          <w:spacing w:after="40" w:line="240" w:lineRule="auto"/>
                                          <w:rPr>
                                            <w:color w:val="000000" w:themeColor="text1"/>
                                            <w:sz w:val="14"/>
                                            <w:szCs w:val="14"/>
                                          </w:rPr>
                                        </w:pPr>
                                        <w:r>
                                          <w:rPr>
                                            <w:color w:val="000000" w:themeColor="text1"/>
                                            <w:sz w:val="14"/>
                                            <w:szCs w:val="14"/>
                                          </w:rPr>
                                          <w:t>Details of any transitional arrangements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grpSp>
                              <wpg:cNvPr id="549" name="Group 549"/>
                              <wpg:cNvGrpSpPr/>
                              <wpg:grpSpPr>
                                <a:xfrm>
                                  <a:off x="2464905" y="715617"/>
                                  <a:ext cx="1755367" cy="1478915"/>
                                  <a:chOff x="0" y="0"/>
                                  <a:chExt cx="1290229" cy="1478943"/>
                                </a:xfrm>
                              </wpg:grpSpPr>
                              <wps:wsp>
                                <wps:cNvPr id="550" name="Straight Arrow Connector 550"/>
                                <wps:cNvCnPr/>
                                <wps:spPr>
                                  <a:xfrm flipV="1">
                                    <a:off x="1288111" y="0"/>
                                    <a:ext cx="0" cy="651510"/>
                                  </a:xfrm>
                                  <a:prstGeom prst="straightConnector1">
                                    <a:avLst/>
                                  </a:prstGeom>
                                  <a:ln w="25400">
                                    <a:solidFill>
                                      <a:schemeClr val="accent2"/>
                                    </a:solidFill>
                                    <a:tailEnd type="none"/>
                                  </a:ln>
                                </wps:spPr>
                                <wps:style>
                                  <a:lnRef idx="1">
                                    <a:schemeClr val="accent1"/>
                                  </a:lnRef>
                                  <a:fillRef idx="0">
                                    <a:schemeClr val="accent1"/>
                                  </a:fillRef>
                                  <a:effectRef idx="0">
                                    <a:schemeClr val="accent1"/>
                                  </a:effectRef>
                                  <a:fontRef idx="minor">
                                    <a:schemeClr val="tx1"/>
                                  </a:fontRef>
                                </wps:style>
                                <wps:bodyPr/>
                              </wps:wsp>
                              <wps:wsp>
                                <wps:cNvPr id="551" name="Straight Arrow Connector 551"/>
                                <wps:cNvCnPr/>
                                <wps:spPr>
                                  <a:xfrm>
                                    <a:off x="20116" y="7952"/>
                                    <a:ext cx="1270113" cy="0"/>
                                  </a:xfrm>
                                  <a:prstGeom prst="straightConnector1">
                                    <a:avLst/>
                                  </a:prstGeom>
                                  <a:ln w="25400">
                                    <a:solidFill>
                                      <a:schemeClr val="accent2"/>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552" name="Straight Arrow Connector 552"/>
                                <wps:cNvCnPr/>
                                <wps:spPr>
                                  <a:xfrm>
                                    <a:off x="0" y="1478943"/>
                                    <a:ext cx="1287780" cy="0"/>
                                  </a:xfrm>
                                  <a:prstGeom prst="straightConnector1">
                                    <a:avLst/>
                                  </a:prstGeom>
                                  <a:ln w="25400">
                                    <a:solidFill>
                                      <a:schemeClr val="accent2"/>
                                    </a:solidFill>
                                    <a:tailEnd type="none"/>
                                  </a:ln>
                                </wps:spPr>
                                <wps:style>
                                  <a:lnRef idx="1">
                                    <a:schemeClr val="accent1"/>
                                  </a:lnRef>
                                  <a:fillRef idx="0">
                                    <a:schemeClr val="accent1"/>
                                  </a:fillRef>
                                  <a:effectRef idx="0">
                                    <a:schemeClr val="accent1"/>
                                  </a:effectRef>
                                  <a:fontRef idx="minor">
                                    <a:schemeClr val="tx1"/>
                                  </a:fontRef>
                                </wps:style>
                                <wps:bodyPr/>
                              </wps:wsp>
                              <wps:wsp>
                                <wps:cNvPr id="553" name="Straight Arrow Connector 553"/>
                                <wps:cNvCnPr/>
                                <wps:spPr>
                                  <a:xfrm>
                                    <a:off x="1280160" y="1280160"/>
                                    <a:ext cx="0" cy="190500"/>
                                  </a:xfrm>
                                  <a:prstGeom prst="straightConnector1">
                                    <a:avLst/>
                                  </a:prstGeom>
                                  <a:ln w="25400">
                                    <a:solidFill>
                                      <a:schemeClr val="accent2"/>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s:wsp>
                              <wps:cNvPr id="554" name="Straight Arrow Connector 554"/>
                              <wps:cNvCnPr/>
                              <wps:spPr>
                                <a:xfrm flipV="1">
                                  <a:off x="683813" y="1765190"/>
                                  <a:ext cx="0" cy="691515"/>
                                </a:xfrm>
                                <a:prstGeom prst="straightConnector1">
                                  <a:avLst/>
                                </a:prstGeom>
                                <a:ln w="25400">
                                  <a:solidFill>
                                    <a:schemeClr val="accent2"/>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555" name="Group 555"/>
                              <wpg:cNvGrpSpPr/>
                              <wpg:grpSpPr>
                                <a:xfrm>
                                  <a:off x="2464905" y="3419061"/>
                                  <a:ext cx="1820600" cy="413385"/>
                                  <a:chOff x="0" y="0"/>
                                  <a:chExt cx="1820600" cy="413385"/>
                                </a:xfrm>
                              </wpg:grpSpPr>
                              <wps:wsp>
                                <wps:cNvPr id="556" name="Straight Arrow Connector 556"/>
                                <wps:cNvCnPr/>
                                <wps:spPr>
                                  <a:xfrm>
                                    <a:off x="23854" y="310101"/>
                                    <a:ext cx="739140" cy="0"/>
                                  </a:xfrm>
                                  <a:prstGeom prst="straightConnector1">
                                    <a:avLst/>
                                  </a:prstGeom>
                                  <a:ln w="25400">
                                    <a:solidFill>
                                      <a:schemeClr val="accent2"/>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557" name="Straight Arrow Connector 557"/>
                                <wps:cNvCnPr/>
                                <wps:spPr>
                                  <a:xfrm>
                                    <a:off x="0" y="127221"/>
                                    <a:ext cx="739140" cy="0"/>
                                  </a:xfrm>
                                  <a:prstGeom prst="straightConnector1">
                                    <a:avLst/>
                                  </a:prstGeom>
                                  <a:ln w="25400">
                                    <a:solidFill>
                                      <a:schemeClr val="accent2"/>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558" name="Rectangle 558"/>
                                <wps:cNvSpPr/>
                                <wps:spPr>
                                  <a:xfrm>
                                    <a:off x="763325" y="0"/>
                                    <a:ext cx="1057275" cy="41338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775556" w:rsidRDefault="00584F9A" w:rsidP="00675046">
                                      <w:pPr>
                                        <w:pStyle w:val="ChartBoldText"/>
                                        <w:spacing w:after="0"/>
                                        <w:rPr>
                                          <w:color w:val="FFFFFF" w:themeColor="background1"/>
                                        </w:rPr>
                                      </w:pPr>
                                      <w:r>
                                        <w:rPr>
                                          <w:color w:val="FFFFFF" w:themeColor="background1"/>
                                        </w:rPr>
                                        <w:t>OBPR            Assessment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anchor>
                  </w:drawing>
                </mc:Choice>
                <mc:Fallback>
                  <w:pict>
                    <v:group id="Group 11" o:spid="_x0000_s1047" alt="Flowchart outlining the requirements for undertaking a regulation impact statement." style="position:absolute;margin-left:12.4pt;margin-top:6.25pt;width:372.5pt;height:385.05pt;z-index:251663360" coordsize="47305,4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">
                      <v:group id="Group 526" o:spid="_x0000_s1048" style="position:absolute;width:24644;height:17640" coordorigin=",1053" coordsize="18606,2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rect id="Rectangle 527" o:spid="_x0000_s1049" style="position:absolute;top:1053;width:18606;height:2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X8UA&#10;AADcAAAADwAAAGRycy9kb3ducmV2LnhtbESPS4sCMRCE74L/IbTgTTOKL2aNsisIiwfFB4K3dtLO&#10;DDvpDElWZ//9RhA8FlX1FTVfNqYSd3K+tKxg0E9AEGdWl5wrOB3XvRkIH5A1VpZJwR95WC7arTmm&#10;2j54T/dDyEWEsE9RQRFCnUrps4IM+r6tiaN3s85giNLlUjt8RLip5DBJJtJgyXGhwJpWBWU/h1+j&#10;wLFrvo6j03a/W1/OtxVnm+tgplS303x+gAjUhHf41f7WCsbDKTzPx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8tfxQAAANwAAAAPAAAAAAAAAAAAAAAAAJgCAABkcnMv&#10;ZG93bnJldi54bWxQSwUGAAAAAAQABAD1AAAAigMAAAAA&#10;" filled="f" strokecolor="#f61d12 [3205]">
                          <v:stroke dashstyle="3 1"/>
                          <v:textbox inset="2mm,1mm,2mm,1mm">
                            <w:txbxContent>
                              <w:p w:rsidR="00584F9A" w:rsidRPr="00230DCC" w:rsidRDefault="00584F9A" w:rsidP="00675046">
                                <w:pPr>
                                  <w:pStyle w:val="ChartListBullet"/>
                                  <w:numPr>
                                    <w:ilvl w:val="0"/>
                                    <w:numId w:val="0"/>
                                  </w:numPr>
                                  <w:spacing w:before="0" w:after="40" w:line="240" w:lineRule="auto"/>
                                  <w:ind w:left="170" w:hanging="170"/>
                                  <w:jc w:val="center"/>
                                  <w:rPr>
                                    <w:rFonts w:ascii="Franklin Gothic Demi" w:hAnsi="Franklin Gothic Demi"/>
                                    <w:color w:val="000000" w:themeColor="text1"/>
                                    <w:sz w:val="18"/>
                                  </w:rPr>
                                </w:pPr>
                                <w:r w:rsidRPr="00230DCC">
                                  <w:rPr>
                                    <w:rFonts w:ascii="Franklin Gothic Demi" w:hAnsi="Franklin Gothic Demi"/>
                                    <w:color w:val="000000" w:themeColor="text1"/>
                                    <w:sz w:val="18"/>
                                  </w:rPr>
                                  <w:t>Options Stage RIS</w:t>
                                </w:r>
                              </w:p>
                            </w:txbxContent>
                          </v:textbox>
                        </v:rect>
                        <v:group id="Group 533" o:spid="_x0000_s1050" style="position:absolute;left:795;top:3735;width:17011;height:17804" coordorigin=",1588" coordsize="17011,17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rect id="Rectangle 534" o:spid="_x0000_s1051" style="position:absolute;top:1588;width:17011;height:7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64cUA&#10;AADcAAAADwAAAGRycy9kb3ducmV2LnhtbESPS2sCMRSF9wX/Q7gFd51MfRSZThSxtHQldhR0eZvc&#10;eeDkZphEHf99Uyh0eTiPj5OvBtuKK/W+cazgOUlBEGtnGq4UHPbvTwsQPiAbbB2Tgjt5WC1HDzlm&#10;xt34i65FqEQcYZ+hgjqELpPS65os+sR1xNErXW8xRNlX0vR4i+O2lZM0fZEWG46EGjva1KTPxcVG&#10;blcWhT7N3u7bHV6+j9tUfyzOSo0fh/UriEBD+A//tT+Ngvl0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HrhxQAAANwAAAAPAAAAAAAAAAAAAAAAAJgCAABkcnMv&#10;ZG93bnJldi54bWxQSwUGAAAAAAQABAD1AAAAigMAAAAA&#10;" fillcolor="#c6bfab [3206]" strokecolor="#006b7a [3204]">
                            <v:textbox inset="2mm,1mm,2mm,1mm">
                              <w:txbxContent>
                                <w:p w:rsidR="00584F9A" w:rsidRPr="00775556" w:rsidRDefault="00584F9A" w:rsidP="00675046">
                                  <w:pPr>
                                    <w:pStyle w:val="ChartBoldText"/>
                                    <w:spacing w:before="40" w:after="40"/>
                                    <w:jc w:val="left"/>
                                    <w:rPr>
                                      <w:color w:val="000000" w:themeColor="text1"/>
                                    </w:rPr>
                                  </w:pPr>
                                  <w:r>
                                    <w:rPr>
                                      <w:color w:val="000000" w:themeColor="text1"/>
                                    </w:rPr>
                                    <w:t xml:space="preserve">1.  </w:t>
                                  </w:r>
                                  <w:r w:rsidRPr="00775556">
                                    <w:rPr>
                                      <w:color w:val="000000" w:themeColor="text1"/>
                                    </w:rPr>
                                    <w:t>Problem</w:t>
                                  </w:r>
                                </w:p>
                                <w:p w:rsidR="00584F9A" w:rsidRPr="00775556" w:rsidRDefault="00584F9A" w:rsidP="00675046">
                                  <w:pPr>
                                    <w:pStyle w:val="ChartListBullet"/>
                                    <w:spacing w:line="240" w:lineRule="auto"/>
                                    <w:rPr>
                                      <w:color w:val="000000" w:themeColor="text1"/>
                                      <w:sz w:val="14"/>
                                      <w:szCs w:val="14"/>
                                    </w:rPr>
                                  </w:pPr>
                                  <w:r w:rsidRPr="00775556">
                                    <w:rPr>
                                      <w:color w:val="000000" w:themeColor="text1"/>
                                      <w:sz w:val="14"/>
                                      <w:szCs w:val="14"/>
                                    </w:rPr>
                                    <w:t>Define the problem, including evidence on the scale and scope of the problem</w:t>
                                  </w:r>
                                </w:p>
                                <w:p w:rsidR="00584F9A" w:rsidRPr="00775556" w:rsidRDefault="00584F9A" w:rsidP="00675046">
                                  <w:pPr>
                                    <w:pStyle w:val="ChartListBullet"/>
                                    <w:spacing w:after="40" w:line="240" w:lineRule="auto"/>
                                    <w:rPr>
                                      <w:color w:val="000000" w:themeColor="text1"/>
                                      <w:sz w:val="14"/>
                                      <w:szCs w:val="14"/>
                                    </w:rPr>
                                  </w:pPr>
                                  <w:r w:rsidRPr="00775556">
                                    <w:rPr>
                                      <w:color w:val="000000" w:themeColor="text1"/>
                                      <w:sz w:val="14"/>
                                      <w:szCs w:val="14"/>
                                    </w:rPr>
                                    <w:t>Explain why government intervention is required</w:t>
                                  </w:r>
                                </w:p>
                              </w:txbxContent>
                            </v:textbox>
                          </v:rect>
                          <v:rect id="Rectangle 535" o:spid="_x0000_s1052" style="position:absolute;top:9225;width:17011;height:5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TfesQA&#10;AADcAAAADwAAAGRycy9kb3ducmV2LnhtbESPS2sCMRSF9wX/Q7gFdzXTWotMJ4pUFFdiR0GXt8md&#10;B05uhknU8d83QqHLw3l8nGze20ZcqfO1YwWvowQEsXam5lLBYb96mYLwAdlg45gU3MnDfDZ4yjA1&#10;7sbfdM1DKeII+xQVVCG0qZReV2TRj1xLHL3CdRZDlF0pTYe3OG4b+ZYkH9JizZFQYUtfFelzfrGR&#10;2xZ5rk/vy/t2h5ef4zbR6+lZqeFzv/gEEagP/+G/9sYomIwn8DgTj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k33rEAAAA3AAAAA8AAAAAAAAAAAAAAAAAmAIAAGRycy9k&#10;b3ducmV2LnhtbFBLBQYAAAAABAAEAPUAAACJAwAAAAA=&#10;" fillcolor="#c6bfab [3206]" strokecolor="#006b7a [3204]">
                            <v:textbox inset="2mm,1mm,2mm,1mm">
                              <w:txbxContent>
                                <w:p w:rsidR="00584F9A" w:rsidRPr="00775556" w:rsidRDefault="00584F9A" w:rsidP="00675046">
                                  <w:pPr>
                                    <w:pStyle w:val="ChartBoldText"/>
                                    <w:spacing w:after="40"/>
                                    <w:jc w:val="left"/>
                                    <w:rPr>
                                      <w:color w:val="000000" w:themeColor="text1"/>
                                    </w:rPr>
                                  </w:pPr>
                                  <w:r>
                                    <w:rPr>
                                      <w:color w:val="000000" w:themeColor="text1"/>
                                    </w:rPr>
                                    <w:t>2.  Objectives</w:t>
                                  </w:r>
                                </w:p>
                                <w:p w:rsidR="00584F9A" w:rsidRPr="00775556" w:rsidRDefault="00584F9A" w:rsidP="00675046">
                                  <w:pPr>
                                    <w:pStyle w:val="ChartListBullet"/>
                                    <w:spacing w:after="40" w:line="240" w:lineRule="auto"/>
                                    <w:rPr>
                                      <w:color w:val="000000" w:themeColor="text1"/>
                                      <w:sz w:val="14"/>
                                      <w:szCs w:val="14"/>
                                    </w:rPr>
                                  </w:pPr>
                                  <w:r w:rsidRPr="00775556">
                                    <w:rPr>
                                      <w:color w:val="000000" w:themeColor="text1"/>
                                      <w:sz w:val="14"/>
                                      <w:szCs w:val="14"/>
                                    </w:rPr>
                                    <w:t>Identify objectives — outcomes, goals or targets of government action.</w:t>
                                  </w:r>
                                </w:p>
                              </w:txbxContent>
                            </v:textbox>
                          </v:rect>
                          <v:rect id="Rectangle 536" o:spid="_x0000_s1053" style="position:absolute;top:14706;width:17011;height:4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ZBDcQA&#10;AADcAAAADwAAAGRycy9kb3ducmV2LnhtbESPS2sCMRSF9wX/Q7gFdzXT2opMJ4pUFFdiR0GXt8md&#10;B05uhknU8d83QqHLw3l8nGze20ZcqfO1YwWvowQEsXam5lLBYb96mYLwAdlg45gU3MnDfDZ4yjA1&#10;7sbfdM1DKeII+xQVVCG0qZReV2TRj1xLHL3CdRZDlF0pTYe3OG4b+ZYkE2mx5kiosKWvivQ5v9jI&#10;bYs816f35X27w8vPcZvo9fSs1PC5X3yCCNSH//Bfe2MUfIwn8DgTj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2QQ3EAAAA3AAAAA8AAAAAAAAAAAAAAAAAmAIAAGRycy9k&#10;b3ducmV2LnhtbFBLBQYAAAAABAAEAPUAAACJAwAAAAA=&#10;" fillcolor="#c6bfab [3206]" strokecolor="#006b7a [3204]">
                            <v:textbox inset="2mm,1mm,2mm,1mm">
                              <w:txbxContent>
                                <w:p w:rsidR="00584F9A" w:rsidRPr="00775556" w:rsidRDefault="00584F9A" w:rsidP="00675046">
                                  <w:pPr>
                                    <w:pStyle w:val="ChartBoldText"/>
                                    <w:spacing w:after="40"/>
                                    <w:jc w:val="left"/>
                                    <w:rPr>
                                      <w:color w:val="000000" w:themeColor="text1"/>
                                    </w:rPr>
                                  </w:pPr>
                                  <w:r>
                                    <w:rPr>
                                      <w:color w:val="000000" w:themeColor="text1"/>
                                    </w:rPr>
                                    <w:t>3.  Options</w:t>
                                  </w:r>
                                </w:p>
                                <w:p w:rsidR="00584F9A" w:rsidRPr="00775556" w:rsidRDefault="00584F9A" w:rsidP="00675046">
                                  <w:pPr>
                                    <w:pStyle w:val="ChartListBullet"/>
                                    <w:spacing w:after="40" w:line="240" w:lineRule="auto"/>
                                    <w:rPr>
                                      <w:color w:val="000000" w:themeColor="text1"/>
                                      <w:sz w:val="14"/>
                                      <w:szCs w:val="14"/>
                                    </w:rPr>
                                  </w:pPr>
                                  <w:proofErr w:type="gramStart"/>
                                  <w:r w:rsidRPr="00775556">
                                    <w:rPr>
                                      <w:color w:val="000000" w:themeColor="text1"/>
                                      <w:sz w:val="14"/>
                                      <w:szCs w:val="14"/>
                                    </w:rPr>
                                    <w:t>Identifies a range of alternative feasible options.</w:t>
                                  </w:r>
                                  <w:proofErr w:type="gramEnd"/>
                                </w:p>
                              </w:txbxContent>
                            </v:textbox>
                          </v:rect>
                        </v:group>
                      </v:group>
                      <v:rect id="Rectangle 537" o:spid="_x0000_s1054" style="position:absolute;left:37291;top:13676;width:10014;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rklsQA&#10;AADcAAAADwAAAGRycy9kb3ducmV2LnhtbESPX2vCMBTF34V9h3AF32bq5qZUo4wNxSfRTtDHa3Jt&#10;i81NaaLWb28GAx8P58+PM523thJXanzpWMGgn4Ag1s6UnCvY/S5exyB8QDZYOSYFd/Iwn710ppga&#10;d+MtXbOQizjCPkUFRQh1KqXXBVn0fVcTR+/kGoshyiaXpsFbHLeVfEuST2mx5EgosKbvgvQ5u9jI&#10;rU9Zpg/Dn/t6g5fjfp3o5fisVK/bfk1ABGrDM/zfXhkFH+8j+Ds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65JbEAAAA3AAAAA8AAAAAAAAAAAAAAAAAmAIAAGRycy9k&#10;b3ducmV2LnhtbFBLBQYAAAAABAAEAPUAAACJAwAAAAA=&#10;" fillcolor="#c6bfab [3206]" strokecolor="#006b7a [3204]">
                        <v:textbox inset="2mm,1mm,2mm,1mm">
                          <w:txbxContent>
                            <w:p w:rsidR="00584F9A" w:rsidRPr="00775556" w:rsidRDefault="00584F9A" w:rsidP="00675046">
                              <w:pPr>
                                <w:pStyle w:val="ChartBoldText"/>
                                <w:tabs>
                                  <w:tab w:val="left" w:pos="284"/>
                                </w:tabs>
                                <w:spacing w:after="0"/>
                                <w:ind w:left="284" w:hanging="284"/>
                                <w:jc w:val="left"/>
                                <w:rPr>
                                  <w:color w:val="000000" w:themeColor="text1"/>
                                </w:rPr>
                              </w:pPr>
                              <w:r>
                                <w:rPr>
                                  <w:color w:val="000000" w:themeColor="text1"/>
                                </w:rPr>
                                <w:t xml:space="preserve">4. </w:t>
                              </w:r>
                              <w:r>
                                <w:rPr>
                                  <w:color w:val="000000" w:themeColor="text1"/>
                                </w:rPr>
                                <w:tab/>
                                <w:t>Stakeholder consultation</w:t>
                              </w:r>
                            </w:p>
                          </w:txbxContent>
                        </v:textbox>
                      </v:rect>
                      <v:rect id="Rectangle 538" o:spid="_x0000_s1055" style="position:absolute;left:13278;top:20037;width:11360;height:38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0AMMA&#10;AADcAAAADwAAAGRycy9kb3ducmV2LnhtbERPW2vCMBR+F/YfwhnsTVM3FKmNIoNdwImsivTx2Bzb&#10;suakJJnW/XrzIOzx47tny9604kzON5YVjEcJCOLS6oYrBfvd23AGwgdkja1lUnAlD8vFwyDDVNsL&#10;f9M5D5WIIexTVFCH0KVS+rImg35kO+LInawzGCJ0ldQOLzHctPI5SabSYMOxocaOXmsqf/Jfo2Cz&#10;+lpvXXHktRsf/t5PO0uHj0Kpp8d+NQcRqA//4rv7UyuYvMS18Uw8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C0AMMAAADcAAAADwAAAAAAAAAAAAAAAACYAgAAZHJzL2Rv&#10;d25yZXYueG1sUEsFBgAAAAAEAAQA9QAAAIgDAAAAAA==&#10;" fillcolor="#006b7a [3204]" stroked="f" strokeweight=".5pt">
                        <v:textbox inset="2mm,1mm,2mm,1mm">
                          <w:txbxContent>
                            <w:p w:rsidR="00584F9A" w:rsidRPr="00775556" w:rsidRDefault="00584F9A" w:rsidP="00675046">
                              <w:pPr>
                                <w:pStyle w:val="ChartBoldText"/>
                                <w:spacing w:after="0"/>
                                <w:rPr>
                                  <w:color w:val="FFFFFF" w:themeColor="background1"/>
                                </w:rPr>
                              </w:pPr>
                              <w:r w:rsidRPr="00775556">
                                <w:rPr>
                                  <w:color w:val="FFFFFF" w:themeColor="background1"/>
                                </w:rPr>
                                <w:t xml:space="preserve">Initial </w:t>
                              </w:r>
                              <w:r>
                                <w:rPr>
                                  <w:color w:val="FFFFFF" w:themeColor="background1"/>
                                </w:rPr>
                                <w:t xml:space="preserve">                        </w:t>
                              </w:r>
                              <w:r w:rsidRPr="00775556">
                                <w:rPr>
                                  <w:color w:val="FFFFFF" w:themeColor="background1"/>
                                </w:rPr>
                                <w:t>decision</w:t>
                              </w:r>
                            </w:p>
                          </w:txbxContent>
                        </v:textbox>
                      </v:rect>
                      <v:group id="Group 91" o:spid="_x0000_s1056" style="position:absolute;top:24569;width:24644;height:24331" coordsize="18606,2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ect id="Rectangle 544" o:spid="_x0000_s1057" style="position:absolute;width:18606;height:2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wiMYA&#10;AADcAAAADwAAAGRycy9kb3ducmV2LnhtbESPQWvCQBSE7wX/w/IEb81GSYukrlIFoXiwREOht9fs&#10;MwnNvg27WxP/fbdQ8DjMzDfMajOaTlzJ+daygnmSgiCurG65VlCe949LED4ga+wsk4IbedisJw8r&#10;zLUduKDrKdQiQtjnqKAJoc+l9FVDBn1ie+LoXawzGKJ0tdQOhwg3nVyk6bM02HJcaLCnXUPV9+nH&#10;KHDsxu05K4/F+/7z47Lj6vA1Xyo1m46vLyACjeEe/m+/aQVPWQZ/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KwiMYAAADcAAAADwAAAAAAAAAAAAAAAACYAgAAZHJz&#10;L2Rvd25yZXYueG1sUEsFBgAAAAAEAAQA9QAAAIsDAAAAAA==&#10;" filled="f" strokecolor="#f61d12 [3205]">
                          <v:stroke dashstyle="3 1"/>
                          <v:textbox inset="2mm,1mm,2mm,1mm">
                            <w:txbxContent>
                              <w:p w:rsidR="00584F9A" w:rsidRPr="00230DCC" w:rsidRDefault="00584F9A" w:rsidP="00675046">
                                <w:pPr>
                                  <w:pStyle w:val="ChartListBullet"/>
                                  <w:numPr>
                                    <w:ilvl w:val="0"/>
                                    <w:numId w:val="0"/>
                                  </w:numPr>
                                  <w:spacing w:before="0" w:after="40" w:line="240" w:lineRule="auto"/>
                                  <w:ind w:left="170" w:hanging="170"/>
                                  <w:jc w:val="center"/>
                                  <w:rPr>
                                    <w:rFonts w:ascii="Franklin Gothic Demi" w:hAnsi="Franklin Gothic Demi"/>
                                    <w:color w:val="000000" w:themeColor="text1"/>
                                    <w:sz w:val="18"/>
                                  </w:rPr>
                                </w:pPr>
                                <w:r w:rsidRPr="00230DCC">
                                  <w:rPr>
                                    <w:rFonts w:ascii="Franklin Gothic Demi" w:hAnsi="Franklin Gothic Demi"/>
                                    <w:color w:val="000000" w:themeColor="text1"/>
                                    <w:sz w:val="18"/>
                                  </w:rPr>
                                  <w:t>Details Stage RIS</w:t>
                                </w:r>
                              </w:p>
                            </w:txbxContent>
                          </v:textbox>
                        </v:rect>
                        <v:group id="Group 545" o:spid="_x0000_s1058" style="position:absolute;left:795;top:2146;width:17011;height:19552" coordsize="17011,19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rect id="Rectangle 546" o:spid="_x0000_s1059" style="position:absolute;width:17011;height:8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AycMMA&#10;AADcAAAADwAAAGRycy9kb3ducmV2LnhtbESPzYrCMBSF98K8Q7jC7DRVVKQaRUaUWclYB8blNbm2&#10;xeamNFHr25sBweXh/Hyc+bK1lbhR40vHCgb9BASxdqbkXMHvYdObgvAB2WDlmBQ8yMNy8dGZY2rc&#10;nfd0y0Iu4gj7FBUUIdSplF4XZNH3XU0cvbNrLIYom1yaBu9x3FZymCQTabHkSCiwpq+C9CW72sit&#10;z1mmj6P1Y/eD19PfLtHb6UWpz267moEI1IZ3+NX+NgrGown8n4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AycMMAAADcAAAADwAAAAAAAAAAAAAAAACYAgAAZHJzL2Rv&#10;d25yZXYueG1sUEsFBgAAAAAEAAQA9QAAAIgDAAAAAA==&#10;" fillcolor="#c6bfab [3206]" strokecolor="#006b7a [3204]">
                            <v:textbox inset="2mm,1mm,2mm,1mm">
                              <w:txbxContent>
                                <w:p w:rsidR="00584F9A" w:rsidRPr="00775556" w:rsidRDefault="00584F9A" w:rsidP="00675046">
                                  <w:pPr>
                                    <w:pStyle w:val="ChartBoldText"/>
                                    <w:spacing w:before="40" w:after="40"/>
                                    <w:jc w:val="left"/>
                                    <w:rPr>
                                      <w:color w:val="000000" w:themeColor="text1"/>
                                    </w:rPr>
                                  </w:pPr>
                                  <w:r>
                                    <w:rPr>
                                      <w:color w:val="000000" w:themeColor="text1"/>
                                    </w:rPr>
                                    <w:t>5.  Impact analysis</w:t>
                                  </w:r>
                                </w:p>
                                <w:p w:rsidR="00584F9A" w:rsidRDefault="00584F9A" w:rsidP="00675046">
                                  <w:pPr>
                                    <w:pStyle w:val="ChartListBullet"/>
                                    <w:spacing w:after="40" w:line="240" w:lineRule="auto"/>
                                    <w:rPr>
                                      <w:color w:val="000000" w:themeColor="text1"/>
                                      <w:sz w:val="14"/>
                                      <w:szCs w:val="14"/>
                                    </w:rPr>
                                  </w:pPr>
                                  <w:r>
                                    <w:rPr>
                                      <w:color w:val="000000" w:themeColor="text1"/>
                                      <w:sz w:val="14"/>
                                      <w:szCs w:val="14"/>
                                    </w:rPr>
                                    <w:t>Identify economic, social and environmental impacts</w:t>
                                  </w:r>
                                </w:p>
                                <w:p w:rsidR="00584F9A" w:rsidRDefault="00584F9A" w:rsidP="00675046">
                                  <w:pPr>
                                    <w:pStyle w:val="ChartListBullet"/>
                                    <w:spacing w:after="40" w:line="240" w:lineRule="auto"/>
                                    <w:rPr>
                                      <w:color w:val="000000" w:themeColor="text1"/>
                                      <w:sz w:val="14"/>
                                      <w:szCs w:val="14"/>
                                    </w:rPr>
                                  </w:pPr>
                                  <w:r>
                                    <w:rPr>
                                      <w:color w:val="000000" w:themeColor="text1"/>
                                      <w:sz w:val="14"/>
                                      <w:szCs w:val="14"/>
                                    </w:rPr>
                                    <w:t>Identify groups within the community that receive/bears the benefits/costs</w:t>
                                  </w:r>
                                </w:p>
                                <w:p w:rsidR="00584F9A" w:rsidRPr="00775556" w:rsidRDefault="00584F9A" w:rsidP="00675046">
                                  <w:pPr>
                                    <w:pStyle w:val="ChartListBullet"/>
                                    <w:spacing w:after="40" w:line="240" w:lineRule="auto"/>
                                    <w:rPr>
                                      <w:color w:val="000000" w:themeColor="text1"/>
                                      <w:sz w:val="14"/>
                                      <w:szCs w:val="14"/>
                                    </w:rPr>
                                  </w:pPr>
                                  <w:r>
                                    <w:rPr>
                                      <w:color w:val="000000" w:themeColor="text1"/>
                                      <w:sz w:val="14"/>
                                      <w:szCs w:val="14"/>
                                    </w:rPr>
                                    <w:t>Quantifies significant benefits and costs (where possible)</w:t>
                                  </w:r>
                                </w:p>
                              </w:txbxContent>
                            </v:textbox>
                          </v:rect>
                          <v:rect id="Rectangle 547" o:spid="_x0000_s1060" style="position:absolute;top:8744;width:17011;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X68QA&#10;AADcAAAADwAAAGRycy9kb3ducmV2LnhtbESPS2sCMRSF90L/Q7hCd5qx2CrjRCktLV1JnRZ0eU3u&#10;PHByM0yijv/eCILLw3l8nGzV20acqPO1YwWTcQKCWDtTc6ng/+9rNAfhA7LBxjEpuJCH1fJpkGFq&#10;3Jk3dMpDKeII+xQVVCG0qZReV2TRj11LHL3CdRZDlF0pTYfnOG4b+ZIkb9JizZFQYUsfFelDfrSR&#10;2xZ5rnfTz8v6F4/77TrR3/ODUs/D/n0BIlAfHuF7+8coeJ3O4HYmHg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8l+vEAAAA3AAAAA8AAAAAAAAAAAAAAAAAmAIAAGRycy9k&#10;b3ducmV2LnhtbFBLBQYAAAAABAAEAPUAAACJAwAAAAA=&#10;" fillcolor="#c6bfab [3206]" strokecolor="#006b7a [3204]">
                            <v:textbox inset="2mm,1mm,2mm,1mm">
                              <w:txbxContent>
                                <w:p w:rsidR="00584F9A" w:rsidRPr="00775556" w:rsidRDefault="00584F9A" w:rsidP="00675046">
                                  <w:pPr>
                                    <w:pStyle w:val="ChartBoldText"/>
                                    <w:spacing w:after="40"/>
                                    <w:jc w:val="left"/>
                                    <w:rPr>
                                      <w:color w:val="000000" w:themeColor="text1"/>
                                    </w:rPr>
                                  </w:pPr>
                                  <w:r>
                                    <w:rPr>
                                      <w:color w:val="000000" w:themeColor="text1"/>
                                    </w:rPr>
                                    <w:t>6.  Conclusion</w:t>
                                  </w:r>
                                </w:p>
                                <w:p w:rsidR="00584F9A" w:rsidRPr="00775556" w:rsidRDefault="00584F9A" w:rsidP="00675046">
                                  <w:pPr>
                                    <w:pStyle w:val="ChartListBullet"/>
                                    <w:spacing w:after="40" w:line="240" w:lineRule="auto"/>
                                    <w:rPr>
                                      <w:color w:val="000000" w:themeColor="text1"/>
                                      <w:sz w:val="14"/>
                                      <w:szCs w:val="14"/>
                                    </w:rPr>
                                  </w:pPr>
                                  <w:r w:rsidRPr="00775556">
                                    <w:rPr>
                                      <w:color w:val="000000" w:themeColor="text1"/>
                                      <w:sz w:val="14"/>
                                      <w:szCs w:val="14"/>
                                    </w:rPr>
                                    <w:t xml:space="preserve">Identify </w:t>
                                  </w:r>
                                  <w:r>
                                    <w:rPr>
                                      <w:color w:val="000000" w:themeColor="text1"/>
                                      <w:sz w:val="14"/>
                                      <w:szCs w:val="14"/>
                                    </w:rPr>
                                    <w:t>the preferred option, including reasons why it is preferred</w:t>
                                  </w:r>
                                </w:p>
                              </w:txbxContent>
                            </v:textbox>
                          </v:rect>
                          <v:rect id="Rectangle 548" o:spid="_x0000_s1061" style="position:absolute;top:13415;width:17011;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MDmcEA&#10;AADcAAAADwAAAGRycy9kb3ducmV2LnhtbERPTWvCQBC9F/oflin0VjcVFUldpSgWT6JRaI/T3TEJ&#10;ZmdDdtX4751DocfH+54tet+oK3WxDmzgfZCBIrbB1VwaOB7Wb1NQMSE7bAKTgTtFWMyfn2aYu3Dj&#10;PV2LVCoJ4ZijgSqlNtc62oo8xkFoiYU7hc5jEtiV2nV4k3Df6GGWTbTHmqWhwpaWFdlzcfHS256K&#10;wv6MVvftDi+/39vMfk3Pxry+9J8foBL16V/85944A+ORrJUzcgT0/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jA5nBAAAA3AAAAA8AAAAAAAAAAAAAAAAAmAIAAGRycy9kb3du&#10;cmV2LnhtbFBLBQYAAAAABAAEAPUAAACGAwAAAAA=&#10;" fillcolor="#c6bfab [3206]" strokecolor="#006b7a [3204]">
                            <v:textbox inset="2mm,1mm,2mm,1mm">
                              <w:txbxContent>
                                <w:p w:rsidR="00584F9A" w:rsidRPr="00775556" w:rsidRDefault="00584F9A" w:rsidP="00675046">
                                  <w:pPr>
                                    <w:pStyle w:val="ChartBoldText"/>
                                    <w:spacing w:after="40"/>
                                    <w:jc w:val="left"/>
                                    <w:rPr>
                                      <w:color w:val="000000" w:themeColor="text1"/>
                                    </w:rPr>
                                  </w:pPr>
                                  <w:r>
                                    <w:rPr>
                                      <w:color w:val="000000" w:themeColor="text1"/>
                                    </w:rPr>
                                    <w:t>7.  Implementation and review</w:t>
                                  </w:r>
                                </w:p>
                                <w:p w:rsidR="00584F9A" w:rsidRDefault="00584F9A" w:rsidP="00675046">
                                  <w:pPr>
                                    <w:pStyle w:val="ChartListBullet"/>
                                    <w:spacing w:after="40" w:line="240" w:lineRule="auto"/>
                                    <w:rPr>
                                      <w:color w:val="000000" w:themeColor="text1"/>
                                      <w:sz w:val="14"/>
                                      <w:szCs w:val="14"/>
                                    </w:rPr>
                                  </w:pPr>
                                  <w:r>
                                    <w:rPr>
                                      <w:color w:val="000000" w:themeColor="text1"/>
                                      <w:sz w:val="14"/>
                                      <w:szCs w:val="14"/>
                                    </w:rPr>
                                    <w:t>Identify how the preferred option is going to be implemented, monitored and reviewed</w:t>
                                  </w:r>
                                </w:p>
                                <w:p w:rsidR="00584F9A" w:rsidRPr="00775556" w:rsidRDefault="00584F9A" w:rsidP="00675046">
                                  <w:pPr>
                                    <w:pStyle w:val="ChartListBullet"/>
                                    <w:spacing w:after="40" w:line="240" w:lineRule="auto"/>
                                    <w:rPr>
                                      <w:color w:val="000000" w:themeColor="text1"/>
                                      <w:sz w:val="14"/>
                                      <w:szCs w:val="14"/>
                                    </w:rPr>
                                  </w:pPr>
                                  <w:r>
                                    <w:rPr>
                                      <w:color w:val="000000" w:themeColor="text1"/>
                                      <w:sz w:val="14"/>
                                      <w:szCs w:val="14"/>
                                    </w:rPr>
                                    <w:t>Details of any transitional arrangements</w:t>
                                  </w:r>
                                </w:p>
                              </w:txbxContent>
                            </v:textbox>
                          </v:rect>
                        </v:group>
                      </v:group>
                      <v:group id="Group 549" o:spid="_x0000_s1062" style="position:absolute;left:24649;top:7156;width:17553;height:14789" coordsize="12902,14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shape id="Straight Arrow Connector 550" o:spid="_x0000_s1063" type="#_x0000_t32" style="position:absolute;left:12881;width:0;height:65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Rn1cEAAADcAAAADwAAAGRycy9kb3ducmV2LnhtbERPy4rCMBTdC/MP4Q6401RRkWoUGfCx&#10;dFRmdHdprm2xuek00ca/nywEl4fzni+DqcSDGldaVjDoJyCIM6tLzhWcjuveFITzyBory6TgSQ6W&#10;i4/OHFNtW/6mx8HnIoawS1FB4X2dSumyggy6vq2JI3e1jUEfYZNL3WAbw00lh0kykQZLjg0F1vRV&#10;UHY73I2C7f6ydevfYZiO6s0g/G1+zu3RKNX9DKsZCE/Bv8Uv904rGI/j/HgmHg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1GfVwQAAANwAAAAPAAAAAAAAAAAAAAAA&#10;AKECAABkcnMvZG93bnJldi54bWxQSwUGAAAAAAQABAD5AAAAjwMAAAAA&#10;" strokecolor="#f61d12 [3205]" strokeweight="2pt"/>
                        <v:shape id="Straight Arrow Connector 551" o:spid="_x0000_s1064" type="#_x0000_t32" style="position:absolute;left:201;top:79;width:127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sNc8QAAADcAAAADwAAAGRycy9kb3ducmV2LnhtbESPQYvCMBSE78L+h/AW9iI2dUHR2iiy&#10;KOvFg1rE46N5tmWbl9Kk2v33RhA8DjPzDZOuelOLG7WusqxgHMUgiHOrKy4UZKftaAbCeWSNtWVS&#10;8E8OVsuPQYqJtnc+0O3oCxEg7BJUUHrfJFK6vCSDLrINcfCutjXog2wLqVu8B7ip5XccT6XBisNC&#10;iQ39lJT/HTujIB922bmT8/Wu+c2q6WW/uaDNlPr67NcLEJ56/w6/2jutYDIZw/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ew1zxAAAANwAAAAPAAAAAAAAAAAA&#10;AAAAAKECAABkcnMvZG93bnJldi54bWxQSwUGAAAAAAQABAD5AAAAkgMAAAAA&#10;" strokecolor="#f61d12 [3205]" strokeweight="2pt">
                          <v:stroke startarrow="block"/>
                        </v:shape>
                        <v:shape id="Straight Arrow Connector 552" o:spid="_x0000_s1065" type="#_x0000_t32" style="position:absolute;top:14789;width:128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e58QAAADcAAAADwAAAGRycy9kb3ducmV2LnhtbESPQWvCQBSE7wX/w/IEb3WjaDHRVcQi&#10;SIuCUTw/ss8kmH0bdrcm/ffdQqHHYWa+YVab3jTiSc7XlhVMxgkI4sLqmksF18v+dQHCB2SNjWVS&#10;8E0eNuvBywozbTs+0zMPpYgQ9hkqqEJoMyl9UZFBP7YtcfTu1hkMUbpSaoddhJtGTpPkTRqsOS5U&#10;2NKuouKRfxkFe3cq29mhvnXvKaXy85jmH4+jUqNhv12CCNSH//Bf+6AVzOdT+D0Tj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Od7nxAAAANwAAAAPAAAAAAAAAAAA&#10;AAAAAKECAABkcnMvZG93bnJldi54bWxQSwUGAAAAAAQABAD5AAAAkgMAAAAA&#10;" strokecolor="#f61d12 [3205]" strokeweight="2pt"/>
                        <v:shape id="Straight Arrow Connector 553" o:spid="_x0000_s1066" type="#_x0000_t32" style="position:absolute;left:12801;top:12801;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U2n8UAAADcAAAADwAAAGRycy9kb3ducmV2LnhtbESPQWvCQBSE70L/w/IKvUjdtMXQpq4i&#10;ojQXD+pSPD6yr0lo9m3IbjT+e1cQPA4z8w0zWwy2ESfqfO1YwdskAUFcOFNzqUAfNq+fIHxANtg4&#10;JgUX8rCYP41mmBl35h2d9qEUEcI+QwVVCG0mpS8qsugnriWO3p/rLIYou1KaDs8Rbhv5niSptFhz&#10;XKiwpVVFxf++twqKca9/e/m1zNsfXafH7fqITiv18jwsv0EEGsIjfG/nRsF0+gG3M/EIy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U2n8UAAADcAAAADwAAAAAAAAAA&#10;AAAAAAChAgAAZHJzL2Rvd25yZXYueG1sUEsFBgAAAAAEAAQA+QAAAJMDAAAAAA==&#10;" strokecolor="#f61d12 [3205]" strokeweight="2pt">
                          <v:stroke startarrow="block"/>
                        </v:shape>
                      </v:group>
                      <v:shape id="Straight Arrow Connector 554" o:spid="_x0000_s1067" type="#_x0000_t32" style="position:absolute;left:6838;top:17651;width:0;height:69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FaZcQAAADcAAAADwAAAGRycy9kb3ducmV2LnhtbESPQWvCQBSE74X+h+UVvDUbi0qIboK0&#10;FHqyVIX2+Mg+k+Du25DdJtFf7xYKHoeZ+YbZlJM1YqDet44VzJMUBHHldMu1guPh/TkD4QOyRuOY&#10;FFzIQ1k8Pmww127kLxr2oRYRwj5HBU0IXS6lrxqy6BPXEUfv5HqLIcq+lrrHMcKtkS9pupIWW44L&#10;DXb02lB13v9aBdv607fXwRqjs59vPM2z3dtYKTV7mrZrEIGmcA//tz+0guVyAX9n4hGQ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gVplxAAAANwAAAAPAAAAAAAAAAAA&#10;AAAAAKECAABkcnMvZG93bnJldi54bWxQSwUGAAAAAAQABAD5AAAAkgMAAAAA&#10;" strokecolor="#f61d12 [3205]" strokeweight="2pt">
                        <v:stroke startarrow="block"/>
                      </v:shape>
                      <v:group id="Group 555" o:spid="_x0000_s1068" style="position:absolute;left:24649;top:34190;width:18206;height:4134" coordsize="18206,4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shape id="Straight Arrow Connector 556" o:spid="_x0000_s1069" type="#_x0000_t32" style="position:absolute;left:238;top:3101;width:73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KVB8MAAADcAAAADwAAAGRycy9kb3ducmV2LnhtbESPQYvCMBSE74L/ITzBi6ypgkW7RhFR&#10;9OJhtYjHR/O2Ldu8lCbV+u+NIOxxmJlvmOW6M5W4U+NKywom4wgEcWZ1ybmC9LL/moNwHlljZZkU&#10;PMnBetXvLTHR9sE/dD/7XAQIuwQVFN7XiZQuK8igG9uaOHi/tjHog2xyqRt8BLip5DSKYmmw5LBQ&#10;YE3bgrK/c2sUZKM2vbZysTnWh7SMb6fdDW2q1HDQbb5BeOr8f/jTPmoFs1kM7zPhCM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SlQfDAAAA3AAAAA8AAAAAAAAAAAAA&#10;AAAAoQIAAGRycy9kb3ducmV2LnhtbFBLBQYAAAAABAAEAPkAAACRAwAAAAA=&#10;" strokecolor="#f61d12 [3205]" strokeweight="2pt">
                          <v:stroke startarrow="block"/>
                        </v:shape>
                        <v:shape id="Straight Arrow Connector 557" o:spid="_x0000_s1070" type="#_x0000_t32" style="position:absolute;top:1272;width:73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rz8scAAADcAAAADwAAAGRycy9kb3ducmV2LnhtbESPQWvCQBSE70L/w/IKvYhuFLSaukot&#10;SO2hpTEePD6yzyRt9u2S3Wr8911B8DjMzDfMYtWZRpyo9bVlBaNhAoK4sLrmUsE+3wxmIHxA1thY&#10;JgUX8rBaPvQWmGp75oxOu1CKCGGfooIqBJdK6YuKDPqhdcTRO9rWYIiyLaVu8RzhppHjJJlKgzXH&#10;hQodvVVU/O7+jILD57fef23WmPXzH5fPnRx/vB+VenrsXl9ABOrCPXxrb7WCyeQZrmfiEZD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uvPyxwAAANwAAAAPAAAAAAAA&#10;AAAAAAAAAKECAABkcnMvZG93bnJldi54bWxQSwUGAAAAAAQABAD5AAAAlQMAAAAA&#10;" strokecolor="#f61d12 [3205]" strokeweight="2pt">
                          <v:stroke endarrow="block"/>
                        </v:shape>
                        <v:rect id="Rectangle 558" o:spid="_x0000_s1071" style="position:absolute;left:7633;width:10573;height:4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9RoMMA&#10;AADcAAAADwAAAGRycy9kb3ducmV2LnhtbERPW2vCMBR+F/YfwhnsTVMHDukaRYRdQIesHdLHs+bY&#10;FpuTkkTt9uvNg+Djx3fPloPpxJmcby0rmE4SEMSV1S3XCn6Kt/EchA/IGjvLpOCPPCwXD6MMU20v&#10;/E3nPNQihrBPUUETQp9K6auGDPqJ7Ykjd7DOYIjQ1VI7vMRw08nnJHmRBluODQ32tG6oOuYno+Br&#10;td3sXPnLGzfd/78fCkv7j1Kpp8dh9Qoi0BDu4pv7UyuYzeLaeCYeAb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9RoMMAAADcAAAADwAAAAAAAAAAAAAAAACYAgAAZHJzL2Rv&#10;d25yZXYueG1sUEsFBgAAAAAEAAQA9QAAAIgDAAAAAA==&#10;" fillcolor="#006b7a [3204]" stroked="f" strokeweight=".5pt">
                          <v:textbox inset="2mm,1mm,2mm,1mm">
                            <w:txbxContent>
                              <w:p w:rsidR="00584F9A" w:rsidRPr="00775556" w:rsidRDefault="00584F9A" w:rsidP="00675046">
                                <w:pPr>
                                  <w:pStyle w:val="ChartBoldText"/>
                                  <w:spacing w:after="0"/>
                                  <w:rPr>
                                    <w:color w:val="FFFFFF" w:themeColor="background1"/>
                                  </w:rPr>
                                </w:pPr>
                                <w:r>
                                  <w:rPr>
                                    <w:color w:val="FFFFFF" w:themeColor="background1"/>
                                  </w:rPr>
                                  <w:t>OBPR            Assessment</w:t>
                                </w:r>
                              </w:p>
                            </w:txbxContent>
                          </v:textbox>
                        </v:rect>
                      </v:group>
                    </v:group>
                  </w:pict>
                </mc:Fallback>
              </mc:AlternateContent>
            </w:r>
          </w:p>
        </w:tc>
      </w:tr>
    </w:tbl>
    <w:p w:rsidR="00675046" w:rsidRDefault="00675046" w:rsidP="00675046">
      <w:pPr>
        <w:pStyle w:val="Source"/>
      </w:pPr>
      <w:proofErr w:type="gramStart"/>
      <w:r>
        <w:rPr>
          <w:i/>
        </w:rPr>
        <w:t>Source</w:t>
      </w:r>
      <w:r w:rsidRPr="00A67576">
        <w:rPr>
          <w:i/>
        </w:rPr>
        <w:t>:</w:t>
      </w:r>
      <w:r>
        <w:t xml:space="preserve"> The CIE</w:t>
      </w:r>
      <w:r w:rsidR="00AB11B5">
        <w:t>.</w:t>
      </w:r>
      <w:proofErr w:type="gramEnd"/>
    </w:p>
    <w:p w:rsidR="00AB11B5" w:rsidRDefault="00AB11B5" w:rsidP="00AB11B5">
      <w:pPr>
        <w:pStyle w:val="BodyText"/>
        <w:rPr>
          <w:lang w:eastAsia="en-US"/>
        </w:rPr>
      </w:pPr>
      <w:r>
        <w:rPr>
          <w:lang w:eastAsia="en-US"/>
        </w:rPr>
        <w:t xml:space="preserve">Post implementation reviews seek to ask similar questions, although looking backwards as well as forwards. A post implementation review </w:t>
      </w:r>
      <w:proofErr w:type="gramStart"/>
      <w:r w:rsidR="009B0CD9">
        <w:rPr>
          <w:lang w:eastAsia="en-US"/>
        </w:rPr>
        <w:t>is considered</w:t>
      </w:r>
      <w:proofErr w:type="gramEnd"/>
      <w:r w:rsidR="009B0CD9">
        <w:rPr>
          <w:lang w:eastAsia="en-US"/>
        </w:rPr>
        <w:t xml:space="preserve"> against the following five criteria</w:t>
      </w:r>
      <w:r>
        <w:rPr>
          <w:lang w:eastAsia="en-US"/>
        </w:rPr>
        <w:t>.</w:t>
      </w:r>
      <w:r>
        <w:rPr>
          <w:rStyle w:val="FootnoteReference"/>
          <w:lang w:eastAsia="en-US"/>
        </w:rPr>
        <w:footnoteReference w:id="5"/>
      </w:r>
    </w:p>
    <w:p w:rsidR="00AB11B5" w:rsidRDefault="009B0CD9" w:rsidP="00137756">
      <w:pPr>
        <w:pStyle w:val="ListNumber"/>
        <w:numPr>
          <w:ilvl w:val="0"/>
          <w:numId w:val="47"/>
        </w:numPr>
        <w:rPr>
          <w:lang w:eastAsia="en-US"/>
        </w:rPr>
      </w:pPr>
      <w:r>
        <w:rPr>
          <w:lang w:eastAsia="en-US"/>
        </w:rPr>
        <w:t>Has the PIR identified the problem?</w:t>
      </w:r>
    </w:p>
    <w:p w:rsidR="009B0CD9" w:rsidRDefault="009B0CD9" w:rsidP="00137756">
      <w:pPr>
        <w:pStyle w:val="ListNumber"/>
        <w:numPr>
          <w:ilvl w:val="0"/>
          <w:numId w:val="47"/>
        </w:numPr>
        <w:rPr>
          <w:lang w:eastAsia="en-US"/>
        </w:rPr>
      </w:pPr>
      <w:r>
        <w:rPr>
          <w:lang w:eastAsia="en-US"/>
        </w:rPr>
        <w:t>Does the PIR explain the original objectives of the regulation?</w:t>
      </w:r>
    </w:p>
    <w:p w:rsidR="009B0CD9" w:rsidRDefault="009B0CD9" w:rsidP="00137756">
      <w:pPr>
        <w:pStyle w:val="ListNumber"/>
        <w:numPr>
          <w:ilvl w:val="0"/>
          <w:numId w:val="47"/>
        </w:numPr>
        <w:rPr>
          <w:lang w:eastAsia="en-US"/>
        </w:rPr>
      </w:pPr>
      <w:r>
        <w:rPr>
          <w:lang w:eastAsia="en-US"/>
        </w:rPr>
        <w:t>Has the PIR adequately presented and analysed the impacts of the regulation?</w:t>
      </w:r>
    </w:p>
    <w:p w:rsidR="009B0CD9" w:rsidRDefault="009B0CD9" w:rsidP="00137756">
      <w:pPr>
        <w:pStyle w:val="ListNumber"/>
        <w:numPr>
          <w:ilvl w:val="0"/>
          <w:numId w:val="47"/>
        </w:numPr>
        <w:rPr>
          <w:lang w:eastAsia="en-US"/>
        </w:rPr>
      </w:pPr>
      <w:r>
        <w:rPr>
          <w:lang w:eastAsia="en-US"/>
        </w:rPr>
        <w:t>Does the PIR accurately present the findings from stakeholder consultation?</w:t>
      </w:r>
    </w:p>
    <w:p w:rsidR="009B0CD9" w:rsidRPr="00AB11B5" w:rsidRDefault="009B0CD9" w:rsidP="00137756">
      <w:pPr>
        <w:pStyle w:val="ListNumber"/>
        <w:numPr>
          <w:ilvl w:val="0"/>
          <w:numId w:val="47"/>
        </w:numPr>
        <w:rPr>
          <w:lang w:eastAsia="en-US"/>
        </w:rPr>
      </w:pPr>
      <w:proofErr w:type="gramStart"/>
      <w:r>
        <w:rPr>
          <w:lang w:eastAsia="en-US"/>
        </w:rPr>
        <w:t>Is the conclusion supported</w:t>
      </w:r>
      <w:proofErr w:type="gramEnd"/>
      <w:r>
        <w:rPr>
          <w:lang w:eastAsia="en-US"/>
        </w:rPr>
        <w:t xml:space="preserve"> by available evidence?</w:t>
      </w:r>
    </w:p>
    <w:p w:rsidR="00402DB3" w:rsidRDefault="00402DB3" w:rsidP="00402DB3">
      <w:pPr>
        <w:pStyle w:val="Heading2"/>
        <w:rPr>
          <w:lang w:eastAsia="en-US"/>
        </w:rPr>
      </w:pPr>
      <w:bookmarkStart w:id="175" w:name="_Toc388269618"/>
      <w:r>
        <w:rPr>
          <w:lang w:eastAsia="en-US"/>
        </w:rPr>
        <w:lastRenderedPageBreak/>
        <w:t>Acknowledgements</w:t>
      </w:r>
      <w:bookmarkEnd w:id="175"/>
    </w:p>
    <w:p w:rsidR="00402DB3" w:rsidRPr="00402DB3" w:rsidRDefault="00402DB3" w:rsidP="00402DB3">
      <w:pPr>
        <w:pStyle w:val="BodyText"/>
        <w:rPr>
          <w:lang w:eastAsia="en-US"/>
        </w:rPr>
      </w:pPr>
      <w:proofErr w:type="gramStart"/>
      <w:r>
        <w:rPr>
          <w:lang w:eastAsia="en-US"/>
        </w:rPr>
        <w:t xml:space="preserve">The CIE has been assisted in preparing this report by </w:t>
      </w:r>
      <w:proofErr w:type="spellStart"/>
      <w:r>
        <w:rPr>
          <w:lang w:eastAsia="en-US"/>
        </w:rPr>
        <w:t>Analysys</w:t>
      </w:r>
      <w:proofErr w:type="spellEnd"/>
      <w:r>
        <w:rPr>
          <w:lang w:eastAsia="en-US"/>
        </w:rPr>
        <w:t xml:space="preserve"> Mason and Evans and Peck</w:t>
      </w:r>
      <w:proofErr w:type="gramEnd"/>
      <w:r>
        <w:rPr>
          <w:lang w:eastAsia="en-US"/>
        </w:rPr>
        <w:t>.</w:t>
      </w:r>
      <w:r w:rsidR="009B0CD9">
        <w:rPr>
          <w:lang w:eastAsia="en-US"/>
        </w:rPr>
        <w:t xml:space="preserve"> </w:t>
      </w:r>
      <w:r w:rsidR="00341986">
        <w:rPr>
          <w:lang w:eastAsia="en-US"/>
        </w:rPr>
        <w:t>This work has also benefited from consultation with the ACCC and Telstra.</w:t>
      </w:r>
    </w:p>
    <w:p w:rsidR="00675046" w:rsidRPr="00F51AF6" w:rsidRDefault="00675046" w:rsidP="00675046">
      <w:pPr>
        <w:pStyle w:val="Heading1"/>
      </w:pPr>
      <w:bookmarkStart w:id="176" w:name="_Toc388269619"/>
      <w:r>
        <w:lastRenderedPageBreak/>
        <w:t>Framework for considering costs and benefits</w:t>
      </w:r>
      <w:bookmarkEnd w:id="176"/>
    </w:p>
    <w:p w:rsidR="00675046" w:rsidRDefault="00675046" w:rsidP="00675046">
      <w:pPr>
        <w:pStyle w:val="BodyText"/>
      </w:pPr>
      <w:r>
        <w:t>The economic impacts of price controls depends on the level of the price set by the regulator, compared to prices that would occur in a competitive market and to prices that would be set in the absence of price controls. This chapter sets out the basic economic theory of the impacts of price controls.</w:t>
      </w:r>
    </w:p>
    <w:p w:rsidR="00675046" w:rsidRDefault="00675046" w:rsidP="00675046">
      <w:pPr>
        <w:pStyle w:val="Heading2"/>
      </w:pPr>
      <w:bookmarkStart w:id="177" w:name="_Toc381784735"/>
      <w:bookmarkStart w:id="178" w:name="_Toc388269620"/>
      <w:r>
        <w:t>Pricing in a competitive market</w:t>
      </w:r>
      <w:bookmarkEnd w:id="177"/>
      <w:bookmarkEnd w:id="178"/>
    </w:p>
    <w:p w:rsidR="00675046" w:rsidRPr="000F323A" w:rsidRDefault="00675046" w:rsidP="00675046">
      <w:pPr>
        <w:pStyle w:val="BodyText"/>
      </w:pPr>
      <w:r>
        <w:t xml:space="preserve">In a competitive market, the price charged should reflect the costs of providing services to the next customer (i.e. the marginal cost). This </w:t>
      </w:r>
      <w:proofErr w:type="gramStart"/>
      <w:r>
        <w:t>is shown</w:t>
      </w:r>
      <w:proofErr w:type="gramEnd"/>
      <w:r>
        <w:t xml:space="preserve"> in the chart below, where P0 is the price and Q0 is the quantity demanded and supplied.</w:t>
      </w:r>
    </w:p>
    <w:p w:rsidR="00675046" w:rsidRPr="00695C93" w:rsidRDefault="00675046" w:rsidP="00675046">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2</w:instrText>
        </w:r>
      </w:fldSimple>
      <w:r w:rsidRPr="00695C93">
        <w:instrText xml:space="preserve"> = 0 "" "</w:instrText>
      </w:r>
      <w:fldSimple w:instr=" STYLEREF &quot;Heading 1&quot; \l \n ">
        <w:r w:rsidR="00304215">
          <w:rPr>
            <w:noProof/>
          </w:rPr>
          <w:instrText>2</w:instrText>
        </w:r>
      </w:fldSimple>
      <w:r w:rsidRPr="00695C93">
        <w:instrText xml:space="preserve">." </w:instrText>
      </w:r>
      <w:r w:rsidRPr="00695C93">
        <w:fldChar w:fldCharType="separate"/>
      </w:r>
      <w:r w:rsidR="00304215">
        <w:rPr>
          <w:noProof/>
        </w:rPr>
        <w:instrText>2</w:instrText>
      </w:r>
      <w:r w:rsidR="00304215" w:rsidRPr="00695C93">
        <w:rPr>
          <w:noProof/>
        </w:rPr>
        <w:instrText>.</w:instrText>
      </w:r>
      <w:r w:rsidRPr="00695C93">
        <w:fldChar w:fldCharType="end"/>
      </w:r>
      <w:r w:rsidRPr="00695C93">
        <w:instrText>" "</w:instrText>
      </w:r>
      <w:fldSimple w:instr=" STYLEREF &quot;Heading 6&quot; \l \n ">
        <w:r>
          <w:rPr>
            <w:noProof/>
          </w:rPr>
          <w:instrText>A</w:instrText>
        </w:r>
      </w:fldSimple>
      <w:r w:rsidRPr="00695C93">
        <w:instrText xml:space="preserve">." </w:instrText>
      </w:r>
      <w:r w:rsidRPr="00695C93">
        <w:fldChar w:fldCharType="separate"/>
      </w:r>
      <w:r w:rsidR="00584F9A">
        <w:rPr>
          <w:noProof/>
        </w:rPr>
        <w:instrText>2</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2</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1</w:instrText>
      </w:r>
      <w:r w:rsidRPr="00695C93">
        <w:fldChar w:fldCharType="end"/>
      </w:r>
      <w:r w:rsidRPr="00695C93">
        <w:instrText xml:space="preserve">" "" </w:instrText>
      </w:r>
      <w:r w:rsidRPr="00695C93">
        <w:fldChar w:fldCharType="separate"/>
      </w:r>
      <w:bookmarkStart w:id="179" w:name="_Caption8322"/>
      <w:bookmarkStart w:id="180" w:name="_Caption9070"/>
      <w:bookmarkStart w:id="181" w:name="_Caption4811"/>
      <w:bookmarkStart w:id="182" w:name="_Caption3250"/>
      <w:bookmarkStart w:id="183" w:name="_Caption4224"/>
      <w:bookmarkStart w:id="184" w:name="_Caption7943"/>
      <w:bookmarkStart w:id="185" w:name="_Caption3950"/>
      <w:bookmarkStart w:id="186" w:name="_Caption1706"/>
      <w:bookmarkStart w:id="187" w:name="_Caption7067"/>
      <w:bookmarkStart w:id="188" w:name="_Caption1926"/>
      <w:bookmarkStart w:id="189" w:name="_Caption8465"/>
      <w:bookmarkStart w:id="190" w:name="_Caption2101"/>
      <w:bookmarkStart w:id="191" w:name="_Caption1510"/>
      <w:bookmarkStart w:id="192" w:name="_Caption7088"/>
      <w:bookmarkStart w:id="193" w:name="_Caption5437"/>
      <w:bookmarkStart w:id="194" w:name="_Caption8235"/>
      <w:bookmarkStart w:id="195" w:name="_Caption2764"/>
      <w:bookmarkStart w:id="196" w:name="_Caption5366"/>
      <w:bookmarkStart w:id="197" w:name="_Caption4582"/>
      <w:bookmarkStart w:id="198" w:name="_Caption2106"/>
      <w:bookmarkStart w:id="199" w:name="_Caption8772"/>
      <w:bookmarkStart w:id="200" w:name="_Caption2864"/>
      <w:bookmarkStart w:id="201" w:name="_Caption8344"/>
      <w:bookmarkStart w:id="202" w:name="_Caption3947"/>
      <w:bookmarkStart w:id="203" w:name="_Caption6233"/>
      <w:bookmarkStart w:id="204" w:name="_Caption5971"/>
      <w:bookmarkStart w:id="205" w:name="_Caption2905"/>
      <w:bookmarkStart w:id="206" w:name="_Caption8745"/>
      <w:bookmarkStart w:id="207" w:name="_Caption9556"/>
      <w:bookmarkStart w:id="208" w:name="_Caption6694"/>
      <w:bookmarkStart w:id="209" w:name="_Caption1034"/>
      <w:bookmarkStart w:id="210" w:name="_Caption5080"/>
      <w:bookmarkStart w:id="211" w:name="_Caption3349"/>
      <w:bookmarkStart w:id="212" w:name="_Caption3223"/>
      <w:bookmarkStart w:id="213" w:name="_Caption2923"/>
      <w:bookmarkStart w:id="214" w:name="_Caption9037"/>
      <w:bookmarkStart w:id="215" w:name="_Caption6212"/>
      <w:bookmarkStart w:id="216" w:name="_Caption3341"/>
      <w:bookmarkStart w:id="217" w:name="_Toc381784719"/>
      <w:bookmarkStart w:id="218" w:name="_Toc391972938"/>
      <w:r w:rsidR="00584F9A">
        <w:rPr>
          <w:noProof/>
        </w:rPr>
        <w:t>2</w:t>
      </w:r>
      <w:r w:rsidR="00584F9A" w:rsidRPr="00695C93">
        <w:rPr>
          <w:noProof/>
        </w:rPr>
        <w:t>.</w:t>
      </w:r>
      <w:r w:rsidR="00584F9A">
        <w:rPr>
          <w:noProof/>
        </w:rPr>
        <w:t>1</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695C93">
        <w:fldChar w:fldCharType="end"/>
      </w:r>
      <w:r w:rsidRPr="00695C93">
        <w:tab/>
      </w:r>
      <w:r>
        <w:t>Pricing in a competitive market</w:t>
      </w:r>
      <w:bookmarkEnd w:id="217"/>
      <w:bookmarkEnd w:id="218"/>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Look w:val="04A0" w:firstRow="1" w:lastRow="0" w:firstColumn="1" w:lastColumn="0" w:noHBand="0" w:noVBand="1"/>
      </w:tblPr>
      <w:tblGrid>
        <w:gridCol w:w="7938"/>
      </w:tblGrid>
      <w:tr w:rsidR="00675046" w:rsidTr="00B01898">
        <w:trPr>
          <w:cantSplit/>
          <w:tblHeader/>
        </w:trPr>
        <w:tc>
          <w:tcPr>
            <w:tcW w:w="7938" w:type="dxa"/>
            <w:shd w:val="clear" w:color="auto" w:fill="E9E8E5" w:themeFill="background2"/>
          </w:tcPr>
          <w:p w:rsidR="00675046" w:rsidRDefault="003535F2" w:rsidP="003535F2">
            <w:pPr>
              <w:pStyle w:val="Chart"/>
              <w:jc w:val="center"/>
            </w:pPr>
            <w:r>
              <w:rPr>
                <w:noProof/>
                <w:lang w:eastAsia="en-AU"/>
              </w:rPr>
              <w:drawing>
                <wp:inline distT="0" distB="0" distL="0" distR="0" wp14:anchorId="16E4D3C9" wp14:editId="639D78E5">
                  <wp:extent cx="4897755" cy="2440940"/>
                  <wp:effectExtent l="0" t="0" r="0" b="0"/>
                  <wp:docPr id="2" name="Picture 2" descr="Graph outlining pricing structure in a competitive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97755" cy="2440940"/>
                          </a:xfrm>
                          <a:prstGeom prst="rect">
                            <a:avLst/>
                          </a:prstGeom>
                          <a:noFill/>
                          <a:ln>
                            <a:noFill/>
                          </a:ln>
                        </pic:spPr>
                      </pic:pic>
                    </a:graphicData>
                  </a:graphic>
                </wp:inline>
              </w:drawing>
            </w:r>
          </w:p>
        </w:tc>
      </w:tr>
    </w:tbl>
    <w:p w:rsidR="00675046" w:rsidRDefault="00675046" w:rsidP="00675046">
      <w:pPr>
        <w:pStyle w:val="Source"/>
      </w:pPr>
      <w:proofErr w:type="gramStart"/>
      <w:r>
        <w:rPr>
          <w:i/>
        </w:rPr>
        <w:t>Source</w:t>
      </w:r>
      <w:r w:rsidRPr="00A67576">
        <w:rPr>
          <w:i/>
        </w:rPr>
        <w:t>:</w:t>
      </w:r>
      <w:r>
        <w:t xml:space="preserve"> The CIE.</w:t>
      </w:r>
      <w:proofErr w:type="gramEnd"/>
    </w:p>
    <w:p w:rsidR="00675046" w:rsidRPr="00EB08A4" w:rsidRDefault="00A86FF3" w:rsidP="00A86FF3">
      <w:pPr>
        <w:pStyle w:val="BodyText"/>
        <w:rPr>
          <w:lang w:eastAsia="en-US"/>
        </w:rPr>
      </w:pPr>
      <w:r>
        <w:rPr>
          <w:lang w:eastAsia="en-US"/>
        </w:rPr>
        <w:t xml:space="preserve">Note that there are complexities in a market such as telecommunications, where a large part of the capital costs </w:t>
      </w:r>
      <w:proofErr w:type="gramStart"/>
      <w:r>
        <w:rPr>
          <w:lang w:eastAsia="en-US"/>
        </w:rPr>
        <w:t>have been invested</w:t>
      </w:r>
      <w:proofErr w:type="gramEnd"/>
      <w:r>
        <w:rPr>
          <w:lang w:eastAsia="en-US"/>
        </w:rPr>
        <w:t xml:space="preserve"> historically and are now sunk. In many such cases, such as electricity, water and telecommunications networks, this capital </w:t>
      </w:r>
      <w:proofErr w:type="gramStart"/>
      <w:r>
        <w:rPr>
          <w:lang w:eastAsia="en-US"/>
        </w:rPr>
        <w:t>is incorporated</w:t>
      </w:r>
      <w:proofErr w:type="gramEnd"/>
      <w:r>
        <w:rPr>
          <w:lang w:eastAsia="en-US"/>
        </w:rPr>
        <w:t xml:space="preserve"> into prices for accessing infrastructure through allowing some amount of historical capital into a regulated asset base.</w:t>
      </w:r>
      <w:r w:rsidR="004E4BEE">
        <w:rPr>
          <w:lang w:eastAsia="en-US"/>
        </w:rPr>
        <w:t xml:space="preserve"> The retail price then combines a wholesale component plus a retail component. The retail component covers costs of billing and marketing, for example.</w:t>
      </w:r>
    </w:p>
    <w:p w:rsidR="00675046" w:rsidRDefault="00675046" w:rsidP="00675046">
      <w:pPr>
        <w:pStyle w:val="Heading2"/>
      </w:pPr>
      <w:bookmarkStart w:id="219" w:name="_Toc381784736"/>
      <w:bookmarkStart w:id="220" w:name="_Toc388269621"/>
      <w:r>
        <w:lastRenderedPageBreak/>
        <w:t>Pricing in a market where a supplier has market power</w:t>
      </w:r>
      <w:bookmarkEnd w:id="219"/>
      <w:bookmarkEnd w:id="220"/>
    </w:p>
    <w:p w:rsidR="00675046" w:rsidRPr="00361318" w:rsidRDefault="00675046" w:rsidP="00675046">
      <w:pPr>
        <w:pStyle w:val="BodyText"/>
      </w:pPr>
      <w:r>
        <w:t>Where a supplier has (and uses) market power, they are able to increase their profits by charging a price that is higher than the marginal cost of the last unit supplied. The price will therefore be higher than in a competitive market. For example, in chart </w:t>
      </w:r>
      <w:fldSimple w:instr=" REF _Caption6969 ">
        <w:r w:rsidR="00304215">
          <w:rPr>
            <w:noProof/>
          </w:rPr>
          <w:t>2</w:t>
        </w:r>
        <w:r w:rsidR="00304215" w:rsidRPr="00695C93">
          <w:rPr>
            <w:noProof/>
          </w:rPr>
          <w:t>.</w:t>
        </w:r>
        <w:r w:rsidR="00304215">
          <w:rPr>
            <w:noProof/>
          </w:rPr>
          <w:t>2</w:t>
        </w:r>
      </w:fldSimple>
      <w:r>
        <w:t xml:space="preserve"> the supplier can raise the price to P1, at which point the quantity Q1 </w:t>
      </w:r>
      <w:proofErr w:type="gramStart"/>
      <w:r>
        <w:t>would be demanded and supplied</w:t>
      </w:r>
      <w:proofErr w:type="gramEnd"/>
      <w:r>
        <w:t>. The welfare loss in this case is equal to the shaded triangle.</w:t>
      </w:r>
    </w:p>
    <w:p w:rsidR="00675046" w:rsidRPr="00695C93" w:rsidRDefault="00675046" w:rsidP="00675046">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2</w:instrText>
        </w:r>
      </w:fldSimple>
      <w:r w:rsidRPr="00695C93">
        <w:instrText xml:space="preserve"> = 0 "" "</w:instrText>
      </w:r>
      <w:fldSimple w:instr=" STYLEREF &quot;Heading 1&quot; \l \n ">
        <w:r w:rsidR="00304215">
          <w:rPr>
            <w:noProof/>
          </w:rPr>
          <w:instrText>2</w:instrText>
        </w:r>
      </w:fldSimple>
      <w:r w:rsidRPr="00695C93">
        <w:instrText xml:space="preserve">." </w:instrText>
      </w:r>
      <w:r w:rsidRPr="00695C93">
        <w:fldChar w:fldCharType="separate"/>
      </w:r>
      <w:r w:rsidR="00304215">
        <w:rPr>
          <w:noProof/>
        </w:rPr>
        <w:instrText>2</w:instrText>
      </w:r>
      <w:r w:rsidR="00304215" w:rsidRPr="00695C93">
        <w:rPr>
          <w:noProof/>
        </w:rPr>
        <w:instrText>.</w:instrText>
      </w:r>
      <w:r w:rsidRPr="00695C93">
        <w:fldChar w:fldCharType="end"/>
      </w:r>
      <w:r w:rsidRPr="00695C93">
        <w:instrText>" "</w:instrText>
      </w:r>
      <w:fldSimple w:instr=" STYLEREF &quot;Heading 6&quot; \l \n ">
        <w:r>
          <w:rPr>
            <w:noProof/>
          </w:rPr>
          <w:instrText>A</w:instrText>
        </w:r>
      </w:fldSimple>
      <w:r w:rsidRPr="00695C93">
        <w:instrText xml:space="preserve">." </w:instrText>
      </w:r>
      <w:r w:rsidRPr="00695C93">
        <w:fldChar w:fldCharType="separate"/>
      </w:r>
      <w:r w:rsidR="00584F9A">
        <w:rPr>
          <w:noProof/>
        </w:rPr>
        <w:instrText>2</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2</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2</w:instrText>
      </w:r>
      <w:r w:rsidRPr="00695C93">
        <w:fldChar w:fldCharType="end"/>
      </w:r>
      <w:r w:rsidRPr="00695C93">
        <w:instrText xml:space="preserve">" "" </w:instrText>
      </w:r>
      <w:r w:rsidRPr="00695C93">
        <w:fldChar w:fldCharType="separate"/>
      </w:r>
      <w:bookmarkStart w:id="221" w:name="_Caption0992"/>
      <w:bookmarkStart w:id="222" w:name="_Caption0909"/>
      <w:bookmarkStart w:id="223" w:name="_Caption3050"/>
      <w:bookmarkStart w:id="224" w:name="_Caption1810"/>
      <w:bookmarkStart w:id="225" w:name="_Caption8095"/>
      <w:bookmarkStart w:id="226" w:name="_Caption1641"/>
      <w:bookmarkStart w:id="227" w:name="_Caption5511"/>
      <w:bookmarkStart w:id="228" w:name="_Caption0383"/>
      <w:bookmarkStart w:id="229" w:name="_Caption1318"/>
      <w:bookmarkStart w:id="230" w:name="_Caption3142"/>
      <w:bookmarkStart w:id="231" w:name="_Caption2071"/>
      <w:bookmarkStart w:id="232" w:name="_Caption8397"/>
      <w:bookmarkStart w:id="233" w:name="_Caption8546"/>
      <w:bookmarkStart w:id="234" w:name="_Caption3707"/>
      <w:bookmarkStart w:id="235" w:name="_Caption4585"/>
      <w:bookmarkStart w:id="236" w:name="_Caption8053"/>
      <w:bookmarkStart w:id="237" w:name="_Caption4708"/>
      <w:bookmarkStart w:id="238" w:name="_Caption9843"/>
      <w:bookmarkStart w:id="239" w:name="_Caption8118"/>
      <w:bookmarkStart w:id="240" w:name="_Caption7513"/>
      <w:bookmarkStart w:id="241" w:name="_Caption5326"/>
      <w:bookmarkStart w:id="242" w:name="_Caption1104"/>
      <w:bookmarkStart w:id="243" w:name="_Caption8705"/>
      <w:bookmarkStart w:id="244" w:name="_Caption3627"/>
      <w:bookmarkStart w:id="245" w:name="_Caption4630"/>
      <w:bookmarkStart w:id="246" w:name="_Caption7960"/>
      <w:bookmarkStart w:id="247" w:name="_Caption1129"/>
      <w:bookmarkStart w:id="248" w:name="_Caption6969"/>
      <w:bookmarkStart w:id="249" w:name="_Caption7158"/>
      <w:bookmarkStart w:id="250" w:name="_Caption4919"/>
      <w:bookmarkStart w:id="251" w:name="_Caption9258"/>
      <w:bookmarkStart w:id="252" w:name="_Caption2197"/>
      <w:bookmarkStart w:id="253" w:name="_Caption0973"/>
      <w:bookmarkStart w:id="254" w:name="_Caption4542"/>
      <w:bookmarkStart w:id="255" w:name="_Caption5594"/>
      <w:bookmarkStart w:id="256" w:name="_Caption9490"/>
      <w:bookmarkStart w:id="257" w:name="_Caption4437"/>
      <w:bookmarkStart w:id="258" w:name="_Caption5122"/>
      <w:bookmarkStart w:id="259" w:name="_Toc381784720"/>
      <w:bookmarkStart w:id="260" w:name="_Toc391972939"/>
      <w:r w:rsidR="00584F9A">
        <w:rPr>
          <w:noProof/>
        </w:rPr>
        <w:t>2</w:t>
      </w:r>
      <w:r w:rsidR="00584F9A" w:rsidRPr="00695C93">
        <w:rPr>
          <w:noProof/>
        </w:rPr>
        <w:t>.</w:t>
      </w:r>
      <w:r w:rsidR="00584F9A">
        <w:rPr>
          <w:noProof/>
        </w:rPr>
        <w:t>2</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695C93">
        <w:fldChar w:fldCharType="end"/>
      </w:r>
      <w:r w:rsidRPr="00695C93">
        <w:tab/>
      </w:r>
      <w:r>
        <w:t>Pricing where a supplier has market power</w:t>
      </w:r>
      <w:bookmarkEnd w:id="259"/>
      <w:bookmarkEnd w:id="260"/>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Look w:val="04A0" w:firstRow="1" w:lastRow="0" w:firstColumn="1" w:lastColumn="0" w:noHBand="0" w:noVBand="1"/>
      </w:tblPr>
      <w:tblGrid>
        <w:gridCol w:w="7938"/>
      </w:tblGrid>
      <w:tr w:rsidR="00675046" w:rsidTr="00B01898">
        <w:trPr>
          <w:cantSplit/>
          <w:tblHeader/>
        </w:trPr>
        <w:tc>
          <w:tcPr>
            <w:tcW w:w="7938" w:type="dxa"/>
            <w:shd w:val="clear" w:color="auto" w:fill="E9E8E5" w:themeFill="background2"/>
          </w:tcPr>
          <w:p w:rsidR="00675046" w:rsidRDefault="003535F2" w:rsidP="003535F2">
            <w:pPr>
              <w:pStyle w:val="Chart"/>
              <w:jc w:val="center"/>
            </w:pPr>
            <w:r>
              <w:rPr>
                <w:noProof/>
                <w:lang w:eastAsia="en-AU"/>
              </w:rPr>
              <w:drawing>
                <wp:inline distT="0" distB="0" distL="0" distR="0" wp14:anchorId="7C7A361F" wp14:editId="777B4316">
                  <wp:extent cx="4906010" cy="2440940"/>
                  <wp:effectExtent l="0" t="0" r="0" b="0"/>
                  <wp:docPr id="10" name="Picture 10" descr="Graph outlining the pricing structure where a supplier has the market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06010" cy="2440940"/>
                          </a:xfrm>
                          <a:prstGeom prst="rect">
                            <a:avLst/>
                          </a:prstGeom>
                          <a:noFill/>
                          <a:ln>
                            <a:noFill/>
                          </a:ln>
                        </pic:spPr>
                      </pic:pic>
                    </a:graphicData>
                  </a:graphic>
                </wp:inline>
              </w:drawing>
            </w:r>
          </w:p>
        </w:tc>
      </w:tr>
    </w:tbl>
    <w:p w:rsidR="00675046" w:rsidRDefault="00675046" w:rsidP="00675046">
      <w:pPr>
        <w:pStyle w:val="Source"/>
      </w:pPr>
      <w:proofErr w:type="gramStart"/>
      <w:r>
        <w:rPr>
          <w:i/>
        </w:rPr>
        <w:t>Source</w:t>
      </w:r>
      <w:r w:rsidRPr="00A67576">
        <w:rPr>
          <w:i/>
        </w:rPr>
        <w:t>:</w:t>
      </w:r>
      <w:r>
        <w:t xml:space="preserve"> The CIE.</w:t>
      </w:r>
      <w:proofErr w:type="gramEnd"/>
    </w:p>
    <w:p w:rsidR="004E4BEE" w:rsidRPr="004E4BEE" w:rsidRDefault="004E4BEE" w:rsidP="004E4BEE">
      <w:pPr>
        <w:pStyle w:val="BodyText"/>
        <w:rPr>
          <w:lang w:eastAsia="en-US"/>
        </w:rPr>
      </w:pPr>
      <w:r>
        <w:rPr>
          <w:lang w:eastAsia="en-US"/>
        </w:rPr>
        <w:t>Market power may not result in as large a social less as set out in chart </w:t>
      </w:r>
      <w:r>
        <w:rPr>
          <w:lang w:eastAsia="en-US"/>
        </w:rPr>
        <w:fldChar w:fldCharType="begin"/>
      </w:r>
      <w:r>
        <w:rPr>
          <w:lang w:eastAsia="en-US"/>
        </w:rPr>
        <w:instrText xml:space="preserve"> REF _Caption4585 </w:instrText>
      </w:r>
      <w:r>
        <w:rPr>
          <w:lang w:eastAsia="en-US"/>
        </w:rPr>
        <w:fldChar w:fldCharType="separate"/>
      </w:r>
      <w:r w:rsidR="00304215">
        <w:rPr>
          <w:noProof/>
        </w:rPr>
        <w:t>2</w:t>
      </w:r>
      <w:r w:rsidR="00304215" w:rsidRPr="00695C93">
        <w:rPr>
          <w:noProof/>
        </w:rPr>
        <w:t>.</w:t>
      </w:r>
      <w:r w:rsidR="00304215">
        <w:rPr>
          <w:noProof/>
        </w:rPr>
        <w:t>2</w:t>
      </w:r>
      <w:r>
        <w:rPr>
          <w:lang w:eastAsia="en-US"/>
        </w:rPr>
        <w:fldChar w:fldCharType="end"/>
      </w:r>
      <w:r>
        <w:rPr>
          <w:lang w:eastAsia="en-US"/>
        </w:rPr>
        <w:t xml:space="preserve"> if a business can price </w:t>
      </w:r>
      <w:proofErr w:type="gramStart"/>
      <w:r>
        <w:rPr>
          <w:lang w:eastAsia="en-US"/>
        </w:rPr>
        <w:t>differentiate</w:t>
      </w:r>
      <w:proofErr w:type="gramEnd"/>
      <w:r>
        <w:rPr>
          <w:lang w:eastAsia="en-US"/>
        </w:rPr>
        <w:t xml:space="preserve">. In this case, it would seek to charge different prices to different consumers in order and this may lead to a quantity supplied closer to the competitive level. The distribution of outcomes from differentiated pricing is different to a single price, with producers obtaining a larger profit and consumers paying higher prices. </w:t>
      </w:r>
    </w:p>
    <w:p w:rsidR="00675046" w:rsidRPr="000F323A" w:rsidRDefault="00675046" w:rsidP="00402F0D">
      <w:pPr>
        <w:pStyle w:val="BodyText"/>
        <w:rPr>
          <w:lang w:eastAsia="en-US"/>
        </w:rPr>
      </w:pPr>
      <w:r>
        <w:rPr>
          <w:lang w:eastAsia="en-US"/>
        </w:rPr>
        <w:t>In the above welfare analysis, the benefit (or cost) to the community is the sum of the benefits/costs to consumers and service providers. For the purpose of the regulatory impact assessment process, cost</w:t>
      </w:r>
      <w:r>
        <w:rPr>
          <w:lang w:eastAsia="en-US"/>
        </w:rPr>
        <w:noBreakHyphen/>
        <w:t xml:space="preserve">benefit analysis will typically focus on the benefits and costs to Australia. </w:t>
      </w:r>
      <w:proofErr w:type="gramStart"/>
      <w:r>
        <w:rPr>
          <w:lang w:eastAsia="en-US"/>
        </w:rPr>
        <w:t>To a large extent</w:t>
      </w:r>
      <w:proofErr w:type="gramEnd"/>
      <w:r>
        <w:rPr>
          <w:lang w:eastAsia="en-US"/>
        </w:rPr>
        <w:t>, this aligns with the welfare analysis outlined above. However, where the regulated firms are owned by foreigners, some of the ‘producer surplus’ will be transferred overseas.</w:t>
      </w:r>
    </w:p>
    <w:p w:rsidR="00675046" w:rsidRDefault="00675046" w:rsidP="00675046">
      <w:pPr>
        <w:pStyle w:val="Heading2"/>
      </w:pPr>
      <w:bookmarkStart w:id="261" w:name="_Toc381784737"/>
      <w:bookmarkStart w:id="262" w:name="_Toc388269622"/>
      <w:r>
        <w:t>The impacts of price controls</w:t>
      </w:r>
      <w:bookmarkEnd w:id="261"/>
      <w:bookmarkEnd w:id="262"/>
    </w:p>
    <w:p w:rsidR="00675046" w:rsidRDefault="00675046" w:rsidP="00675046">
      <w:pPr>
        <w:pStyle w:val="BodyText"/>
      </w:pPr>
      <w:r>
        <w:t xml:space="preserve">The impacts of price controls </w:t>
      </w:r>
      <w:proofErr w:type="gramStart"/>
      <w:r>
        <w:t>can be assessed</w:t>
      </w:r>
      <w:proofErr w:type="gramEnd"/>
      <w:r>
        <w:t xml:space="preserve"> by considering what the price would be in a competitive market, with retail price controls and in the actual market. Allow </w:t>
      </w:r>
      <m:oMath>
        <m:sSup>
          <m:sSupPr>
            <m:ctrlPr>
              <w:rPr>
                <w:rFonts w:ascii="Cambria Math" w:hAnsi="Cambria Math"/>
                <w:i/>
              </w:rPr>
            </m:ctrlPr>
          </m:sSupPr>
          <m:e>
            <m:r>
              <w:rPr>
                <w:rFonts w:ascii="Cambria Math" w:hAnsi="Cambria Math"/>
              </w:rPr>
              <m:t>P</m:t>
            </m:r>
          </m:e>
          <m:sup>
            <m:r>
              <w:rPr>
                <w:rFonts w:ascii="Cambria Math" w:hAnsi="Cambria Math"/>
              </w:rPr>
              <m:t>C</m:t>
            </m:r>
          </m:sup>
        </m:sSup>
      </m:oMath>
      <w:r>
        <w:t xml:space="preserve"> to be the price in a competitive market, </w:t>
      </w:r>
      <m:oMath>
        <m:sSup>
          <m:sSupPr>
            <m:ctrlPr>
              <w:rPr>
                <w:rFonts w:ascii="Cambria Math" w:hAnsi="Cambria Math"/>
                <w:i/>
              </w:rPr>
            </m:ctrlPr>
          </m:sSupPr>
          <m:e>
            <m:r>
              <w:rPr>
                <w:rFonts w:ascii="Cambria Math" w:hAnsi="Cambria Math"/>
              </w:rPr>
              <m:t>P</m:t>
            </m:r>
          </m:e>
          <m:sup>
            <m:r>
              <w:rPr>
                <w:rFonts w:ascii="Cambria Math" w:hAnsi="Cambria Math"/>
              </w:rPr>
              <m:t>M</m:t>
            </m:r>
          </m:sup>
        </m:sSup>
      </m:oMath>
      <w:r>
        <w:t xml:space="preserve"> to be the price in the market given that there is market power and </w:t>
      </w:r>
      <m:oMath>
        <m:sSup>
          <m:sSupPr>
            <m:ctrlPr>
              <w:rPr>
                <w:rFonts w:ascii="Cambria Math" w:hAnsi="Cambria Math"/>
                <w:i/>
              </w:rPr>
            </m:ctrlPr>
          </m:sSupPr>
          <m:e>
            <m:r>
              <w:rPr>
                <w:rFonts w:ascii="Cambria Math" w:hAnsi="Cambria Math"/>
              </w:rPr>
              <m:t>P</m:t>
            </m:r>
          </m:e>
          <m:sup>
            <m:r>
              <w:rPr>
                <w:rFonts w:ascii="Cambria Math" w:hAnsi="Cambria Math"/>
              </w:rPr>
              <m:t>R</m:t>
            </m:r>
          </m:sup>
        </m:sSup>
      </m:oMath>
      <w:r>
        <w:t xml:space="preserve"> to be the regulated price (i.e. price control). Then the following three scenarios are possible.</w:t>
      </w:r>
    </w:p>
    <w:p w:rsidR="00675046" w:rsidRDefault="00584F9A" w:rsidP="009C1B85">
      <w:pPr>
        <w:pStyle w:val="ListNumber"/>
        <w:numPr>
          <w:ilvl w:val="0"/>
          <w:numId w:val="41"/>
        </w:numPr>
      </w:pPr>
      <m:oMath>
        <m:sSup>
          <m:sSupPr>
            <m:ctrlPr>
              <w:rPr>
                <w:rFonts w:ascii="Cambria Math" w:hAnsi="Cambria Math"/>
                <w:i/>
              </w:rPr>
            </m:ctrlPr>
          </m:sSupPr>
          <m:e>
            <m:r>
              <w:rPr>
                <w:rFonts w:ascii="Cambria Math" w:hAnsi="Cambria Math"/>
              </w:rPr>
              <m:t>P</m:t>
            </m:r>
          </m:e>
          <m:sup>
            <m:r>
              <w:rPr>
                <w:rFonts w:ascii="Cambria Math" w:hAnsi="Cambria Math"/>
              </w:rPr>
              <m:t>C</m:t>
            </m:r>
          </m:sup>
        </m:sSup>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R</m:t>
            </m:r>
          </m:sup>
        </m:sSup>
        <m:sSup>
          <m:sSupPr>
            <m:ctrlPr>
              <w:rPr>
                <w:rFonts w:ascii="Cambria Math" w:hAnsi="Cambria Math"/>
                <w:i/>
              </w:rPr>
            </m:ctrlPr>
          </m:sSupPr>
          <m:e>
            <m:r>
              <w:rPr>
                <w:rFonts w:ascii="Cambria Math" w:hAnsi="Cambria Math"/>
              </w:rPr>
              <m:t>≤P</m:t>
            </m:r>
          </m:e>
          <m:sup>
            <m:r>
              <w:rPr>
                <w:rFonts w:ascii="Cambria Math" w:hAnsi="Cambria Math"/>
              </w:rPr>
              <m:t>M</m:t>
            </m:r>
          </m:sup>
        </m:sSup>
      </m:oMath>
      <w:r w:rsidR="00675046">
        <w:t xml:space="preserve"> — in this case the price control moves the price closer to the regulated price and there is a net benefit to the community</w:t>
      </w:r>
    </w:p>
    <w:p w:rsidR="00675046" w:rsidRPr="000F323A" w:rsidRDefault="00584F9A" w:rsidP="00675046">
      <w:pPr>
        <w:pStyle w:val="ListNumber"/>
      </w:pPr>
      <m:oMath>
        <m:sSup>
          <m:sSupPr>
            <m:ctrlPr>
              <w:rPr>
                <w:rFonts w:ascii="Cambria Math" w:hAnsi="Cambria Math"/>
                <w:i/>
              </w:rPr>
            </m:ctrlPr>
          </m:sSupPr>
          <m:e>
            <m:r>
              <w:rPr>
                <w:rFonts w:ascii="Cambria Math" w:hAnsi="Cambria Math"/>
              </w:rPr>
              <m:t>P</m:t>
            </m:r>
          </m:e>
          <m:sup>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C</m:t>
            </m:r>
          </m:sup>
        </m:sSup>
        <m:sSup>
          <m:sSupPr>
            <m:ctrlPr>
              <w:rPr>
                <w:rFonts w:ascii="Cambria Math" w:hAnsi="Cambria Math"/>
                <w:i/>
              </w:rPr>
            </m:ctrlPr>
          </m:sSupPr>
          <m:e>
            <m:r>
              <w:rPr>
                <w:rFonts w:ascii="Cambria Math" w:hAnsi="Cambria Math"/>
              </w:rPr>
              <m:t>≤P</m:t>
            </m:r>
          </m:e>
          <m:sup>
            <m:r>
              <w:rPr>
                <w:rFonts w:ascii="Cambria Math" w:hAnsi="Cambria Math"/>
              </w:rPr>
              <m:t>M</m:t>
            </m:r>
          </m:sup>
        </m:sSup>
      </m:oMath>
      <w:r w:rsidR="00675046">
        <w:t xml:space="preserve"> — in this case the price control is below the competitive price and there is a combination of benefits and costs</w:t>
      </w:r>
    </w:p>
    <w:p w:rsidR="00675046" w:rsidRPr="000F323A" w:rsidRDefault="00584F9A" w:rsidP="00675046">
      <w:pPr>
        <w:pStyle w:val="ListNumber"/>
      </w:pPr>
      <m:oMath>
        <m:sSup>
          <m:sSupPr>
            <m:ctrlPr>
              <w:rPr>
                <w:rFonts w:ascii="Cambria Math" w:hAnsi="Cambria Math"/>
                <w:i/>
              </w:rPr>
            </m:ctrlPr>
          </m:sSupPr>
          <m:e>
            <m:r>
              <w:rPr>
                <w:rFonts w:ascii="Cambria Math" w:hAnsi="Cambria Math"/>
              </w:rPr>
              <m:t>P</m:t>
            </m:r>
          </m:e>
          <m:sup>
            <m:r>
              <w:rPr>
                <w:rFonts w:ascii="Cambria Math" w:hAnsi="Cambria Math"/>
              </w:rPr>
              <m:t>C</m:t>
            </m:r>
          </m:sup>
        </m:sSup>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M</m:t>
            </m:r>
          </m:sup>
        </m:sSup>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R</m:t>
            </m:r>
          </m:sup>
        </m:sSup>
      </m:oMath>
      <w:r w:rsidR="00675046">
        <w:t xml:space="preserve"> — </w:t>
      </w:r>
      <w:proofErr w:type="gramStart"/>
      <w:r w:rsidR="00675046">
        <w:t>in</w:t>
      </w:r>
      <w:proofErr w:type="gramEnd"/>
      <w:r w:rsidR="00675046">
        <w:t xml:space="preserve"> this case the price control is above the price that would be charged by the supplier with market power and has no impact (except administration costs).</w:t>
      </w:r>
    </w:p>
    <w:p w:rsidR="00675046" w:rsidRDefault="00675046" w:rsidP="00675046">
      <w:pPr>
        <w:pStyle w:val="BodyText"/>
      </w:pPr>
      <w:r>
        <w:t xml:space="preserve">The likelihood of setting a price control that has benefits depends on the information available to the regulator and the nature of the market. In general, where there is a substantial amount of market power then the gap between </w:t>
      </w:r>
      <m:oMath>
        <m:sSup>
          <m:sSupPr>
            <m:ctrlPr>
              <w:rPr>
                <w:rFonts w:ascii="Cambria Math" w:hAnsi="Cambria Math"/>
                <w:i/>
              </w:rPr>
            </m:ctrlPr>
          </m:sSupPr>
          <m:e>
            <m:r>
              <w:rPr>
                <w:rFonts w:ascii="Cambria Math" w:hAnsi="Cambria Math"/>
              </w:rPr>
              <m:t>P</m:t>
            </m:r>
          </m:e>
          <m:sup>
            <m:r>
              <w:rPr>
                <w:rFonts w:ascii="Cambria Math" w:hAnsi="Cambria Math"/>
              </w:rPr>
              <m:t>C</m:t>
            </m:r>
          </m:sup>
        </m:sSup>
      </m:oMath>
      <w:r>
        <w:t xml:space="preserve"> and </w:t>
      </w:r>
      <m:oMath>
        <m:sSup>
          <m:sSupPr>
            <m:ctrlPr>
              <w:rPr>
                <w:rFonts w:ascii="Cambria Math" w:hAnsi="Cambria Math"/>
                <w:i/>
              </w:rPr>
            </m:ctrlPr>
          </m:sSupPr>
          <m:e>
            <m:r>
              <w:rPr>
                <w:rFonts w:ascii="Cambria Math" w:hAnsi="Cambria Math"/>
              </w:rPr>
              <m:t>P</m:t>
            </m:r>
          </m:e>
          <m:sup>
            <m:r>
              <w:rPr>
                <w:rFonts w:ascii="Cambria Math" w:hAnsi="Cambria Math"/>
              </w:rPr>
              <m:t>M</m:t>
            </m:r>
          </m:sup>
        </m:sSup>
      </m:oMath>
      <w:r>
        <w:t xml:space="preserve"> is larger and there is a greater likelihood of a beneficial regulatory price. </w:t>
      </w:r>
      <w:proofErr w:type="gramStart"/>
      <w:r>
        <w:t>Otherwise</w:t>
      </w:r>
      <w:proofErr w:type="gramEnd"/>
      <w:r>
        <w:t xml:space="preserve"> there is a grea</w:t>
      </w:r>
      <w:proofErr w:type="spellStart"/>
      <w:r>
        <w:t>ter</w:t>
      </w:r>
      <w:proofErr w:type="spellEnd"/>
      <w:r>
        <w:t xml:space="preserve"> likelihood of either putting in place non-binding price controls (scenario 3) or price controls below competitive prices. </w:t>
      </w:r>
    </w:p>
    <w:p w:rsidR="00675046" w:rsidRDefault="004E4BEE" w:rsidP="00675046">
      <w:pPr>
        <w:pStyle w:val="BodyText"/>
      </w:pPr>
      <w:r>
        <w:t xml:space="preserve">There may be asymmetric effects of getting price controls wrong, particularly where this may lead to suppliers withdrawing from the market (or reducing their quality of service provision). Price controls may also lead to cross-subsidisation across </w:t>
      </w:r>
      <w:proofErr w:type="gramStart"/>
      <w:r>
        <w:t>markets, which also has</w:t>
      </w:r>
      <w:proofErr w:type="gramEnd"/>
      <w:r>
        <w:t xml:space="preserve"> negative economic welfare implications.</w:t>
      </w:r>
    </w:p>
    <w:p w:rsidR="00675046" w:rsidRDefault="00675046" w:rsidP="00402F0D">
      <w:pPr>
        <w:pStyle w:val="BodyText"/>
      </w:pPr>
      <w:r>
        <w:t xml:space="preserve">In case </w:t>
      </w:r>
      <w:proofErr w:type="gramStart"/>
      <w:r>
        <w:t>1</w:t>
      </w:r>
      <w:proofErr w:type="gramEnd"/>
      <w:r>
        <w:t>, the price set by the regulator (</w:t>
      </w:r>
      <w:proofErr w:type="spellStart"/>
      <w:r>
        <w:t>pr</w:t>
      </w:r>
      <w:proofErr w:type="spellEnd"/>
      <w:r>
        <w:t>) is between the efficient price (p0) and the price that the supplier would have charged in the absence of the price controls (p1). In this case, price regulation moves the price closer to the efficient level. Price regulation therefore delivers a benefit to the community, equivalent to the shaded area in chart </w:t>
      </w:r>
      <w:fldSimple w:instr=" REF _Caption0225 ">
        <w:r w:rsidR="00304215">
          <w:rPr>
            <w:noProof/>
          </w:rPr>
          <w:t>2</w:t>
        </w:r>
        <w:r w:rsidR="00304215" w:rsidRPr="00695C93">
          <w:rPr>
            <w:noProof/>
          </w:rPr>
          <w:t>.</w:t>
        </w:r>
        <w:r w:rsidR="00304215">
          <w:rPr>
            <w:noProof/>
          </w:rPr>
          <w:t>3</w:t>
        </w:r>
      </w:fldSimple>
      <w:r>
        <w:t>.</w:t>
      </w:r>
    </w:p>
    <w:p w:rsidR="00675046" w:rsidRPr="00695C93" w:rsidRDefault="00675046" w:rsidP="00675046">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2</w:instrText>
        </w:r>
      </w:fldSimple>
      <w:r w:rsidRPr="00695C93">
        <w:instrText xml:space="preserve"> = 0 "" "</w:instrText>
      </w:r>
      <w:fldSimple w:instr=" STYLEREF &quot;Heading 1&quot; \l \n ">
        <w:r w:rsidR="00304215">
          <w:rPr>
            <w:noProof/>
          </w:rPr>
          <w:instrText>2</w:instrText>
        </w:r>
      </w:fldSimple>
      <w:r w:rsidRPr="00695C93">
        <w:instrText xml:space="preserve">." </w:instrText>
      </w:r>
      <w:r w:rsidRPr="00695C93">
        <w:fldChar w:fldCharType="separate"/>
      </w:r>
      <w:r w:rsidR="00304215">
        <w:rPr>
          <w:noProof/>
        </w:rPr>
        <w:instrText>2</w:instrText>
      </w:r>
      <w:r w:rsidR="00304215" w:rsidRPr="00695C93">
        <w:rPr>
          <w:noProof/>
        </w:rPr>
        <w:instrText>.</w:instrText>
      </w:r>
      <w:r w:rsidRPr="00695C93">
        <w:fldChar w:fldCharType="end"/>
      </w:r>
      <w:r w:rsidRPr="00695C93">
        <w:instrText>" "</w:instrText>
      </w:r>
      <w:fldSimple w:instr=" STYLEREF &quot;Heading 6&quot; \l \n ">
        <w:r>
          <w:rPr>
            <w:noProof/>
          </w:rPr>
          <w:instrText>A</w:instrText>
        </w:r>
      </w:fldSimple>
      <w:r w:rsidRPr="00695C93">
        <w:instrText xml:space="preserve">." </w:instrText>
      </w:r>
      <w:r w:rsidRPr="00695C93">
        <w:fldChar w:fldCharType="separate"/>
      </w:r>
      <w:r w:rsidR="00584F9A">
        <w:rPr>
          <w:noProof/>
        </w:rPr>
        <w:instrText>2</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2</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3</w:instrText>
      </w:r>
      <w:r w:rsidRPr="00695C93">
        <w:fldChar w:fldCharType="end"/>
      </w:r>
      <w:r w:rsidRPr="00695C93">
        <w:instrText xml:space="preserve">" "" </w:instrText>
      </w:r>
      <w:r w:rsidRPr="00695C93">
        <w:fldChar w:fldCharType="separate"/>
      </w:r>
      <w:bookmarkStart w:id="263" w:name="_Caption9670"/>
      <w:bookmarkStart w:id="264" w:name="_Caption0857"/>
      <w:bookmarkStart w:id="265" w:name="_Caption6679"/>
      <w:bookmarkStart w:id="266" w:name="_Caption3475"/>
      <w:bookmarkStart w:id="267" w:name="_Caption7105"/>
      <w:bookmarkStart w:id="268" w:name="_Caption5859"/>
      <w:bookmarkStart w:id="269" w:name="_Caption0826"/>
      <w:bookmarkStart w:id="270" w:name="_Caption0547"/>
      <w:bookmarkStart w:id="271" w:name="_Caption9024"/>
      <w:bookmarkStart w:id="272" w:name="_Caption4184"/>
      <w:bookmarkStart w:id="273" w:name="_Caption7975"/>
      <w:bookmarkStart w:id="274" w:name="_Caption9347"/>
      <w:bookmarkStart w:id="275" w:name="_Caption9172"/>
      <w:bookmarkStart w:id="276" w:name="_Caption0407"/>
      <w:bookmarkStart w:id="277" w:name="_Caption0581"/>
      <w:bookmarkStart w:id="278" w:name="_Caption9295"/>
      <w:bookmarkStart w:id="279" w:name="_Caption3224"/>
      <w:bookmarkStart w:id="280" w:name="_Caption4130"/>
      <w:bookmarkStart w:id="281" w:name="_Caption3445"/>
      <w:bookmarkStart w:id="282" w:name="_Caption3651"/>
      <w:bookmarkStart w:id="283" w:name="_Caption8851"/>
      <w:bookmarkStart w:id="284" w:name="_Caption2920"/>
      <w:bookmarkStart w:id="285" w:name="_Caption9880"/>
      <w:bookmarkStart w:id="286" w:name="_Caption1669"/>
      <w:bookmarkStart w:id="287" w:name="_Caption7229"/>
      <w:bookmarkStart w:id="288" w:name="_Caption7037"/>
      <w:bookmarkStart w:id="289" w:name="_Caption7213"/>
      <w:bookmarkStart w:id="290" w:name="_Caption5482"/>
      <w:bookmarkStart w:id="291" w:name="_Caption9828"/>
      <w:bookmarkStart w:id="292" w:name="_Caption1491"/>
      <w:bookmarkStart w:id="293" w:name="_Caption1929"/>
      <w:bookmarkStart w:id="294" w:name="_Caption0225"/>
      <w:bookmarkStart w:id="295" w:name="_Caption8101"/>
      <w:bookmarkStart w:id="296" w:name="_Caption9175"/>
      <w:bookmarkStart w:id="297" w:name="_Caption6960"/>
      <w:bookmarkStart w:id="298" w:name="_Caption4065"/>
      <w:bookmarkStart w:id="299" w:name="_Caption8354"/>
      <w:bookmarkStart w:id="300" w:name="_Caption3519"/>
      <w:bookmarkStart w:id="301" w:name="_Toc381784721"/>
      <w:bookmarkStart w:id="302" w:name="_Toc391972940"/>
      <w:r w:rsidR="00584F9A">
        <w:rPr>
          <w:noProof/>
        </w:rPr>
        <w:t>2</w:t>
      </w:r>
      <w:r w:rsidR="00584F9A" w:rsidRPr="00695C93">
        <w:rPr>
          <w:noProof/>
        </w:rPr>
        <w:t>.</w:t>
      </w:r>
      <w:r w:rsidR="00584F9A">
        <w:rPr>
          <w:noProof/>
        </w:rPr>
        <w:t>3</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695C93">
        <w:fldChar w:fldCharType="end"/>
      </w:r>
      <w:r w:rsidRPr="00695C93">
        <w:tab/>
      </w:r>
      <w:r>
        <w:t>Welfare impacts of price controls — case 1</w:t>
      </w:r>
      <w:bookmarkEnd w:id="301"/>
      <w:bookmarkEnd w:id="302"/>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Look w:val="04A0" w:firstRow="1" w:lastRow="0" w:firstColumn="1" w:lastColumn="0" w:noHBand="0" w:noVBand="1"/>
      </w:tblPr>
      <w:tblGrid>
        <w:gridCol w:w="7938"/>
      </w:tblGrid>
      <w:tr w:rsidR="00675046" w:rsidTr="00B01898">
        <w:trPr>
          <w:cantSplit/>
          <w:tblHeader/>
        </w:trPr>
        <w:tc>
          <w:tcPr>
            <w:tcW w:w="7938" w:type="dxa"/>
            <w:shd w:val="clear" w:color="auto" w:fill="E9E8E5" w:themeFill="background2"/>
          </w:tcPr>
          <w:p w:rsidR="00675046" w:rsidRDefault="003535F2" w:rsidP="003535F2">
            <w:pPr>
              <w:pStyle w:val="Chart"/>
              <w:jc w:val="center"/>
            </w:pPr>
            <w:r>
              <w:rPr>
                <w:noProof/>
                <w:lang w:eastAsia="en-AU"/>
              </w:rPr>
              <w:drawing>
                <wp:inline distT="0" distB="0" distL="0" distR="0" wp14:anchorId="4C765175" wp14:editId="721FDD6D">
                  <wp:extent cx="4906010" cy="2440940"/>
                  <wp:effectExtent l="0" t="0" r="0" b="0"/>
                  <wp:docPr id="14" name="Picture 14" descr="Graph outlining the welfare costs where the price controls moves the price closer to the regulated price and there is a net benefit to th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06010" cy="2440940"/>
                          </a:xfrm>
                          <a:prstGeom prst="rect">
                            <a:avLst/>
                          </a:prstGeom>
                          <a:noFill/>
                          <a:ln>
                            <a:noFill/>
                          </a:ln>
                        </pic:spPr>
                      </pic:pic>
                    </a:graphicData>
                  </a:graphic>
                </wp:inline>
              </w:drawing>
            </w:r>
          </w:p>
        </w:tc>
      </w:tr>
    </w:tbl>
    <w:p w:rsidR="00675046" w:rsidRDefault="00675046" w:rsidP="00675046">
      <w:pPr>
        <w:pStyle w:val="Source"/>
      </w:pPr>
      <w:proofErr w:type="gramStart"/>
      <w:r>
        <w:rPr>
          <w:i/>
        </w:rPr>
        <w:t>Source</w:t>
      </w:r>
      <w:r w:rsidRPr="00A67576">
        <w:rPr>
          <w:i/>
        </w:rPr>
        <w:t>:</w:t>
      </w:r>
      <w:r>
        <w:t xml:space="preserve"> The CIE.</w:t>
      </w:r>
      <w:proofErr w:type="gramEnd"/>
    </w:p>
    <w:p w:rsidR="00675046" w:rsidRDefault="00675046" w:rsidP="00675046">
      <w:pPr>
        <w:pStyle w:val="BodyText"/>
        <w:rPr>
          <w:lang w:eastAsia="en-US"/>
        </w:rPr>
      </w:pPr>
      <w:r>
        <w:rPr>
          <w:lang w:eastAsia="en-US"/>
        </w:rPr>
        <w:t xml:space="preserve">In case </w:t>
      </w:r>
      <w:proofErr w:type="gramStart"/>
      <w:r>
        <w:rPr>
          <w:lang w:eastAsia="en-US"/>
        </w:rPr>
        <w:t>2</w:t>
      </w:r>
      <w:proofErr w:type="gramEnd"/>
      <w:r>
        <w:rPr>
          <w:lang w:eastAsia="en-US"/>
        </w:rPr>
        <w:t>, the price set by the regulator (</w:t>
      </w:r>
      <w:proofErr w:type="spellStart"/>
      <w:r>
        <w:rPr>
          <w:lang w:eastAsia="en-US"/>
        </w:rPr>
        <w:t>Pr</w:t>
      </w:r>
      <w:proofErr w:type="spellEnd"/>
      <w:r>
        <w:rPr>
          <w:lang w:eastAsia="en-US"/>
        </w:rPr>
        <w:t xml:space="preserve">) is below both the price that a supplier with market power would charge in the absence of price controls (P1) and below the efficient price (P0). In this case, the impact of price regulation is ambiguous. Since the price set by the regulator is below the marginal cost of supply, the supplier would choose to supply only Qr2 units, less than the Q1 units supplied in the absence of price </w:t>
      </w:r>
      <w:proofErr w:type="gramStart"/>
      <w:r>
        <w:rPr>
          <w:lang w:eastAsia="en-US"/>
        </w:rPr>
        <w:t>controls</w:t>
      </w:r>
      <w:proofErr w:type="gramEnd"/>
      <w:r>
        <w:rPr>
          <w:lang w:eastAsia="en-US"/>
        </w:rPr>
        <w:t xml:space="preserve">. This would impose a welfare loss on the community equivalent to the green shaded area </w:t>
      </w:r>
      <w:r w:rsidR="00F37D93">
        <w:rPr>
          <w:lang w:eastAsia="en-US"/>
        </w:rPr>
        <w:t xml:space="preserve">            </w:t>
      </w:r>
      <w:r>
        <w:rPr>
          <w:lang w:eastAsia="en-US"/>
        </w:rPr>
        <w:t>(area C).</w:t>
      </w:r>
    </w:p>
    <w:p w:rsidR="00675046" w:rsidRDefault="00675046" w:rsidP="00675046">
      <w:pPr>
        <w:pStyle w:val="BodyText"/>
        <w:rPr>
          <w:lang w:eastAsia="en-US"/>
        </w:rPr>
      </w:pPr>
      <w:r>
        <w:rPr>
          <w:lang w:eastAsia="en-US"/>
        </w:rPr>
        <w:lastRenderedPageBreak/>
        <w:t xml:space="preserve">However, where the supplier </w:t>
      </w:r>
      <w:proofErr w:type="gramStart"/>
      <w:r>
        <w:rPr>
          <w:lang w:eastAsia="en-US"/>
        </w:rPr>
        <w:t>is required</w:t>
      </w:r>
      <w:proofErr w:type="gramEnd"/>
      <w:r>
        <w:rPr>
          <w:lang w:eastAsia="en-US"/>
        </w:rPr>
        <w:t xml:space="preserve"> by regulation to continue to supply all consumers who demand the service at the regulated price — as is the case with Telstra —quantity Qr1 would be supplied. The welfare impact of this would be ambiguous. There is a welfare gain in reducing the price down towards the efficient price, equivalent of the shaded area A. Over this range, the benefits to consumers from lower prices outweigh the losses to suppliers. However, where the price </w:t>
      </w:r>
      <w:proofErr w:type="gramStart"/>
      <w:r>
        <w:rPr>
          <w:lang w:eastAsia="en-US"/>
        </w:rPr>
        <w:t>is pushed</w:t>
      </w:r>
      <w:proofErr w:type="gramEnd"/>
      <w:r>
        <w:rPr>
          <w:lang w:eastAsia="en-US"/>
        </w:rPr>
        <w:t xml:space="preserve"> even lower, the additional costs to the supplier start to outweigh any additional benefits to the supplier, resulting in a net loss to the community (area B). In this case, whether the price controls deliver a net benefit or cost to the community depends on whether Area A is larger than Area B.</w:t>
      </w:r>
    </w:p>
    <w:p w:rsidR="00675046" w:rsidRPr="00FD0112" w:rsidRDefault="00675046" w:rsidP="00675046">
      <w:pPr>
        <w:pStyle w:val="BodyText"/>
        <w:rPr>
          <w:lang w:eastAsia="en-US"/>
        </w:rPr>
      </w:pPr>
      <w:r>
        <w:rPr>
          <w:lang w:eastAsia="en-US"/>
        </w:rPr>
        <w:t xml:space="preserve">Importantly, the dynamic cost of regulators setting a price that is lower than the cost of supply </w:t>
      </w:r>
      <w:proofErr w:type="gramStart"/>
      <w:r>
        <w:rPr>
          <w:lang w:eastAsia="en-US"/>
        </w:rPr>
        <w:t>are</w:t>
      </w:r>
      <w:proofErr w:type="gramEnd"/>
      <w:r>
        <w:rPr>
          <w:lang w:eastAsia="en-US"/>
        </w:rPr>
        <w:t xml:space="preserve"> likely to be much higher than the static cost shown in the chart. In particular, this situation is unlikely to be financially viable for the supplier in the longer term. Where this ultimately leads to bankruptcy, this can be quite disruptive for customers, supplier and shareholders and potentially the government. The California electricity crisis in 2000 and 2001 demonstrates the potential cost to the community of this type of regulatory error (see box </w:t>
      </w:r>
      <w:r>
        <w:rPr>
          <w:lang w:eastAsia="en-US"/>
        </w:rPr>
        <w:fldChar w:fldCharType="begin"/>
      </w:r>
      <w:r>
        <w:rPr>
          <w:lang w:eastAsia="en-US"/>
        </w:rPr>
        <w:instrText xml:space="preserve"> REF _Caption2624 </w:instrText>
      </w:r>
      <w:r>
        <w:rPr>
          <w:lang w:eastAsia="en-US"/>
        </w:rPr>
        <w:fldChar w:fldCharType="separate"/>
      </w:r>
      <w:r w:rsidR="00304215">
        <w:rPr>
          <w:noProof/>
        </w:rPr>
        <w:t>2</w:t>
      </w:r>
      <w:r w:rsidR="00304215" w:rsidRPr="00E05C8C">
        <w:rPr>
          <w:noProof/>
        </w:rPr>
        <w:t>.</w:t>
      </w:r>
      <w:r w:rsidR="00304215">
        <w:rPr>
          <w:noProof/>
        </w:rPr>
        <w:t>6</w:t>
      </w:r>
      <w:r>
        <w:rPr>
          <w:lang w:eastAsia="en-US"/>
        </w:rPr>
        <w:fldChar w:fldCharType="end"/>
      </w:r>
      <w:r>
        <w:rPr>
          <w:lang w:eastAsia="en-US"/>
        </w:rPr>
        <w:t xml:space="preserve"> for further details).</w:t>
      </w:r>
    </w:p>
    <w:p w:rsidR="00675046" w:rsidRPr="00695C93" w:rsidRDefault="00675046" w:rsidP="00675046">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2</w:instrText>
        </w:r>
      </w:fldSimple>
      <w:r w:rsidRPr="00695C93">
        <w:instrText xml:space="preserve"> = 0 "" "</w:instrText>
      </w:r>
      <w:fldSimple w:instr=" STYLEREF &quot;Heading 1&quot; \l \n ">
        <w:r w:rsidR="00304215">
          <w:rPr>
            <w:noProof/>
          </w:rPr>
          <w:instrText>2</w:instrText>
        </w:r>
      </w:fldSimple>
      <w:r w:rsidRPr="00695C93">
        <w:instrText xml:space="preserve">." </w:instrText>
      </w:r>
      <w:r w:rsidRPr="00695C93">
        <w:fldChar w:fldCharType="separate"/>
      </w:r>
      <w:r w:rsidR="00304215">
        <w:rPr>
          <w:noProof/>
        </w:rPr>
        <w:instrText>2</w:instrText>
      </w:r>
      <w:r w:rsidR="00304215" w:rsidRPr="00695C93">
        <w:rPr>
          <w:noProof/>
        </w:rPr>
        <w:instrText>.</w:instrText>
      </w:r>
      <w:r w:rsidRPr="00695C93">
        <w:fldChar w:fldCharType="end"/>
      </w:r>
      <w:r w:rsidRPr="00695C93">
        <w:instrText>" "</w:instrText>
      </w:r>
      <w:fldSimple w:instr=" STYLEREF &quot;Heading 6&quot; \l \n ">
        <w:r>
          <w:rPr>
            <w:noProof/>
          </w:rPr>
          <w:instrText>A</w:instrText>
        </w:r>
      </w:fldSimple>
      <w:r w:rsidRPr="00695C93">
        <w:instrText xml:space="preserve">." </w:instrText>
      </w:r>
      <w:r w:rsidRPr="00695C93">
        <w:fldChar w:fldCharType="separate"/>
      </w:r>
      <w:r w:rsidR="00584F9A">
        <w:rPr>
          <w:noProof/>
        </w:rPr>
        <w:instrText>2</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2</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4</w:instrText>
      </w:r>
      <w:r w:rsidRPr="00695C93">
        <w:fldChar w:fldCharType="end"/>
      </w:r>
      <w:r w:rsidRPr="00695C93">
        <w:instrText xml:space="preserve">" "" </w:instrText>
      </w:r>
      <w:r w:rsidRPr="00695C93">
        <w:fldChar w:fldCharType="separate"/>
      </w:r>
      <w:bookmarkStart w:id="303" w:name="_Caption8817"/>
      <w:bookmarkStart w:id="304" w:name="_Caption6795"/>
      <w:bookmarkStart w:id="305" w:name="_Caption7039"/>
      <w:bookmarkStart w:id="306" w:name="_Caption5037"/>
      <w:bookmarkStart w:id="307" w:name="_Caption6011"/>
      <w:bookmarkStart w:id="308" w:name="_Caption3829"/>
      <w:bookmarkStart w:id="309" w:name="_Caption4068"/>
      <w:bookmarkStart w:id="310" w:name="_Caption4418"/>
      <w:bookmarkStart w:id="311" w:name="_Caption2629"/>
      <w:bookmarkStart w:id="312" w:name="_Caption1681"/>
      <w:bookmarkStart w:id="313" w:name="_Caption9017"/>
      <w:bookmarkStart w:id="314" w:name="_Caption7906"/>
      <w:bookmarkStart w:id="315" w:name="_Caption3228"/>
      <w:bookmarkStart w:id="316" w:name="_Caption3585"/>
      <w:bookmarkStart w:id="317" w:name="_Caption4003"/>
      <w:bookmarkStart w:id="318" w:name="_Caption6906"/>
      <w:bookmarkStart w:id="319" w:name="_Caption8804"/>
      <w:bookmarkStart w:id="320" w:name="_Caption4377"/>
      <w:bookmarkStart w:id="321" w:name="_Caption0745"/>
      <w:bookmarkStart w:id="322" w:name="_Caption7002"/>
      <w:bookmarkStart w:id="323" w:name="_Caption8276"/>
      <w:bookmarkStart w:id="324" w:name="_Caption2813"/>
      <w:bookmarkStart w:id="325" w:name="_Caption1441"/>
      <w:bookmarkStart w:id="326" w:name="_Caption6129"/>
      <w:bookmarkStart w:id="327" w:name="_Caption0153"/>
      <w:bookmarkStart w:id="328" w:name="_Caption6970"/>
      <w:bookmarkStart w:id="329" w:name="_Caption9202"/>
      <w:bookmarkStart w:id="330" w:name="_Caption7471"/>
      <w:bookmarkStart w:id="331" w:name="_Caption3687"/>
      <w:bookmarkStart w:id="332" w:name="_Caption3480"/>
      <w:bookmarkStart w:id="333" w:name="_Caption8280"/>
      <w:bookmarkStart w:id="334" w:name="_Caption1614"/>
      <w:bookmarkStart w:id="335" w:name="_Caption2653"/>
      <w:bookmarkStart w:id="336" w:name="_Caption2619"/>
      <w:bookmarkStart w:id="337" w:name="_Caption3648"/>
      <w:bookmarkStart w:id="338" w:name="_Caption9553"/>
      <w:bookmarkStart w:id="339" w:name="_Caption0343"/>
      <w:bookmarkStart w:id="340" w:name="_Caption8326"/>
      <w:bookmarkStart w:id="341" w:name="_Toc381784722"/>
      <w:bookmarkStart w:id="342" w:name="_Toc391972941"/>
      <w:r w:rsidR="00584F9A">
        <w:rPr>
          <w:noProof/>
        </w:rPr>
        <w:t>2</w:t>
      </w:r>
      <w:r w:rsidR="00584F9A" w:rsidRPr="00695C93">
        <w:rPr>
          <w:noProof/>
        </w:rPr>
        <w:t>.</w:t>
      </w:r>
      <w:r w:rsidR="00584F9A">
        <w:rPr>
          <w:noProof/>
        </w:rPr>
        <w:t>4</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695C93">
        <w:fldChar w:fldCharType="end"/>
      </w:r>
      <w:r w:rsidRPr="00695C93">
        <w:tab/>
      </w:r>
      <w:r>
        <w:t>Welfare impacts of price controls — case 2</w:t>
      </w:r>
      <w:bookmarkEnd w:id="341"/>
      <w:bookmarkEnd w:id="342"/>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Look w:val="04A0" w:firstRow="1" w:lastRow="0" w:firstColumn="1" w:lastColumn="0" w:noHBand="0" w:noVBand="1"/>
      </w:tblPr>
      <w:tblGrid>
        <w:gridCol w:w="7938"/>
      </w:tblGrid>
      <w:tr w:rsidR="00675046" w:rsidTr="00B01898">
        <w:trPr>
          <w:cantSplit/>
          <w:tblHeader/>
        </w:trPr>
        <w:tc>
          <w:tcPr>
            <w:tcW w:w="7938" w:type="dxa"/>
            <w:shd w:val="clear" w:color="auto" w:fill="E9E8E5" w:themeFill="background2"/>
          </w:tcPr>
          <w:p w:rsidR="00675046" w:rsidRDefault="00BE0A38" w:rsidP="00BE0A38">
            <w:pPr>
              <w:pStyle w:val="Chart"/>
              <w:jc w:val="center"/>
            </w:pPr>
            <w:r>
              <w:rPr>
                <w:noProof/>
                <w:lang w:eastAsia="en-AU"/>
              </w:rPr>
              <w:drawing>
                <wp:inline distT="0" distB="0" distL="0" distR="0" wp14:anchorId="4D285941" wp14:editId="1FF4FA64">
                  <wp:extent cx="4906010" cy="2440940"/>
                  <wp:effectExtent l="0" t="0" r="0" b="0"/>
                  <wp:docPr id="23" name="Picture 23" descr="Graph outlining the welfare costs where the price controls is below the competitive price and there is a combination of costs and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06010" cy="2440940"/>
                          </a:xfrm>
                          <a:prstGeom prst="rect">
                            <a:avLst/>
                          </a:prstGeom>
                          <a:noFill/>
                          <a:ln>
                            <a:noFill/>
                          </a:ln>
                        </pic:spPr>
                      </pic:pic>
                    </a:graphicData>
                  </a:graphic>
                </wp:inline>
              </w:drawing>
            </w:r>
          </w:p>
        </w:tc>
      </w:tr>
    </w:tbl>
    <w:p w:rsidR="00675046" w:rsidRDefault="00675046" w:rsidP="00675046">
      <w:pPr>
        <w:pStyle w:val="Source"/>
      </w:pPr>
      <w:proofErr w:type="gramStart"/>
      <w:r>
        <w:rPr>
          <w:i/>
        </w:rPr>
        <w:t>Source</w:t>
      </w:r>
      <w:r w:rsidRPr="00A67576">
        <w:rPr>
          <w:i/>
        </w:rPr>
        <w:t>:</w:t>
      </w:r>
      <w:r>
        <w:t xml:space="preserve"> The CIE.</w:t>
      </w:r>
      <w:proofErr w:type="gramEnd"/>
    </w:p>
    <w:p w:rsidR="00675046" w:rsidRPr="00705364" w:rsidRDefault="00675046" w:rsidP="007913CA">
      <w:pPr>
        <w:pStyle w:val="BodyText"/>
      </w:pPr>
      <w:r>
        <w:rPr>
          <w:lang w:eastAsia="en-US"/>
        </w:rPr>
        <w:t xml:space="preserve">In case </w:t>
      </w:r>
      <w:proofErr w:type="gramStart"/>
      <w:r>
        <w:rPr>
          <w:lang w:eastAsia="en-US"/>
        </w:rPr>
        <w:t>3</w:t>
      </w:r>
      <w:proofErr w:type="gramEnd"/>
      <w:r>
        <w:rPr>
          <w:lang w:eastAsia="en-US"/>
        </w:rPr>
        <w:t xml:space="preserve">, the price set by the regulator is above the price that a supplier would charge in the absence of price controls. This could potentially indicate (although not necessarily) indicate that the supplier does not have significant market power. In this case, the price regulation has no welfare impact because the actual price charged is the same price that </w:t>
      </w:r>
      <w:proofErr w:type="gramStart"/>
      <w:r>
        <w:rPr>
          <w:lang w:eastAsia="en-US"/>
        </w:rPr>
        <w:t>would have been charged</w:t>
      </w:r>
      <w:proofErr w:type="gramEnd"/>
      <w:r>
        <w:rPr>
          <w:lang w:eastAsia="en-US"/>
        </w:rPr>
        <w:t xml:space="preserve"> in the absence of price controls (P1).</w:t>
      </w:r>
    </w:p>
    <w:p w:rsidR="00675046" w:rsidRPr="00695C93" w:rsidRDefault="00675046" w:rsidP="00675046">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2</w:instrText>
        </w:r>
      </w:fldSimple>
      <w:r w:rsidRPr="00695C93">
        <w:instrText xml:space="preserve"> = 0 "" "</w:instrText>
      </w:r>
      <w:fldSimple w:instr=" STYLEREF &quot;Heading 1&quot; \l \n ">
        <w:r w:rsidR="00304215">
          <w:rPr>
            <w:noProof/>
          </w:rPr>
          <w:instrText>2</w:instrText>
        </w:r>
      </w:fldSimple>
      <w:r w:rsidRPr="00695C93">
        <w:instrText xml:space="preserve">." </w:instrText>
      </w:r>
      <w:r w:rsidRPr="00695C93">
        <w:fldChar w:fldCharType="separate"/>
      </w:r>
      <w:r w:rsidR="00304215">
        <w:rPr>
          <w:noProof/>
        </w:rPr>
        <w:instrText>2</w:instrText>
      </w:r>
      <w:r w:rsidR="00304215" w:rsidRPr="00695C93">
        <w:rPr>
          <w:noProof/>
        </w:rPr>
        <w:instrText>.</w:instrText>
      </w:r>
      <w:r w:rsidRPr="00695C93">
        <w:fldChar w:fldCharType="end"/>
      </w:r>
      <w:r w:rsidRPr="00695C93">
        <w:instrText>" "</w:instrText>
      </w:r>
      <w:fldSimple w:instr=" STYLEREF &quot;Heading 6&quot; \l \n ">
        <w:r>
          <w:rPr>
            <w:noProof/>
          </w:rPr>
          <w:instrText>A</w:instrText>
        </w:r>
      </w:fldSimple>
      <w:r w:rsidRPr="00695C93">
        <w:instrText xml:space="preserve">." </w:instrText>
      </w:r>
      <w:r w:rsidRPr="00695C93">
        <w:fldChar w:fldCharType="separate"/>
      </w:r>
      <w:r w:rsidR="00584F9A">
        <w:rPr>
          <w:noProof/>
        </w:rPr>
        <w:instrText>2</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2</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5</w:instrText>
      </w:r>
      <w:r w:rsidRPr="00695C93">
        <w:fldChar w:fldCharType="end"/>
      </w:r>
      <w:r w:rsidRPr="00695C93">
        <w:instrText xml:space="preserve">" "" </w:instrText>
      </w:r>
      <w:r w:rsidRPr="00695C93">
        <w:fldChar w:fldCharType="separate"/>
      </w:r>
      <w:bookmarkStart w:id="343" w:name="_Caption6361"/>
      <w:bookmarkStart w:id="344" w:name="_Caption2883"/>
      <w:bookmarkStart w:id="345" w:name="_Caption4516"/>
      <w:bookmarkStart w:id="346" w:name="_Caption0351"/>
      <w:bookmarkStart w:id="347" w:name="_Caption0070"/>
      <w:bookmarkStart w:id="348" w:name="_Caption7885"/>
      <w:bookmarkStart w:id="349" w:name="_Caption3747"/>
      <w:bookmarkStart w:id="350" w:name="_Caption0772"/>
      <w:bookmarkStart w:id="351" w:name="_Caption3845"/>
      <w:bookmarkStart w:id="352" w:name="_Caption6995"/>
      <w:bookmarkStart w:id="353" w:name="_Caption7923"/>
      <w:bookmarkStart w:id="354" w:name="_Caption2688"/>
      <w:bookmarkStart w:id="355" w:name="_Caption2307"/>
      <w:bookmarkStart w:id="356" w:name="_Caption4050"/>
      <w:bookmarkStart w:id="357" w:name="_Caption2493"/>
      <w:bookmarkStart w:id="358" w:name="_Caption9057"/>
      <w:bookmarkStart w:id="359" w:name="_Caption1248"/>
      <w:bookmarkStart w:id="360" w:name="_Caption0985"/>
      <w:bookmarkStart w:id="361" w:name="_Caption5401"/>
      <w:bookmarkStart w:id="362" w:name="_Caption4292"/>
      <w:bookmarkStart w:id="363" w:name="_Caption2656"/>
      <w:bookmarkStart w:id="364" w:name="_Caption9156"/>
      <w:bookmarkStart w:id="365" w:name="_Caption2097"/>
      <w:bookmarkStart w:id="366" w:name="_Caption7437"/>
      <w:bookmarkStart w:id="367" w:name="_Caption8724"/>
      <w:bookmarkStart w:id="368" w:name="_Caption4514"/>
      <w:bookmarkStart w:id="369" w:name="_Caption5890"/>
      <w:bookmarkStart w:id="370" w:name="_Caption4160"/>
      <w:bookmarkStart w:id="371" w:name="_Caption0375"/>
      <w:bookmarkStart w:id="372" w:name="_Caption0169"/>
      <w:bookmarkStart w:id="373" w:name="_Caption4969"/>
      <w:bookmarkStart w:id="374" w:name="_Caption9318"/>
      <w:bookmarkStart w:id="375" w:name="_Caption6963"/>
      <w:bookmarkStart w:id="376" w:name="_Caption2911"/>
      <w:bookmarkStart w:id="377" w:name="_Caption3582"/>
      <w:bookmarkStart w:id="378" w:name="_Caption0434"/>
      <w:bookmarkStart w:id="379" w:name="_Caption7032"/>
      <w:bookmarkStart w:id="380" w:name="_Caption1250"/>
      <w:bookmarkStart w:id="381" w:name="_Toc381784723"/>
      <w:bookmarkStart w:id="382" w:name="_Toc391972942"/>
      <w:r w:rsidR="00584F9A">
        <w:rPr>
          <w:noProof/>
        </w:rPr>
        <w:t>2</w:t>
      </w:r>
      <w:r w:rsidR="00584F9A" w:rsidRPr="00695C93">
        <w:rPr>
          <w:noProof/>
        </w:rPr>
        <w:t>.</w:t>
      </w:r>
      <w:r w:rsidR="00584F9A">
        <w:rPr>
          <w:noProof/>
        </w:rPr>
        <w:t>5</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695C93">
        <w:fldChar w:fldCharType="end"/>
      </w:r>
      <w:r w:rsidRPr="00695C93">
        <w:tab/>
      </w:r>
      <w:r>
        <w:t>Welfare impacts of price controls — case 3</w:t>
      </w:r>
      <w:bookmarkEnd w:id="381"/>
      <w:bookmarkEnd w:id="382"/>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Look w:val="04A0" w:firstRow="1" w:lastRow="0" w:firstColumn="1" w:lastColumn="0" w:noHBand="0" w:noVBand="1"/>
      </w:tblPr>
      <w:tblGrid>
        <w:gridCol w:w="7938"/>
      </w:tblGrid>
      <w:tr w:rsidR="00675046" w:rsidTr="00B01898">
        <w:trPr>
          <w:cantSplit/>
          <w:tblHeader/>
        </w:trPr>
        <w:tc>
          <w:tcPr>
            <w:tcW w:w="7938" w:type="dxa"/>
            <w:shd w:val="clear" w:color="auto" w:fill="E9E8E5" w:themeFill="background2"/>
          </w:tcPr>
          <w:p w:rsidR="00675046" w:rsidRDefault="00BE0A38" w:rsidP="00BE0A38">
            <w:pPr>
              <w:pStyle w:val="Chart"/>
              <w:jc w:val="center"/>
            </w:pPr>
            <w:r>
              <w:rPr>
                <w:noProof/>
                <w:lang w:eastAsia="en-AU"/>
              </w:rPr>
              <w:drawing>
                <wp:inline distT="0" distB="0" distL="0" distR="0" wp14:anchorId="07BEBF96" wp14:editId="3BC88009">
                  <wp:extent cx="4906010" cy="2440940"/>
                  <wp:effectExtent l="0" t="0" r="0" b="0"/>
                  <wp:docPr id="28" name="Picture 28" descr="Graph outlining the welfare costs where the price control is above the price that would be charged by the supplier with market power and has no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06010" cy="2440940"/>
                          </a:xfrm>
                          <a:prstGeom prst="rect">
                            <a:avLst/>
                          </a:prstGeom>
                          <a:noFill/>
                          <a:ln>
                            <a:noFill/>
                          </a:ln>
                        </pic:spPr>
                      </pic:pic>
                    </a:graphicData>
                  </a:graphic>
                </wp:inline>
              </w:drawing>
            </w:r>
          </w:p>
        </w:tc>
      </w:tr>
    </w:tbl>
    <w:p w:rsidR="00675046" w:rsidRDefault="00675046" w:rsidP="00675046">
      <w:pPr>
        <w:pStyle w:val="Source"/>
      </w:pPr>
      <w:proofErr w:type="gramStart"/>
      <w:r>
        <w:rPr>
          <w:i/>
        </w:rPr>
        <w:t>Source</w:t>
      </w:r>
      <w:r w:rsidRPr="00A67576">
        <w:rPr>
          <w:i/>
        </w:rPr>
        <w:t>:</w:t>
      </w:r>
      <w:r>
        <w:t xml:space="preserve"> The CIE.</w:t>
      </w:r>
      <w:proofErr w:type="gramEnd"/>
    </w:p>
    <w:p w:rsidR="00100392" w:rsidRDefault="00D8538B" w:rsidP="00675046">
      <w:pPr>
        <w:pStyle w:val="BodyText"/>
      </w:pPr>
      <w:r>
        <w:t>A key point from this analysis is that price controls will deliver a net benefit to the community only if the regulated price</w:t>
      </w:r>
      <w:r w:rsidR="00100392">
        <w:t xml:space="preserve"> is somewhere between the (unknown) efficient price and the price a supplier with market power </w:t>
      </w:r>
      <w:r w:rsidR="004E4BEE">
        <w:t>would</w:t>
      </w:r>
      <w:r w:rsidR="00100392">
        <w:t xml:space="preserve"> choose in the absence of the price controls. This </w:t>
      </w:r>
      <w:r w:rsidR="004E4BEE">
        <w:t>may</w:t>
      </w:r>
      <w:r w:rsidR="00100392">
        <w:t xml:space="preserve"> be a </w:t>
      </w:r>
      <w:proofErr w:type="gramStart"/>
      <w:r w:rsidR="00100392">
        <w:t>fairly narrow</w:t>
      </w:r>
      <w:proofErr w:type="gramEnd"/>
      <w:r w:rsidR="00100392">
        <w:t xml:space="preserve"> range</w:t>
      </w:r>
      <w:r w:rsidR="004E4BEE">
        <w:t xml:space="preserve"> if there is little market power</w:t>
      </w:r>
      <w:r w:rsidR="00100392">
        <w:t>.</w:t>
      </w:r>
    </w:p>
    <w:p w:rsidR="00675046" w:rsidRDefault="00675046" w:rsidP="00675046">
      <w:pPr>
        <w:pStyle w:val="BodyText"/>
      </w:pPr>
      <w:r>
        <w:t xml:space="preserve">The above </w:t>
      </w:r>
      <w:r w:rsidR="007913CA">
        <w:t>static example</w:t>
      </w:r>
      <w:r w:rsidR="00100392">
        <w:t>s</w:t>
      </w:r>
      <w:r w:rsidR="007913CA">
        <w:t xml:space="preserve"> also do not take into account </w:t>
      </w:r>
      <w:r w:rsidR="00D8538B">
        <w:t>some other factors that complicate the task of regulators in setting an efficient price.</w:t>
      </w:r>
      <w:r w:rsidR="00100392">
        <w:t xml:space="preserve"> These include the following.</w:t>
      </w:r>
    </w:p>
    <w:p w:rsidR="00675046" w:rsidRPr="00EB08A4" w:rsidRDefault="00100392" w:rsidP="00EB08A4">
      <w:pPr>
        <w:pStyle w:val="ListBullet"/>
      </w:pPr>
      <w:r>
        <w:t>Rapid</w:t>
      </w:r>
      <w:r w:rsidR="00675046" w:rsidRPr="00EB08A4">
        <w:t xml:space="preserve"> changes in market conditions</w:t>
      </w:r>
      <w:r>
        <w:t xml:space="preserve"> — where market conditions change rapidly, regulators can be slow to respond</w:t>
      </w:r>
      <w:r w:rsidR="004E4BEE">
        <w:t>.</w:t>
      </w:r>
    </w:p>
    <w:p w:rsidR="00675046" w:rsidRPr="00EB08A4" w:rsidRDefault="00100392" w:rsidP="00EB08A4">
      <w:pPr>
        <w:pStyle w:val="ListBullet"/>
      </w:pPr>
      <w:r>
        <w:t>D</w:t>
      </w:r>
      <w:r w:rsidR="00675046" w:rsidRPr="00EB08A4">
        <w:t>ifferences in costs across services areas</w:t>
      </w:r>
      <w:r>
        <w:t xml:space="preserve"> — where the cost of providing a service varies across service areas, this can complicate the task of regulators significantly.</w:t>
      </w:r>
    </w:p>
    <w:p w:rsidR="00675046" w:rsidRDefault="00675046" w:rsidP="00675046">
      <w:pPr>
        <w:pStyle w:val="Heading2"/>
      </w:pPr>
      <w:bookmarkStart w:id="383" w:name="_Toc381784738"/>
      <w:bookmarkStart w:id="384" w:name="_Toc388269623"/>
      <w:r>
        <w:t>Other impacts of price controls</w:t>
      </w:r>
      <w:bookmarkEnd w:id="383"/>
      <w:bookmarkEnd w:id="384"/>
    </w:p>
    <w:p w:rsidR="00675046" w:rsidRDefault="00675046" w:rsidP="00675046">
      <w:pPr>
        <w:pStyle w:val="BodyText"/>
      </w:pPr>
      <w:r>
        <w:t>In addition to the welfare effects outlined above, price controls can have a range of other impacts. These impacts include the following:</w:t>
      </w:r>
    </w:p>
    <w:p w:rsidR="00675046" w:rsidRPr="00EB08A4" w:rsidRDefault="00675046" w:rsidP="00EB08A4">
      <w:pPr>
        <w:pStyle w:val="ListBullet"/>
      </w:pPr>
      <w:r w:rsidRPr="00EB08A4">
        <w:t>Administrative costs for the regulator and regulated businesses — the regulatory process imposes costs on the regulator. It may also impose administrative costs on regulated businesses, such as complying with information requests, preparing submissions and other administrative tasks.</w:t>
      </w:r>
      <w:r w:rsidR="00100392">
        <w:t xml:space="preserve"> While </w:t>
      </w:r>
      <w:proofErr w:type="gramStart"/>
      <w:r w:rsidR="00100392">
        <w:t>more sophisticated regulatory frameworks</w:t>
      </w:r>
      <w:proofErr w:type="gramEnd"/>
      <w:r w:rsidR="00100392">
        <w:t xml:space="preserve"> are more likely to set a price that improves social welfare (i.e. case 1 above), the administrative costs for both regulators and regulated businesses will also be higher. Where the welfare improvement from price regulation is relatively small, they </w:t>
      </w:r>
      <w:proofErr w:type="gramStart"/>
      <w:r w:rsidR="00100392">
        <w:t>may be outweighed</w:t>
      </w:r>
      <w:proofErr w:type="gramEnd"/>
      <w:r w:rsidR="00100392">
        <w:t xml:space="preserve"> by the additional administrative costs.</w:t>
      </w:r>
    </w:p>
    <w:p w:rsidR="00675046" w:rsidRPr="00EB08A4" w:rsidRDefault="00675046" w:rsidP="00EB08A4">
      <w:pPr>
        <w:pStyle w:val="ListBullet"/>
      </w:pPr>
      <w:r w:rsidRPr="00EB08A4">
        <w:t>Less competition — where the regulated price is set close to or below the cost of supply, there is little incentive for new firms to enter the market. A lack of competition can potentially have the following consequences.</w:t>
      </w:r>
    </w:p>
    <w:p w:rsidR="00675046" w:rsidRPr="00EB08A4" w:rsidRDefault="00675046" w:rsidP="00EB08A4">
      <w:pPr>
        <w:pStyle w:val="ListBullet2"/>
      </w:pPr>
      <w:r w:rsidRPr="00EB08A4">
        <w:t>Lower quality service — where there is less competitio</w:t>
      </w:r>
      <w:r w:rsidR="00CF51D4">
        <w:t>n, there is less incentive for i</w:t>
      </w:r>
      <w:r w:rsidRPr="00EB08A4">
        <w:t>ncumbent suppliers to provide a high quality of service</w:t>
      </w:r>
    </w:p>
    <w:p w:rsidR="00675046" w:rsidRPr="00EB08A4" w:rsidRDefault="00675046" w:rsidP="00EB08A4">
      <w:pPr>
        <w:pStyle w:val="ListBullet2"/>
      </w:pPr>
      <w:r w:rsidRPr="00EB08A4">
        <w:lastRenderedPageBreak/>
        <w:t>Less product variety</w:t>
      </w:r>
    </w:p>
    <w:p w:rsidR="00675046" w:rsidRPr="00EB08A4" w:rsidRDefault="00675046" w:rsidP="00EB08A4">
      <w:pPr>
        <w:pStyle w:val="ListBullet2"/>
      </w:pPr>
      <w:r w:rsidRPr="00EB08A4">
        <w:t>Perpetuate the need for retail price controls —  there is a risk price regulation can become a self</w:t>
      </w:r>
      <w:r w:rsidRPr="00EB08A4">
        <w:noBreakHyphen/>
        <w:t>perpetuating system, in which price regulation leads to a lack of competition, driving the need for continuing price regulation</w:t>
      </w:r>
      <w:r w:rsidRPr="00EB08A4">
        <w:rPr>
          <w:rStyle w:val="FootnoteReference"/>
          <w:rFonts w:asciiTheme="minorHAnsi" w:hAnsiTheme="minorHAnsi"/>
          <w:position w:val="0"/>
          <w:sz w:val="21"/>
        </w:rPr>
        <w:t xml:space="preserve"> </w:t>
      </w:r>
      <w:r w:rsidRPr="004E4BEE">
        <w:rPr>
          <w:rStyle w:val="FootnoteReference"/>
        </w:rPr>
        <w:footnoteReference w:id="6"/>
      </w:r>
    </w:p>
    <w:p w:rsidR="00675046" w:rsidRPr="00EB08A4" w:rsidRDefault="00675046" w:rsidP="00EB08A4">
      <w:pPr>
        <w:pStyle w:val="ListBullet"/>
      </w:pPr>
      <w:r w:rsidRPr="00EB08A4">
        <w:t xml:space="preserve">Where price controls </w:t>
      </w:r>
      <w:proofErr w:type="gramStart"/>
      <w:r w:rsidRPr="00EB08A4">
        <w:t>are retained</w:t>
      </w:r>
      <w:proofErr w:type="gramEnd"/>
      <w:r w:rsidRPr="00EB08A4">
        <w:t xml:space="preserve"> in a competitive market, the AEMC notes the following risks.</w:t>
      </w:r>
      <w:r w:rsidRPr="004E4BEE">
        <w:rPr>
          <w:rStyle w:val="FootnoteReference"/>
        </w:rPr>
        <w:footnoteReference w:id="7"/>
      </w:r>
    </w:p>
    <w:p w:rsidR="00675046" w:rsidRPr="00EB08A4" w:rsidRDefault="00675046" w:rsidP="00EB08A4">
      <w:pPr>
        <w:pStyle w:val="ListBullet2"/>
      </w:pPr>
      <w:r w:rsidRPr="00EB08A4">
        <w:t xml:space="preserve">Creating a focal point — if retailers base their market offers only in relation to regulated price, market innovation </w:t>
      </w:r>
      <w:proofErr w:type="gramStart"/>
      <w:r w:rsidRPr="00EB08A4">
        <w:t>can be impeded</w:t>
      </w:r>
      <w:proofErr w:type="gramEnd"/>
      <w:r w:rsidRPr="00EB08A4">
        <w:t>.</w:t>
      </w:r>
    </w:p>
    <w:p w:rsidR="00675046" w:rsidRPr="00EB08A4" w:rsidRDefault="00675046" w:rsidP="00EB08A4">
      <w:pPr>
        <w:pStyle w:val="ListBullet2"/>
      </w:pPr>
      <w:r w:rsidRPr="00EB08A4">
        <w:t>Risk of tacit collusion — a regulated price may enable retailers to set a very similar market price without active collusion.</w:t>
      </w:r>
    </w:p>
    <w:p w:rsidR="00675046" w:rsidRDefault="00675046" w:rsidP="00675046">
      <w:pPr>
        <w:pStyle w:val="BodyText"/>
      </w:pPr>
      <w:r>
        <w:t>Regulated prices can also be slow to respond to rapid changes in market conditions. The California electricity crisis of 2000 and 2001 demonstrates that these costs can potentially be large (see box </w:t>
      </w:r>
      <w:fldSimple w:instr=" REF _Caption4902 ">
        <w:r w:rsidR="00304215">
          <w:rPr>
            <w:noProof/>
          </w:rPr>
          <w:t>2</w:t>
        </w:r>
        <w:r w:rsidR="00304215" w:rsidRPr="00E05C8C">
          <w:rPr>
            <w:noProof/>
          </w:rPr>
          <w:t>.</w:t>
        </w:r>
        <w:r w:rsidR="00304215">
          <w:rPr>
            <w:noProof/>
          </w:rPr>
          <w:t>6</w:t>
        </w:r>
      </w:fldSimple>
      <w:r>
        <w:t>).</w:t>
      </w:r>
      <w:r w:rsidR="004E4BEE">
        <w:t xml:space="preserve"> </w:t>
      </w:r>
    </w:p>
    <w:p w:rsidR="00675046" w:rsidRDefault="00675046" w:rsidP="00675046">
      <w:pPr>
        <w:pStyle w:val="Invisiblepara"/>
      </w:pPr>
    </w:p>
    <w:tbl>
      <w:tblPr>
        <w:tblW w:w="7938" w:type="dxa"/>
        <w:tblInd w:w="142" w:type="dxa"/>
        <w:tblBorders>
          <w:top w:val="single" w:sz="2" w:space="0" w:color="auto"/>
          <w:left w:val="single" w:sz="2" w:space="0" w:color="auto"/>
          <w:bottom w:val="single" w:sz="2" w:space="0" w:color="auto"/>
          <w:right w:val="single" w:sz="2" w:space="0" w:color="auto"/>
        </w:tblBorders>
        <w:tblLayout w:type="fixed"/>
        <w:tblCellMar>
          <w:left w:w="142" w:type="dxa"/>
          <w:right w:w="142" w:type="dxa"/>
        </w:tblCellMar>
        <w:tblLook w:val="0000" w:firstRow="0" w:lastRow="0" w:firstColumn="0" w:lastColumn="0" w:noHBand="0" w:noVBand="0"/>
      </w:tblPr>
      <w:tblGrid>
        <w:gridCol w:w="7938"/>
      </w:tblGrid>
      <w:tr w:rsidR="00675046" w:rsidRPr="00E05C8C" w:rsidTr="00675046">
        <w:trPr>
          <w:cantSplit/>
        </w:trPr>
        <w:tc>
          <w:tcPr>
            <w:tcW w:w="7938" w:type="dxa"/>
            <w:tcBorders>
              <w:top w:val="nil"/>
              <w:left w:val="nil"/>
              <w:bottom w:val="nil"/>
              <w:right w:val="nil"/>
            </w:tcBorders>
            <w:shd w:val="clear" w:color="auto" w:fill="C6BFAB" w:themeFill="accent3"/>
          </w:tcPr>
          <w:p w:rsidR="00675046" w:rsidRPr="00E05C8C" w:rsidRDefault="00675046" w:rsidP="009C1B85">
            <w:pPr>
              <w:pStyle w:val="Caption"/>
              <w:numPr>
                <w:ilvl w:val="0"/>
                <w:numId w:val="15"/>
              </w:numPr>
              <w:spacing w:before="120" w:after="100"/>
            </w:pPr>
            <w:r w:rsidRPr="00E05C8C">
              <w:fldChar w:fldCharType="begin"/>
            </w:r>
            <w:r w:rsidRPr="00E05C8C">
              <w:instrText xml:space="preserve"> IF 1 = 1 "</w:instrText>
            </w:r>
            <w:r w:rsidRPr="00E05C8C">
              <w:fldChar w:fldCharType="begin"/>
            </w:r>
            <w:r w:rsidRPr="00E05C8C">
              <w:instrText xml:space="preserve"> IF </w:instrText>
            </w:r>
            <w:fldSimple w:instr=" STYLEREF &quot;Heading 6&quot; \l \n ">
              <w:r w:rsidR="00304215">
                <w:rPr>
                  <w:noProof/>
                </w:rPr>
                <w:instrText>0</w:instrText>
              </w:r>
            </w:fldSimple>
            <w:r w:rsidRPr="00E05C8C">
              <w:instrText xml:space="preserve"> = 0 "</w:instrText>
            </w:r>
            <w:r w:rsidRPr="00E05C8C">
              <w:fldChar w:fldCharType="begin"/>
            </w:r>
            <w:r w:rsidRPr="00E05C8C">
              <w:instrText xml:space="preserve"> IF </w:instrText>
            </w:r>
            <w:fldSimple w:instr=" STYLEREF &quot;Heading 1&quot; \l \n ">
              <w:r w:rsidR="00304215">
                <w:rPr>
                  <w:noProof/>
                </w:rPr>
                <w:instrText>2</w:instrText>
              </w:r>
            </w:fldSimple>
            <w:r w:rsidRPr="00E05C8C">
              <w:instrText xml:space="preserve"> = 0 "" "</w:instrText>
            </w:r>
            <w:fldSimple w:instr=" STYLEREF &quot;Heading 1&quot; \l \n ">
              <w:r w:rsidR="00304215">
                <w:rPr>
                  <w:noProof/>
                </w:rPr>
                <w:instrText>2</w:instrText>
              </w:r>
            </w:fldSimple>
            <w:r w:rsidRPr="00E05C8C">
              <w:instrText xml:space="preserve">." </w:instrText>
            </w:r>
            <w:r w:rsidRPr="00E05C8C">
              <w:fldChar w:fldCharType="separate"/>
            </w:r>
            <w:r w:rsidR="00304215">
              <w:rPr>
                <w:noProof/>
              </w:rPr>
              <w:instrText>2</w:instrText>
            </w:r>
            <w:r w:rsidR="00304215" w:rsidRPr="00E05C8C">
              <w:rPr>
                <w:noProof/>
              </w:rPr>
              <w:instrText>.</w:instrText>
            </w:r>
            <w:r w:rsidRPr="00E05C8C">
              <w:fldChar w:fldCharType="end"/>
            </w:r>
            <w:r w:rsidRPr="00E05C8C">
              <w:instrText>" "</w:instrText>
            </w:r>
            <w:fldSimple w:instr=" STYLEREF &quot;Heading 6&quot; \l \n ">
              <w:r w:rsidRPr="00E05C8C">
                <w:instrText>B</w:instrText>
              </w:r>
            </w:fldSimple>
            <w:r w:rsidRPr="00E05C8C">
              <w:instrText xml:space="preserve">." </w:instrText>
            </w:r>
            <w:r w:rsidRPr="00E05C8C">
              <w:fldChar w:fldCharType="separate"/>
            </w:r>
            <w:r w:rsidR="00584F9A">
              <w:rPr>
                <w:noProof/>
              </w:rPr>
              <w:instrText>2</w:instrText>
            </w:r>
            <w:r w:rsidR="00584F9A" w:rsidRPr="00E05C8C">
              <w:rPr>
                <w:noProof/>
              </w:rPr>
              <w:instrText>.</w:instrText>
            </w:r>
            <w:r w:rsidRPr="00E05C8C">
              <w:fldChar w:fldCharType="end"/>
            </w:r>
            <w:r w:rsidRPr="00E05C8C">
              <w:fldChar w:fldCharType="begin"/>
            </w:r>
            <w:r w:rsidRPr="00E05C8C">
              <w:instrText xml:space="preserve"> SEQ Item \* ARABIC \s </w:instrText>
            </w:r>
            <w:r w:rsidRPr="00E05C8C">
              <w:fldChar w:fldCharType="begin"/>
            </w:r>
            <w:r w:rsidRPr="00E05C8C">
              <w:instrText xml:space="preserve"> IF </w:instrText>
            </w:r>
            <w:fldSimple w:instr=" STYLEREF &quot;Heading 6&quot; \l \n ">
              <w:r w:rsidR="00304215">
                <w:rPr>
                  <w:noProof/>
                </w:rPr>
                <w:instrText>0</w:instrText>
              </w:r>
            </w:fldSimple>
            <w:r w:rsidRPr="00E05C8C">
              <w:instrText xml:space="preserve"> = 0 "</w:instrText>
            </w:r>
            <w:r w:rsidRPr="00E05C8C">
              <w:fldChar w:fldCharType="begin"/>
            </w:r>
            <w:r w:rsidRPr="00E05C8C">
              <w:instrText xml:space="preserve"> IF </w:instrText>
            </w:r>
            <w:fldSimple w:instr=" STYLEREF &quot;Heading 1&quot; \l \n ">
              <w:r w:rsidR="00304215">
                <w:rPr>
                  <w:noProof/>
                </w:rPr>
                <w:instrText>2</w:instrText>
              </w:r>
            </w:fldSimple>
            <w:r w:rsidRPr="00E05C8C">
              <w:instrText xml:space="preserve"> = 0 "" "1" </w:instrText>
            </w:r>
            <w:r w:rsidRPr="00E05C8C">
              <w:fldChar w:fldCharType="separate"/>
            </w:r>
            <w:r w:rsidR="00584F9A" w:rsidRPr="00E05C8C">
              <w:rPr>
                <w:noProof/>
              </w:rPr>
              <w:instrText>1</w:instrText>
            </w:r>
            <w:r w:rsidRPr="00E05C8C">
              <w:fldChar w:fldCharType="end"/>
            </w:r>
            <w:r w:rsidRPr="00E05C8C">
              <w:instrText xml:space="preserve">" "6" </w:instrText>
            </w:r>
            <w:r w:rsidRPr="00E05C8C">
              <w:fldChar w:fldCharType="separate"/>
            </w:r>
            <w:r w:rsidR="00584F9A" w:rsidRPr="00E05C8C">
              <w:rPr>
                <w:noProof/>
              </w:rPr>
              <w:instrText>1</w:instrText>
            </w:r>
            <w:r w:rsidRPr="00E05C8C">
              <w:fldChar w:fldCharType="end"/>
            </w:r>
            <w:r w:rsidRPr="00E05C8C">
              <w:instrText xml:space="preserve"> </w:instrText>
            </w:r>
            <w:r w:rsidRPr="00E05C8C">
              <w:fldChar w:fldCharType="separate"/>
            </w:r>
            <w:r w:rsidR="00304215">
              <w:rPr>
                <w:noProof/>
              </w:rPr>
              <w:instrText>6</w:instrText>
            </w:r>
            <w:r w:rsidRPr="00E05C8C">
              <w:fldChar w:fldCharType="end"/>
            </w:r>
            <w:r w:rsidRPr="00E05C8C">
              <w:instrText xml:space="preserve">" "" </w:instrText>
            </w:r>
            <w:r w:rsidRPr="00E05C8C">
              <w:fldChar w:fldCharType="separate"/>
            </w:r>
            <w:bookmarkStart w:id="385" w:name="_Caption3731"/>
            <w:bookmarkStart w:id="386" w:name="_Caption9930"/>
            <w:bookmarkStart w:id="387" w:name="_Caption3526"/>
            <w:bookmarkStart w:id="388" w:name="_Caption4407"/>
            <w:bookmarkStart w:id="389" w:name="_Caption5084"/>
            <w:bookmarkStart w:id="390" w:name="_Caption6964"/>
            <w:bookmarkStart w:id="391" w:name="_Caption0020"/>
            <w:bookmarkStart w:id="392" w:name="_Caption4370"/>
            <w:bookmarkStart w:id="393" w:name="_Caption0851"/>
            <w:bookmarkStart w:id="394" w:name="_Caption7772"/>
            <w:bookmarkStart w:id="395" w:name="_Caption6670"/>
            <w:bookmarkStart w:id="396" w:name="_Caption6282"/>
            <w:bookmarkStart w:id="397" w:name="_Caption0486"/>
            <w:bookmarkStart w:id="398" w:name="_Caption6559"/>
            <w:bookmarkStart w:id="399" w:name="_Caption6859"/>
            <w:bookmarkStart w:id="400" w:name="_Caption9949"/>
            <w:bookmarkStart w:id="401" w:name="_Caption6158"/>
            <w:bookmarkStart w:id="402" w:name="_Caption4441"/>
            <w:bookmarkStart w:id="403" w:name="_Caption3302"/>
            <w:bookmarkStart w:id="404" w:name="_Caption2809"/>
            <w:bookmarkStart w:id="405" w:name="_Caption9221"/>
            <w:bookmarkStart w:id="406" w:name="_Caption8794"/>
            <w:bookmarkStart w:id="407" w:name="_Caption8185"/>
            <w:bookmarkStart w:id="408" w:name="_Caption4107"/>
            <w:bookmarkStart w:id="409" w:name="_Caption7432"/>
            <w:bookmarkStart w:id="410" w:name="_Caption7701"/>
            <w:bookmarkStart w:id="411" w:name="_Caption0512"/>
            <w:bookmarkStart w:id="412" w:name="_Caption4902"/>
            <w:bookmarkStart w:id="413" w:name="_Caption1815"/>
            <w:bookmarkStart w:id="414" w:name="_Caption2624"/>
            <w:bookmarkStart w:id="415" w:name="_Caption7971"/>
            <w:bookmarkStart w:id="416" w:name="_Caption5517"/>
            <w:bookmarkStart w:id="417" w:name="_Caption3727"/>
            <w:bookmarkStart w:id="418" w:name="_Caption3226"/>
            <w:bookmarkStart w:id="419" w:name="_Caption6082"/>
            <w:bookmarkStart w:id="420" w:name="_Toc391972943"/>
            <w:r w:rsidR="00584F9A">
              <w:rPr>
                <w:noProof/>
              </w:rPr>
              <w:t>2</w:t>
            </w:r>
            <w:r w:rsidR="00584F9A" w:rsidRPr="00E05C8C">
              <w:rPr>
                <w:noProof/>
              </w:rPr>
              <w:t>.</w:t>
            </w:r>
            <w:r w:rsidR="00584F9A">
              <w:rPr>
                <w:noProof/>
              </w:rPr>
              <w:t>6</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E05C8C">
              <w:fldChar w:fldCharType="end"/>
            </w:r>
            <w:r w:rsidRPr="00E05C8C">
              <w:tab/>
            </w:r>
            <w:r>
              <w:t>The California electricity crisis</w:t>
            </w:r>
            <w:bookmarkEnd w:id="420"/>
          </w:p>
        </w:tc>
      </w:tr>
      <w:tr w:rsidR="00675046" w:rsidTr="00675046">
        <w:tblPrEx>
          <w:tblBorders>
            <w:top w:val="none" w:sz="0" w:space="0" w:color="auto"/>
            <w:left w:val="none" w:sz="0" w:space="0" w:color="auto"/>
            <w:bottom w:val="none" w:sz="0" w:space="0" w:color="auto"/>
            <w:right w:val="none" w:sz="0" w:space="0" w:color="auto"/>
          </w:tblBorders>
          <w:shd w:val="clear" w:color="6F6652" w:fill="F1EFEA"/>
        </w:tblPrEx>
        <w:trPr>
          <w:cantSplit/>
        </w:trPr>
        <w:tc>
          <w:tcPr>
            <w:tcW w:w="7938" w:type="dxa"/>
            <w:shd w:val="clear" w:color="auto" w:fill="E9E8E5" w:themeFill="background2"/>
          </w:tcPr>
          <w:p w:rsidR="00675046" w:rsidRDefault="00675046" w:rsidP="00675046">
            <w:pPr>
              <w:pStyle w:val="BodyText"/>
            </w:pPr>
            <w:r>
              <w:t>In 2000 and 2001, the US State of California suffered major disruptions to its electricity supply. Retail price controls were one factor that contributed to this situation, among several others.</w:t>
            </w:r>
          </w:p>
          <w:p w:rsidR="00675046" w:rsidRDefault="00675046" w:rsidP="00675046">
            <w:pPr>
              <w:pStyle w:val="BodyText"/>
            </w:pPr>
            <w:r>
              <w:t xml:space="preserve">The unregulated wholesale price for electricity began to increase sharply from </w:t>
            </w:r>
            <w:proofErr w:type="spellStart"/>
            <w:r>
              <w:t>mid 2000</w:t>
            </w:r>
            <w:proofErr w:type="spellEnd"/>
            <w:r>
              <w:t>. However, retail price controls prevented retailers from passing on this increased cost onto consumers. As a result, the two major retailers Pacific Gas and Electric and Southern California Edison began to lose large amounts of money — reportedly around $50 million per day by December 2000. With the retailer’s requests to the regulator to increase the retail price either refused or deferred, the retailers became unable to meet payments to suppliers and on some financial obligations by January 2001.</w:t>
            </w:r>
            <w:r>
              <w:rPr>
                <w:rStyle w:val="FootnoteReference"/>
              </w:rPr>
              <w:footnoteReference w:id="8"/>
            </w:r>
          </w:p>
          <w:p w:rsidR="00675046" w:rsidRPr="00BF2F67" w:rsidRDefault="00675046" w:rsidP="00675046">
            <w:pPr>
              <w:pStyle w:val="BodyText"/>
            </w:pPr>
            <w:r>
              <w:t>With the two major retailers effectively insolvent, wholesalers began to refuse to offer supply. The resultant rolling black</w:t>
            </w:r>
            <w:r>
              <w:noBreakHyphen/>
              <w:t>outs during this period were disruptive for businesses that rely on a reliable supply of electricity and inconvenienced millions of households. Ultimately, the State of California (through the California Department of Water Resources) was ultimately required to step in to maintain supply at a high cost to taxpayers.</w:t>
            </w:r>
          </w:p>
        </w:tc>
      </w:tr>
      <w:tr w:rsidR="00675046" w:rsidTr="00675046">
        <w:tblPrEx>
          <w:tblBorders>
            <w:top w:val="none" w:sz="0" w:space="0" w:color="auto"/>
            <w:left w:val="none" w:sz="0" w:space="0" w:color="auto"/>
            <w:bottom w:val="none" w:sz="0" w:space="0" w:color="auto"/>
            <w:right w:val="none" w:sz="0" w:space="0" w:color="auto"/>
          </w:tblBorders>
          <w:shd w:val="clear" w:color="6F6652" w:fill="F1EFEA"/>
        </w:tblPrEx>
        <w:trPr>
          <w:cantSplit/>
          <w:trHeight w:hRule="exact" w:val="142"/>
        </w:trPr>
        <w:tc>
          <w:tcPr>
            <w:tcW w:w="7938" w:type="dxa"/>
            <w:tcBorders>
              <w:bottom w:val="single" w:sz="6" w:space="0" w:color="9B917E" w:themeColor="accent4"/>
            </w:tcBorders>
            <w:shd w:val="clear" w:color="auto" w:fill="E9E8E5" w:themeFill="background2"/>
          </w:tcPr>
          <w:p w:rsidR="00675046" w:rsidRDefault="00675046" w:rsidP="00675046"/>
        </w:tc>
      </w:tr>
      <w:tr w:rsidR="00675046" w:rsidTr="00675046">
        <w:tblPrEx>
          <w:tblBorders>
            <w:top w:val="none" w:sz="0" w:space="0" w:color="auto"/>
            <w:left w:val="none" w:sz="0" w:space="0" w:color="auto"/>
            <w:bottom w:val="none" w:sz="0" w:space="0" w:color="auto"/>
            <w:right w:val="none" w:sz="0" w:space="0" w:color="auto"/>
          </w:tblBorders>
          <w:shd w:val="clear" w:color="6F6652" w:fill="F1EFEA"/>
        </w:tblPrEx>
        <w:trPr>
          <w:cantSplit/>
          <w:trHeight w:hRule="exact" w:val="198"/>
        </w:trPr>
        <w:tc>
          <w:tcPr>
            <w:tcW w:w="7938" w:type="dxa"/>
            <w:tcBorders>
              <w:top w:val="single" w:sz="6" w:space="0" w:color="9B917E" w:themeColor="accent4"/>
            </w:tcBorders>
            <w:shd w:val="clear" w:color="6F6652" w:fill="auto"/>
          </w:tcPr>
          <w:p w:rsidR="00675046" w:rsidRDefault="00675046" w:rsidP="00675046"/>
        </w:tc>
      </w:tr>
    </w:tbl>
    <w:p w:rsidR="00675046" w:rsidRDefault="00675046" w:rsidP="00675046">
      <w:pPr>
        <w:pStyle w:val="Heading2"/>
      </w:pPr>
      <w:bookmarkStart w:id="421" w:name="_Toc381784739"/>
      <w:bookmarkStart w:id="422" w:name="_Toc388269624"/>
      <w:r>
        <w:lastRenderedPageBreak/>
        <w:t>General parameters of cost benefit analysis</w:t>
      </w:r>
      <w:bookmarkEnd w:id="421"/>
      <w:bookmarkEnd w:id="422"/>
    </w:p>
    <w:p w:rsidR="00675046" w:rsidRDefault="00675046" w:rsidP="00675046">
      <w:pPr>
        <w:pStyle w:val="BodyText"/>
      </w:pPr>
      <w:bookmarkStart w:id="423" w:name="_Toc381784740"/>
      <w:r>
        <w:t xml:space="preserve">The costs and benefits of government action </w:t>
      </w:r>
      <w:proofErr w:type="gramStart"/>
      <w:r>
        <w:t>must be assessed</w:t>
      </w:r>
      <w:proofErr w:type="gramEnd"/>
      <w:r>
        <w:t xml:space="preserve"> against a plausible baseline. The baseline is what would have happened without government action: in this case, what would have happened without retail price controls. </w:t>
      </w:r>
    </w:p>
    <w:p w:rsidR="00675046" w:rsidRDefault="00675046" w:rsidP="00675046">
      <w:pPr>
        <w:pStyle w:val="BodyText"/>
      </w:pPr>
      <w:r>
        <w:t xml:space="preserve">Benefits and costs </w:t>
      </w:r>
      <w:proofErr w:type="gramStart"/>
      <w:r>
        <w:t>are also generally considered</w:t>
      </w:r>
      <w:proofErr w:type="gramEnd"/>
      <w:r>
        <w:t xml:space="preserve"> over time.</w:t>
      </w:r>
      <w:r w:rsidR="007913CA">
        <w:t xml:space="preserve"> We estimate the costs and benefits over a </w:t>
      </w:r>
      <w:proofErr w:type="gramStart"/>
      <w:r w:rsidR="007913CA">
        <w:t>five year</w:t>
      </w:r>
      <w:proofErr w:type="gramEnd"/>
      <w:r w:rsidR="007913CA">
        <w:t xml:space="preserve"> period. The </w:t>
      </w:r>
      <w:proofErr w:type="gramStart"/>
      <w:r w:rsidR="007913CA">
        <w:t>time period</w:t>
      </w:r>
      <w:proofErr w:type="gramEnd"/>
      <w:r w:rsidR="007913CA">
        <w:t xml:space="preserve"> can matter where there are large upfront costs in exchange for a stream of benefits over time. </w:t>
      </w:r>
    </w:p>
    <w:p w:rsidR="00675046" w:rsidRDefault="007913CA" w:rsidP="00675046">
      <w:pPr>
        <w:pStyle w:val="BodyText"/>
      </w:pPr>
      <w:r>
        <w:t xml:space="preserve">Where the costs and benefits </w:t>
      </w:r>
      <w:proofErr w:type="gramStart"/>
      <w:r>
        <w:t>are estimated</w:t>
      </w:r>
      <w:proofErr w:type="gramEnd"/>
      <w:r>
        <w:t xml:space="preserve"> over time, it is also necessary to discount future benefits and/or costs using an appropriate discount rate. A discount rate of around 7 per cent </w:t>
      </w:r>
      <w:proofErr w:type="gramStart"/>
      <w:r>
        <w:t xml:space="preserve">is generally </w:t>
      </w:r>
      <w:r w:rsidR="00447D60">
        <w:t>considered</w:t>
      </w:r>
      <w:proofErr w:type="gramEnd"/>
      <w:r w:rsidR="00447D60">
        <w:t xml:space="preserve"> appropriate. The discount rate makes a significant difference for projects where up-front costs are substantial and benefits accrue over time. For regulatory measures, it is less important and we do not show results under alternative discount rates</w:t>
      </w:r>
      <w:r>
        <w:t>.</w:t>
      </w:r>
    </w:p>
    <w:p w:rsidR="00675046" w:rsidRDefault="006737C8" w:rsidP="00675046">
      <w:pPr>
        <w:pStyle w:val="Heading2"/>
      </w:pPr>
      <w:bookmarkStart w:id="424" w:name="_Toc388269625"/>
      <w:bookmarkEnd w:id="423"/>
      <w:r>
        <w:t xml:space="preserve">Social equity </w:t>
      </w:r>
      <w:r w:rsidR="004603A4">
        <w:t>considerations</w:t>
      </w:r>
      <w:bookmarkEnd w:id="424"/>
    </w:p>
    <w:p w:rsidR="006737C8" w:rsidRDefault="006737C8" w:rsidP="006737C8">
      <w:pPr>
        <w:pStyle w:val="BodyText"/>
      </w:pPr>
      <w:r>
        <w:t xml:space="preserve">The retail price controls also include objectives that relate to social equity. In many cases, net social costs </w:t>
      </w:r>
      <w:proofErr w:type="gramStart"/>
      <w:r>
        <w:t>are imposed</w:t>
      </w:r>
      <w:proofErr w:type="gramEnd"/>
      <w:r>
        <w:t xml:space="preserve"> in achieving social equity objectives. This is not to say that these objectives are not valid. Cost benefit analysis can assist in providing information on the net cost of achieving social equity objectives and how this can be done at least cost. However, cost benefit analysis cannot inform trade-offs between social equity objectives and costs.</w:t>
      </w:r>
    </w:p>
    <w:p w:rsidR="006737C8" w:rsidRPr="006737C8" w:rsidRDefault="006737C8" w:rsidP="006737C8">
      <w:pPr>
        <w:pStyle w:val="BodyText"/>
      </w:pPr>
      <w:r>
        <w:t>This report seeks to identify a clear social equity objective related to the provision of telecommunications services and then uses this to consider options for policy interventions</w:t>
      </w:r>
      <w:r w:rsidR="004603A4">
        <w:t>.</w:t>
      </w:r>
      <w:r>
        <w:t xml:space="preserve">  </w:t>
      </w:r>
    </w:p>
    <w:p w:rsidR="006737C8" w:rsidRDefault="006737C8" w:rsidP="006737C8">
      <w:pPr>
        <w:pStyle w:val="Heading2"/>
      </w:pPr>
      <w:bookmarkStart w:id="425" w:name="_Toc388269626"/>
      <w:r>
        <w:t>Other issues</w:t>
      </w:r>
      <w:bookmarkEnd w:id="425"/>
    </w:p>
    <w:p w:rsidR="00B33706" w:rsidRDefault="00B33706" w:rsidP="00B33706">
      <w:pPr>
        <w:pStyle w:val="BodyText"/>
      </w:pPr>
      <w:r>
        <w:t xml:space="preserve">The Australian Government is committed to rolling out an open-access, wholesale-only telecommunications network that will be available to all access seekers on transparent and non-discriminatory terms. </w:t>
      </w:r>
    </w:p>
    <w:p w:rsidR="00B33706" w:rsidRDefault="00B33706" w:rsidP="00B33706">
      <w:pPr>
        <w:pStyle w:val="BodyText"/>
      </w:pPr>
      <w:r>
        <w:t>The National Broadband Network (NBN) is for people in Australia to have access to data download speeds of 25 to 100 megabits per second (Mbps) by the end of 2016, and between 50 and 100 Mbps by the end of 2019 in 90 per cent of the fixed line footprint.</w:t>
      </w:r>
    </w:p>
    <w:p w:rsidR="00B33706" w:rsidRDefault="00B33706" w:rsidP="00B33706">
      <w:pPr>
        <w:pStyle w:val="BodyText"/>
      </w:pPr>
      <w:r>
        <w:t xml:space="preserve">While it is agnostic on technology, consistent with NBN </w:t>
      </w:r>
      <w:proofErr w:type="spellStart"/>
      <w:r>
        <w:t>Co’s</w:t>
      </w:r>
      <w:proofErr w:type="spellEnd"/>
      <w:r>
        <w:t xml:space="preserve"> Strategic Review, the NBN will utilise fibre to the node, fibre to the premises and HFC technology, with the remaining premises served by a combination of next-generation fixed wireless and satellite technologies.</w:t>
      </w:r>
    </w:p>
    <w:p w:rsidR="00B33706" w:rsidRDefault="00B33706" w:rsidP="00B33706">
      <w:pPr>
        <w:pStyle w:val="BodyText"/>
      </w:pPr>
      <w:r>
        <w:t xml:space="preserve">This network will replace Telstra’s existing copper network on which price controls </w:t>
      </w:r>
      <w:proofErr w:type="gramStart"/>
      <w:r>
        <w:t>are imposed</w:t>
      </w:r>
      <w:proofErr w:type="gramEnd"/>
      <w:r>
        <w:t xml:space="preserve">, rendering them redundant when the network is completed. Whilst some price </w:t>
      </w:r>
      <w:r>
        <w:lastRenderedPageBreak/>
        <w:t xml:space="preserve">controls also apply to the National Broadband Network these are beyond the scope of this report. </w:t>
      </w:r>
    </w:p>
    <w:p w:rsidR="00675046" w:rsidRPr="00DA06D3" w:rsidRDefault="00B33706" w:rsidP="00675046">
      <w:pPr>
        <w:pStyle w:val="BodyText"/>
      </w:pPr>
      <w:r>
        <w:t>T</w:t>
      </w:r>
      <w:r w:rsidR="004E4BEE">
        <w:t xml:space="preserve">he analysis in this report covers a </w:t>
      </w:r>
      <w:proofErr w:type="gramStart"/>
      <w:r w:rsidR="004E4BEE">
        <w:t>five year</w:t>
      </w:r>
      <w:proofErr w:type="gramEnd"/>
      <w:r w:rsidR="004E4BEE">
        <w:t xml:space="preserve"> period</w:t>
      </w:r>
      <w:r>
        <w:t xml:space="preserve">. We therefore anticipate </w:t>
      </w:r>
      <w:r w:rsidR="004E4BEE">
        <w:t>that</w:t>
      </w:r>
      <w:r>
        <w:t xml:space="preserve"> retail price controls for Telstra’s services provided over the copper network will remain relevant for many areas for part of this period</w:t>
      </w:r>
      <w:r w:rsidR="004E4BEE">
        <w:t>.</w:t>
      </w:r>
    </w:p>
    <w:p w:rsidR="00675046" w:rsidRDefault="00675046" w:rsidP="00675046">
      <w:pPr>
        <w:pStyle w:val="BodyText"/>
      </w:pPr>
    </w:p>
    <w:p w:rsidR="00675046" w:rsidRDefault="00675046" w:rsidP="00675046">
      <w:pPr>
        <w:pStyle w:val="BodyText"/>
      </w:pPr>
    </w:p>
    <w:p w:rsidR="00675046" w:rsidRPr="00F51AF6" w:rsidRDefault="00675046" w:rsidP="00675046">
      <w:pPr>
        <w:pStyle w:val="Heading1"/>
      </w:pPr>
      <w:bookmarkStart w:id="426" w:name="_Toc388269627"/>
      <w:r>
        <w:lastRenderedPageBreak/>
        <w:t>Review of retail price controls over the past two years</w:t>
      </w:r>
      <w:bookmarkEnd w:id="426"/>
    </w:p>
    <w:p w:rsidR="00675046" w:rsidRPr="00705364" w:rsidRDefault="00675046" w:rsidP="00675046">
      <w:pPr>
        <w:pStyle w:val="BodyText"/>
      </w:pPr>
      <w:r>
        <w:t>In this chapter, we review the impact that the retail price controls have had over the past two years.</w:t>
      </w:r>
    </w:p>
    <w:p w:rsidR="00675046" w:rsidRDefault="00675046" w:rsidP="00675046">
      <w:pPr>
        <w:pStyle w:val="Heading2"/>
      </w:pPr>
      <w:bookmarkStart w:id="427" w:name="_Toc381784742"/>
      <w:bookmarkStart w:id="428" w:name="_Toc388269628"/>
      <w:r>
        <w:t>What would have occurred in the absence of retail price controls?</w:t>
      </w:r>
      <w:bookmarkEnd w:id="427"/>
      <w:bookmarkEnd w:id="428"/>
    </w:p>
    <w:p w:rsidR="00051852" w:rsidRDefault="00675046" w:rsidP="00675046">
      <w:pPr>
        <w:pStyle w:val="BodyText"/>
      </w:pPr>
      <w:r>
        <w:t>As discussed above, a key element of cost benefit analysis is establishing a baseline/counterfactual — what would have occurred in the absence of retail price controls</w:t>
      </w:r>
      <w:r w:rsidR="00051852">
        <w:t>?</w:t>
      </w:r>
      <w:r>
        <w:t xml:space="preserve"> </w:t>
      </w:r>
      <w:r w:rsidR="00051852">
        <w:t xml:space="preserve">It is </w:t>
      </w:r>
      <w:r>
        <w:t xml:space="preserve">against </w:t>
      </w:r>
      <w:r w:rsidR="00051852">
        <w:t xml:space="preserve">this counterfactual that </w:t>
      </w:r>
      <w:r>
        <w:t>the costs and benefits of the policy intervention</w:t>
      </w:r>
      <w:r w:rsidR="00100392">
        <w:t xml:space="preserve"> </w:t>
      </w:r>
      <w:proofErr w:type="gramStart"/>
      <w:r w:rsidR="00100392">
        <w:t>are estimated</w:t>
      </w:r>
      <w:proofErr w:type="gramEnd"/>
      <w:r>
        <w:t xml:space="preserve">. </w:t>
      </w:r>
    </w:p>
    <w:p w:rsidR="00051852" w:rsidRDefault="00051852" w:rsidP="00051852">
      <w:pPr>
        <w:pStyle w:val="BodyText"/>
      </w:pPr>
      <w:r>
        <w:t>T</w:t>
      </w:r>
      <w:r w:rsidR="00675046">
        <w:t xml:space="preserve">he counterfactual </w:t>
      </w:r>
      <w:proofErr w:type="gramStart"/>
      <w:r w:rsidR="00675046">
        <w:t xml:space="preserve">cannot </w:t>
      </w:r>
      <w:r>
        <w:t xml:space="preserve">always </w:t>
      </w:r>
      <w:r w:rsidR="00675046">
        <w:t>be observed</w:t>
      </w:r>
      <w:proofErr w:type="gramEnd"/>
      <w:r w:rsidR="00675046">
        <w:t xml:space="preserve">, </w:t>
      </w:r>
      <w:r>
        <w:t xml:space="preserve">and hence development of the counterfactual </w:t>
      </w:r>
      <w:r w:rsidR="00675046">
        <w:t xml:space="preserve">is not </w:t>
      </w:r>
      <w:r>
        <w:t>necessarily</w:t>
      </w:r>
      <w:r w:rsidR="00675046">
        <w:t xml:space="preserve"> straightforward.</w:t>
      </w:r>
      <w:r>
        <w:t xml:space="preserve"> For the retail price controls, we consider that there is strong evidence that in the absence of retail price controls prices would have been largely the same. In particular:</w:t>
      </w:r>
    </w:p>
    <w:p w:rsidR="00051852" w:rsidRDefault="00051852" w:rsidP="00051852">
      <w:pPr>
        <w:pStyle w:val="ListBullet"/>
      </w:pPr>
      <w:r>
        <w:t>The prices charged by Telstra are below the price cap for each basket of services. This means that the price cap cannot have acted as a constraint on Telstra.</w:t>
      </w:r>
    </w:p>
    <w:p w:rsidR="00051852" w:rsidRDefault="00051852" w:rsidP="00051852">
      <w:pPr>
        <w:pStyle w:val="ListBullet"/>
      </w:pPr>
      <w:r>
        <w:t>The evidence suggests that Telstra would retain nationally consistent pricing regardless of this requirement.</w:t>
      </w:r>
    </w:p>
    <w:p w:rsidR="00051852" w:rsidRDefault="00051852" w:rsidP="00051852">
      <w:pPr>
        <w:pStyle w:val="BodyText"/>
      </w:pPr>
      <w:r>
        <w:t xml:space="preserve">Note there may have been minor differences in pricing in the counterfactual, such as for charities and schools. These are a </w:t>
      </w:r>
      <w:proofErr w:type="gramStart"/>
      <w:r>
        <w:t>very minor</w:t>
      </w:r>
      <w:proofErr w:type="gramEnd"/>
      <w:r>
        <w:t xml:space="preserve"> part of the retail price controls.</w:t>
      </w:r>
    </w:p>
    <w:p w:rsidR="00675046" w:rsidRPr="001B53F7" w:rsidRDefault="00675046" w:rsidP="00675046">
      <w:pPr>
        <w:pStyle w:val="Heading3"/>
      </w:pPr>
      <w:r>
        <w:t>Actual prices are below the price cap</w:t>
      </w:r>
    </w:p>
    <w:p w:rsidR="00675046" w:rsidRDefault="00675046" w:rsidP="00675046">
      <w:pPr>
        <w:pStyle w:val="BodyText"/>
      </w:pPr>
      <w:r>
        <w:t>Chart </w:t>
      </w:r>
      <w:fldSimple w:instr=" REF _Caption5445 ">
        <w:r w:rsidR="00304215">
          <w:rPr>
            <w:noProof/>
          </w:rPr>
          <w:t>3</w:t>
        </w:r>
        <w:r w:rsidR="00304215" w:rsidRPr="00695C93">
          <w:rPr>
            <w:noProof/>
          </w:rPr>
          <w:t>.</w:t>
        </w:r>
        <w:r w:rsidR="00304215">
          <w:rPr>
            <w:noProof/>
          </w:rPr>
          <w:t>1</w:t>
        </w:r>
      </w:fldSimple>
      <w:r>
        <w:t xml:space="preserve"> compares the actual prices charged by Telstra with the price cap. In all cases, actual prices are below the cap that Telstra </w:t>
      </w:r>
      <w:proofErr w:type="gramStart"/>
      <w:r>
        <w:t>is permitted</w:t>
      </w:r>
      <w:proofErr w:type="gramEnd"/>
      <w:r>
        <w:t xml:space="preserve"> to charge. In some cases, the price Telstra charges is well below the price cap. This provides strong evidence that the retail price controls have had no impact over the past few years (i.e. case 3</w:t>
      </w:r>
      <w:r w:rsidR="00051852">
        <w:t xml:space="preserve"> from chapter 2</w:t>
      </w:r>
      <w:r>
        <w:t>).</w:t>
      </w:r>
    </w:p>
    <w:p w:rsidR="00051852" w:rsidRDefault="00051852" w:rsidP="00675046">
      <w:pPr>
        <w:pStyle w:val="BodyText"/>
      </w:pPr>
      <w:r>
        <w:t>The largest basket of services is in basket 1, which comprises over $3 billion worth of revenue. In comparison, basket 2 comprises $12 million of revenue and basket 3 comprises $5 million of revenue.</w:t>
      </w:r>
      <w:r>
        <w:rPr>
          <w:rStyle w:val="FootnoteReference"/>
        </w:rPr>
        <w:footnoteReference w:id="9"/>
      </w:r>
    </w:p>
    <w:p w:rsidR="00675046" w:rsidRPr="00695C93" w:rsidRDefault="00675046" w:rsidP="00675046">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3</w:instrText>
        </w:r>
      </w:fldSimple>
      <w:r w:rsidRPr="00695C93">
        <w:instrText xml:space="preserve"> = 0 "" "</w:instrText>
      </w:r>
      <w:fldSimple w:instr=" STYLEREF &quot;Heading 1&quot; \l \n ">
        <w:r w:rsidR="00304215">
          <w:rPr>
            <w:noProof/>
          </w:rPr>
          <w:instrText>3</w:instrText>
        </w:r>
      </w:fldSimple>
      <w:r w:rsidRPr="00695C93">
        <w:instrText xml:space="preserve">." </w:instrText>
      </w:r>
      <w:r w:rsidRPr="00695C93">
        <w:fldChar w:fldCharType="separate"/>
      </w:r>
      <w:r w:rsidR="00304215">
        <w:rPr>
          <w:noProof/>
        </w:rPr>
        <w:instrText>3</w:instrText>
      </w:r>
      <w:r w:rsidR="00304215" w:rsidRPr="00695C93">
        <w:rPr>
          <w:noProof/>
        </w:rPr>
        <w:instrText>.</w:instrText>
      </w:r>
      <w:r w:rsidRPr="00695C93">
        <w:fldChar w:fldCharType="end"/>
      </w:r>
      <w:r w:rsidRPr="00695C93">
        <w:instrText>" "</w:instrText>
      </w:r>
      <w:fldSimple w:instr=" STYLEREF &quot;Heading 6&quot; \l \n ">
        <w:r>
          <w:rPr>
            <w:noProof/>
          </w:rPr>
          <w:instrText>A</w:instrText>
        </w:r>
      </w:fldSimple>
      <w:r w:rsidRPr="00695C93">
        <w:instrText xml:space="preserve">." </w:instrText>
      </w:r>
      <w:r w:rsidRPr="00695C93">
        <w:fldChar w:fldCharType="separate"/>
      </w:r>
      <w:r w:rsidR="00584F9A">
        <w:rPr>
          <w:noProof/>
        </w:rPr>
        <w:instrText>3</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3</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1</w:instrText>
      </w:r>
      <w:r w:rsidRPr="00695C93">
        <w:fldChar w:fldCharType="end"/>
      </w:r>
      <w:r w:rsidRPr="00695C93">
        <w:instrText xml:space="preserve">" "" </w:instrText>
      </w:r>
      <w:r w:rsidRPr="00695C93">
        <w:fldChar w:fldCharType="separate"/>
      </w:r>
      <w:bookmarkStart w:id="429" w:name="_Caption8341"/>
      <w:bookmarkStart w:id="430" w:name="_Caption5348"/>
      <w:bookmarkStart w:id="431" w:name="_Caption0399"/>
      <w:bookmarkStart w:id="432" w:name="_Caption8798"/>
      <w:bookmarkStart w:id="433" w:name="_Caption0502"/>
      <w:bookmarkStart w:id="434" w:name="_Caption2383"/>
      <w:bookmarkStart w:id="435" w:name="_Caption2448"/>
      <w:bookmarkStart w:id="436" w:name="_Caption8425"/>
      <w:bookmarkStart w:id="437" w:name="_Caption5692"/>
      <w:bookmarkStart w:id="438" w:name="_Caption2786"/>
      <w:bookmarkStart w:id="439" w:name="_Caption0438"/>
      <w:bookmarkStart w:id="440" w:name="_Caption4876"/>
      <w:bookmarkStart w:id="441" w:name="_Caption0789"/>
      <w:bookmarkStart w:id="442" w:name="_Caption5294"/>
      <w:bookmarkStart w:id="443" w:name="_Caption7238"/>
      <w:bookmarkStart w:id="444" w:name="_Caption5241"/>
      <w:bookmarkStart w:id="445" w:name="_Caption9395"/>
      <w:bookmarkStart w:id="446" w:name="_Caption5944"/>
      <w:bookmarkStart w:id="447" w:name="_Caption9436"/>
      <w:bookmarkStart w:id="448" w:name="_Caption7789"/>
      <w:bookmarkStart w:id="449" w:name="_Caption6247"/>
      <w:bookmarkStart w:id="450" w:name="_Caption1811"/>
      <w:bookmarkStart w:id="451" w:name="_Caption1316"/>
      <w:bookmarkStart w:id="452" w:name="_Caption9942"/>
      <w:bookmarkStart w:id="453" w:name="_Caption6754"/>
      <w:bookmarkStart w:id="454" w:name="_Caption8753"/>
      <w:bookmarkStart w:id="455" w:name="_Caption3990"/>
      <w:bookmarkStart w:id="456" w:name="_Caption5445"/>
      <w:bookmarkStart w:id="457" w:name="_Caption2264"/>
      <w:bookmarkStart w:id="458" w:name="_Caption1325"/>
      <w:bookmarkStart w:id="459" w:name="_Caption0769"/>
      <w:bookmarkStart w:id="460" w:name="_Caption4272"/>
      <w:bookmarkStart w:id="461" w:name="_Toc391972944"/>
      <w:r w:rsidR="00584F9A">
        <w:rPr>
          <w:noProof/>
        </w:rPr>
        <w:t>3</w:t>
      </w:r>
      <w:r w:rsidR="00584F9A" w:rsidRPr="00695C93">
        <w:rPr>
          <w:noProof/>
        </w:rPr>
        <w:t>.</w:t>
      </w:r>
      <w:r w:rsidR="00584F9A">
        <w:rPr>
          <w:noProof/>
        </w:rPr>
        <w:t>1</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695C93">
        <w:fldChar w:fldCharType="end"/>
      </w:r>
      <w:r w:rsidRPr="00695C93">
        <w:tab/>
      </w:r>
      <w:r>
        <w:t>Comparison of regulated and actual prices</w:t>
      </w:r>
      <w:bookmarkEnd w:id="461"/>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675046" w:rsidTr="00675046">
        <w:trPr>
          <w:cantSplit/>
        </w:trPr>
        <w:tc>
          <w:tcPr>
            <w:tcW w:w="7938" w:type="dxa"/>
            <w:shd w:val="clear" w:color="auto" w:fill="E9E8E5" w:themeFill="background2"/>
          </w:tcPr>
          <w:p w:rsidR="00675046" w:rsidRDefault="00675046" w:rsidP="00675046">
            <w:pPr>
              <w:pStyle w:val="Chart"/>
            </w:pPr>
            <w:r>
              <w:rPr>
                <w:noProof/>
                <w:lang w:eastAsia="en-AU"/>
              </w:rPr>
              <w:drawing>
                <wp:inline distT="0" distB="0" distL="0" distR="0" wp14:anchorId="52FCAAA0" wp14:editId="422AA6AC">
                  <wp:extent cx="5033010" cy="3872230"/>
                  <wp:effectExtent l="0" t="0" r="0" b="0"/>
                  <wp:docPr id="30" name="Picture 30" descr="Comparison graphs of regulated and actual prices on call and line rental, basic line rental product - household, basic line rental - business, and connec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33010" cy="3872230"/>
                          </a:xfrm>
                          <a:prstGeom prst="rect">
                            <a:avLst/>
                          </a:prstGeom>
                          <a:noFill/>
                          <a:ln>
                            <a:noFill/>
                          </a:ln>
                        </pic:spPr>
                      </pic:pic>
                    </a:graphicData>
                  </a:graphic>
                </wp:inline>
              </w:drawing>
            </w:r>
          </w:p>
        </w:tc>
      </w:tr>
    </w:tbl>
    <w:p w:rsidR="00675046" w:rsidRDefault="00675046" w:rsidP="00675046">
      <w:pPr>
        <w:pStyle w:val="Source"/>
      </w:pPr>
      <w:proofErr w:type="gramStart"/>
      <w:r>
        <w:rPr>
          <w:i/>
        </w:rPr>
        <w:t>Data source</w:t>
      </w:r>
      <w:r w:rsidRPr="00A67576">
        <w:rPr>
          <w:i/>
        </w:rPr>
        <w:t>:</w:t>
      </w:r>
      <w:r>
        <w:t xml:space="preserve"> The CIE.</w:t>
      </w:r>
      <w:proofErr w:type="gramEnd"/>
    </w:p>
    <w:p w:rsidR="00051852" w:rsidRDefault="00051852" w:rsidP="00051852">
      <w:pPr>
        <w:pStyle w:val="BodyText"/>
        <w:rPr>
          <w:lang w:eastAsia="en-US"/>
        </w:rPr>
      </w:pPr>
      <w:r>
        <w:rPr>
          <w:lang w:eastAsia="en-US"/>
        </w:rPr>
        <w:t xml:space="preserve">Within basket 1, </w:t>
      </w:r>
      <w:r w:rsidR="00321D8B">
        <w:rPr>
          <w:lang w:eastAsia="en-US"/>
        </w:rPr>
        <w:t>prices for calls have rapidly reduced and prices for line rentals have gradually increased</w:t>
      </w:r>
      <w:r w:rsidR="00877813">
        <w:rPr>
          <w:lang w:eastAsia="en-US"/>
        </w:rPr>
        <w:t xml:space="preserve"> (table </w:t>
      </w:r>
      <w:r w:rsidR="00877813">
        <w:rPr>
          <w:lang w:eastAsia="en-US"/>
        </w:rPr>
        <w:fldChar w:fldCharType="begin"/>
      </w:r>
      <w:r w:rsidR="00877813">
        <w:rPr>
          <w:lang w:eastAsia="en-US"/>
        </w:rPr>
        <w:instrText xml:space="preserve"> REF _Caption3969 </w:instrText>
      </w:r>
      <w:r w:rsidR="00877813">
        <w:rPr>
          <w:lang w:eastAsia="en-US"/>
        </w:rPr>
        <w:fldChar w:fldCharType="separate"/>
      </w:r>
      <w:r w:rsidR="00304215">
        <w:rPr>
          <w:noProof/>
        </w:rPr>
        <w:t>3</w:t>
      </w:r>
      <w:r w:rsidR="00304215" w:rsidRPr="00695C93">
        <w:rPr>
          <w:noProof/>
        </w:rPr>
        <w:t>.</w:t>
      </w:r>
      <w:r w:rsidR="00304215">
        <w:rPr>
          <w:noProof/>
        </w:rPr>
        <w:t>2</w:t>
      </w:r>
      <w:r w:rsidR="00877813">
        <w:rPr>
          <w:lang w:eastAsia="en-US"/>
        </w:rPr>
        <w:fldChar w:fldCharType="end"/>
      </w:r>
      <w:r w:rsidR="00877813">
        <w:rPr>
          <w:lang w:eastAsia="en-US"/>
        </w:rPr>
        <w:t>)</w:t>
      </w:r>
      <w:r w:rsidR="00321D8B">
        <w:rPr>
          <w:lang w:eastAsia="en-US"/>
        </w:rPr>
        <w:t xml:space="preserve">. Note that there is considerable complexity in seeking to allocate revenues to alternative products as most people purchase bundles of telecommunications products (and </w:t>
      </w:r>
      <w:proofErr w:type="gramStart"/>
      <w:r w:rsidR="00321D8B">
        <w:rPr>
          <w:lang w:eastAsia="en-US"/>
        </w:rPr>
        <w:t>this also</w:t>
      </w:r>
      <w:proofErr w:type="gramEnd"/>
      <w:r w:rsidR="00321D8B">
        <w:rPr>
          <w:lang w:eastAsia="en-US"/>
        </w:rPr>
        <w:t xml:space="preserve"> often includes a broadband bundle).</w:t>
      </w:r>
      <w:r>
        <w:rPr>
          <w:lang w:eastAsia="en-US"/>
        </w:rPr>
        <w:t xml:space="preserve"> </w:t>
      </w:r>
      <w:r w:rsidR="00321D8B">
        <w:rPr>
          <w:lang w:eastAsia="en-US"/>
        </w:rPr>
        <w:t>This matches the finding that baskets 2 and 3 have increased at a rate more closely related to their caps than has basket 1.</w:t>
      </w:r>
    </w:p>
    <w:p w:rsidR="00321D8B" w:rsidRDefault="00321D8B" w:rsidP="00321D8B">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3</w:instrText>
        </w:r>
      </w:fldSimple>
      <w:r w:rsidRPr="00695C93">
        <w:instrText xml:space="preserve"> = 0 "" "</w:instrText>
      </w:r>
      <w:fldSimple w:instr=" STYLEREF &quot;Heading 1&quot; \l \n ">
        <w:r w:rsidR="00304215">
          <w:rPr>
            <w:noProof/>
          </w:rPr>
          <w:instrText>3</w:instrText>
        </w:r>
      </w:fldSimple>
      <w:r w:rsidRPr="00695C93">
        <w:instrText xml:space="preserve">." </w:instrText>
      </w:r>
      <w:r w:rsidRPr="00695C93">
        <w:fldChar w:fldCharType="separate"/>
      </w:r>
      <w:r w:rsidR="00304215">
        <w:rPr>
          <w:noProof/>
        </w:rPr>
        <w:instrText>3</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3</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3</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2</w:instrText>
      </w:r>
      <w:r w:rsidRPr="00695C93">
        <w:fldChar w:fldCharType="end"/>
      </w:r>
      <w:r w:rsidRPr="00695C93">
        <w:instrText xml:space="preserve">" "" </w:instrText>
      </w:r>
      <w:r w:rsidRPr="00695C93">
        <w:fldChar w:fldCharType="separate"/>
      </w:r>
      <w:bookmarkStart w:id="462" w:name="_Caption2640"/>
      <w:bookmarkStart w:id="463" w:name="_Caption5989"/>
      <w:bookmarkStart w:id="464" w:name="_Caption8370"/>
      <w:bookmarkStart w:id="465" w:name="_Caption6249"/>
      <w:bookmarkStart w:id="466" w:name="_Caption0182"/>
      <w:bookmarkStart w:id="467" w:name="_Caption0030"/>
      <w:bookmarkStart w:id="468" w:name="_Caption1100"/>
      <w:bookmarkStart w:id="469" w:name="_Caption1407"/>
      <w:bookmarkStart w:id="470" w:name="_Caption1006"/>
      <w:bookmarkStart w:id="471" w:name="_Caption0237"/>
      <w:bookmarkStart w:id="472" w:name="_Caption7889"/>
      <w:bookmarkStart w:id="473" w:name="_Caption7062"/>
      <w:bookmarkStart w:id="474" w:name="_Caption9717"/>
      <w:bookmarkStart w:id="475" w:name="_Caption3969"/>
      <w:bookmarkStart w:id="476" w:name="_Toc391972945"/>
      <w:r w:rsidR="00584F9A">
        <w:rPr>
          <w:noProof/>
        </w:rPr>
        <w:t>3</w:t>
      </w:r>
      <w:r w:rsidR="00584F9A" w:rsidRPr="00695C93">
        <w:rPr>
          <w:noProof/>
        </w:rPr>
        <w:t>.</w:t>
      </w:r>
      <w:r w:rsidR="00584F9A">
        <w:rPr>
          <w:noProof/>
        </w:rPr>
        <w:t>2</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695C93">
        <w:fldChar w:fldCharType="end"/>
      </w:r>
      <w:r w:rsidRPr="00695C93">
        <w:tab/>
      </w:r>
      <w:r>
        <w:t>Price changes in basket 1</w:t>
      </w:r>
      <w:bookmarkEnd w:id="476"/>
    </w:p>
    <w:tbl>
      <w:tblPr>
        <w:tblW w:w="7936" w:type="dxa"/>
        <w:tblInd w:w="57" w:type="dxa"/>
        <w:tblLook w:val="04A0" w:firstRow="1" w:lastRow="0" w:firstColumn="1" w:lastColumn="0" w:noHBand="0" w:noVBand="1"/>
      </w:tblPr>
      <w:tblGrid>
        <w:gridCol w:w="1831"/>
        <w:gridCol w:w="794"/>
        <w:gridCol w:w="914"/>
        <w:gridCol w:w="914"/>
        <w:gridCol w:w="874"/>
        <w:gridCol w:w="887"/>
        <w:gridCol w:w="861"/>
        <w:gridCol w:w="861"/>
      </w:tblGrid>
      <w:tr w:rsidR="00321D8B" w:rsidRPr="005C7B71" w:rsidTr="00321D8B">
        <w:trPr>
          <w:trHeight w:val="300"/>
        </w:trPr>
        <w:tc>
          <w:tcPr>
            <w:tcW w:w="1831" w:type="dxa"/>
            <w:shd w:val="clear" w:color="auto" w:fill="6F6652"/>
            <w:noWrap/>
            <w:tcMar>
              <w:left w:w="57" w:type="dxa"/>
              <w:right w:w="57" w:type="dxa"/>
            </w:tcMar>
            <w:hideMark/>
          </w:tcPr>
          <w:p w:rsidR="00321D8B" w:rsidRPr="005C7B71" w:rsidRDefault="00321D8B" w:rsidP="00321D8B">
            <w:pPr>
              <w:pStyle w:val="TableDataColumnHeading"/>
              <w:jc w:val="left"/>
            </w:pPr>
          </w:p>
        </w:tc>
        <w:tc>
          <w:tcPr>
            <w:tcW w:w="794" w:type="dxa"/>
            <w:shd w:val="clear" w:color="auto" w:fill="6F6652"/>
            <w:noWrap/>
            <w:tcMar>
              <w:left w:w="57" w:type="dxa"/>
              <w:right w:w="57" w:type="dxa"/>
            </w:tcMar>
            <w:hideMark/>
          </w:tcPr>
          <w:p w:rsidR="00321D8B" w:rsidRPr="005C7B71" w:rsidRDefault="00321D8B" w:rsidP="00321D8B">
            <w:pPr>
              <w:pStyle w:val="TableDataColumnHeading"/>
              <w:rPr>
                <w:bCs/>
              </w:rPr>
            </w:pPr>
            <w:r w:rsidRPr="005C7B71">
              <w:rPr>
                <w:bCs/>
              </w:rPr>
              <w:t>2006-07</w:t>
            </w:r>
          </w:p>
        </w:tc>
        <w:tc>
          <w:tcPr>
            <w:tcW w:w="914" w:type="dxa"/>
            <w:shd w:val="clear" w:color="auto" w:fill="6F6652"/>
            <w:noWrap/>
            <w:tcMar>
              <w:left w:w="57" w:type="dxa"/>
              <w:right w:w="57" w:type="dxa"/>
            </w:tcMar>
            <w:hideMark/>
          </w:tcPr>
          <w:p w:rsidR="00321D8B" w:rsidRPr="005C7B71" w:rsidRDefault="00321D8B" w:rsidP="00321D8B">
            <w:pPr>
              <w:pStyle w:val="TableDataColumnHeading"/>
              <w:rPr>
                <w:bCs/>
              </w:rPr>
            </w:pPr>
            <w:r w:rsidRPr="005C7B71">
              <w:rPr>
                <w:bCs/>
              </w:rPr>
              <w:t>2007-08</w:t>
            </w:r>
          </w:p>
        </w:tc>
        <w:tc>
          <w:tcPr>
            <w:tcW w:w="914" w:type="dxa"/>
            <w:shd w:val="clear" w:color="auto" w:fill="6F6652"/>
            <w:noWrap/>
            <w:tcMar>
              <w:left w:w="57" w:type="dxa"/>
              <w:right w:w="57" w:type="dxa"/>
            </w:tcMar>
            <w:hideMark/>
          </w:tcPr>
          <w:p w:rsidR="00321D8B" w:rsidRPr="005C7B71" w:rsidRDefault="00321D8B" w:rsidP="00321D8B">
            <w:pPr>
              <w:pStyle w:val="TableDataColumnHeading"/>
              <w:rPr>
                <w:bCs/>
              </w:rPr>
            </w:pPr>
            <w:r w:rsidRPr="005C7B71">
              <w:rPr>
                <w:bCs/>
              </w:rPr>
              <w:t>2008-09</w:t>
            </w:r>
          </w:p>
        </w:tc>
        <w:tc>
          <w:tcPr>
            <w:tcW w:w="874" w:type="dxa"/>
            <w:shd w:val="clear" w:color="auto" w:fill="6F6652"/>
            <w:noWrap/>
            <w:tcMar>
              <w:left w:w="57" w:type="dxa"/>
              <w:right w:w="57" w:type="dxa"/>
            </w:tcMar>
            <w:hideMark/>
          </w:tcPr>
          <w:p w:rsidR="00321D8B" w:rsidRPr="005C7B71" w:rsidRDefault="00321D8B" w:rsidP="00321D8B">
            <w:pPr>
              <w:pStyle w:val="TableDataColumnHeading"/>
              <w:rPr>
                <w:bCs/>
              </w:rPr>
            </w:pPr>
            <w:r w:rsidRPr="005C7B71">
              <w:rPr>
                <w:bCs/>
              </w:rPr>
              <w:t>2009-10</w:t>
            </w:r>
          </w:p>
        </w:tc>
        <w:tc>
          <w:tcPr>
            <w:tcW w:w="887" w:type="dxa"/>
            <w:shd w:val="clear" w:color="auto" w:fill="6F6652"/>
            <w:noWrap/>
            <w:tcMar>
              <w:left w:w="57" w:type="dxa"/>
              <w:right w:w="57" w:type="dxa"/>
            </w:tcMar>
            <w:hideMark/>
          </w:tcPr>
          <w:p w:rsidR="00321D8B" w:rsidRPr="005C7B71" w:rsidRDefault="00321D8B" w:rsidP="00321D8B">
            <w:pPr>
              <w:pStyle w:val="TableDataColumnHeading"/>
              <w:rPr>
                <w:bCs/>
              </w:rPr>
            </w:pPr>
            <w:r w:rsidRPr="005C7B71">
              <w:rPr>
                <w:bCs/>
              </w:rPr>
              <w:t>2010-11</w:t>
            </w:r>
          </w:p>
        </w:tc>
        <w:tc>
          <w:tcPr>
            <w:tcW w:w="861" w:type="dxa"/>
            <w:shd w:val="clear" w:color="auto" w:fill="6F6652"/>
            <w:noWrap/>
            <w:tcMar>
              <w:left w:w="57" w:type="dxa"/>
              <w:right w:w="57" w:type="dxa"/>
            </w:tcMar>
            <w:hideMark/>
          </w:tcPr>
          <w:p w:rsidR="00321D8B" w:rsidRPr="005C7B71" w:rsidRDefault="00321D8B" w:rsidP="00321D8B">
            <w:pPr>
              <w:pStyle w:val="TableDataColumnHeading"/>
              <w:rPr>
                <w:bCs/>
              </w:rPr>
            </w:pPr>
            <w:r w:rsidRPr="005C7B71">
              <w:rPr>
                <w:bCs/>
              </w:rPr>
              <w:t>2011-12</w:t>
            </w:r>
          </w:p>
        </w:tc>
        <w:tc>
          <w:tcPr>
            <w:tcW w:w="861" w:type="dxa"/>
            <w:shd w:val="clear" w:color="auto" w:fill="6F6652"/>
            <w:noWrap/>
            <w:tcMar>
              <w:left w:w="57" w:type="dxa"/>
              <w:right w:w="57" w:type="dxa"/>
            </w:tcMar>
            <w:hideMark/>
          </w:tcPr>
          <w:p w:rsidR="00321D8B" w:rsidRPr="005C7B71" w:rsidRDefault="00321D8B" w:rsidP="00321D8B">
            <w:pPr>
              <w:pStyle w:val="TableDataColumnHeading"/>
              <w:rPr>
                <w:bCs/>
              </w:rPr>
            </w:pPr>
            <w:r w:rsidRPr="005C7B71">
              <w:rPr>
                <w:bCs/>
              </w:rPr>
              <w:t>2012-13</w:t>
            </w:r>
          </w:p>
        </w:tc>
      </w:tr>
      <w:tr w:rsidR="00321D8B" w:rsidRPr="005C7B71" w:rsidTr="005C7B71">
        <w:trPr>
          <w:trHeight w:val="300"/>
        </w:trPr>
        <w:tc>
          <w:tcPr>
            <w:tcW w:w="1831" w:type="dxa"/>
            <w:tcBorders>
              <w:bottom w:val="single" w:sz="8" w:space="0" w:color="FFFFFF" w:themeColor="background1"/>
            </w:tcBorders>
            <w:shd w:val="clear" w:color="auto" w:fill="auto"/>
            <w:noWrap/>
            <w:tcMar>
              <w:left w:w="57" w:type="dxa"/>
              <w:right w:w="57" w:type="dxa"/>
            </w:tcMar>
          </w:tcPr>
          <w:p w:rsidR="00321D8B" w:rsidRPr="005C7B71" w:rsidRDefault="00321D8B" w:rsidP="005C7B71">
            <w:pPr>
              <w:pStyle w:val="TableDataEntries"/>
            </w:pPr>
          </w:p>
        </w:tc>
        <w:tc>
          <w:tcPr>
            <w:tcW w:w="794" w:type="dxa"/>
            <w:tcBorders>
              <w:bottom w:val="single" w:sz="8" w:space="0" w:color="FFFFFF" w:themeColor="background1"/>
            </w:tcBorders>
            <w:shd w:val="clear" w:color="auto" w:fill="auto"/>
            <w:noWrap/>
            <w:tcMar>
              <w:left w:w="57" w:type="dxa"/>
              <w:right w:w="57" w:type="dxa"/>
            </w:tcMar>
          </w:tcPr>
          <w:p w:rsidR="00321D8B" w:rsidRPr="005C7B71" w:rsidRDefault="00321D8B" w:rsidP="005C7B71">
            <w:pPr>
              <w:pStyle w:val="TableDataEntries"/>
              <w:rPr>
                <w:bCs/>
              </w:rPr>
            </w:pPr>
            <w:r w:rsidRPr="005C7B71">
              <w:rPr>
                <w:bCs/>
              </w:rPr>
              <w:t>Per cent</w:t>
            </w:r>
          </w:p>
        </w:tc>
        <w:tc>
          <w:tcPr>
            <w:tcW w:w="914" w:type="dxa"/>
            <w:tcBorders>
              <w:bottom w:val="single" w:sz="8" w:space="0" w:color="FFFFFF" w:themeColor="background1"/>
            </w:tcBorders>
            <w:shd w:val="clear" w:color="auto" w:fill="auto"/>
            <w:noWrap/>
            <w:tcMar>
              <w:left w:w="57" w:type="dxa"/>
              <w:right w:w="57" w:type="dxa"/>
            </w:tcMar>
          </w:tcPr>
          <w:p w:rsidR="00321D8B" w:rsidRPr="005C7B71" w:rsidRDefault="00321D8B" w:rsidP="005C7B71">
            <w:pPr>
              <w:pStyle w:val="TableDataEntries"/>
              <w:rPr>
                <w:bCs/>
              </w:rPr>
            </w:pPr>
            <w:r w:rsidRPr="005C7B71">
              <w:rPr>
                <w:bCs/>
              </w:rPr>
              <w:t>Per cent</w:t>
            </w:r>
          </w:p>
        </w:tc>
        <w:tc>
          <w:tcPr>
            <w:tcW w:w="914" w:type="dxa"/>
            <w:tcBorders>
              <w:bottom w:val="single" w:sz="8" w:space="0" w:color="FFFFFF" w:themeColor="background1"/>
            </w:tcBorders>
            <w:shd w:val="clear" w:color="auto" w:fill="auto"/>
            <w:noWrap/>
            <w:tcMar>
              <w:left w:w="57" w:type="dxa"/>
              <w:right w:w="57" w:type="dxa"/>
            </w:tcMar>
          </w:tcPr>
          <w:p w:rsidR="00321D8B" w:rsidRPr="005C7B71" w:rsidRDefault="00321D8B" w:rsidP="005C7B71">
            <w:pPr>
              <w:pStyle w:val="TableDataEntries"/>
              <w:rPr>
                <w:bCs/>
              </w:rPr>
            </w:pPr>
            <w:r w:rsidRPr="005C7B71">
              <w:rPr>
                <w:bCs/>
              </w:rPr>
              <w:t>Per cent</w:t>
            </w:r>
          </w:p>
        </w:tc>
        <w:tc>
          <w:tcPr>
            <w:tcW w:w="874" w:type="dxa"/>
            <w:tcBorders>
              <w:bottom w:val="single" w:sz="8" w:space="0" w:color="FFFFFF" w:themeColor="background1"/>
            </w:tcBorders>
            <w:shd w:val="clear" w:color="auto" w:fill="auto"/>
            <w:noWrap/>
            <w:tcMar>
              <w:left w:w="57" w:type="dxa"/>
              <w:right w:w="57" w:type="dxa"/>
            </w:tcMar>
          </w:tcPr>
          <w:p w:rsidR="00321D8B" w:rsidRPr="005C7B71" w:rsidRDefault="00321D8B" w:rsidP="005C7B71">
            <w:pPr>
              <w:pStyle w:val="TableDataEntries"/>
              <w:rPr>
                <w:bCs/>
              </w:rPr>
            </w:pPr>
            <w:r w:rsidRPr="005C7B71">
              <w:rPr>
                <w:bCs/>
              </w:rPr>
              <w:t>Per cent</w:t>
            </w:r>
          </w:p>
        </w:tc>
        <w:tc>
          <w:tcPr>
            <w:tcW w:w="887" w:type="dxa"/>
            <w:tcBorders>
              <w:bottom w:val="single" w:sz="8" w:space="0" w:color="FFFFFF" w:themeColor="background1"/>
            </w:tcBorders>
            <w:shd w:val="clear" w:color="auto" w:fill="auto"/>
            <w:noWrap/>
            <w:tcMar>
              <w:left w:w="57" w:type="dxa"/>
              <w:right w:w="57" w:type="dxa"/>
            </w:tcMar>
          </w:tcPr>
          <w:p w:rsidR="00321D8B" w:rsidRPr="005C7B71" w:rsidRDefault="00321D8B" w:rsidP="005C7B71">
            <w:pPr>
              <w:pStyle w:val="TableDataEntries"/>
              <w:rPr>
                <w:bCs/>
              </w:rPr>
            </w:pPr>
            <w:r w:rsidRPr="005C7B71">
              <w:rPr>
                <w:bCs/>
              </w:rPr>
              <w:t>Per cent</w:t>
            </w:r>
          </w:p>
        </w:tc>
        <w:tc>
          <w:tcPr>
            <w:tcW w:w="861" w:type="dxa"/>
            <w:tcBorders>
              <w:bottom w:val="single" w:sz="8" w:space="0" w:color="FFFFFF" w:themeColor="background1"/>
            </w:tcBorders>
            <w:shd w:val="clear" w:color="auto" w:fill="auto"/>
            <w:noWrap/>
            <w:tcMar>
              <w:left w:w="57" w:type="dxa"/>
              <w:right w:w="57" w:type="dxa"/>
            </w:tcMar>
          </w:tcPr>
          <w:p w:rsidR="00321D8B" w:rsidRPr="005C7B71" w:rsidRDefault="00321D8B" w:rsidP="005C7B71">
            <w:pPr>
              <w:pStyle w:val="TableDataEntries"/>
              <w:rPr>
                <w:bCs/>
              </w:rPr>
            </w:pPr>
            <w:r w:rsidRPr="005C7B71">
              <w:rPr>
                <w:bCs/>
              </w:rPr>
              <w:t>Per cent</w:t>
            </w:r>
          </w:p>
        </w:tc>
        <w:tc>
          <w:tcPr>
            <w:tcW w:w="861" w:type="dxa"/>
            <w:tcBorders>
              <w:bottom w:val="single" w:sz="8" w:space="0" w:color="FFFFFF" w:themeColor="background1"/>
            </w:tcBorders>
            <w:shd w:val="clear" w:color="auto" w:fill="auto"/>
            <w:noWrap/>
            <w:tcMar>
              <w:left w:w="57" w:type="dxa"/>
              <w:right w:w="57" w:type="dxa"/>
            </w:tcMar>
          </w:tcPr>
          <w:p w:rsidR="00321D8B" w:rsidRPr="005C7B71" w:rsidRDefault="00321D8B" w:rsidP="005C7B71">
            <w:pPr>
              <w:pStyle w:val="TableDataEntries"/>
              <w:rPr>
                <w:bCs/>
              </w:rPr>
            </w:pPr>
            <w:r w:rsidRPr="005C7B71">
              <w:rPr>
                <w:bCs/>
              </w:rPr>
              <w:t>Per cent</w:t>
            </w:r>
          </w:p>
        </w:tc>
      </w:tr>
      <w:tr w:rsidR="00321D8B" w:rsidRPr="00321D8B" w:rsidTr="005C7B71">
        <w:trPr>
          <w:trHeight w:val="300"/>
        </w:trPr>
        <w:tc>
          <w:tcPr>
            <w:tcW w:w="183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jc w:val="left"/>
            </w:pPr>
            <w:r w:rsidRPr="00321D8B">
              <w:t>Local calls</w:t>
            </w:r>
          </w:p>
        </w:tc>
        <w:tc>
          <w:tcPr>
            <w:tcW w:w="7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-6.5</w:t>
            </w:r>
          </w:p>
        </w:tc>
        <w:tc>
          <w:tcPr>
            <w:tcW w:w="91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-0.2</w:t>
            </w:r>
          </w:p>
        </w:tc>
        <w:tc>
          <w:tcPr>
            <w:tcW w:w="91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2.6</w:t>
            </w:r>
          </w:p>
        </w:tc>
        <w:tc>
          <w:tcPr>
            <w:tcW w:w="8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-0.8</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-28.3</w:t>
            </w:r>
          </w:p>
        </w:tc>
        <w:tc>
          <w:tcPr>
            <w:tcW w:w="8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-6.8</w:t>
            </w:r>
          </w:p>
        </w:tc>
        <w:tc>
          <w:tcPr>
            <w:tcW w:w="8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-2.5</w:t>
            </w:r>
          </w:p>
        </w:tc>
      </w:tr>
      <w:tr w:rsidR="00321D8B" w:rsidRPr="00321D8B" w:rsidTr="005C7B71">
        <w:trPr>
          <w:trHeight w:val="300"/>
        </w:trPr>
        <w:tc>
          <w:tcPr>
            <w:tcW w:w="183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jc w:val="left"/>
            </w:pPr>
            <w:r w:rsidRPr="00321D8B">
              <w:t>Trunk calls</w:t>
            </w:r>
          </w:p>
        </w:tc>
        <w:tc>
          <w:tcPr>
            <w:tcW w:w="7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-6.2</w:t>
            </w:r>
          </w:p>
        </w:tc>
        <w:tc>
          <w:tcPr>
            <w:tcW w:w="91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-1.1</w:t>
            </w:r>
          </w:p>
        </w:tc>
        <w:tc>
          <w:tcPr>
            <w:tcW w:w="91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1.6</w:t>
            </w:r>
          </w:p>
        </w:tc>
        <w:tc>
          <w:tcPr>
            <w:tcW w:w="8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-0.1</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-16.9</w:t>
            </w:r>
          </w:p>
        </w:tc>
        <w:tc>
          <w:tcPr>
            <w:tcW w:w="8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-6.3</w:t>
            </w:r>
          </w:p>
        </w:tc>
        <w:tc>
          <w:tcPr>
            <w:tcW w:w="8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-13.3</w:t>
            </w:r>
          </w:p>
        </w:tc>
      </w:tr>
      <w:tr w:rsidR="00321D8B" w:rsidRPr="00321D8B" w:rsidTr="005C7B71">
        <w:trPr>
          <w:trHeight w:val="300"/>
        </w:trPr>
        <w:tc>
          <w:tcPr>
            <w:tcW w:w="183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jc w:val="left"/>
            </w:pPr>
            <w:r w:rsidRPr="00321D8B">
              <w:t>International calls</w:t>
            </w:r>
          </w:p>
        </w:tc>
        <w:tc>
          <w:tcPr>
            <w:tcW w:w="7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-8.3</w:t>
            </w:r>
          </w:p>
        </w:tc>
        <w:tc>
          <w:tcPr>
            <w:tcW w:w="91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-3.1</w:t>
            </w:r>
          </w:p>
        </w:tc>
        <w:tc>
          <w:tcPr>
            <w:tcW w:w="91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-1.4</w:t>
            </w:r>
          </w:p>
        </w:tc>
        <w:tc>
          <w:tcPr>
            <w:tcW w:w="8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-10.1</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-13.9</w:t>
            </w:r>
          </w:p>
        </w:tc>
        <w:tc>
          <w:tcPr>
            <w:tcW w:w="8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-12.3</w:t>
            </w:r>
          </w:p>
        </w:tc>
        <w:tc>
          <w:tcPr>
            <w:tcW w:w="8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-20.7</w:t>
            </w:r>
          </w:p>
        </w:tc>
      </w:tr>
      <w:tr w:rsidR="00321D8B" w:rsidRPr="00321D8B" w:rsidTr="005C7B71">
        <w:trPr>
          <w:trHeight w:val="300"/>
        </w:trPr>
        <w:tc>
          <w:tcPr>
            <w:tcW w:w="183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jc w:val="left"/>
            </w:pPr>
            <w:r w:rsidRPr="00321D8B">
              <w:t xml:space="preserve">Line rental </w:t>
            </w:r>
          </w:p>
        </w:tc>
        <w:tc>
          <w:tcPr>
            <w:tcW w:w="7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-1.5</w:t>
            </w:r>
          </w:p>
        </w:tc>
        <w:tc>
          <w:tcPr>
            <w:tcW w:w="91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-0.9</w:t>
            </w:r>
          </w:p>
        </w:tc>
        <w:tc>
          <w:tcPr>
            <w:tcW w:w="91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1.3</w:t>
            </w:r>
          </w:p>
        </w:tc>
        <w:tc>
          <w:tcPr>
            <w:tcW w:w="8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-0.7</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12.5</w:t>
            </w:r>
          </w:p>
        </w:tc>
        <w:tc>
          <w:tcPr>
            <w:tcW w:w="8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3.7</w:t>
            </w:r>
          </w:p>
        </w:tc>
        <w:tc>
          <w:tcPr>
            <w:tcW w:w="8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21D8B" w:rsidRPr="00321D8B" w:rsidRDefault="00321D8B" w:rsidP="00321D8B">
            <w:pPr>
              <w:pStyle w:val="TableDataEntries"/>
            </w:pPr>
            <w:r w:rsidRPr="00321D8B">
              <w:t>3.0</w:t>
            </w:r>
          </w:p>
        </w:tc>
      </w:tr>
      <w:tr w:rsidR="00321D8B" w:rsidRPr="00BE0A38" w:rsidTr="00F37D93">
        <w:trPr>
          <w:trHeight w:val="64"/>
        </w:trPr>
        <w:tc>
          <w:tcPr>
            <w:tcW w:w="183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rsidR="00321D8B" w:rsidRPr="00BE0A38" w:rsidRDefault="00321D8B" w:rsidP="00F37D93">
            <w:pPr>
              <w:pStyle w:val="TableDataEntries"/>
              <w:spacing w:before="80" w:after="0" w:line="240" w:lineRule="auto"/>
              <w:jc w:val="left"/>
              <w:rPr>
                <w:rFonts w:ascii="Franklin Gothic Demi" w:hAnsi="Franklin Gothic Demi"/>
              </w:rPr>
            </w:pPr>
            <w:r w:rsidRPr="00BE0A38">
              <w:rPr>
                <w:rFonts w:ascii="Franklin Gothic Demi" w:hAnsi="Franklin Gothic Demi"/>
              </w:rPr>
              <w:t xml:space="preserve">Total </w:t>
            </w:r>
          </w:p>
        </w:tc>
        <w:tc>
          <w:tcPr>
            <w:tcW w:w="79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rsidR="00321D8B" w:rsidRPr="00BE0A38" w:rsidRDefault="00321D8B" w:rsidP="00F37D93">
            <w:pPr>
              <w:pStyle w:val="TableDataEntries"/>
              <w:spacing w:before="80" w:after="0" w:line="240" w:lineRule="auto"/>
              <w:rPr>
                <w:rFonts w:ascii="Franklin Gothic Demi" w:hAnsi="Franklin Gothic Demi"/>
                <w:bCs/>
              </w:rPr>
            </w:pPr>
            <w:r w:rsidRPr="00BE0A38">
              <w:rPr>
                <w:rFonts w:ascii="Franklin Gothic Demi" w:hAnsi="Franklin Gothic Demi"/>
                <w:bCs/>
              </w:rPr>
              <w:t>-4.2</w:t>
            </w:r>
          </w:p>
        </w:tc>
        <w:tc>
          <w:tcPr>
            <w:tcW w:w="91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rsidR="00321D8B" w:rsidRPr="00BE0A38" w:rsidRDefault="00321D8B" w:rsidP="00F37D93">
            <w:pPr>
              <w:pStyle w:val="TableDataEntries"/>
              <w:spacing w:before="80" w:after="0" w:line="240" w:lineRule="auto"/>
              <w:rPr>
                <w:rFonts w:ascii="Franklin Gothic Demi" w:hAnsi="Franklin Gothic Demi"/>
                <w:bCs/>
              </w:rPr>
            </w:pPr>
            <w:r w:rsidRPr="00BE0A38">
              <w:rPr>
                <w:rFonts w:ascii="Franklin Gothic Demi" w:hAnsi="Franklin Gothic Demi"/>
                <w:bCs/>
              </w:rPr>
              <w:t>-0.1</w:t>
            </w:r>
          </w:p>
        </w:tc>
        <w:tc>
          <w:tcPr>
            <w:tcW w:w="91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rsidR="00321D8B" w:rsidRPr="00BE0A38" w:rsidRDefault="00321D8B" w:rsidP="00F37D93">
            <w:pPr>
              <w:pStyle w:val="TableDataEntries"/>
              <w:spacing w:before="80" w:after="0" w:line="240" w:lineRule="auto"/>
              <w:rPr>
                <w:rFonts w:ascii="Franklin Gothic Demi" w:hAnsi="Franklin Gothic Demi"/>
                <w:bCs/>
              </w:rPr>
            </w:pPr>
            <w:r w:rsidRPr="00BE0A38">
              <w:rPr>
                <w:rFonts w:ascii="Franklin Gothic Demi" w:hAnsi="Franklin Gothic Demi"/>
                <w:bCs/>
              </w:rPr>
              <w:t>1.5</w:t>
            </w:r>
          </w:p>
        </w:tc>
        <w:tc>
          <w:tcPr>
            <w:tcW w:w="87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rsidR="00321D8B" w:rsidRPr="00BE0A38" w:rsidRDefault="00321D8B" w:rsidP="00F37D93">
            <w:pPr>
              <w:pStyle w:val="TableDataEntries"/>
              <w:spacing w:before="80" w:after="0" w:line="240" w:lineRule="auto"/>
              <w:rPr>
                <w:rFonts w:ascii="Franklin Gothic Demi" w:hAnsi="Franklin Gothic Demi"/>
                <w:bCs/>
              </w:rPr>
            </w:pPr>
            <w:r w:rsidRPr="00BE0A38">
              <w:rPr>
                <w:rFonts w:ascii="Franklin Gothic Demi" w:hAnsi="Franklin Gothic Demi"/>
                <w:bCs/>
              </w:rPr>
              <w:t>-0.9</w:t>
            </w:r>
          </w:p>
        </w:tc>
        <w:tc>
          <w:tcPr>
            <w:tcW w:w="88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rsidR="00321D8B" w:rsidRPr="00BE0A38" w:rsidRDefault="00321D8B" w:rsidP="00F37D93">
            <w:pPr>
              <w:pStyle w:val="TableDataEntries"/>
              <w:spacing w:before="80" w:after="0" w:line="240" w:lineRule="auto"/>
              <w:rPr>
                <w:rFonts w:ascii="Franklin Gothic Demi" w:hAnsi="Franklin Gothic Demi"/>
                <w:bCs/>
              </w:rPr>
            </w:pPr>
            <w:r w:rsidRPr="00BE0A38">
              <w:rPr>
                <w:rFonts w:ascii="Franklin Gothic Demi" w:hAnsi="Franklin Gothic Demi"/>
                <w:bCs/>
              </w:rPr>
              <w:t>-3.6</w:t>
            </w:r>
          </w:p>
        </w:tc>
        <w:tc>
          <w:tcPr>
            <w:tcW w:w="86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rsidR="00321D8B" w:rsidRPr="00BE0A38" w:rsidRDefault="00321D8B" w:rsidP="00F37D93">
            <w:pPr>
              <w:pStyle w:val="TableDataEntries"/>
              <w:spacing w:before="80" w:after="0" w:line="240" w:lineRule="auto"/>
              <w:rPr>
                <w:rFonts w:ascii="Franklin Gothic Demi" w:hAnsi="Franklin Gothic Demi"/>
                <w:bCs/>
              </w:rPr>
            </w:pPr>
            <w:r w:rsidRPr="00BE0A38">
              <w:rPr>
                <w:rFonts w:ascii="Franklin Gothic Demi" w:hAnsi="Franklin Gothic Demi"/>
                <w:bCs/>
              </w:rPr>
              <w:t>-0.8</w:t>
            </w:r>
          </w:p>
        </w:tc>
        <w:tc>
          <w:tcPr>
            <w:tcW w:w="86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rsidR="00321D8B" w:rsidRPr="00BE0A38" w:rsidRDefault="00321D8B" w:rsidP="00F37D93">
            <w:pPr>
              <w:pStyle w:val="TableDataEntries"/>
              <w:spacing w:before="80" w:after="0" w:line="240" w:lineRule="auto"/>
              <w:rPr>
                <w:rFonts w:ascii="Franklin Gothic Demi" w:hAnsi="Franklin Gothic Demi"/>
                <w:bCs/>
              </w:rPr>
            </w:pPr>
            <w:r w:rsidRPr="00BE0A38">
              <w:rPr>
                <w:rFonts w:ascii="Franklin Gothic Demi" w:hAnsi="Franklin Gothic Demi"/>
                <w:bCs/>
              </w:rPr>
              <w:t>-2.7</w:t>
            </w:r>
          </w:p>
        </w:tc>
      </w:tr>
    </w:tbl>
    <w:p w:rsidR="00321D8B" w:rsidRDefault="00321D8B" w:rsidP="00321D8B">
      <w:pPr>
        <w:pStyle w:val="Source"/>
      </w:pPr>
      <w:proofErr w:type="gramStart"/>
      <w:r>
        <w:rPr>
          <w:i/>
        </w:rPr>
        <w:t>Source</w:t>
      </w:r>
      <w:r w:rsidRPr="00E4232C">
        <w:rPr>
          <w:i/>
        </w:rPr>
        <w:t>:</w:t>
      </w:r>
      <w:r>
        <w:t xml:space="preserve"> ACCC compliance reports.</w:t>
      </w:r>
      <w:proofErr w:type="gramEnd"/>
    </w:p>
    <w:p w:rsidR="00321D8B" w:rsidRPr="00051852" w:rsidRDefault="00321D8B" w:rsidP="00321D8B">
      <w:pPr>
        <w:pStyle w:val="KeyPoint"/>
      </w:pPr>
      <w:r>
        <w:t xml:space="preserve">Price caps for each of the four baskets have had no impact on Telstra’s prices over the period 2012 onwards. </w:t>
      </w:r>
      <w:proofErr w:type="gramStart"/>
      <w:r>
        <w:t>This is evidenced by Telstra charging prices below the allowable price caps</w:t>
      </w:r>
      <w:proofErr w:type="gramEnd"/>
      <w:r>
        <w:t>.</w:t>
      </w:r>
    </w:p>
    <w:p w:rsidR="00675046" w:rsidRDefault="00675046" w:rsidP="00675046">
      <w:pPr>
        <w:pStyle w:val="Heading3"/>
      </w:pPr>
      <w:r>
        <w:lastRenderedPageBreak/>
        <w:t>Would Telstra have charged different prices in regional areas?</w:t>
      </w:r>
    </w:p>
    <w:p w:rsidR="00321D8B" w:rsidRPr="00321D8B" w:rsidRDefault="00321D8B" w:rsidP="00321D8B">
      <w:pPr>
        <w:pStyle w:val="BodyText"/>
      </w:pPr>
      <w:r>
        <w:t xml:space="preserve">The retail price controls also include a number of side constraints, outside of the price controls applying to the four identified baskets of services. The most important of these side constraints is the requirement that regional areas </w:t>
      </w:r>
      <w:proofErr w:type="gramStart"/>
      <w:r>
        <w:t>are charged</w:t>
      </w:r>
      <w:proofErr w:type="gramEnd"/>
      <w:r>
        <w:t xml:space="preserve"> a price equal to or below that in metropolitan areas.</w:t>
      </w:r>
    </w:p>
    <w:p w:rsidR="00675046" w:rsidRDefault="00321D8B" w:rsidP="00675046">
      <w:pPr>
        <w:pStyle w:val="BodyText"/>
      </w:pPr>
      <w:r>
        <w:t>T</w:t>
      </w:r>
      <w:r w:rsidR="00675046">
        <w:t xml:space="preserve">he above charts suggest that overall the price caps have not constrained </w:t>
      </w:r>
      <w:proofErr w:type="gramStart"/>
      <w:r w:rsidR="00675046">
        <w:t>Telstra’s</w:t>
      </w:r>
      <w:proofErr w:type="gramEnd"/>
      <w:r w:rsidR="00675046">
        <w:t xml:space="preserve"> pricing decisions. However, it is possible that in areas where there is less competition – such as regional areas</w:t>
      </w:r>
      <w:r>
        <w:t xml:space="preserve"> — prices may have moved differently in the absence of price caps</w:t>
      </w:r>
      <w:r w:rsidR="00675046">
        <w:t>. This raises the possibility that prices for some services may have been higher in some areas in the absence of the price controls.</w:t>
      </w:r>
    </w:p>
    <w:p w:rsidR="00675046" w:rsidRDefault="00675046" w:rsidP="00675046">
      <w:pPr>
        <w:pStyle w:val="BodyText"/>
      </w:pPr>
      <w:r>
        <w:t xml:space="preserve">Telstra </w:t>
      </w:r>
      <w:r w:rsidR="00321D8B">
        <w:t xml:space="preserve">has </w:t>
      </w:r>
      <w:r>
        <w:t>argued that there are commercial reasons why they would charge a uniform price across the country, even in the absence of the price controls. In particular, differential regional pricing would increase the complexity of its operation and therefore impose higher administrative costs, for minimal benefit.</w:t>
      </w:r>
    </w:p>
    <w:p w:rsidR="007913CA" w:rsidRDefault="007913CA" w:rsidP="00675046">
      <w:pPr>
        <w:pStyle w:val="BodyText"/>
      </w:pPr>
      <w:r>
        <w:t xml:space="preserve">While it is not possible to </w:t>
      </w:r>
      <w:r w:rsidR="006B5AF3">
        <w:t>know the counterfactual with certainty, we test this argument against evidence from a range of sources.</w:t>
      </w:r>
      <w:r w:rsidR="00321D8B">
        <w:t xml:space="preserve"> Our view is that few telecommunications operators seek </w:t>
      </w:r>
      <w:proofErr w:type="gramStart"/>
      <w:r w:rsidR="00321D8B">
        <w:t>to regionally differentiate</w:t>
      </w:r>
      <w:proofErr w:type="gramEnd"/>
      <w:r w:rsidR="00321D8B">
        <w:t xml:space="preserve"> prices, either in Australia or around the world. </w:t>
      </w:r>
      <w:r w:rsidR="00877813">
        <w:t xml:space="preserve">This is despite variations in costs. </w:t>
      </w:r>
      <w:r w:rsidR="00321D8B">
        <w:t>Nor does Telstra differentiate where it has the ability to do so. For these reasons, we consider it reasonable that Telstra would have continued to maintain nationally consistent pricing in the absence of retail price controls.</w:t>
      </w:r>
    </w:p>
    <w:p w:rsidR="00321D8B" w:rsidRDefault="00321D8B" w:rsidP="00675046">
      <w:pPr>
        <w:pStyle w:val="BodyText"/>
      </w:pPr>
      <w:r>
        <w:t xml:space="preserve">We also note that costs of providing services are very different across different geographic areas </w:t>
      </w:r>
      <w:r w:rsidR="004603A4">
        <w:t xml:space="preserve">of Australia </w:t>
      </w:r>
      <w:r>
        <w:t xml:space="preserve">(Attachment B, prepared by </w:t>
      </w:r>
      <w:proofErr w:type="spellStart"/>
      <w:r>
        <w:t>Analysys</w:t>
      </w:r>
      <w:proofErr w:type="spellEnd"/>
      <w:r>
        <w:t xml:space="preserve"> Mason). </w:t>
      </w:r>
      <w:proofErr w:type="gramStart"/>
      <w:r>
        <w:t>Hence</w:t>
      </w:r>
      <w:proofErr w:type="gramEnd"/>
      <w:r>
        <w:t xml:space="preserve"> if Telstra did deviate from national pricing, this</w:t>
      </w:r>
      <w:r w:rsidR="004603A4">
        <w:t xml:space="preserve"> would likely make prices more closely aligned to costs rather than reflecting the use of market power</w:t>
      </w:r>
      <w:r>
        <w:t>.</w:t>
      </w:r>
      <w:r w:rsidR="00877813">
        <w:t xml:space="preserve"> </w:t>
      </w:r>
    </w:p>
    <w:p w:rsidR="00953CB3" w:rsidRDefault="00877813" w:rsidP="00953CB3">
      <w:pPr>
        <w:pStyle w:val="Heading4"/>
      </w:pPr>
      <w:r>
        <w:t xml:space="preserve">Pricing </w:t>
      </w:r>
      <w:r w:rsidR="009E1AEA">
        <w:t>of</w:t>
      </w:r>
      <w:r>
        <w:t xml:space="preserve"> other telecommunic</w:t>
      </w:r>
      <w:r w:rsidR="009E1AEA">
        <w:t>ations services in Australia</w:t>
      </w:r>
    </w:p>
    <w:p w:rsidR="009E1AEA" w:rsidRDefault="009E1AEA" w:rsidP="009E1AEA">
      <w:pPr>
        <w:pStyle w:val="BodyText"/>
      </w:pPr>
      <w:r>
        <w:t>The pricing behaviour of other telecommunications that operate in the Australian market may provide an indication of the likelihood that Telstra would have charged a uniform national price in the absence of the price controls. We examined the pricing policies of 16 telecommunications companies (as set out in table </w:t>
      </w:r>
      <w:fldSimple w:instr=" REF _Caption6604 ">
        <w:r w:rsidR="00304215">
          <w:rPr>
            <w:noProof/>
          </w:rPr>
          <w:t>3</w:t>
        </w:r>
        <w:r w:rsidR="00304215" w:rsidRPr="00695C93">
          <w:rPr>
            <w:noProof/>
          </w:rPr>
          <w:t>.</w:t>
        </w:r>
        <w:r w:rsidR="00304215">
          <w:rPr>
            <w:noProof/>
          </w:rPr>
          <w:t>3</w:t>
        </w:r>
      </w:fldSimple>
      <w:r>
        <w:t>) and found that in all cases, these companies charged uniform prices for fixed line voice services within their network/coverage area (table </w:t>
      </w:r>
      <w:fldSimple w:instr=" REF _Caption6604 ">
        <w:r w:rsidR="00304215">
          <w:rPr>
            <w:noProof/>
          </w:rPr>
          <w:t>3</w:t>
        </w:r>
        <w:r w:rsidR="00304215" w:rsidRPr="00695C93">
          <w:rPr>
            <w:noProof/>
          </w:rPr>
          <w:t>.</w:t>
        </w:r>
        <w:r w:rsidR="00304215">
          <w:rPr>
            <w:noProof/>
          </w:rPr>
          <w:t>3</w:t>
        </w:r>
      </w:fldSimple>
      <w:r>
        <w:t>).</w:t>
      </w:r>
    </w:p>
    <w:p w:rsidR="009E1AEA" w:rsidRDefault="009E1AEA" w:rsidP="009E1AEA">
      <w:pPr>
        <w:pStyle w:val="BodyText"/>
      </w:pPr>
      <w:r>
        <w:t>All companies provide the same price for fixed line voice services. This provides support for Telstra’s argument that they would apply uniform national prices even without the price controls. However, there are some caveats.</w:t>
      </w:r>
    </w:p>
    <w:p w:rsidR="009E1AEA" w:rsidRDefault="009E1AEA" w:rsidP="009E1AEA">
      <w:pPr>
        <w:pStyle w:val="ListBullet"/>
      </w:pPr>
      <w:r>
        <w:t xml:space="preserve">The coverage over the companies examined varies significantly across carriers. It is not clear that we can extrapolate these findings to </w:t>
      </w:r>
      <w:proofErr w:type="gramStart"/>
      <w:r>
        <w:t>Telstra which</w:t>
      </w:r>
      <w:proofErr w:type="gramEnd"/>
      <w:r>
        <w:t xml:space="preserve"> operates nationwide. For example, some companies will only operate in metropolitan areas.</w:t>
      </w:r>
    </w:p>
    <w:p w:rsidR="009E1AEA" w:rsidRDefault="009E1AEA" w:rsidP="009E1AEA">
      <w:pPr>
        <w:pStyle w:val="ListBullet"/>
      </w:pPr>
      <w:r>
        <w:t>There may be different discounting incentives applied in different areas depending on how competitive the local market is. We do not think that Telstra would necessarily be constrained from also doing this in different regional areas through marketing arrangements.</w:t>
      </w:r>
    </w:p>
    <w:p w:rsidR="009E1AEA" w:rsidRDefault="009E1AEA" w:rsidP="009E1AEA">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3</w:instrText>
        </w:r>
      </w:fldSimple>
      <w:r w:rsidRPr="00695C93">
        <w:instrText xml:space="preserve"> = 0 "" "</w:instrText>
      </w:r>
      <w:fldSimple w:instr=" STYLEREF &quot;Heading 1&quot; \l \n ">
        <w:r w:rsidR="00304215">
          <w:rPr>
            <w:noProof/>
          </w:rPr>
          <w:instrText>3</w:instrText>
        </w:r>
      </w:fldSimple>
      <w:r w:rsidRPr="00695C93">
        <w:instrText xml:space="preserve">." </w:instrText>
      </w:r>
      <w:r w:rsidRPr="00695C93">
        <w:fldChar w:fldCharType="separate"/>
      </w:r>
      <w:r w:rsidR="00304215">
        <w:rPr>
          <w:noProof/>
        </w:rPr>
        <w:instrText>3</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3</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3</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3</w:instrText>
      </w:r>
      <w:r w:rsidRPr="00695C93">
        <w:fldChar w:fldCharType="end"/>
      </w:r>
      <w:r w:rsidRPr="00695C93">
        <w:instrText xml:space="preserve">" "" </w:instrText>
      </w:r>
      <w:r w:rsidRPr="00695C93">
        <w:fldChar w:fldCharType="separate"/>
      </w:r>
      <w:bookmarkStart w:id="477" w:name="_Caption1346"/>
      <w:bookmarkStart w:id="478" w:name="_Caption1072"/>
      <w:bookmarkStart w:id="479" w:name="_Caption0393"/>
      <w:bookmarkStart w:id="480" w:name="_Caption4519"/>
      <w:bookmarkStart w:id="481" w:name="_Caption9110"/>
      <w:bookmarkStart w:id="482" w:name="_Caption6926"/>
      <w:bookmarkStart w:id="483" w:name="_Caption0456"/>
      <w:bookmarkStart w:id="484" w:name="_Caption6202"/>
      <w:bookmarkStart w:id="485" w:name="_Caption5685"/>
      <w:bookmarkStart w:id="486" w:name="_Caption6387"/>
      <w:bookmarkStart w:id="487" w:name="_Caption8978"/>
      <w:bookmarkStart w:id="488" w:name="_Caption7847"/>
      <w:bookmarkStart w:id="489" w:name="_Caption8406"/>
      <w:bookmarkStart w:id="490" w:name="_Caption0702"/>
      <w:bookmarkStart w:id="491" w:name="_Caption3974"/>
      <w:bookmarkStart w:id="492" w:name="_Caption2239"/>
      <w:bookmarkStart w:id="493" w:name="_Caption2404"/>
      <w:bookmarkStart w:id="494" w:name="_Caption5752"/>
      <w:bookmarkStart w:id="495" w:name="_Caption0830"/>
      <w:bookmarkStart w:id="496" w:name="_Caption2820"/>
      <w:bookmarkStart w:id="497" w:name="_Caption7707"/>
      <w:bookmarkStart w:id="498" w:name="_Caption8900"/>
      <w:bookmarkStart w:id="499" w:name="_Caption3485"/>
      <w:bookmarkStart w:id="500" w:name="_Caption4413"/>
      <w:bookmarkStart w:id="501" w:name="_Caption9431"/>
      <w:bookmarkStart w:id="502" w:name="_Caption3131"/>
      <w:bookmarkStart w:id="503" w:name="_Caption2063"/>
      <w:bookmarkStart w:id="504" w:name="_Caption2286"/>
      <w:bookmarkStart w:id="505" w:name="_Caption9099"/>
      <w:bookmarkStart w:id="506" w:name="_Caption7946"/>
      <w:bookmarkStart w:id="507" w:name="_Caption1055"/>
      <w:bookmarkStart w:id="508" w:name="_Caption9870"/>
      <w:bookmarkStart w:id="509" w:name="_Caption8418"/>
      <w:bookmarkStart w:id="510" w:name="_Caption7328"/>
      <w:bookmarkStart w:id="511" w:name="_Caption6604"/>
      <w:bookmarkStart w:id="512" w:name="_Caption5647"/>
      <w:bookmarkStart w:id="513" w:name="_Caption4392"/>
      <w:bookmarkStart w:id="514" w:name="_Toc391972946"/>
      <w:r w:rsidR="00584F9A">
        <w:rPr>
          <w:noProof/>
        </w:rPr>
        <w:t>3</w:t>
      </w:r>
      <w:r w:rsidR="00584F9A" w:rsidRPr="00695C93">
        <w:rPr>
          <w:noProof/>
        </w:rPr>
        <w:t>.</w:t>
      </w:r>
      <w:r w:rsidR="00584F9A">
        <w:rPr>
          <w:noProof/>
        </w:rPr>
        <w:t>3</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Pr="00695C93">
        <w:fldChar w:fldCharType="end"/>
      </w:r>
      <w:r w:rsidRPr="00695C93">
        <w:tab/>
      </w:r>
      <w:r>
        <w:t>National uniform pricing by telecommunication carriers</w:t>
      </w:r>
      <w:bookmarkEnd w:id="514"/>
    </w:p>
    <w:tbl>
      <w:tblPr>
        <w:tblW w:w="7938" w:type="dxa"/>
        <w:tblInd w:w="57" w:type="dxa"/>
        <w:tblLayout w:type="fixed"/>
        <w:tblLook w:val="0000" w:firstRow="0" w:lastRow="0" w:firstColumn="0" w:lastColumn="0" w:noHBand="0" w:noVBand="0"/>
      </w:tblPr>
      <w:tblGrid>
        <w:gridCol w:w="3828"/>
        <w:gridCol w:w="4110"/>
      </w:tblGrid>
      <w:tr w:rsidR="009E1AEA" w:rsidTr="00067FEF">
        <w:tc>
          <w:tcPr>
            <w:tcW w:w="3828" w:type="dxa"/>
            <w:tcBorders>
              <w:bottom w:val="single" w:sz="8" w:space="0" w:color="FFFFFF" w:themeColor="background1"/>
            </w:tcBorders>
            <w:shd w:val="clear" w:color="auto" w:fill="6F6652"/>
            <w:tcMar>
              <w:left w:w="57" w:type="dxa"/>
              <w:right w:w="57" w:type="dxa"/>
            </w:tcMar>
          </w:tcPr>
          <w:p w:rsidR="009E1AEA" w:rsidRDefault="009E1AEA" w:rsidP="00612CD9">
            <w:pPr>
              <w:pStyle w:val="TableTextColumnHeading"/>
            </w:pPr>
            <w:r>
              <w:t>Carrier</w:t>
            </w:r>
          </w:p>
        </w:tc>
        <w:tc>
          <w:tcPr>
            <w:tcW w:w="4110" w:type="dxa"/>
            <w:tcBorders>
              <w:bottom w:val="single" w:sz="8" w:space="0" w:color="FFFFFF" w:themeColor="background1"/>
            </w:tcBorders>
            <w:shd w:val="clear" w:color="auto" w:fill="6F6652"/>
            <w:tcMar>
              <w:left w:w="57" w:type="dxa"/>
              <w:right w:w="57" w:type="dxa"/>
            </w:tcMar>
          </w:tcPr>
          <w:p w:rsidR="009E1AEA" w:rsidRDefault="009E1AEA" w:rsidP="00067FEF">
            <w:pPr>
              <w:pStyle w:val="TableTextColumnHeading"/>
            </w:pPr>
            <w:r>
              <w:t>Nationally consistent pricing  (yes/no)</w:t>
            </w:r>
          </w:p>
        </w:tc>
      </w:tr>
      <w:tr w:rsidR="009E1AEA"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612CD9">
            <w:pPr>
              <w:pStyle w:val="TableTextEntries"/>
            </w:pPr>
            <w:r>
              <w:t>AAPT</w:t>
            </w:r>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067FEF">
            <w:pPr>
              <w:pStyle w:val="TableTextEntries"/>
            </w:pPr>
            <w:r>
              <w:t>Yes</w:t>
            </w:r>
          </w:p>
        </w:tc>
      </w:tr>
      <w:tr w:rsidR="009E1AEA"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612CD9">
            <w:pPr>
              <w:pStyle w:val="TableTextEntries"/>
            </w:pPr>
            <w:r>
              <w:t>Club Telco</w:t>
            </w:r>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067FEF">
            <w:pPr>
              <w:pStyle w:val="TableTextEntries"/>
            </w:pPr>
            <w:r>
              <w:t>Yes</w:t>
            </w:r>
          </w:p>
        </w:tc>
      </w:tr>
      <w:tr w:rsidR="009E1AEA"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612CD9">
            <w:pPr>
              <w:pStyle w:val="TableTextEntries"/>
            </w:pPr>
            <w:r>
              <w:t>Dodo</w:t>
            </w:r>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067FEF">
            <w:pPr>
              <w:pStyle w:val="TableTextEntries"/>
            </w:pPr>
            <w:r>
              <w:t>Yes</w:t>
            </w:r>
          </w:p>
        </w:tc>
      </w:tr>
      <w:tr w:rsidR="009E1AEA"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612CD9">
            <w:pPr>
              <w:pStyle w:val="TableTextEntries"/>
            </w:pPr>
            <w:proofErr w:type="spellStart"/>
            <w:r>
              <w:t>EFTel</w:t>
            </w:r>
            <w:proofErr w:type="spellEnd"/>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067FEF">
            <w:pPr>
              <w:pStyle w:val="TableTextEntries"/>
            </w:pPr>
            <w:r>
              <w:t>Yes</w:t>
            </w:r>
          </w:p>
        </w:tc>
      </w:tr>
      <w:tr w:rsidR="009E1AEA"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612CD9">
            <w:pPr>
              <w:pStyle w:val="TableTextEntries"/>
            </w:pPr>
            <w:proofErr w:type="spellStart"/>
            <w:r>
              <w:t>Engin</w:t>
            </w:r>
            <w:proofErr w:type="spellEnd"/>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067FEF">
            <w:pPr>
              <w:pStyle w:val="TableTextEntries"/>
            </w:pPr>
            <w:r>
              <w:t>Yes</w:t>
            </w:r>
          </w:p>
        </w:tc>
      </w:tr>
      <w:tr w:rsidR="009E1AEA"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612CD9">
            <w:pPr>
              <w:pStyle w:val="TableTextEntries"/>
            </w:pPr>
            <w:proofErr w:type="spellStart"/>
            <w:r>
              <w:t>Iinet</w:t>
            </w:r>
            <w:proofErr w:type="spellEnd"/>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067FEF">
            <w:pPr>
              <w:pStyle w:val="TableTextEntries"/>
            </w:pPr>
            <w:r>
              <w:t>Yes</w:t>
            </w:r>
          </w:p>
        </w:tc>
      </w:tr>
      <w:tr w:rsidR="009E1AEA"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612CD9">
            <w:pPr>
              <w:pStyle w:val="TableTextEntries"/>
            </w:pPr>
            <w:r>
              <w:t>Internode</w:t>
            </w:r>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067FEF">
            <w:pPr>
              <w:pStyle w:val="TableTextEntries"/>
            </w:pPr>
            <w:r>
              <w:t>Yes</w:t>
            </w:r>
          </w:p>
        </w:tc>
      </w:tr>
      <w:tr w:rsidR="009E1AEA"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612CD9">
            <w:pPr>
              <w:pStyle w:val="TableTextEntries"/>
            </w:pPr>
            <w:proofErr w:type="spellStart"/>
            <w:r>
              <w:t>iPrimus</w:t>
            </w:r>
            <w:proofErr w:type="spellEnd"/>
            <w:r>
              <w:t xml:space="preserve"> </w:t>
            </w:r>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067FEF">
            <w:pPr>
              <w:pStyle w:val="TableTextEntries"/>
            </w:pPr>
            <w:r>
              <w:t>Yes</w:t>
            </w:r>
          </w:p>
        </w:tc>
      </w:tr>
      <w:tr w:rsidR="009E1AEA"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612CD9">
            <w:pPr>
              <w:pStyle w:val="TableTextEntries"/>
            </w:pPr>
            <w:r>
              <w:t>One Telecom</w:t>
            </w:r>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067FEF">
            <w:pPr>
              <w:pStyle w:val="TableTextEntries"/>
            </w:pPr>
            <w:r>
              <w:t>Yes</w:t>
            </w:r>
          </w:p>
        </w:tc>
      </w:tr>
      <w:tr w:rsidR="009E1AEA"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612CD9">
            <w:pPr>
              <w:pStyle w:val="TableTextEntries"/>
            </w:pPr>
            <w:r>
              <w:t>Optus</w:t>
            </w:r>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067FEF">
            <w:pPr>
              <w:pStyle w:val="TableTextEntries"/>
            </w:pPr>
            <w:r>
              <w:t>Yes</w:t>
            </w:r>
          </w:p>
        </w:tc>
      </w:tr>
      <w:tr w:rsidR="009E1AEA"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612CD9">
            <w:pPr>
              <w:pStyle w:val="TableTextEntries"/>
            </w:pPr>
            <w:r>
              <w:t>Spin Tel</w:t>
            </w:r>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067FEF">
            <w:pPr>
              <w:pStyle w:val="TableTextEntries"/>
            </w:pPr>
            <w:r>
              <w:t>Yes</w:t>
            </w:r>
          </w:p>
        </w:tc>
      </w:tr>
      <w:tr w:rsidR="009E1AEA"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612CD9">
            <w:pPr>
              <w:pStyle w:val="TableTextEntries"/>
            </w:pPr>
            <w:r>
              <w:t xml:space="preserve">Telco Green </w:t>
            </w:r>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067FEF">
            <w:pPr>
              <w:pStyle w:val="TableTextEntries"/>
            </w:pPr>
            <w:r>
              <w:t>Yes</w:t>
            </w:r>
          </w:p>
        </w:tc>
      </w:tr>
      <w:tr w:rsidR="009E1AEA"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612CD9">
            <w:pPr>
              <w:pStyle w:val="TableTextEntries"/>
            </w:pPr>
            <w:proofErr w:type="spellStart"/>
            <w:r>
              <w:t>Telcoplus</w:t>
            </w:r>
            <w:proofErr w:type="spellEnd"/>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067FEF">
            <w:pPr>
              <w:pStyle w:val="TableTextEntries"/>
            </w:pPr>
            <w:r>
              <w:t>Yes</w:t>
            </w:r>
          </w:p>
        </w:tc>
      </w:tr>
      <w:tr w:rsidR="009E1AEA"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612CD9">
            <w:pPr>
              <w:pStyle w:val="TableTextEntries"/>
            </w:pPr>
            <w:r>
              <w:t>TPG</w:t>
            </w:r>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067FEF">
            <w:pPr>
              <w:pStyle w:val="TableTextEntries"/>
            </w:pPr>
            <w:r>
              <w:t>Yes</w:t>
            </w:r>
          </w:p>
        </w:tc>
      </w:tr>
      <w:tr w:rsidR="009E1AEA"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612CD9">
            <w:pPr>
              <w:pStyle w:val="TableTextEntries"/>
            </w:pPr>
            <w:proofErr w:type="spellStart"/>
            <w:r>
              <w:t>TransACT</w:t>
            </w:r>
            <w:proofErr w:type="spellEnd"/>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9E1AEA" w:rsidRDefault="009E1AEA" w:rsidP="00067FEF">
            <w:pPr>
              <w:pStyle w:val="TableTextEntries"/>
            </w:pPr>
            <w:r>
              <w:t>Yes</w:t>
            </w:r>
          </w:p>
        </w:tc>
      </w:tr>
      <w:tr w:rsidR="009E1AEA" w:rsidTr="00067FEF">
        <w:tc>
          <w:tcPr>
            <w:tcW w:w="3828" w:type="dxa"/>
            <w:tcBorders>
              <w:top w:val="single" w:sz="8" w:space="0" w:color="FFFFFF" w:themeColor="background1"/>
              <w:bottom w:val="single" w:sz="6" w:space="0" w:color="6F6652"/>
            </w:tcBorders>
            <w:shd w:val="clear" w:color="auto" w:fill="E9E8E5" w:themeFill="background2"/>
            <w:tcMar>
              <w:left w:w="57" w:type="dxa"/>
              <w:right w:w="57" w:type="dxa"/>
            </w:tcMar>
          </w:tcPr>
          <w:p w:rsidR="009E1AEA" w:rsidRDefault="009E1AEA" w:rsidP="00612CD9">
            <w:pPr>
              <w:pStyle w:val="TableTextEntries"/>
            </w:pPr>
            <w:proofErr w:type="spellStart"/>
            <w:r>
              <w:t>Westnet</w:t>
            </w:r>
            <w:proofErr w:type="spellEnd"/>
          </w:p>
        </w:tc>
        <w:tc>
          <w:tcPr>
            <w:tcW w:w="4110" w:type="dxa"/>
            <w:tcBorders>
              <w:top w:val="single" w:sz="8" w:space="0" w:color="FFFFFF" w:themeColor="background1"/>
              <w:bottom w:val="single" w:sz="6" w:space="0" w:color="6F6652"/>
            </w:tcBorders>
            <w:shd w:val="clear" w:color="auto" w:fill="E9E8E5" w:themeFill="background2"/>
            <w:tcMar>
              <w:left w:w="57" w:type="dxa"/>
              <w:right w:w="57" w:type="dxa"/>
            </w:tcMar>
          </w:tcPr>
          <w:p w:rsidR="009E1AEA" w:rsidRDefault="009E1AEA" w:rsidP="00067FEF">
            <w:pPr>
              <w:pStyle w:val="TableTextEntries"/>
            </w:pPr>
            <w:r>
              <w:t>Yes</w:t>
            </w:r>
          </w:p>
        </w:tc>
      </w:tr>
    </w:tbl>
    <w:p w:rsidR="009E1AEA" w:rsidRDefault="009E1AEA" w:rsidP="009E1AEA">
      <w:pPr>
        <w:pStyle w:val="Source"/>
      </w:pPr>
      <w:r>
        <w:rPr>
          <w:i/>
        </w:rPr>
        <w:t>Source</w:t>
      </w:r>
      <w:r w:rsidRPr="00E4232C">
        <w:rPr>
          <w:i/>
        </w:rPr>
        <w:t>:</w:t>
      </w:r>
      <w:r>
        <w:t xml:space="preserve"> The CIE based on web searches of company plans.</w:t>
      </w:r>
    </w:p>
    <w:p w:rsidR="0065401F" w:rsidRDefault="009E1AEA" w:rsidP="0065401F">
      <w:pPr>
        <w:pStyle w:val="BodyText"/>
      </w:pPr>
      <w:r>
        <w:t>Note that not all companies charge the same price for other services. There is regional differentiation of bundled services including broadband in some cases.</w:t>
      </w:r>
    </w:p>
    <w:p w:rsidR="009E1AEA" w:rsidRDefault="008B6F68" w:rsidP="0065401F">
      <w:pPr>
        <w:pStyle w:val="BodyText"/>
      </w:pPr>
      <w:r>
        <w:t>We have also examined pricing of other telecommunications services, such as mobile and Telstra services that are not required to be uniform (such as standard national calls and international calls and line rentals outside of the most basic package). These are also nationally consistent.</w:t>
      </w:r>
    </w:p>
    <w:p w:rsidR="0065401F" w:rsidRDefault="0065401F" w:rsidP="0065401F">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3</w:instrText>
        </w:r>
      </w:fldSimple>
      <w:r w:rsidRPr="00695C93">
        <w:instrText xml:space="preserve"> = 0 "" "</w:instrText>
      </w:r>
      <w:fldSimple w:instr=" STYLEREF &quot;Heading 1&quot; \l \n ">
        <w:r w:rsidR="00304215">
          <w:rPr>
            <w:noProof/>
          </w:rPr>
          <w:instrText>3</w:instrText>
        </w:r>
      </w:fldSimple>
      <w:r w:rsidRPr="00695C93">
        <w:instrText xml:space="preserve">." </w:instrText>
      </w:r>
      <w:r w:rsidRPr="00695C93">
        <w:fldChar w:fldCharType="separate"/>
      </w:r>
      <w:r w:rsidR="00304215">
        <w:rPr>
          <w:noProof/>
        </w:rPr>
        <w:instrText>3</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3</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3</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4</w:instrText>
      </w:r>
      <w:r w:rsidRPr="00695C93">
        <w:fldChar w:fldCharType="end"/>
      </w:r>
      <w:r w:rsidRPr="00695C93">
        <w:instrText xml:space="preserve">" "" </w:instrText>
      </w:r>
      <w:r w:rsidRPr="00695C93">
        <w:fldChar w:fldCharType="separate"/>
      </w:r>
      <w:bookmarkStart w:id="515" w:name="_Caption6130"/>
      <w:bookmarkStart w:id="516" w:name="_Caption0464"/>
      <w:bookmarkStart w:id="517" w:name="_Caption2858"/>
      <w:bookmarkStart w:id="518" w:name="_Caption6221"/>
      <w:bookmarkStart w:id="519" w:name="_Caption4194"/>
      <w:bookmarkStart w:id="520" w:name="_Caption2009"/>
      <w:bookmarkStart w:id="521" w:name="_Caption2066"/>
      <w:bookmarkStart w:id="522" w:name="_Caption2778"/>
      <w:bookmarkStart w:id="523" w:name="_Caption5388"/>
      <w:bookmarkStart w:id="524" w:name="_Caption5315"/>
      <w:bookmarkStart w:id="525" w:name="_Caption6660"/>
      <w:bookmarkStart w:id="526" w:name="_Caption6708"/>
      <w:bookmarkStart w:id="527" w:name="_Caption8467"/>
      <w:bookmarkStart w:id="528" w:name="_Caption5272"/>
      <w:bookmarkStart w:id="529" w:name="_Caption6199"/>
      <w:bookmarkStart w:id="530" w:name="_Caption2601"/>
      <w:bookmarkStart w:id="531" w:name="_Caption1094"/>
      <w:bookmarkStart w:id="532" w:name="_Caption3140"/>
      <w:bookmarkStart w:id="533" w:name="_Caption2317"/>
      <w:bookmarkStart w:id="534" w:name="_Caption8910"/>
      <w:bookmarkStart w:id="535" w:name="_Caption1122"/>
      <w:bookmarkStart w:id="536" w:name="_Caption3433"/>
      <w:bookmarkStart w:id="537" w:name="_Caption9151"/>
      <w:bookmarkStart w:id="538" w:name="_Caption0902"/>
      <w:bookmarkStart w:id="539" w:name="_Caption2878"/>
      <w:bookmarkStart w:id="540" w:name="_Caption3259"/>
      <w:bookmarkStart w:id="541" w:name="_Caption9413"/>
      <w:bookmarkStart w:id="542" w:name="_Caption2260"/>
      <w:bookmarkStart w:id="543" w:name="_Caption9686"/>
      <w:bookmarkStart w:id="544" w:name="_Caption5414"/>
      <w:bookmarkStart w:id="545" w:name="_Caption1199"/>
      <w:bookmarkStart w:id="546" w:name="_Caption1044"/>
      <w:bookmarkStart w:id="547" w:name="_Caption8297"/>
      <w:bookmarkStart w:id="548" w:name="_Caption9582"/>
      <w:bookmarkStart w:id="549" w:name="_Caption0550"/>
      <w:bookmarkStart w:id="550" w:name="_Caption4244"/>
      <w:bookmarkStart w:id="551" w:name="_Caption6349"/>
      <w:bookmarkStart w:id="552" w:name="_Caption3920"/>
      <w:bookmarkStart w:id="553" w:name="_Toc381784724"/>
      <w:bookmarkStart w:id="554" w:name="_Toc391972947"/>
      <w:r w:rsidR="00584F9A">
        <w:rPr>
          <w:noProof/>
        </w:rPr>
        <w:t>3</w:t>
      </w:r>
      <w:r w:rsidR="00584F9A" w:rsidRPr="00695C93">
        <w:rPr>
          <w:noProof/>
        </w:rPr>
        <w:t>.</w:t>
      </w:r>
      <w:r w:rsidR="00584F9A">
        <w:rPr>
          <w:noProof/>
        </w:rPr>
        <w:t>4</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695C93">
        <w:fldChar w:fldCharType="end"/>
      </w:r>
      <w:r w:rsidRPr="00695C93">
        <w:tab/>
      </w:r>
      <w:r>
        <w:t>Nationally uniform pricing in other telecommunications markets</w:t>
      </w:r>
      <w:bookmarkEnd w:id="553"/>
      <w:bookmarkEnd w:id="554"/>
    </w:p>
    <w:tbl>
      <w:tblPr>
        <w:tblW w:w="7938" w:type="dxa"/>
        <w:tblInd w:w="57" w:type="dxa"/>
        <w:tblLayout w:type="fixed"/>
        <w:tblLook w:val="0000" w:firstRow="0" w:lastRow="0" w:firstColumn="0" w:lastColumn="0" w:noHBand="0" w:noVBand="0"/>
      </w:tblPr>
      <w:tblGrid>
        <w:gridCol w:w="3828"/>
        <w:gridCol w:w="4110"/>
      </w:tblGrid>
      <w:tr w:rsidR="0065401F" w:rsidTr="00067FEF">
        <w:tc>
          <w:tcPr>
            <w:tcW w:w="3828" w:type="dxa"/>
            <w:tcBorders>
              <w:bottom w:val="single" w:sz="8" w:space="0" w:color="FFFFFF" w:themeColor="background1"/>
            </w:tcBorders>
            <w:shd w:val="clear" w:color="auto" w:fill="6F6652"/>
            <w:tcMar>
              <w:left w:w="57" w:type="dxa"/>
              <w:right w:w="57" w:type="dxa"/>
            </w:tcMar>
          </w:tcPr>
          <w:p w:rsidR="0065401F" w:rsidRDefault="0065401F" w:rsidP="0065401F">
            <w:pPr>
              <w:pStyle w:val="TableTextColumnHeading"/>
            </w:pPr>
            <w:r>
              <w:t>Service</w:t>
            </w:r>
          </w:p>
        </w:tc>
        <w:tc>
          <w:tcPr>
            <w:tcW w:w="4110" w:type="dxa"/>
            <w:tcBorders>
              <w:bottom w:val="single" w:sz="8" w:space="0" w:color="FFFFFF" w:themeColor="background1"/>
            </w:tcBorders>
            <w:shd w:val="clear" w:color="auto" w:fill="6F6652"/>
            <w:tcMar>
              <w:left w:w="57" w:type="dxa"/>
              <w:right w:w="57" w:type="dxa"/>
            </w:tcMar>
          </w:tcPr>
          <w:p w:rsidR="0065401F" w:rsidRDefault="0065401F" w:rsidP="00067FEF">
            <w:pPr>
              <w:pStyle w:val="TableTextColumnHeading"/>
            </w:pPr>
            <w:r>
              <w:t>Nationally consistent pricing and services (yes/no)</w:t>
            </w:r>
          </w:p>
        </w:tc>
      </w:tr>
      <w:tr w:rsidR="0065401F"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5401F" w:rsidRDefault="0065401F" w:rsidP="0065401F">
            <w:pPr>
              <w:pStyle w:val="TableTextEntries"/>
            </w:pPr>
            <w:r>
              <w:t>Mobile — Telstra</w:t>
            </w:r>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5401F" w:rsidRDefault="009E1AEA" w:rsidP="00067FEF">
            <w:pPr>
              <w:pStyle w:val="TableTextEntries"/>
            </w:pPr>
            <w:r>
              <w:t>Yes</w:t>
            </w:r>
          </w:p>
        </w:tc>
      </w:tr>
      <w:tr w:rsidR="0065401F"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5401F" w:rsidRDefault="0065401F" w:rsidP="008B6F68">
            <w:pPr>
              <w:pStyle w:val="TableTextEntries"/>
            </w:pPr>
            <w:r>
              <w:t xml:space="preserve">Mobile — </w:t>
            </w:r>
            <w:r w:rsidR="008B6F68">
              <w:t>Optus</w:t>
            </w:r>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5401F" w:rsidRDefault="009E1AEA" w:rsidP="00067FEF">
            <w:pPr>
              <w:pStyle w:val="TableTextEntries"/>
            </w:pPr>
            <w:r>
              <w:t>Yes</w:t>
            </w:r>
          </w:p>
        </w:tc>
      </w:tr>
      <w:tr w:rsidR="008B6F68"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8B6F68" w:rsidRDefault="008B6F68" w:rsidP="008B6F68">
            <w:pPr>
              <w:pStyle w:val="TableTextEntries"/>
            </w:pPr>
            <w:r>
              <w:t>Mobile — Vodafone Hutchison Australia</w:t>
            </w:r>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8B6F68" w:rsidRDefault="008B6F68" w:rsidP="00067FEF">
            <w:pPr>
              <w:pStyle w:val="TableTextEntries"/>
            </w:pPr>
            <w:r>
              <w:t>Yes</w:t>
            </w:r>
          </w:p>
        </w:tc>
      </w:tr>
      <w:tr w:rsidR="0065401F"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5401F" w:rsidRDefault="008B6F68" w:rsidP="008B6F68">
            <w:pPr>
              <w:pStyle w:val="TableTextEntries"/>
            </w:pPr>
            <w:r>
              <w:t>Telstra — standard national</w:t>
            </w:r>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5401F" w:rsidRDefault="008B6F68" w:rsidP="00067FEF">
            <w:pPr>
              <w:pStyle w:val="TableTextEntries"/>
            </w:pPr>
            <w:r>
              <w:t>Yes</w:t>
            </w:r>
          </w:p>
        </w:tc>
      </w:tr>
      <w:tr w:rsidR="008B6F68" w:rsidTr="00067FEF">
        <w:tc>
          <w:tcPr>
            <w:tcW w:w="382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8B6F68" w:rsidRDefault="008B6F68" w:rsidP="008B6F68">
            <w:pPr>
              <w:pStyle w:val="TableTextEntries"/>
            </w:pPr>
            <w:r>
              <w:t>Telstra — international</w:t>
            </w:r>
          </w:p>
        </w:tc>
        <w:tc>
          <w:tcPr>
            <w:tcW w:w="41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8B6F68" w:rsidRDefault="008B6F68" w:rsidP="00067FEF">
            <w:pPr>
              <w:pStyle w:val="TableTextEntries"/>
            </w:pPr>
            <w:r>
              <w:t>Yes</w:t>
            </w:r>
          </w:p>
        </w:tc>
      </w:tr>
      <w:tr w:rsidR="008B6F68" w:rsidTr="00067FEF">
        <w:tc>
          <w:tcPr>
            <w:tcW w:w="3828" w:type="dxa"/>
            <w:tcBorders>
              <w:top w:val="single" w:sz="8" w:space="0" w:color="FFFFFF" w:themeColor="background1"/>
              <w:bottom w:val="single" w:sz="6" w:space="0" w:color="6F6652"/>
            </w:tcBorders>
            <w:shd w:val="clear" w:color="auto" w:fill="E9E8E5" w:themeFill="background2"/>
            <w:tcMar>
              <w:left w:w="57" w:type="dxa"/>
              <w:right w:w="57" w:type="dxa"/>
            </w:tcMar>
          </w:tcPr>
          <w:p w:rsidR="008B6F68" w:rsidRDefault="008B6F68" w:rsidP="00612CD9">
            <w:pPr>
              <w:pStyle w:val="TableTextEntries"/>
            </w:pPr>
            <w:r>
              <w:t>Telstra — voice bundles</w:t>
            </w:r>
          </w:p>
        </w:tc>
        <w:tc>
          <w:tcPr>
            <w:tcW w:w="4110" w:type="dxa"/>
            <w:tcBorders>
              <w:top w:val="single" w:sz="8" w:space="0" w:color="FFFFFF" w:themeColor="background1"/>
              <w:bottom w:val="single" w:sz="6" w:space="0" w:color="6F6652"/>
            </w:tcBorders>
            <w:shd w:val="clear" w:color="auto" w:fill="E9E8E5" w:themeFill="background2"/>
            <w:tcMar>
              <w:left w:w="57" w:type="dxa"/>
              <w:right w:w="57" w:type="dxa"/>
            </w:tcMar>
          </w:tcPr>
          <w:p w:rsidR="008B6F68" w:rsidRDefault="008B6F68" w:rsidP="00067FEF">
            <w:pPr>
              <w:pStyle w:val="TableTextEntries"/>
            </w:pPr>
            <w:r>
              <w:t>Yes</w:t>
            </w:r>
          </w:p>
        </w:tc>
      </w:tr>
    </w:tbl>
    <w:p w:rsidR="008B6F68" w:rsidRDefault="008B6F68" w:rsidP="008B6F68">
      <w:pPr>
        <w:pStyle w:val="Source"/>
      </w:pPr>
      <w:r>
        <w:rPr>
          <w:i/>
        </w:rPr>
        <w:t>Source</w:t>
      </w:r>
      <w:r w:rsidRPr="00E4232C">
        <w:rPr>
          <w:i/>
        </w:rPr>
        <w:t>:</w:t>
      </w:r>
      <w:r>
        <w:t xml:space="preserve"> The CIE based on web searches of company plans.</w:t>
      </w:r>
    </w:p>
    <w:p w:rsidR="00953CB3" w:rsidRDefault="008B6F68" w:rsidP="00675046">
      <w:pPr>
        <w:pStyle w:val="BodyText"/>
      </w:pPr>
      <w:r>
        <w:lastRenderedPageBreak/>
        <w:t xml:space="preserve">Note that </w:t>
      </w:r>
      <w:proofErr w:type="gramStart"/>
      <w:r>
        <w:t>wholesale regulated</w:t>
      </w:r>
      <w:proofErr w:type="gramEnd"/>
      <w:r>
        <w:t xml:space="preserve"> prices are the same across Australia for wholesale line rental. This may be one reason why prices are consistent for voice services. However, </w:t>
      </w:r>
      <w:proofErr w:type="spellStart"/>
      <w:r>
        <w:t>Analysys</w:t>
      </w:r>
      <w:proofErr w:type="spellEnd"/>
      <w:r>
        <w:t xml:space="preserve"> Mason </w:t>
      </w:r>
      <w:proofErr w:type="gramStart"/>
      <w:r>
        <w:t>consider</w:t>
      </w:r>
      <w:proofErr w:type="gramEnd"/>
      <w:r>
        <w:t xml:space="preserve"> that retail costs are also likely to be different across different geographic areas (see Attachment B).</w:t>
      </w:r>
    </w:p>
    <w:p w:rsidR="00675046" w:rsidRPr="008B6F68" w:rsidRDefault="004603A4" w:rsidP="00675046">
      <w:pPr>
        <w:pStyle w:val="Heading4"/>
      </w:pPr>
      <w:r>
        <w:t>Pricing in other countries</w:t>
      </w:r>
    </w:p>
    <w:p w:rsidR="004603A4" w:rsidRDefault="00675046" w:rsidP="00675046">
      <w:pPr>
        <w:pStyle w:val="BodyText"/>
      </w:pPr>
      <w:proofErr w:type="spellStart"/>
      <w:r w:rsidRPr="008B6F68">
        <w:t>Analysys</w:t>
      </w:r>
      <w:proofErr w:type="spellEnd"/>
      <w:r w:rsidRPr="008B6F68">
        <w:t xml:space="preserve"> Mason investigated the extent to which other countries have geographically differentiated prices for either wholesale or retail services in Europe and Canada.</w:t>
      </w:r>
      <w:r w:rsidRPr="008B6F68">
        <w:rPr>
          <w:rStyle w:val="FootnoteReference"/>
        </w:rPr>
        <w:footnoteReference w:id="10"/>
      </w:r>
      <w:r w:rsidRPr="008B6F68">
        <w:t xml:space="preserve"> This work focused on cases where an operator has different prices by region for the same definition of service. </w:t>
      </w:r>
    </w:p>
    <w:p w:rsidR="00675046" w:rsidRPr="008B6F68" w:rsidRDefault="00675046" w:rsidP="004603A4">
      <w:pPr>
        <w:pStyle w:val="KeyPoint"/>
      </w:pPr>
      <w:proofErr w:type="spellStart"/>
      <w:r w:rsidRPr="008B6F68">
        <w:t>Analysys</w:t>
      </w:r>
      <w:proofErr w:type="spellEnd"/>
      <w:r w:rsidRPr="008B6F68">
        <w:t xml:space="preserve"> Mason found that vast majority of EU markets have no geographic differentiation for retail prices for telephony services.</w:t>
      </w:r>
    </w:p>
    <w:p w:rsidR="004603A4" w:rsidRDefault="004603A4" w:rsidP="00675046">
      <w:pPr>
        <w:pStyle w:val="BodyText"/>
      </w:pPr>
      <w:r>
        <w:t>There</w:t>
      </w:r>
      <w:r w:rsidR="00675046" w:rsidRPr="008B6F68">
        <w:t xml:space="preserve"> were some instances of geographically differentiated retail prices, including several instances at the retail level. These are summarised in table </w:t>
      </w:r>
      <w:r w:rsidR="00675046" w:rsidRPr="008B6F68">
        <w:fldChar w:fldCharType="begin"/>
      </w:r>
      <w:r w:rsidR="00675046" w:rsidRPr="008B6F68">
        <w:instrText xml:space="preserve"> REF _Caption1361 </w:instrText>
      </w:r>
      <w:r w:rsidR="008B6F68">
        <w:instrText xml:space="preserve"> \* MERGEFORMAT </w:instrText>
      </w:r>
      <w:r w:rsidR="00675046" w:rsidRPr="008B6F68">
        <w:fldChar w:fldCharType="separate"/>
      </w:r>
      <w:r w:rsidR="00304215">
        <w:rPr>
          <w:noProof/>
        </w:rPr>
        <w:t>3</w:t>
      </w:r>
      <w:r w:rsidR="00304215" w:rsidRPr="00695C93">
        <w:rPr>
          <w:noProof/>
        </w:rPr>
        <w:t>.</w:t>
      </w:r>
      <w:r w:rsidR="00304215">
        <w:rPr>
          <w:noProof/>
        </w:rPr>
        <w:t>5</w:t>
      </w:r>
      <w:r w:rsidR="00675046" w:rsidRPr="008B6F68">
        <w:fldChar w:fldCharType="end"/>
      </w:r>
      <w:r w:rsidR="00675046" w:rsidRPr="008B6F68">
        <w:t>.</w:t>
      </w:r>
      <w:r>
        <w:t xml:space="preserve"> Differentiation of prices </w:t>
      </w:r>
      <w:r w:rsidRPr="008B6F68">
        <w:t>at the retail level only occurs where a country has sub-national incumbents</w:t>
      </w:r>
      <w:r>
        <w:t xml:space="preserve"> — that is prices are different because </w:t>
      </w:r>
      <w:proofErr w:type="gramStart"/>
      <w:r>
        <w:t>the services are provided by different companies</w:t>
      </w:r>
      <w:proofErr w:type="gramEnd"/>
      <w:r>
        <w:t>, just as is the case in Australia for electricity</w:t>
      </w:r>
      <w:r w:rsidRPr="008B6F68">
        <w:t xml:space="preserve">. </w:t>
      </w:r>
    </w:p>
    <w:p w:rsidR="00675046" w:rsidRPr="008B6F68" w:rsidRDefault="004603A4" w:rsidP="00675046">
      <w:pPr>
        <w:pStyle w:val="BodyText"/>
      </w:pPr>
      <w:r w:rsidRPr="008B6F68">
        <w:t>There are countries (apart from Australia) with a national incumbent and geographically differentiated wholesale pricing, but these are for next-generation network services.</w:t>
      </w:r>
    </w:p>
    <w:p w:rsidR="00675046" w:rsidRDefault="00675046" w:rsidP="00675046">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3</w:instrText>
        </w:r>
      </w:fldSimple>
      <w:r w:rsidRPr="00695C93">
        <w:instrText xml:space="preserve"> = 0 "" "</w:instrText>
      </w:r>
      <w:fldSimple w:instr=" STYLEREF &quot;Heading 1&quot; \l \n ">
        <w:r w:rsidR="00304215">
          <w:rPr>
            <w:noProof/>
          </w:rPr>
          <w:instrText>3</w:instrText>
        </w:r>
      </w:fldSimple>
      <w:r w:rsidRPr="00695C93">
        <w:instrText xml:space="preserve">." </w:instrText>
      </w:r>
      <w:r w:rsidRPr="00695C93">
        <w:fldChar w:fldCharType="separate"/>
      </w:r>
      <w:r w:rsidR="00304215">
        <w:rPr>
          <w:noProof/>
        </w:rPr>
        <w:instrText>3</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3</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3</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5</w:instrText>
      </w:r>
      <w:r w:rsidRPr="00695C93">
        <w:fldChar w:fldCharType="end"/>
      </w:r>
      <w:r w:rsidRPr="00695C93">
        <w:instrText xml:space="preserve">" "" </w:instrText>
      </w:r>
      <w:r w:rsidRPr="00695C93">
        <w:fldChar w:fldCharType="separate"/>
      </w:r>
      <w:bookmarkStart w:id="555" w:name="_Caption2565"/>
      <w:bookmarkStart w:id="556" w:name="_Caption7165"/>
      <w:bookmarkStart w:id="557" w:name="_Caption7849"/>
      <w:bookmarkStart w:id="558" w:name="_Caption8648"/>
      <w:bookmarkStart w:id="559" w:name="_Caption0813"/>
      <w:bookmarkStart w:id="560" w:name="_Caption5973"/>
      <w:bookmarkStart w:id="561" w:name="_Caption4575"/>
      <w:bookmarkStart w:id="562" w:name="_Caption5205"/>
      <w:bookmarkStart w:id="563" w:name="_Caption8773"/>
      <w:bookmarkStart w:id="564" w:name="_Caption5710"/>
      <w:bookmarkStart w:id="565" w:name="_Caption5779"/>
      <w:bookmarkStart w:id="566" w:name="_Caption9445"/>
      <w:bookmarkStart w:id="567" w:name="_Caption0479"/>
      <w:bookmarkStart w:id="568" w:name="_Caption6905"/>
      <w:bookmarkStart w:id="569" w:name="_Caption5578"/>
      <w:bookmarkStart w:id="570" w:name="_Caption0093"/>
      <w:bookmarkStart w:id="571" w:name="_Caption1875"/>
      <w:bookmarkStart w:id="572" w:name="_Caption3093"/>
      <w:bookmarkStart w:id="573" w:name="_Caption9654"/>
      <w:bookmarkStart w:id="574" w:name="_Caption9997"/>
      <w:bookmarkStart w:id="575" w:name="_Caption8908"/>
      <w:bookmarkStart w:id="576" w:name="_Caption2713"/>
      <w:bookmarkStart w:id="577" w:name="_Caption9350"/>
      <w:bookmarkStart w:id="578" w:name="_Caption2438"/>
      <w:bookmarkStart w:id="579" w:name="_Caption2819"/>
      <w:bookmarkStart w:id="580" w:name="_Caption8872"/>
      <w:bookmarkStart w:id="581" w:name="_Caption1361"/>
      <w:bookmarkStart w:id="582" w:name="_Caption6874"/>
      <w:bookmarkStart w:id="583" w:name="_Caption5454"/>
      <w:bookmarkStart w:id="584" w:name="_Caption2687"/>
      <w:bookmarkStart w:id="585" w:name="_Caption5009"/>
      <w:bookmarkStart w:id="586" w:name="_Toc391972948"/>
      <w:r w:rsidR="00584F9A">
        <w:rPr>
          <w:noProof/>
        </w:rPr>
        <w:t>3</w:t>
      </w:r>
      <w:r w:rsidR="00584F9A" w:rsidRPr="00695C93">
        <w:rPr>
          <w:noProof/>
        </w:rPr>
        <w:t>.</w:t>
      </w:r>
      <w:r w:rsidR="00584F9A">
        <w:rPr>
          <w:noProof/>
        </w:rPr>
        <w:t>5</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695C93">
        <w:fldChar w:fldCharType="end"/>
      </w:r>
      <w:r w:rsidRPr="00695C93">
        <w:tab/>
      </w:r>
      <w:r>
        <w:t>Examples of geographically</w:t>
      </w:r>
      <w:r>
        <w:noBreakHyphen/>
        <w:t>differentiated prices for telephony services</w:t>
      </w:r>
      <w:bookmarkEnd w:id="586"/>
    </w:p>
    <w:tbl>
      <w:tblPr>
        <w:tblW w:w="0" w:type="auto"/>
        <w:tblInd w:w="57" w:type="dxa"/>
        <w:tblLayout w:type="fixed"/>
        <w:tblLook w:val="0000" w:firstRow="0" w:lastRow="0" w:firstColumn="0" w:lastColumn="0" w:noHBand="0" w:noVBand="0"/>
      </w:tblPr>
      <w:tblGrid>
        <w:gridCol w:w="1134"/>
        <w:gridCol w:w="1134"/>
        <w:gridCol w:w="5669"/>
      </w:tblGrid>
      <w:tr w:rsidR="00675046" w:rsidRPr="007A5F9C" w:rsidTr="00EB08A4">
        <w:trPr>
          <w:tblHeader/>
        </w:trPr>
        <w:tc>
          <w:tcPr>
            <w:tcW w:w="1134" w:type="dxa"/>
            <w:tcBorders>
              <w:bottom w:val="single" w:sz="8" w:space="0" w:color="FFFFFF" w:themeColor="background1"/>
            </w:tcBorders>
            <w:shd w:val="clear" w:color="auto" w:fill="6F6652"/>
            <w:tcMar>
              <w:left w:w="57" w:type="dxa"/>
              <w:right w:w="57" w:type="dxa"/>
            </w:tcMar>
          </w:tcPr>
          <w:p w:rsidR="00675046" w:rsidRPr="007A5F9C" w:rsidRDefault="00675046" w:rsidP="00675046">
            <w:pPr>
              <w:pStyle w:val="TableTextColumnHeading"/>
            </w:pPr>
            <w:r w:rsidRPr="007A5F9C">
              <w:t>Country</w:t>
            </w:r>
          </w:p>
        </w:tc>
        <w:tc>
          <w:tcPr>
            <w:tcW w:w="1134" w:type="dxa"/>
            <w:tcBorders>
              <w:bottom w:val="single" w:sz="8" w:space="0" w:color="FFFFFF" w:themeColor="background1"/>
            </w:tcBorders>
            <w:shd w:val="clear" w:color="auto" w:fill="6F6652"/>
            <w:tcMar>
              <w:left w:w="57" w:type="dxa"/>
              <w:right w:w="57" w:type="dxa"/>
            </w:tcMar>
          </w:tcPr>
          <w:p w:rsidR="00675046" w:rsidRPr="007A5F9C" w:rsidRDefault="00675046" w:rsidP="00675046">
            <w:pPr>
              <w:pStyle w:val="TableTextColumnHeading"/>
            </w:pPr>
            <w:r>
              <w:t>Service</w:t>
            </w:r>
          </w:p>
        </w:tc>
        <w:tc>
          <w:tcPr>
            <w:tcW w:w="5669" w:type="dxa"/>
            <w:tcBorders>
              <w:bottom w:val="single" w:sz="8" w:space="0" w:color="FFFFFF" w:themeColor="background1"/>
            </w:tcBorders>
            <w:shd w:val="clear" w:color="auto" w:fill="6F6652"/>
            <w:tcMar>
              <w:left w:w="57" w:type="dxa"/>
              <w:right w:w="57" w:type="dxa"/>
            </w:tcMar>
          </w:tcPr>
          <w:p w:rsidR="00675046" w:rsidRPr="007A5F9C" w:rsidRDefault="00675046" w:rsidP="00675046">
            <w:pPr>
              <w:pStyle w:val="TableTextColumnHeading"/>
            </w:pPr>
            <w:r>
              <w:t>Description</w:t>
            </w:r>
          </w:p>
        </w:tc>
      </w:tr>
      <w:tr w:rsidR="00EB08A4" w:rsidRPr="007A5F9C" w:rsidTr="00F71C50">
        <w:tc>
          <w:tcPr>
            <w:tcW w:w="7937" w:type="dxa"/>
            <w:gridSpan w:val="3"/>
            <w:tcBorders>
              <w:top w:val="single" w:sz="8" w:space="0" w:color="FFFFFF" w:themeColor="background1"/>
              <w:bottom w:val="single" w:sz="8" w:space="0" w:color="FFFFFF" w:themeColor="background1"/>
            </w:tcBorders>
            <w:shd w:val="clear" w:color="auto" w:fill="E4E0DA" w:themeFill="text2" w:themeFillTint="33"/>
            <w:tcMar>
              <w:left w:w="57" w:type="dxa"/>
              <w:right w:w="57" w:type="dxa"/>
            </w:tcMar>
          </w:tcPr>
          <w:p w:rsidR="00EB08A4" w:rsidRPr="007A5F9C" w:rsidRDefault="00EB08A4" w:rsidP="00675046">
            <w:pPr>
              <w:pStyle w:val="TableHeading1"/>
            </w:pPr>
            <w:r>
              <w:t>Retail</w:t>
            </w:r>
          </w:p>
        </w:tc>
      </w:tr>
      <w:tr w:rsidR="00675046" w:rsidRPr="007A5F9C" w:rsidTr="00675046">
        <w:tc>
          <w:tcPr>
            <w:tcW w:w="113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7A5F9C" w:rsidRDefault="00675046" w:rsidP="00675046">
            <w:pPr>
              <w:pStyle w:val="TableTextEntries"/>
              <w:tabs>
                <w:tab w:val="left" w:pos="714"/>
              </w:tabs>
            </w:pPr>
            <w:r>
              <w:t>Finland</w:t>
            </w:r>
          </w:p>
        </w:tc>
        <w:tc>
          <w:tcPr>
            <w:tcW w:w="113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7A5F9C" w:rsidRDefault="00675046" w:rsidP="00675046">
            <w:pPr>
              <w:pStyle w:val="TableTextEntries"/>
            </w:pPr>
            <w:r>
              <w:t>Voice and broadband services</w:t>
            </w:r>
          </w:p>
        </w:tc>
        <w:tc>
          <w:tcPr>
            <w:tcW w:w="56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1B53F7" w:rsidRDefault="00675046" w:rsidP="00675046">
            <w:pPr>
              <w:pStyle w:val="TableTextEntries"/>
            </w:pPr>
            <w:r w:rsidRPr="001B53F7">
              <w:t xml:space="preserve">Prices vary by region under </w:t>
            </w:r>
            <w:proofErr w:type="spellStart"/>
            <w:r w:rsidRPr="001B53F7">
              <w:t>Finnet</w:t>
            </w:r>
            <w:proofErr w:type="spellEnd"/>
            <w:r w:rsidRPr="001B53F7">
              <w:t xml:space="preserve">, since the company is structured as more than twenty locally owned telephone companies (each with their own prices) with a national long-distance </w:t>
            </w:r>
            <w:proofErr w:type="gramStart"/>
            <w:r w:rsidRPr="001B53F7">
              <w:t>carrier .</w:t>
            </w:r>
            <w:proofErr w:type="gramEnd"/>
          </w:p>
          <w:p w:rsidR="00675046" w:rsidRPr="001B53F7" w:rsidRDefault="00675046" w:rsidP="00675046">
            <w:pPr>
              <w:pStyle w:val="TableTextEntries"/>
            </w:pPr>
            <w:proofErr w:type="spellStart"/>
            <w:r w:rsidRPr="001B53F7">
              <w:t>Sonera</w:t>
            </w:r>
            <w:proofErr w:type="spellEnd"/>
            <w:r w:rsidRPr="001B53F7">
              <w:t xml:space="preserve"> also has de-averaged copper unbundling charges.</w:t>
            </w:r>
          </w:p>
        </w:tc>
      </w:tr>
      <w:tr w:rsidR="00675046" w:rsidRPr="007A5F9C" w:rsidTr="00675046">
        <w:tc>
          <w:tcPr>
            <w:tcW w:w="113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7A5F9C" w:rsidRDefault="00675046" w:rsidP="00675046">
            <w:pPr>
              <w:pStyle w:val="TableTextEntries"/>
            </w:pPr>
            <w:r>
              <w:t>Brazil</w:t>
            </w:r>
          </w:p>
        </w:tc>
        <w:tc>
          <w:tcPr>
            <w:tcW w:w="113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7A5F9C" w:rsidRDefault="00675046" w:rsidP="00675046">
            <w:pPr>
              <w:pStyle w:val="TableTextEntries"/>
            </w:pPr>
            <w:r>
              <w:t>Voice call services per minute</w:t>
            </w:r>
          </w:p>
        </w:tc>
        <w:tc>
          <w:tcPr>
            <w:tcW w:w="56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1B53F7" w:rsidRDefault="00675046" w:rsidP="00675046">
            <w:pPr>
              <w:pStyle w:val="TableTextEntries"/>
            </w:pPr>
            <w:r w:rsidRPr="001B53F7">
              <w:t xml:space="preserve">Prices for several fixed voice call services are price-regulated and are set differently by sector, of which there are 31 in </w:t>
            </w:r>
            <w:proofErr w:type="gramStart"/>
            <w:r w:rsidRPr="001B53F7">
              <w:t>Brazil .</w:t>
            </w:r>
            <w:proofErr w:type="gramEnd"/>
          </w:p>
        </w:tc>
      </w:tr>
      <w:tr w:rsidR="00675046" w:rsidRPr="007A5F9C" w:rsidTr="00675046">
        <w:tc>
          <w:tcPr>
            <w:tcW w:w="113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7A5F9C" w:rsidRDefault="00675046" w:rsidP="00675046">
            <w:pPr>
              <w:pStyle w:val="TableTextEntries"/>
            </w:pPr>
            <w:r>
              <w:t>Canada</w:t>
            </w:r>
          </w:p>
        </w:tc>
        <w:tc>
          <w:tcPr>
            <w:tcW w:w="113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7A5F9C" w:rsidRDefault="00675046" w:rsidP="00675046">
            <w:pPr>
              <w:pStyle w:val="TableTextEntries"/>
            </w:pPr>
            <w:r>
              <w:t>Business access services</w:t>
            </w:r>
          </w:p>
        </w:tc>
        <w:tc>
          <w:tcPr>
            <w:tcW w:w="56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1B53F7" w:rsidRDefault="00675046" w:rsidP="00675046">
            <w:pPr>
              <w:pStyle w:val="TableTextEntries"/>
            </w:pPr>
            <w:r w:rsidRPr="001B53F7">
              <w:t xml:space="preserve">The local carriers (ILECs) operate in specified parts of Canada, whose communities </w:t>
            </w:r>
            <w:proofErr w:type="gramStart"/>
            <w:r w:rsidRPr="001B53F7">
              <w:t>are subdivided</w:t>
            </w:r>
            <w:proofErr w:type="gramEnd"/>
            <w:r w:rsidRPr="001B53F7">
              <w:t xml:space="preserve"> into several Bands based on the number of active lines in that community.</w:t>
            </w:r>
          </w:p>
          <w:p w:rsidR="00675046" w:rsidRPr="001B53F7" w:rsidRDefault="00675046" w:rsidP="00675046">
            <w:pPr>
              <w:pStyle w:val="TableTextEntries"/>
            </w:pPr>
            <w:r w:rsidRPr="001B53F7">
              <w:t xml:space="preserve">ILECs can request that the regulator permit de-averaging of prices for services in different bands. For example, in 2013 </w:t>
            </w:r>
            <w:proofErr w:type="spellStart"/>
            <w:r w:rsidRPr="001B53F7">
              <w:t>NorthWestel</w:t>
            </w:r>
            <w:proofErr w:type="spellEnd"/>
            <w:r w:rsidRPr="001B53F7">
              <w:t xml:space="preserve"> was permitted to de-average its prices between two Bands in its network footprint for several baskets of </w:t>
            </w:r>
            <w:proofErr w:type="gramStart"/>
            <w:r w:rsidRPr="001B53F7">
              <w:t>services .</w:t>
            </w:r>
            <w:proofErr w:type="gramEnd"/>
          </w:p>
          <w:p w:rsidR="00675046" w:rsidRPr="001B53F7" w:rsidRDefault="00675046" w:rsidP="00675046">
            <w:pPr>
              <w:pStyle w:val="TableTextEntries"/>
            </w:pPr>
            <w:r w:rsidRPr="001B53F7">
              <w:t xml:space="preserve">They can also request de-averaging of their cost bases between bands for the purposes of the government subsidy </w:t>
            </w:r>
            <w:proofErr w:type="gramStart"/>
            <w:r w:rsidRPr="001B53F7">
              <w:t>calculation .</w:t>
            </w:r>
            <w:proofErr w:type="gramEnd"/>
            <w:r w:rsidRPr="001B53F7">
              <w:t xml:space="preserve"> </w:t>
            </w:r>
          </w:p>
        </w:tc>
      </w:tr>
      <w:tr w:rsidR="00675046" w:rsidRPr="007A5F9C" w:rsidTr="00F37D93">
        <w:trPr>
          <w:cantSplit/>
        </w:trPr>
        <w:tc>
          <w:tcPr>
            <w:tcW w:w="113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7A5F9C" w:rsidRDefault="00675046" w:rsidP="00675046">
            <w:pPr>
              <w:pStyle w:val="TableTextEntries"/>
            </w:pPr>
            <w:r>
              <w:lastRenderedPageBreak/>
              <w:t>Russia</w:t>
            </w:r>
          </w:p>
        </w:tc>
        <w:tc>
          <w:tcPr>
            <w:tcW w:w="113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7A5F9C" w:rsidRDefault="00675046" w:rsidP="00675046">
            <w:pPr>
              <w:pStyle w:val="TableTextEntries"/>
            </w:pPr>
            <w:r>
              <w:t>Voice services</w:t>
            </w:r>
          </w:p>
        </w:tc>
        <w:tc>
          <w:tcPr>
            <w:tcW w:w="56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1B53F7" w:rsidRDefault="00675046" w:rsidP="00675046">
            <w:pPr>
              <w:pStyle w:val="TableTextEntries"/>
            </w:pPr>
            <w:r w:rsidRPr="001B53F7">
              <w:t xml:space="preserve">The Ministry of Communications (the regulator) is responsible for policy development. However, The Federal Tariff Agency of Russia is the organisation actually responsible for price regulation. It regulates the price ceiling for both business and residential services. The ceiling can be determined separately for a region as well as for an operator. For example, the tariffs are published for several services and </w:t>
            </w:r>
            <w:proofErr w:type="gramStart"/>
            <w:r w:rsidRPr="001B53F7">
              <w:t>regions .</w:t>
            </w:r>
            <w:proofErr w:type="gramEnd"/>
            <w:r w:rsidRPr="001B53F7">
              <w:t xml:space="preserve"> These </w:t>
            </w:r>
            <w:proofErr w:type="gramStart"/>
            <w:r w:rsidRPr="001B53F7">
              <w:t>can then be amended</w:t>
            </w:r>
            <w:proofErr w:type="gramEnd"/>
            <w:r w:rsidRPr="001B53F7">
              <w:t xml:space="preserve"> over time.</w:t>
            </w:r>
          </w:p>
        </w:tc>
      </w:tr>
      <w:tr w:rsidR="00EB08A4" w:rsidRPr="007A5F9C" w:rsidTr="00F71C50">
        <w:tc>
          <w:tcPr>
            <w:tcW w:w="7937" w:type="dxa"/>
            <w:gridSpan w:val="3"/>
            <w:tcBorders>
              <w:top w:val="single" w:sz="8" w:space="0" w:color="FFFFFF" w:themeColor="background1"/>
              <w:bottom w:val="single" w:sz="8" w:space="0" w:color="FFFFFF" w:themeColor="background1"/>
            </w:tcBorders>
            <w:shd w:val="clear" w:color="auto" w:fill="E4E0DA" w:themeFill="text2" w:themeFillTint="33"/>
            <w:tcMar>
              <w:left w:w="57" w:type="dxa"/>
              <w:right w:w="57" w:type="dxa"/>
            </w:tcMar>
          </w:tcPr>
          <w:p w:rsidR="00EB08A4" w:rsidRPr="001B53F7" w:rsidRDefault="00EB08A4" w:rsidP="00675046">
            <w:pPr>
              <w:pStyle w:val="TableHeading1"/>
            </w:pPr>
            <w:r>
              <w:t>Wholesale prices</w:t>
            </w:r>
          </w:p>
        </w:tc>
      </w:tr>
      <w:tr w:rsidR="00675046" w:rsidRPr="007A5F9C" w:rsidTr="00675046">
        <w:tc>
          <w:tcPr>
            <w:tcW w:w="113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7A5F9C" w:rsidRDefault="00675046" w:rsidP="00675046">
            <w:pPr>
              <w:pStyle w:val="TableTextEntries"/>
            </w:pPr>
            <w:r>
              <w:t>Netherlands</w:t>
            </w:r>
          </w:p>
        </w:tc>
        <w:tc>
          <w:tcPr>
            <w:tcW w:w="113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7A5F9C" w:rsidRDefault="00675046" w:rsidP="00675046">
            <w:pPr>
              <w:pStyle w:val="TableTextEntries"/>
            </w:pPr>
            <w:r>
              <w:t>Fibre unbundling (ODF Access)</w:t>
            </w:r>
          </w:p>
        </w:tc>
        <w:tc>
          <w:tcPr>
            <w:tcW w:w="56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1B53F7" w:rsidRDefault="00675046" w:rsidP="00675046">
            <w:pPr>
              <w:pStyle w:val="TableTextEntries"/>
            </w:pPr>
            <w:r w:rsidRPr="001B53F7">
              <w:t xml:space="preserve">Charges on the </w:t>
            </w:r>
            <w:proofErr w:type="spellStart"/>
            <w:r w:rsidRPr="001B53F7">
              <w:t>Reggefiber</w:t>
            </w:r>
            <w:proofErr w:type="spellEnd"/>
            <w:r w:rsidRPr="001B53F7">
              <w:t xml:space="preserve"> network varied by area, but since the start of 2013 have been national prices.</w:t>
            </w:r>
          </w:p>
        </w:tc>
      </w:tr>
      <w:tr w:rsidR="00675046" w:rsidRPr="007A5F9C" w:rsidTr="00675046">
        <w:tc>
          <w:tcPr>
            <w:tcW w:w="113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7A5F9C" w:rsidRDefault="00675046" w:rsidP="00675046">
            <w:pPr>
              <w:pStyle w:val="TableTextEntries"/>
            </w:pPr>
            <w:r>
              <w:t>Sweden</w:t>
            </w:r>
          </w:p>
        </w:tc>
        <w:tc>
          <w:tcPr>
            <w:tcW w:w="113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7A5F9C" w:rsidRDefault="00675046" w:rsidP="00675046">
            <w:pPr>
              <w:pStyle w:val="TableTextEntries"/>
            </w:pPr>
            <w:r>
              <w:t>Unbundled access to fibre networks</w:t>
            </w:r>
          </w:p>
        </w:tc>
        <w:tc>
          <w:tcPr>
            <w:tcW w:w="56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Pr="001B53F7" w:rsidRDefault="00675046" w:rsidP="00675046">
            <w:pPr>
              <w:pStyle w:val="TableTextEntries"/>
            </w:pPr>
            <w:r w:rsidRPr="001B53F7">
              <w:t xml:space="preserve">Price of this service </w:t>
            </w:r>
            <w:proofErr w:type="gramStart"/>
            <w:r w:rsidRPr="001B53F7">
              <w:t>is set</w:t>
            </w:r>
            <w:proofErr w:type="gramEnd"/>
            <w:r w:rsidRPr="001B53F7">
              <w:t xml:space="preserve"> differently for five </w:t>
            </w:r>
            <w:proofErr w:type="spellStart"/>
            <w:r w:rsidRPr="001B53F7">
              <w:t>geotypes</w:t>
            </w:r>
            <w:proofErr w:type="spellEnd"/>
            <w:r w:rsidRPr="001B53F7">
              <w:t>.</w:t>
            </w:r>
          </w:p>
        </w:tc>
      </w:tr>
      <w:tr w:rsidR="00675046" w:rsidRPr="007A5F9C" w:rsidTr="00675046">
        <w:tc>
          <w:tcPr>
            <w:tcW w:w="1134" w:type="dxa"/>
            <w:tcBorders>
              <w:top w:val="single" w:sz="8" w:space="0" w:color="FFFFFF" w:themeColor="background1"/>
              <w:bottom w:val="single" w:sz="6" w:space="0" w:color="6F6652"/>
            </w:tcBorders>
            <w:shd w:val="clear" w:color="auto" w:fill="E9E8E5" w:themeFill="background2"/>
            <w:tcMar>
              <w:left w:w="57" w:type="dxa"/>
              <w:right w:w="57" w:type="dxa"/>
            </w:tcMar>
          </w:tcPr>
          <w:p w:rsidR="00675046" w:rsidRPr="007A5F9C" w:rsidRDefault="00675046" w:rsidP="00675046">
            <w:pPr>
              <w:pStyle w:val="TableTextEntries"/>
            </w:pPr>
            <w:r>
              <w:t>Canada</w:t>
            </w:r>
          </w:p>
        </w:tc>
        <w:tc>
          <w:tcPr>
            <w:tcW w:w="1134" w:type="dxa"/>
            <w:tcBorders>
              <w:top w:val="single" w:sz="8" w:space="0" w:color="FFFFFF" w:themeColor="background1"/>
              <w:bottom w:val="single" w:sz="6" w:space="0" w:color="6F6652"/>
            </w:tcBorders>
            <w:shd w:val="clear" w:color="auto" w:fill="E9E8E5" w:themeFill="background2"/>
            <w:tcMar>
              <w:left w:w="57" w:type="dxa"/>
              <w:right w:w="57" w:type="dxa"/>
            </w:tcMar>
          </w:tcPr>
          <w:p w:rsidR="00675046" w:rsidRPr="007A5F9C" w:rsidRDefault="00675046" w:rsidP="00675046">
            <w:pPr>
              <w:pStyle w:val="TableTextEntries"/>
            </w:pPr>
            <w:r>
              <w:t>Ethernet access</w:t>
            </w:r>
          </w:p>
        </w:tc>
        <w:tc>
          <w:tcPr>
            <w:tcW w:w="5669" w:type="dxa"/>
            <w:tcBorders>
              <w:top w:val="single" w:sz="8" w:space="0" w:color="FFFFFF" w:themeColor="background1"/>
              <w:bottom w:val="single" w:sz="6" w:space="0" w:color="6F6652"/>
            </w:tcBorders>
            <w:shd w:val="clear" w:color="auto" w:fill="E9E8E5" w:themeFill="background2"/>
            <w:tcMar>
              <w:left w:w="57" w:type="dxa"/>
              <w:right w:w="57" w:type="dxa"/>
            </w:tcMar>
          </w:tcPr>
          <w:p w:rsidR="00675046" w:rsidRPr="001B53F7" w:rsidRDefault="00675046" w:rsidP="00675046">
            <w:pPr>
              <w:pStyle w:val="TableTextEntries"/>
            </w:pPr>
            <w:r w:rsidRPr="001B53F7">
              <w:t xml:space="preserve">In 2013, </w:t>
            </w:r>
            <w:proofErr w:type="spellStart"/>
            <w:r w:rsidRPr="001B53F7">
              <w:t>NorthWestel</w:t>
            </w:r>
            <w:proofErr w:type="spellEnd"/>
            <w:r w:rsidRPr="001B53F7">
              <w:t xml:space="preserve"> </w:t>
            </w:r>
            <w:proofErr w:type="gramStart"/>
            <w:r w:rsidRPr="001B53F7">
              <w:t>were permitted</w:t>
            </w:r>
            <w:proofErr w:type="gramEnd"/>
            <w:r w:rsidRPr="001B53F7">
              <w:t xml:space="preserve"> to de-average their prices for Ethernet access in two bands in their network footprint.</w:t>
            </w:r>
          </w:p>
        </w:tc>
      </w:tr>
    </w:tbl>
    <w:p w:rsidR="00675046" w:rsidRDefault="00675046" w:rsidP="004603A4">
      <w:pPr>
        <w:pStyle w:val="Source"/>
      </w:pPr>
      <w:proofErr w:type="gramStart"/>
      <w:r w:rsidRPr="007A5F9C">
        <w:rPr>
          <w:i/>
        </w:rPr>
        <w:t>Source:</w:t>
      </w:r>
      <w:r w:rsidRPr="007A5F9C">
        <w:t xml:space="preserve"> </w:t>
      </w:r>
      <w:proofErr w:type="spellStart"/>
      <w:r>
        <w:t>Analysys</w:t>
      </w:r>
      <w:proofErr w:type="spellEnd"/>
      <w:r>
        <w:t xml:space="preserve"> Mason.</w:t>
      </w:r>
      <w:proofErr w:type="gramEnd"/>
    </w:p>
    <w:p w:rsidR="00675046" w:rsidRDefault="0028390C" w:rsidP="0028390C">
      <w:pPr>
        <w:pStyle w:val="Heading4"/>
      </w:pPr>
      <w:r>
        <w:t>CIE assessment</w:t>
      </w:r>
    </w:p>
    <w:p w:rsidR="00F55365" w:rsidRDefault="00F55365" w:rsidP="00F55365">
      <w:pPr>
        <w:pStyle w:val="BodyText"/>
      </w:pPr>
      <w:r>
        <w:t xml:space="preserve">On balance, based on the available evidence it seems likely that Telstra would have maintained uniform pricing across the country, even without the price controls. </w:t>
      </w:r>
      <w:r w:rsidR="00113754">
        <w:t>Nevertheless, there is some possibility that Telstra may have charged higher prices in regional and rural markets in the absence of the price controls</w:t>
      </w:r>
      <w:r>
        <w:t>.</w:t>
      </w:r>
    </w:p>
    <w:p w:rsidR="00F55365" w:rsidRDefault="00F55365" w:rsidP="00F55365">
      <w:pPr>
        <w:pStyle w:val="BodyText"/>
      </w:pPr>
      <w:r>
        <w:t>Even if Telstra would have charged different prices in regional areas, compared with metropolitan areas, this could lead to a more efficient outcome if</w:t>
      </w:r>
      <w:r w:rsidR="003272EE">
        <w:t xml:space="preserve"> the differential prices reflected differences in the cost of supply. </w:t>
      </w:r>
      <w:r w:rsidR="00113754">
        <w:t>In this</w:t>
      </w:r>
      <w:r w:rsidR="003272EE">
        <w:t xml:space="preserve"> case, the impact of the price controls would have been to introduce cross</w:t>
      </w:r>
      <w:r w:rsidR="003272EE">
        <w:noBreakHyphen/>
        <w:t>subsidies from metropolitan to regional users. This would have resulted in a net cost to the community.</w:t>
      </w:r>
    </w:p>
    <w:p w:rsidR="0028390C" w:rsidRDefault="003272EE" w:rsidP="00675046">
      <w:pPr>
        <w:pStyle w:val="BodyText"/>
      </w:pPr>
      <w:r>
        <w:t>On the other hand, if in the absence of the price controls, Telstra would have been able to raise prices in regional areas to a level that allowed it to earn above</w:t>
      </w:r>
      <w:r>
        <w:noBreakHyphen/>
        <w:t>normal profits from those users</w:t>
      </w:r>
      <w:proofErr w:type="gramStart"/>
      <w:r>
        <w:t>,</w:t>
      </w:r>
      <w:proofErr w:type="gramEnd"/>
      <w:r>
        <w:t xml:space="preserve"> the</w:t>
      </w:r>
      <w:r w:rsidR="008B6F68">
        <w:t>n</w:t>
      </w:r>
      <w:r>
        <w:t xml:space="preserve"> price regulation may have delivered a net benefit to the community.</w:t>
      </w:r>
    </w:p>
    <w:p w:rsidR="004F2C9F" w:rsidRDefault="004F2C9F" w:rsidP="004F2C9F">
      <w:pPr>
        <w:pStyle w:val="Heading3"/>
      </w:pPr>
      <w:r>
        <w:t>Other side constraints</w:t>
      </w:r>
    </w:p>
    <w:p w:rsidR="004F2C9F" w:rsidRDefault="004F2C9F" w:rsidP="004F2C9F">
      <w:pPr>
        <w:pStyle w:val="BodyText"/>
      </w:pPr>
      <w:r>
        <w:t>Other side constraints contained within the Determination include:</w:t>
      </w:r>
    </w:p>
    <w:p w:rsidR="004F2C9F" w:rsidRDefault="004F2C9F" w:rsidP="004F2C9F">
      <w:pPr>
        <w:pStyle w:val="ListBullet"/>
      </w:pPr>
      <w:r>
        <w:t>the price of untimed local calls must not exceed 22 cents (GST inclusive)</w:t>
      </w:r>
      <w:r w:rsidR="00CB58A4">
        <w:t>;</w:t>
      </w:r>
    </w:p>
    <w:p w:rsidR="004F2C9F" w:rsidRDefault="004F2C9F" w:rsidP="004F2C9F">
      <w:pPr>
        <w:pStyle w:val="ListBullet"/>
      </w:pPr>
      <w:r>
        <w:t>Telstra must offer a line rental to schools and charities at a price at or below the standard line rental offered to residential customers</w:t>
      </w:r>
      <w:r w:rsidR="00CB58A4">
        <w:t>;</w:t>
      </w:r>
    </w:p>
    <w:p w:rsidR="004F2C9F" w:rsidRDefault="004F2C9F" w:rsidP="004F2C9F">
      <w:pPr>
        <w:pStyle w:val="ListBullet"/>
      </w:pPr>
      <w:r>
        <w:t>calls in and between adjacent extended zones are required to be charged as untimed local calls</w:t>
      </w:r>
      <w:r w:rsidR="00CB58A4">
        <w:t>; and</w:t>
      </w:r>
    </w:p>
    <w:p w:rsidR="004F2C9F" w:rsidRDefault="004F2C9F" w:rsidP="004F2C9F">
      <w:pPr>
        <w:pStyle w:val="ListBullet"/>
      </w:pPr>
      <w:proofErr w:type="gramStart"/>
      <w:r>
        <w:t>the</w:t>
      </w:r>
      <w:proofErr w:type="gramEnd"/>
      <w:r>
        <w:t xml:space="preserve"> price of untimed local calls from public payphones must not exceed 50 cents</w:t>
      </w:r>
      <w:r w:rsidR="00CB58A4">
        <w:t>.</w:t>
      </w:r>
    </w:p>
    <w:p w:rsidR="004F2C9F" w:rsidRPr="000F5BBF" w:rsidRDefault="004F2C9F" w:rsidP="004F2C9F">
      <w:pPr>
        <w:pStyle w:val="BodyText"/>
      </w:pPr>
      <w:r>
        <w:t>In general, commercial constraints</w:t>
      </w:r>
      <w:r w:rsidR="00CB58A4">
        <w:t xml:space="preserve"> and other regulatory arrangements </w:t>
      </w:r>
      <w:r>
        <w:t>are likely to have ensured that these price controls had little impact on Telstra’s pricing behaviour.</w:t>
      </w:r>
    </w:p>
    <w:p w:rsidR="004F2C9F" w:rsidRDefault="004F2C9F" w:rsidP="004F2C9F">
      <w:pPr>
        <w:pStyle w:val="Heading4"/>
      </w:pPr>
      <w:r>
        <w:lastRenderedPageBreak/>
        <w:t>Constraints on untimed local calls</w:t>
      </w:r>
    </w:p>
    <w:p w:rsidR="004F2C9F" w:rsidRDefault="004F2C9F" w:rsidP="004F2C9F">
      <w:pPr>
        <w:pStyle w:val="BodyText"/>
      </w:pPr>
      <w:r>
        <w:t>The price controls prevent Telstra increasing the price of untimed local call above 22 cents (GST inclusive) for each call (other than a local call made from a public payphone, or a local call made using a calling card).</w:t>
      </w:r>
    </w:p>
    <w:p w:rsidR="004F2C9F" w:rsidRDefault="004F2C9F" w:rsidP="004F2C9F">
      <w:pPr>
        <w:pStyle w:val="BodyText"/>
      </w:pPr>
      <w:r>
        <w:t>This constraint does not apply to plans where Telstra offer a discount on standard line rental (where standard line rental for residential and charity customers is the rental paid by the largest number of residential customers at any time). This allows Telstra to offer products that trade</w:t>
      </w:r>
      <w:r>
        <w:noBreakHyphen/>
        <w:t xml:space="preserve">off the prices of the line rental and untimed local calls. The price of untimed local calls varies significantly in plans offered by Telstra. In </w:t>
      </w:r>
      <w:r w:rsidR="00CB58A4">
        <w:t xml:space="preserve">its discount plan, the price is 30 cents per local call, while in other plans currently offered </w:t>
      </w:r>
      <w:r>
        <w:t>the price is zero.</w:t>
      </w:r>
    </w:p>
    <w:p w:rsidR="004F2C9F" w:rsidRDefault="003B45D1" w:rsidP="004F2C9F">
      <w:pPr>
        <w:pStyle w:val="BodyText"/>
      </w:pPr>
      <w:r>
        <w:t xml:space="preserve">The price constraint on local calls does not appear to be binding on Telstra’s behaviour, as it charges well below the 22 cents where this cap applies. </w:t>
      </w:r>
      <w:r w:rsidR="004F2C9F">
        <w:t>This indicates there are sufficient constraints on Telstra to prevent it from raising the price of untimed local call</w:t>
      </w:r>
      <w:r w:rsidR="00CB58A4">
        <w:t>s without some offsetting reduction</w:t>
      </w:r>
      <w:r w:rsidR="004F2C9F">
        <w:t xml:space="preserve"> in the line rental.</w:t>
      </w:r>
      <w:r>
        <w:t xml:space="preserve"> Note that the arrangement where calls </w:t>
      </w:r>
      <w:proofErr w:type="gramStart"/>
      <w:r>
        <w:t>are not timed</w:t>
      </w:r>
      <w:proofErr w:type="gramEnd"/>
      <w:r>
        <w:t xml:space="preserve"> is also unlikely to change and the trend is for national calls also to be included as free within plans.</w:t>
      </w:r>
    </w:p>
    <w:p w:rsidR="004F2C9F" w:rsidRDefault="004F2C9F" w:rsidP="004F2C9F">
      <w:pPr>
        <w:pStyle w:val="Heading4"/>
      </w:pPr>
      <w:r>
        <w:t>Prices offered to schools and charities</w:t>
      </w:r>
    </w:p>
    <w:p w:rsidR="004F2C9F" w:rsidRDefault="004F2C9F" w:rsidP="004F2C9F">
      <w:pPr>
        <w:pStyle w:val="BodyText"/>
      </w:pPr>
      <w:r>
        <w:t>It has not been possible to verify whether Telstra would have provided line rentals at a higher price to schools and charities in the absence of the price controls. However, as above, we consider it likely that there were sufficient constraints on Telstra to ensure that Telstra does not charge schools and charities a price that exceeds the cost of supply, at least in most urban areas. We also consider it likely that Telstra would have maintained nationally consistent pricing, even in the absence of price controls.</w:t>
      </w:r>
      <w:r w:rsidR="00851870">
        <w:t xml:space="preserve"> Furthermore, schools typically have access to the rates available under commercial contracts negotiated by either State and Territory governments, or religious organisations </w:t>
      </w:r>
      <w:proofErr w:type="spellStart"/>
      <w:r w:rsidR="00851870">
        <w:t>e.g</w:t>
      </w:r>
      <w:proofErr w:type="spellEnd"/>
      <w:r w:rsidR="00851870">
        <w:t>, the Catholic Church.</w:t>
      </w:r>
    </w:p>
    <w:p w:rsidR="003B45D1" w:rsidRDefault="003B45D1" w:rsidP="004F2C9F">
      <w:pPr>
        <w:pStyle w:val="BodyText"/>
      </w:pPr>
      <w:r>
        <w:t xml:space="preserve">If </w:t>
      </w:r>
      <w:proofErr w:type="gramStart"/>
      <w:r>
        <w:t>subsidised pricing arrangements for particular groups such as schools and charities is</w:t>
      </w:r>
      <w:proofErr w:type="gramEnd"/>
      <w:r>
        <w:t xml:space="preserve"> a desirable objective then this would be better implemented as a direct subsidy from Government, rather than forcing a private company to subsidies some customers.</w:t>
      </w:r>
    </w:p>
    <w:p w:rsidR="004F2C9F" w:rsidRDefault="004F2C9F" w:rsidP="004F2C9F">
      <w:pPr>
        <w:pStyle w:val="Heading4"/>
      </w:pPr>
      <w:r>
        <w:t>Extended zone call charges</w:t>
      </w:r>
    </w:p>
    <w:p w:rsidR="003B45D1" w:rsidRDefault="003B45D1" w:rsidP="004F2C9F">
      <w:pPr>
        <w:pStyle w:val="BodyText"/>
      </w:pPr>
      <w:r>
        <w:t xml:space="preserve">Calls in and between adjacent extended zones are required to be charged as untimed local calls by Telstra. This arrangement </w:t>
      </w:r>
      <w:proofErr w:type="gramStart"/>
      <w:r>
        <w:t>is mirrored</w:t>
      </w:r>
      <w:proofErr w:type="gramEnd"/>
      <w:r>
        <w:t xml:space="preserve"> in a contract between Telstra and the Telecommunications Universal Service Management Agency (TUSMA), which contracts with Telstra to provide untimed local calls in (and to adjacent) extended zones. This contract costs in the order of $1.7 million per year.</w:t>
      </w:r>
      <w:r>
        <w:rPr>
          <w:rStyle w:val="FootnoteReference"/>
        </w:rPr>
        <w:footnoteReference w:id="11"/>
      </w:r>
      <w:r>
        <w:t xml:space="preserve"> </w:t>
      </w:r>
    </w:p>
    <w:p w:rsidR="004F2C9F" w:rsidRDefault="003B45D1" w:rsidP="004F2C9F">
      <w:pPr>
        <w:pStyle w:val="BodyText"/>
      </w:pPr>
      <w:r>
        <w:t>It is possible that Telstra would charge a different price for untimed local calls in extended zones as for other areas in the absence of retail price controls.</w:t>
      </w:r>
      <w:r w:rsidR="004F2C9F">
        <w:t xml:space="preserve"> However, we previously argued that Telstra is likely to have charged a nationally consistent price, even </w:t>
      </w:r>
      <w:r w:rsidR="004F2C9F">
        <w:lastRenderedPageBreak/>
        <w:t>in the absence of price controls.</w:t>
      </w:r>
      <w:r>
        <w:t xml:space="preserve"> It is very unlikely Telstra would seek to put in place a differential pricing arrangement for local calls in extended zones, which cover a small amount of Telstra’s revenue.</w:t>
      </w:r>
    </w:p>
    <w:p w:rsidR="003B45D1" w:rsidRDefault="003B45D1" w:rsidP="004F2C9F">
      <w:pPr>
        <w:pStyle w:val="BodyText"/>
      </w:pPr>
      <w:r>
        <w:t>The presence of bundles that offer unlimited national calls also makes arrangements specific to extended zones redundant, as customers in these areas can choose a bundle that limits costs in any case.</w:t>
      </w:r>
    </w:p>
    <w:p w:rsidR="004F2C9F" w:rsidRDefault="004F2C9F" w:rsidP="004F2C9F">
      <w:pPr>
        <w:pStyle w:val="Heading4"/>
      </w:pPr>
      <w:r>
        <w:t>Payphones</w:t>
      </w:r>
    </w:p>
    <w:p w:rsidR="004F2C9F" w:rsidRDefault="004F2C9F" w:rsidP="004F2C9F">
      <w:pPr>
        <w:pStyle w:val="BodyText"/>
      </w:pPr>
      <w:r>
        <w:t>The price controls prevent Telstra from charging a price of more than 50 cents for each untimed local call made from a public payphone.</w:t>
      </w:r>
      <w:r w:rsidR="003B45D1">
        <w:t xml:space="preserve"> </w:t>
      </w:r>
    </w:p>
    <w:p w:rsidR="004F2C9F" w:rsidRDefault="004F2C9F" w:rsidP="004F2C9F">
      <w:pPr>
        <w:pStyle w:val="BodyText"/>
      </w:pPr>
      <w:r>
        <w:t>The number of public payphones has decreased by around 25 per cent over the past five years (chart </w:t>
      </w:r>
      <w:fldSimple w:instr=" REF _Caption2015 ">
        <w:r w:rsidR="00304215">
          <w:rPr>
            <w:noProof/>
          </w:rPr>
          <w:t>3</w:t>
        </w:r>
        <w:r w:rsidR="00304215" w:rsidRPr="00695C93">
          <w:rPr>
            <w:noProof/>
          </w:rPr>
          <w:t>.</w:t>
        </w:r>
        <w:r w:rsidR="00304215">
          <w:rPr>
            <w:noProof/>
          </w:rPr>
          <w:t>6</w:t>
        </w:r>
      </w:fldSimple>
      <w:r>
        <w:t>). Over this period, the number of Telstra</w:t>
      </w:r>
      <w:r>
        <w:noBreakHyphen/>
        <w:t xml:space="preserve">operated public payphones has declined by around 13 per cent, while the number of </w:t>
      </w:r>
      <w:proofErr w:type="gramStart"/>
      <w:r>
        <w:t>non Telstra</w:t>
      </w:r>
      <w:r>
        <w:noBreakHyphen/>
        <w:t>operated</w:t>
      </w:r>
      <w:proofErr w:type="gramEnd"/>
      <w:r>
        <w:t xml:space="preserve"> public payphones has declined by around 38 per cent. This is likely to reflect competition from mobile phones.</w:t>
      </w:r>
    </w:p>
    <w:p w:rsidR="004F2C9F" w:rsidRPr="00695C93" w:rsidRDefault="004F2C9F" w:rsidP="004F2C9F">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3</w:instrText>
        </w:r>
      </w:fldSimple>
      <w:r w:rsidRPr="00695C93">
        <w:instrText xml:space="preserve"> = 0 "" "</w:instrText>
      </w:r>
      <w:fldSimple w:instr=" STYLEREF &quot;Heading 1&quot; \l \n ">
        <w:r w:rsidR="00304215">
          <w:rPr>
            <w:noProof/>
          </w:rPr>
          <w:instrText>3</w:instrText>
        </w:r>
      </w:fldSimple>
      <w:r w:rsidRPr="00695C93">
        <w:instrText xml:space="preserve">." </w:instrText>
      </w:r>
      <w:r w:rsidRPr="00695C93">
        <w:fldChar w:fldCharType="separate"/>
      </w:r>
      <w:r w:rsidR="00304215">
        <w:rPr>
          <w:noProof/>
        </w:rPr>
        <w:instrText>3</w:instrText>
      </w:r>
      <w:r w:rsidR="00304215" w:rsidRPr="00695C93">
        <w:rPr>
          <w:noProof/>
        </w:rPr>
        <w:instrText>.</w:instrText>
      </w:r>
      <w:r w:rsidRPr="00695C93">
        <w:fldChar w:fldCharType="end"/>
      </w:r>
      <w:r w:rsidRPr="00695C93">
        <w:instrText>" "</w:instrText>
      </w:r>
      <w:fldSimple w:instr=" STYLEREF &quot;Heading 6&quot; \l \n ">
        <w:r>
          <w:rPr>
            <w:noProof/>
          </w:rPr>
          <w:instrText>A</w:instrText>
        </w:r>
      </w:fldSimple>
      <w:r w:rsidRPr="00695C93">
        <w:instrText xml:space="preserve">." </w:instrText>
      </w:r>
      <w:r w:rsidRPr="00695C93">
        <w:fldChar w:fldCharType="separate"/>
      </w:r>
      <w:r w:rsidR="00584F9A">
        <w:rPr>
          <w:noProof/>
        </w:rPr>
        <w:instrText>3</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3</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6</w:instrText>
      </w:r>
      <w:r w:rsidRPr="00695C93">
        <w:fldChar w:fldCharType="end"/>
      </w:r>
      <w:r w:rsidRPr="00695C93">
        <w:instrText xml:space="preserve">" "" </w:instrText>
      </w:r>
      <w:r w:rsidRPr="00695C93">
        <w:fldChar w:fldCharType="separate"/>
      </w:r>
      <w:bookmarkStart w:id="587" w:name="_Caption2015"/>
      <w:bookmarkStart w:id="588" w:name="_Toc320545098"/>
      <w:bookmarkStart w:id="589" w:name="_Toc391972949"/>
      <w:r w:rsidR="00584F9A">
        <w:rPr>
          <w:noProof/>
        </w:rPr>
        <w:t>3</w:t>
      </w:r>
      <w:r w:rsidR="00584F9A" w:rsidRPr="00695C93">
        <w:rPr>
          <w:noProof/>
        </w:rPr>
        <w:t>.</w:t>
      </w:r>
      <w:r w:rsidR="00584F9A">
        <w:rPr>
          <w:noProof/>
        </w:rPr>
        <w:t>6</w:t>
      </w:r>
      <w:bookmarkEnd w:id="587"/>
      <w:r w:rsidRPr="00695C93">
        <w:fldChar w:fldCharType="end"/>
      </w:r>
      <w:r w:rsidRPr="00695C93">
        <w:tab/>
      </w:r>
      <w:bookmarkEnd w:id="588"/>
      <w:r>
        <w:t>Number of public payphones</w:t>
      </w:r>
      <w:bookmarkEnd w:id="589"/>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4F2C9F" w:rsidTr="00B01898">
        <w:trPr>
          <w:cantSplit/>
          <w:tblHeader/>
        </w:trPr>
        <w:tc>
          <w:tcPr>
            <w:tcW w:w="7938" w:type="dxa"/>
            <w:shd w:val="clear" w:color="auto" w:fill="E9E8E5" w:themeFill="background2"/>
          </w:tcPr>
          <w:p w:rsidR="004F2C9F" w:rsidRDefault="004F2C9F" w:rsidP="00F37D93">
            <w:pPr>
              <w:pStyle w:val="Chart"/>
              <w:jc w:val="center"/>
            </w:pPr>
            <w:r>
              <w:rPr>
                <w:noProof/>
                <w:lang w:eastAsia="en-AU"/>
              </w:rPr>
              <w:drawing>
                <wp:inline distT="0" distB="0" distL="0" distR="0" wp14:anchorId="6563029E" wp14:editId="22684FC7">
                  <wp:extent cx="4858385" cy="2377440"/>
                  <wp:effectExtent l="0" t="0" r="0" b="0"/>
                  <wp:docPr id="8" name="Picture 8" descr="Bar graph outlining the number of Telstra-operated and non Telstra-operated public pay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58385" cy="2377440"/>
                          </a:xfrm>
                          <a:prstGeom prst="rect">
                            <a:avLst/>
                          </a:prstGeom>
                          <a:noFill/>
                          <a:ln>
                            <a:noFill/>
                          </a:ln>
                        </pic:spPr>
                      </pic:pic>
                    </a:graphicData>
                  </a:graphic>
                </wp:inline>
              </w:drawing>
            </w:r>
          </w:p>
        </w:tc>
      </w:tr>
    </w:tbl>
    <w:p w:rsidR="004F2C9F" w:rsidRDefault="004F2C9F" w:rsidP="004F2C9F">
      <w:pPr>
        <w:pStyle w:val="Source"/>
      </w:pPr>
      <w:r>
        <w:rPr>
          <w:i/>
        </w:rPr>
        <w:t>Data source</w:t>
      </w:r>
      <w:r w:rsidRPr="00A67576">
        <w:rPr>
          <w:i/>
        </w:rPr>
        <w:t>:</w:t>
      </w:r>
      <w:r>
        <w:t xml:space="preserve"> ACMA, Communications report 2012</w:t>
      </w:r>
      <w:r>
        <w:noBreakHyphen/>
        <w:t>13, p. 63.</w:t>
      </w:r>
    </w:p>
    <w:p w:rsidR="004F2C9F" w:rsidRDefault="004F2C9F" w:rsidP="004F2C9F">
      <w:pPr>
        <w:pStyle w:val="BodyText"/>
      </w:pPr>
      <w:r>
        <w:t>The declining number of public payphones — particularly for non</w:t>
      </w:r>
      <w:r>
        <w:noBreakHyphen/>
        <w:t xml:space="preserve">Telstra operators — indicates that payphones are becoming less viable. </w:t>
      </w:r>
      <w:r w:rsidRPr="000F5BBF">
        <w:t>Nevertheless, Telstra has a contractual obligation to supply, install and maintain public payphones and supply payphone carriage services so that payphones are reasonably accessible to all people in Australia on an equitable basis.</w:t>
      </w:r>
      <w:r w:rsidRPr="000F5BBF">
        <w:rPr>
          <w:rStyle w:val="FootnoteReference"/>
        </w:rPr>
        <w:footnoteReference w:id="12"/>
      </w:r>
      <w:r w:rsidRPr="000F5BBF">
        <w:t xml:space="preserve"> </w:t>
      </w:r>
      <w:r w:rsidR="0044268B">
        <w:t xml:space="preserve">This contract costs in the order of $44 million per year. </w:t>
      </w:r>
      <w:r w:rsidRPr="000F5BBF">
        <w:t>However, the contract does not specify what price Telstra may charge.</w:t>
      </w:r>
    </w:p>
    <w:p w:rsidR="0044268B" w:rsidRDefault="0044268B" w:rsidP="00675046">
      <w:pPr>
        <w:pStyle w:val="BodyText"/>
      </w:pPr>
      <w:r>
        <w:t xml:space="preserve">Retail price controls restrict payphone prices for local calls but do not appear to determine prices for other calls. </w:t>
      </w:r>
    </w:p>
    <w:p w:rsidR="0044268B" w:rsidRDefault="0044268B" w:rsidP="00675046">
      <w:pPr>
        <w:pStyle w:val="BodyText"/>
      </w:pPr>
      <w:r>
        <w:lastRenderedPageBreak/>
        <w:t xml:space="preserve">Payphones operate (often) in conjunction with competition from mobile phones. The declining viability of public payphones suggests that there is no need to regulate prices — if anything, price regulation may further reduce the viability of payphones. More likely, pricing of payphones would have remained similar with or without retail price controls. </w:t>
      </w:r>
    </w:p>
    <w:p w:rsidR="00675046" w:rsidRDefault="00675046" w:rsidP="00675046">
      <w:pPr>
        <w:pStyle w:val="Heading2"/>
      </w:pPr>
      <w:bookmarkStart w:id="590" w:name="_Toc381784743"/>
      <w:bookmarkStart w:id="591" w:name="_Toc388269629"/>
      <w:r>
        <w:t>Assessment of costs and benefits of price controls</w:t>
      </w:r>
      <w:bookmarkEnd w:id="590"/>
      <w:bookmarkEnd w:id="591"/>
    </w:p>
    <w:p w:rsidR="00675046" w:rsidRDefault="00675046" w:rsidP="00675046">
      <w:pPr>
        <w:pStyle w:val="BodyText"/>
      </w:pPr>
      <w:r>
        <w:t>The costs and benefits of price control include:</w:t>
      </w:r>
    </w:p>
    <w:p w:rsidR="00675046" w:rsidRDefault="00496F96" w:rsidP="00402F0D">
      <w:pPr>
        <w:pStyle w:val="ListBullet"/>
      </w:pPr>
      <w:r>
        <w:t>t</w:t>
      </w:r>
      <w:r w:rsidR="00675046">
        <w:t>he welfare impacts</w:t>
      </w:r>
      <w:r>
        <w:t xml:space="preserve"> — this reflects changes in retail prices as a result of retail price controls and how this compares to the underlying costs of providing services; </w:t>
      </w:r>
    </w:p>
    <w:p w:rsidR="00675046" w:rsidRDefault="00496F96" w:rsidP="00402F0D">
      <w:pPr>
        <w:pStyle w:val="ListBullet"/>
      </w:pPr>
      <w:r>
        <w:t>t</w:t>
      </w:r>
      <w:r w:rsidR="00675046">
        <w:t>he administrative costs</w:t>
      </w:r>
      <w:r>
        <w:t xml:space="preserve"> of complying with retail price controls; and</w:t>
      </w:r>
    </w:p>
    <w:p w:rsidR="00496F96" w:rsidRDefault="00496F96" w:rsidP="00402F0D">
      <w:pPr>
        <w:pStyle w:val="ListBullet"/>
      </w:pPr>
      <w:proofErr w:type="gramStart"/>
      <w:r>
        <w:t>other</w:t>
      </w:r>
      <w:proofErr w:type="gramEnd"/>
      <w:r>
        <w:t xml:space="preserve"> impacts, such as changes in the way that Telstra makes decisions about pricing.</w:t>
      </w:r>
    </w:p>
    <w:p w:rsidR="00675046" w:rsidRPr="0093317A" w:rsidRDefault="00496F96" w:rsidP="00402F0D">
      <w:pPr>
        <w:pStyle w:val="Heading3"/>
      </w:pPr>
      <w:r>
        <w:t>W</w:t>
      </w:r>
      <w:r w:rsidR="00675046">
        <w:t>elfare impacts</w:t>
      </w:r>
    </w:p>
    <w:p w:rsidR="00675046" w:rsidRDefault="008B6F68" w:rsidP="00675046">
      <w:pPr>
        <w:pStyle w:val="BodyText"/>
      </w:pPr>
      <w:r>
        <w:t xml:space="preserve">Since the amendment in June 2012 and projecting to June 2014, </w:t>
      </w:r>
      <w:r w:rsidR="00675046">
        <w:t xml:space="preserve">retail price controls </w:t>
      </w:r>
      <w:r w:rsidR="00AD1773">
        <w:t>are unlikely to have</w:t>
      </w:r>
      <w:r w:rsidR="00675046">
        <w:t xml:space="preserve"> </w:t>
      </w:r>
      <w:r>
        <w:t>had any discernible impact on Telstra’s retail prices</w:t>
      </w:r>
      <w:r w:rsidR="00675046">
        <w:t xml:space="preserve">. That is, the current price controls fit into </w:t>
      </w:r>
      <w:r>
        <w:t>case</w:t>
      </w:r>
      <w:r w:rsidR="00675046">
        <w:t xml:space="preserve"> 3</w:t>
      </w:r>
      <w:r>
        <w:t xml:space="preserve"> in chapter 2</w:t>
      </w:r>
      <w:r w:rsidR="00675046">
        <w:t>.</w:t>
      </w:r>
    </w:p>
    <w:p w:rsidR="00675046" w:rsidRDefault="00675046" w:rsidP="00675046">
      <w:pPr>
        <w:pStyle w:val="BodyText"/>
      </w:pPr>
      <w:r>
        <w:t>The ACCC estimated in 201</w:t>
      </w:r>
      <w:r w:rsidR="006E5BE0">
        <w:t>2</w:t>
      </w:r>
      <w:r>
        <w:t>-1</w:t>
      </w:r>
      <w:r w:rsidR="006E5BE0">
        <w:t>3</w:t>
      </w:r>
      <w:r>
        <w:t xml:space="preserve"> that Telstra was below the pric</w:t>
      </w:r>
      <w:r w:rsidR="006E5BE0">
        <w:t>e caps for the three baskets by 10.2 per cent, 4</w:t>
      </w:r>
      <w:r>
        <w:t>.</w:t>
      </w:r>
      <w:r w:rsidR="006E5BE0">
        <w:t>3 per cent and</w:t>
      </w:r>
      <w:r>
        <w:t xml:space="preserve"> </w:t>
      </w:r>
      <w:r w:rsidR="006E5BE0">
        <w:t>0.4</w:t>
      </w:r>
      <w:r>
        <w:t xml:space="preserve"> per cent and </w:t>
      </w:r>
      <w:r w:rsidR="006E5BE0">
        <w:t xml:space="preserve">did not increase the price for connection services, despite </w:t>
      </w:r>
      <w:proofErr w:type="gramStart"/>
      <w:r w:rsidR="006E5BE0">
        <w:t>being allowed</w:t>
      </w:r>
      <w:proofErr w:type="gramEnd"/>
      <w:r w:rsidR="006E5BE0">
        <w:t xml:space="preserve"> to increase these by 2.3 per cent</w:t>
      </w:r>
      <w:r>
        <w:t>.</w:t>
      </w:r>
      <w:r>
        <w:rPr>
          <w:rStyle w:val="FootnoteReference"/>
        </w:rPr>
        <w:footnoteReference w:id="13"/>
      </w:r>
      <w:r>
        <w:t xml:space="preserve"> </w:t>
      </w:r>
    </w:p>
    <w:p w:rsidR="008B6F68" w:rsidRDefault="008B6F68" w:rsidP="00675046">
      <w:pPr>
        <w:pStyle w:val="BodyText"/>
      </w:pPr>
      <w:r>
        <w:t>Our assessment is also that over this period Telstra would have maintained nationally consistent prices.</w:t>
      </w:r>
    </w:p>
    <w:p w:rsidR="008B6F68" w:rsidRDefault="008B6F68" w:rsidP="00675046">
      <w:pPr>
        <w:pStyle w:val="BodyText"/>
      </w:pPr>
      <w:r>
        <w:t xml:space="preserve">Note that </w:t>
      </w:r>
      <w:r w:rsidR="00496F96">
        <w:t xml:space="preserve">constraints on prices charged to charities and schools may have affected Telstra’s pricing. This is not able to </w:t>
      </w:r>
      <w:proofErr w:type="gramStart"/>
      <w:r w:rsidR="00496F96">
        <w:t>be verified</w:t>
      </w:r>
      <w:proofErr w:type="gramEnd"/>
      <w:r w:rsidR="00496F96">
        <w:t xml:space="preserve"> and is not a material part of retail price controls. (The ACCC has previously recommended that requirements for schools </w:t>
      </w:r>
      <w:proofErr w:type="gramStart"/>
      <w:r w:rsidR="00496F96">
        <w:t>be discontinued</w:t>
      </w:r>
      <w:proofErr w:type="gramEnd"/>
      <w:r w:rsidR="00496F96">
        <w:t>.</w:t>
      </w:r>
      <w:r w:rsidR="00496F96">
        <w:rPr>
          <w:rStyle w:val="FootnoteReference"/>
        </w:rPr>
        <w:footnoteReference w:id="14"/>
      </w:r>
      <w:r w:rsidR="00496F96">
        <w:t xml:space="preserve">) </w:t>
      </w:r>
    </w:p>
    <w:p w:rsidR="00675046" w:rsidRDefault="00496F96" w:rsidP="00675046">
      <w:pPr>
        <w:pStyle w:val="BodyText"/>
      </w:pPr>
      <w:r>
        <w:t>Our assessment is that there have therefore been no welfare impacts from retail price controls.</w:t>
      </w:r>
    </w:p>
    <w:p w:rsidR="006E5BE0" w:rsidRDefault="006E5BE0" w:rsidP="00675046">
      <w:pPr>
        <w:pStyle w:val="BodyText"/>
      </w:pPr>
      <w:r>
        <w:t xml:space="preserve">Note that there </w:t>
      </w:r>
      <w:r w:rsidR="004F65EB">
        <w:t xml:space="preserve">could have been </w:t>
      </w:r>
      <w:r>
        <w:t>significant welfare impacts if retail price controls had constrained Telstra’s prices. In this case, price controls may:</w:t>
      </w:r>
    </w:p>
    <w:p w:rsidR="006E5BE0" w:rsidRDefault="006E5BE0" w:rsidP="006E5BE0">
      <w:pPr>
        <w:pStyle w:val="ListBullet"/>
      </w:pPr>
      <w:r>
        <w:t>restrict competition in retail markets for fixed line telecommunications; and</w:t>
      </w:r>
    </w:p>
    <w:p w:rsidR="006E5BE0" w:rsidRDefault="006E5BE0" w:rsidP="006E5BE0">
      <w:pPr>
        <w:pStyle w:val="ListBullet"/>
      </w:pPr>
      <w:proofErr w:type="gramStart"/>
      <w:r>
        <w:t>distort</w:t>
      </w:r>
      <w:proofErr w:type="gramEnd"/>
      <w:r>
        <w:t xml:space="preserve"> usage and investment decisions in competing services, such as mobile telephony.</w:t>
      </w:r>
    </w:p>
    <w:p w:rsidR="006E5BE0" w:rsidRDefault="006E5BE0" w:rsidP="006E5BE0">
      <w:pPr>
        <w:pStyle w:val="BodyText"/>
      </w:pPr>
      <w:r>
        <w:t>The ACCC has noted these issues previously.</w:t>
      </w:r>
      <w:r>
        <w:rPr>
          <w:rStyle w:val="FootnoteReference"/>
        </w:rPr>
        <w:footnoteReference w:id="15"/>
      </w:r>
      <w:r w:rsidR="004F65EB">
        <w:t xml:space="preserve"> </w:t>
      </w:r>
    </w:p>
    <w:p w:rsidR="004F65EB" w:rsidRDefault="004F65EB" w:rsidP="006E5BE0">
      <w:pPr>
        <w:pStyle w:val="BodyText"/>
      </w:pPr>
      <w:r>
        <w:lastRenderedPageBreak/>
        <w:t>While these impacts have not occurred over the most recent two years, it is possible that retail price controls could have these impacts in the future.</w:t>
      </w:r>
    </w:p>
    <w:p w:rsidR="00675046" w:rsidRDefault="00675046" w:rsidP="00675046">
      <w:pPr>
        <w:pStyle w:val="Heading3"/>
      </w:pPr>
      <w:r>
        <w:t>Administration costs</w:t>
      </w:r>
    </w:p>
    <w:p w:rsidR="00496F96" w:rsidRDefault="00496F96" w:rsidP="00496F96">
      <w:pPr>
        <w:pStyle w:val="BodyText"/>
      </w:pPr>
      <w:r>
        <w:t>Telstra and the ACCC have provided their administrative costs related to retail price controls.</w:t>
      </w:r>
    </w:p>
    <w:p w:rsidR="00496F96" w:rsidRDefault="00496F96" w:rsidP="00496F96">
      <w:pPr>
        <w:pStyle w:val="ListBullet"/>
      </w:pPr>
      <w:r>
        <w:t>The ACCC have indicated that the Telstra retail price controls compliance takes 59 hours per year plus $1000 to $1300 in printing costs</w:t>
      </w:r>
    </w:p>
    <w:p w:rsidR="00496F96" w:rsidRDefault="00496F96" w:rsidP="00496F96">
      <w:pPr>
        <w:pStyle w:val="ListBullet"/>
      </w:pPr>
      <w:r>
        <w:t>Telstra have indicated compliance costs of $246 000 per year (as set out in table</w:t>
      </w:r>
      <w:r w:rsidR="00596DC0">
        <w:t> </w:t>
      </w:r>
      <w:fldSimple w:instr=" REF _Caption5067 ">
        <w:r w:rsidR="00304215">
          <w:rPr>
            <w:noProof/>
          </w:rPr>
          <w:t>3</w:t>
        </w:r>
        <w:r w:rsidR="00304215" w:rsidRPr="00695C93">
          <w:rPr>
            <w:noProof/>
          </w:rPr>
          <w:t>.</w:t>
        </w:r>
        <w:r w:rsidR="00304215">
          <w:rPr>
            <w:noProof/>
          </w:rPr>
          <w:t>7</w:t>
        </w:r>
      </w:fldSimple>
      <w:r w:rsidR="00596DC0">
        <w:t>)</w:t>
      </w:r>
    </w:p>
    <w:p w:rsidR="00596DC0" w:rsidRDefault="00596DC0" w:rsidP="00596DC0">
      <w:pPr>
        <w:pStyle w:val="BodyText"/>
      </w:pPr>
      <w:r>
        <w:t>The significant costs for Telstra reflect that compliance requires a process for breaking up bundled services and allocating revenue between regulated and unregulated products. The ACCC requirements for the compliance methodology require a series of adjustments to Telstra’s standard internal accounts.</w:t>
      </w:r>
    </w:p>
    <w:p w:rsidR="00496F96" w:rsidRDefault="00596DC0" w:rsidP="00596DC0">
      <w:pPr>
        <w:pStyle w:val="BodyText"/>
      </w:pPr>
      <w:r>
        <w:t xml:space="preserve">The total administrative costs are therefore in the order of $250 00 per year </w:t>
      </w:r>
      <w:r w:rsidR="005C09D0">
        <w:t>or</w:t>
      </w:r>
      <w:r>
        <w:t xml:space="preserve"> $500 000 over two years.</w:t>
      </w:r>
    </w:p>
    <w:p w:rsidR="00496F96" w:rsidRDefault="00496F96" w:rsidP="00F37D93">
      <w:pPr>
        <w:pStyle w:val="Caption"/>
        <w:spacing w:before="240"/>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3</w:instrText>
        </w:r>
      </w:fldSimple>
      <w:r w:rsidRPr="00695C93">
        <w:instrText xml:space="preserve"> = 0 "" "</w:instrText>
      </w:r>
      <w:fldSimple w:instr=" STYLEREF &quot;Heading 1&quot; \l \n ">
        <w:r w:rsidR="00304215">
          <w:rPr>
            <w:noProof/>
          </w:rPr>
          <w:instrText>3</w:instrText>
        </w:r>
      </w:fldSimple>
      <w:r w:rsidRPr="00695C93">
        <w:instrText xml:space="preserve">." </w:instrText>
      </w:r>
      <w:r w:rsidRPr="00695C93">
        <w:fldChar w:fldCharType="separate"/>
      </w:r>
      <w:r w:rsidR="00304215">
        <w:rPr>
          <w:noProof/>
        </w:rPr>
        <w:instrText>3</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3</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3</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7</w:instrText>
      </w:r>
      <w:r w:rsidRPr="00695C93">
        <w:fldChar w:fldCharType="end"/>
      </w:r>
      <w:r w:rsidRPr="00695C93">
        <w:instrText xml:space="preserve">" "" </w:instrText>
      </w:r>
      <w:r w:rsidRPr="00695C93">
        <w:fldChar w:fldCharType="separate"/>
      </w:r>
      <w:bookmarkStart w:id="592" w:name="_Caption1336"/>
      <w:bookmarkStart w:id="593" w:name="_Caption3622"/>
      <w:bookmarkStart w:id="594" w:name="_Caption6778"/>
      <w:bookmarkStart w:id="595" w:name="_Caption0579"/>
      <w:bookmarkStart w:id="596" w:name="_Caption2825"/>
      <w:bookmarkStart w:id="597" w:name="_Caption7984"/>
      <w:bookmarkStart w:id="598" w:name="_Caption8295"/>
      <w:bookmarkStart w:id="599" w:name="_Caption2477"/>
      <w:bookmarkStart w:id="600" w:name="_Caption5011"/>
      <w:bookmarkStart w:id="601" w:name="_Caption1062"/>
      <w:bookmarkStart w:id="602" w:name="_Caption8497"/>
      <w:bookmarkStart w:id="603" w:name="_Caption6504"/>
      <w:bookmarkStart w:id="604" w:name="_Caption5067"/>
      <w:bookmarkStart w:id="605" w:name="_Toc391972950"/>
      <w:r w:rsidR="00584F9A">
        <w:rPr>
          <w:noProof/>
        </w:rPr>
        <w:t>3</w:t>
      </w:r>
      <w:r w:rsidR="00584F9A" w:rsidRPr="00695C93">
        <w:rPr>
          <w:noProof/>
        </w:rPr>
        <w:t>.</w:t>
      </w:r>
      <w:r w:rsidR="00584F9A">
        <w:rPr>
          <w:noProof/>
        </w:rPr>
        <w:t>7</w:t>
      </w:r>
      <w:bookmarkEnd w:id="592"/>
      <w:bookmarkEnd w:id="593"/>
      <w:bookmarkEnd w:id="594"/>
      <w:bookmarkEnd w:id="595"/>
      <w:bookmarkEnd w:id="596"/>
      <w:bookmarkEnd w:id="597"/>
      <w:bookmarkEnd w:id="598"/>
      <w:bookmarkEnd w:id="599"/>
      <w:bookmarkEnd w:id="600"/>
      <w:bookmarkEnd w:id="601"/>
      <w:bookmarkEnd w:id="602"/>
      <w:bookmarkEnd w:id="603"/>
      <w:bookmarkEnd w:id="604"/>
      <w:r w:rsidRPr="00695C93">
        <w:fldChar w:fldCharType="end"/>
      </w:r>
      <w:r w:rsidRPr="00695C93">
        <w:tab/>
      </w:r>
      <w:r w:rsidR="00596DC0">
        <w:t>Telstra’s administrative costs</w:t>
      </w:r>
      <w:bookmarkEnd w:id="605"/>
    </w:p>
    <w:tbl>
      <w:tblPr>
        <w:tblW w:w="7937" w:type="dxa"/>
        <w:tblInd w:w="57" w:type="dxa"/>
        <w:tblLook w:val="04A0" w:firstRow="1" w:lastRow="0" w:firstColumn="1" w:lastColumn="0" w:noHBand="0" w:noVBand="1"/>
      </w:tblPr>
      <w:tblGrid>
        <w:gridCol w:w="3969"/>
        <w:gridCol w:w="1366"/>
        <w:gridCol w:w="2602"/>
      </w:tblGrid>
      <w:tr w:rsidR="00496F96" w:rsidRPr="00496F96" w:rsidTr="005C7B71">
        <w:trPr>
          <w:trHeight w:val="300"/>
        </w:trPr>
        <w:tc>
          <w:tcPr>
            <w:tcW w:w="3969" w:type="dxa"/>
            <w:shd w:val="clear" w:color="auto" w:fill="6F6652"/>
            <w:noWrap/>
            <w:tcMar>
              <w:left w:w="57" w:type="dxa"/>
              <w:right w:w="57" w:type="dxa"/>
            </w:tcMar>
            <w:hideMark/>
          </w:tcPr>
          <w:p w:rsidR="00496F96" w:rsidRPr="00496F96" w:rsidRDefault="00496F96" w:rsidP="00496F96">
            <w:pPr>
              <w:pStyle w:val="TableDataColumnHeading"/>
              <w:jc w:val="left"/>
            </w:pPr>
            <w:r>
              <w:t>Item</w:t>
            </w:r>
          </w:p>
        </w:tc>
        <w:tc>
          <w:tcPr>
            <w:tcW w:w="1366" w:type="dxa"/>
            <w:shd w:val="clear" w:color="auto" w:fill="6F6652"/>
            <w:noWrap/>
            <w:tcMar>
              <w:left w:w="57" w:type="dxa"/>
              <w:right w:w="57" w:type="dxa"/>
            </w:tcMar>
            <w:hideMark/>
          </w:tcPr>
          <w:p w:rsidR="00496F96" w:rsidRPr="00496F96" w:rsidRDefault="00496F96" w:rsidP="00596DC0">
            <w:pPr>
              <w:pStyle w:val="TableDataColumnHeading"/>
              <w:jc w:val="left"/>
            </w:pPr>
            <w:r w:rsidRPr="00496F96">
              <w:t>Methodology</w:t>
            </w:r>
          </w:p>
        </w:tc>
        <w:tc>
          <w:tcPr>
            <w:tcW w:w="2602" w:type="dxa"/>
            <w:shd w:val="clear" w:color="auto" w:fill="6F6652"/>
            <w:noWrap/>
            <w:tcMar>
              <w:left w:w="57" w:type="dxa"/>
              <w:right w:w="57" w:type="dxa"/>
            </w:tcMar>
            <w:hideMark/>
          </w:tcPr>
          <w:p w:rsidR="00496F96" w:rsidRPr="00496F96" w:rsidRDefault="00496F96" w:rsidP="00496F96">
            <w:pPr>
              <w:pStyle w:val="TableDataColumnHeading"/>
            </w:pPr>
            <w:proofErr w:type="spellStart"/>
            <w:r w:rsidRPr="00496F96">
              <w:t>Approx</w:t>
            </w:r>
            <w:proofErr w:type="spellEnd"/>
            <w:r w:rsidRPr="00496F96">
              <w:t xml:space="preserve"> Expense</w:t>
            </w:r>
          </w:p>
        </w:tc>
      </w:tr>
      <w:tr w:rsidR="00FE5883" w:rsidRPr="00FE5883" w:rsidTr="005C7B71">
        <w:trPr>
          <w:trHeight w:val="276"/>
        </w:trPr>
        <w:tc>
          <w:tcPr>
            <w:tcW w:w="3969" w:type="dxa"/>
            <w:shd w:val="clear" w:color="auto" w:fill="auto"/>
            <w:tcMar>
              <w:left w:w="57" w:type="dxa"/>
              <w:right w:w="57" w:type="dxa"/>
            </w:tcMar>
          </w:tcPr>
          <w:p w:rsidR="00FE5883" w:rsidRPr="00FE5883" w:rsidRDefault="00FE5883" w:rsidP="005C7B71">
            <w:pPr>
              <w:pStyle w:val="TableDataEntries"/>
            </w:pPr>
          </w:p>
        </w:tc>
        <w:tc>
          <w:tcPr>
            <w:tcW w:w="1366" w:type="dxa"/>
            <w:shd w:val="clear" w:color="auto" w:fill="auto"/>
            <w:tcMar>
              <w:left w:w="57" w:type="dxa"/>
              <w:right w:w="57" w:type="dxa"/>
            </w:tcMar>
          </w:tcPr>
          <w:p w:rsidR="00FE5883" w:rsidRPr="00FE5883" w:rsidRDefault="00FE5883" w:rsidP="005C7B71">
            <w:pPr>
              <w:pStyle w:val="TableDataEntries"/>
            </w:pPr>
          </w:p>
        </w:tc>
        <w:tc>
          <w:tcPr>
            <w:tcW w:w="2602" w:type="dxa"/>
            <w:shd w:val="clear" w:color="auto" w:fill="auto"/>
            <w:noWrap/>
            <w:tcMar>
              <w:left w:w="57" w:type="dxa"/>
              <w:right w:w="57" w:type="dxa"/>
            </w:tcMar>
          </w:tcPr>
          <w:p w:rsidR="00FE5883" w:rsidRPr="00FE5883" w:rsidRDefault="00FE5883" w:rsidP="005C7B71">
            <w:pPr>
              <w:pStyle w:val="TableDataEntries"/>
            </w:pPr>
            <w:r>
              <w:t>$</w:t>
            </w:r>
          </w:p>
        </w:tc>
      </w:tr>
      <w:tr w:rsidR="00496F96" w:rsidRPr="00496F96" w:rsidTr="005C7B71">
        <w:trPr>
          <w:trHeight w:val="400"/>
        </w:trPr>
        <w:tc>
          <w:tcPr>
            <w:tcW w:w="3969" w:type="dxa"/>
            <w:tcBorders>
              <w:bottom w:val="single" w:sz="8" w:space="0" w:color="FFFFFF" w:themeColor="background1"/>
            </w:tcBorders>
            <w:shd w:val="clear" w:color="auto" w:fill="E9E8E5" w:themeFill="background2"/>
            <w:tcMar>
              <w:left w:w="57" w:type="dxa"/>
              <w:right w:w="57" w:type="dxa"/>
            </w:tcMar>
            <w:hideMark/>
          </w:tcPr>
          <w:p w:rsidR="00496F96" w:rsidRPr="00496F96" w:rsidRDefault="00496F96" w:rsidP="00496F96">
            <w:pPr>
              <w:pStyle w:val="TableUnit"/>
              <w:jc w:val="left"/>
            </w:pPr>
            <w:r w:rsidRPr="00496F96">
              <w:t>Monitoring of Price Control movements</w:t>
            </w:r>
          </w:p>
        </w:tc>
        <w:tc>
          <w:tcPr>
            <w:tcW w:w="1366" w:type="dxa"/>
            <w:tcBorders>
              <w:bottom w:val="single" w:sz="8" w:space="0" w:color="FFFFFF" w:themeColor="background1"/>
            </w:tcBorders>
            <w:shd w:val="clear" w:color="auto" w:fill="E9E8E5" w:themeFill="background2"/>
            <w:tcMar>
              <w:left w:w="57" w:type="dxa"/>
              <w:right w:w="57" w:type="dxa"/>
            </w:tcMar>
            <w:hideMark/>
          </w:tcPr>
          <w:p w:rsidR="00496F96" w:rsidRPr="00496F96" w:rsidRDefault="00496F96" w:rsidP="00596DC0">
            <w:pPr>
              <w:pStyle w:val="TableUnit"/>
              <w:jc w:val="left"/>
            </w:pPr>
            <w:r w:rsidRPr="00496F96">
              <w:t>100% of 1 FTE</w:t>
            </w:r>
          </w:p>
        </w:tc>
        <w:tc>
          <w:tcPr>
            <w:tcW w:w="2602" w:type="dxa"/>
            <w:tcBorders>
              <w:bottom w:val="single" w:sz="8" w:space="0" w:color="FFFFFF" w:themeColor="background1"/>
            </w:tcBorders>
            <w:shd w:val="clear" w:color="auto" w:fill="E9E8E5" w:themeFill="background2"/>
            <w:noWrap/>
            <w:tcMar>
              <w:left w:w="57" w:type="dxa"/>
              <w:right w:w="57" w:type="dxa"/>
            </w:tcMar>
            <w:hideMark/>
          </w:tcPr>
          <w:p w:rsidR="00496F96" w:rsidRPr="00496F96" w:rsidRDefault="00496F96" w:rsidP="00496F96">
            <w:pPr>
              <w:pStyle w:val="TableUnit"/>
            </w:pPr>
            <w:r>
              <w:t xml:space="preserve">124 </w:t>
            </w:r>
            <w:r w:rsidRPr="00496F96">
              <w:t>215</w:t>
            </w:r>
          </w:p>
        </w:tc>
      </w:tr>
      <w:tr w:rsidR="00496F96" w:rsidRPr="00496F96" w:rsidTr="00FE5883">
        <w:trPr>
          <w:trHeight w:val="561"/>
        </w:trPr>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496F96" w:rsidRPr="00496F96" w:rsidRDefault="00496F96" w:rsidP="00496F96">
            <w:pPr>
              <w:pStyle w:val="TableDataEntries"/>
              <w:jc w:val="left"/>
            </w:pPr>
            <w:r w:rsidRPr="00496F96">
              <w:t>Management overhead of ensuring Price Control targets are met</w:t>
            </w:r>
          </w:p>
        </w:tc>
        <w:tc>
          <w:tcPr>
            <w:tcW w:w="136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496F96" w:rsidRPr="00496F96" w:rsidRDefault="00496F96" w:rsidP="00596DC0">
            <w:pPr>
              <w:pStyle w:val="TableDataEntries"/>
              <w:jc w:val="left"/>
            </w:pPr>
            <w:r w:rsidRPr="00496F96">
              <w:t>5% of 1 FTE</w:t>
            </w:r>
          </w:p>
        </w:tc>
        <w:tc>
          <w:tcPr>
            <w:tcW w:w="260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96F96" w:rsidRPr="00496F96" w:rsidRDefault="00496F96" w:rsidP="00496F96">
            <w:pPr>
              <w:pStyle w:val="TableDataEntries"/>
            </w:pPr>
            <w:r>
              <w:t xml:space="preserve">6 </w:t>
            </w:r>
            <w:r w:rsidRPr="00496F96">
              <w:t>21</w:t>
            </w:r>
            <w:r>
              <w:t>1</w:t>
            </w:r>
            <w:r w:rsidRPr="00496F96">
              <w:t xml:space="preserve"> </w:t>
            </w:r>
          </w:p>
        </w:tc>
      </w:tr>
      <w:tr w:rsidR="00496F96" w:rsidRPr="00496F96" w:rsidTr="00FE5883">
        <w:trPr>
          <w:trHeight w:val="569"/>
        </w:trPr>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496F96" w:rsidRPr="00496F96" w:rsidRDefault="00496F96" w:rsidP="00496F96">
            <w:pPr>
              <w:pStyle w:val="TableDataEntries"/>
              <w:jc w:val="left"/>
            </w:pPr>
            <w:r w:rsidRPr="00496F96">
              <w:t>Corporate account to re-allocate subscription plan revenue to line access</w:t>
            </w:r>
          </w:p>
        </w:tc>
        <w:tc>
          <w:tcPr>
            <w:tcW w:w="136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496F96" w:rsidRPr="00496F96" w:rsidRDefault="00496F96" w:rsidP="00596DC0">
            <w:pPr>
              <w:pStyle w:val="TableDataEntries"/>
              <w:jc w:val="left"/>
            </w:pPr>
            <w:r w:rsidRPr="00496F96">
              <w:t>1 FTE for 7 days</w:t>
            </w:r>
          </w:p>
        </w:tc>
        <w:tc>
          <w:tcPr>
            <w:tcW w:w="260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96F96" w:rsidRPr="00496F96" w:rsidRDefault="00496F96" w:rsidP="00496F96">
            <w:pPr>
              <w:pStyle w:val="TableDataEntries"/>
            </w:pPr>
            <w:r>
              <w:t xml:space="preserve">3 </w:t>
            </w:r>
            <w:r w:rsidRPr="00496F96">
              <w:t xml:space="preserve">344 </w:t>
            </w:r>
          </w:p>
        </w:tc>
      </w:tr>
      <w:tr w:rsidR="00496F96" w:rsidRPr="00496F96" w:rsidTr="00FE5883">
        <w:trPr>
          <w:trHeight w:val="293"/>
        </w:trPr>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496F96" w:rsidRPr="00496F96" w:rsidRDefault="00496F96" w:rsidP="00496F96">
            <w:pPr>
              <w:pStyle w:val="TableDataEntries"/>
              <w:jc w:val="left"/>
            </w:pPr>
            <w:r w:rsidRPr="00496F96">
              <w:t>Ernst &amp; Young Audit Expense</w:t>
            </w:r>
          </w:p>
        </w:tc>
        <w:tc>
          <w:tcPr>
            <w:tcW w:w="136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496F96" w:rsidRPr="00496F96" w:rsidRDefault="00496F96" w:rsidP="00596DC0">
            <w:pPr>
              <w:pStyle w:val="TableDataEntries"/>
              <w:jc w:val="left"/>
            </w:pPr>
            <w:r w:rsidRPr="00496F96">
              <w:t>FY13 Audit Invoice</w:t>
            </w:r>
          </w:p>
        </w:tc>
        <w:tc>
          <w:tcPr>
            <w:tcW w:w="260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96F96" w:rsidRPr="00496F96" w:rsidRDefault="00FE5883" w:rsidP="00496F96">
            <w:pPr>
              <w:pStyle w:val="TableDataEntries"/>
            </w:pPr>
            <w:r>
              <w:t xml:space="preserve">50 </w:t>
            </w:r>
            <w:r w:rsidR="00496F96" w:rsidRPr="00496F96">
              <w:t>000</w:t>
            </w:r>
          </w:p>
        </w:tc>
      </w:tr>
      <w:tr w:rsidR="00496F96" w:rsidRPr="00496F96" w:rsidTr="005C7B71">
        <w:trPr>
          <w:trHeight w:val="284"/>
        </w:trPr>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496F96" w:rsidRPr="00496F96" w:rsidRDefault="00496F96" w:rsidP="00496F96">
            <w:pPr>
              <w:pStyle w:val="TableDataEntries"/>
              <w:jc w:val="left"/>
            </w:pPr>
            <w:r w:rsidRPr="00496F96">
              <w:t xml:space="preserve">Regulatory Affairs - Advising on Price Control Issues </w:t>
            </w:r>
          </w:p>
        </w:tc>
        <w:tc>
          <w:tcPr>
            <w:tcW w:w="136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496F96" w:rsidRPr="00496F96" w:rsidRDefault="00496F96" w:rsidP="00596DC0">
            <w:pPr>
              <w:pStyle w:val="TableDataEntries"/>
              <w:jc w:val="left"/>
            </w:pPr>
            <w:r w:rsidRPr="00496F96">
              <w:t>50% of 1 FTE</w:t>
            </w:r>
          </w:p>
        </w:tc>
        <w:tc>
          <w:tcPr>
            <w:tcW w:w="260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96F96" w:rsidRPr="00496F96" w:rsidRDefault="00FE5883" w:rsidP="00496F96">
            <w:pPr>
              <w:pStyle w:val="TableDataEntries"/>
            </w:pPr>
            <w:r>
              <w:t xml:space="preserve">62 </w:t>
            </w:r>
            <w:r w:rsidR="00496F96">
              <w:t>108</w:t>
            </w:r>
            <w:r w:rsidR="00496F96" w:rsidRPr="00496F96">
              <w:t xml:space="preserve"> </w:t>
            </w:r>
          </w:p>
        </w:tc>
      </w:tr>
      <w:tr w:rsidR="00496F96" w:rsidRPr="005C7B71" w:rsidTr="005C7B71">
        <w:trPr>
          <w:trHeight w:val="315"/>
        </w:trPr>
        <w:tc>
          <w:tcPr>
            <w:tcW w:w="396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rsidR="00496F96" w:rsidRPr="005C7B71" w:rsidRDefault="00496F96" w:rsidP="005C7B71">
            <w:pPr>
              <w:pStyle w:val="TableDataEntries"/>
              <w:jc w:val="left"/>
              <w:rPr>
                <w:rFonts w:ascii="Franklin Gothic Demi" w:hAnsi="Franklin Gothic Demi"/>
              </w:rPr>
            </w:pPr>
            <w:r w:rsidRPr="005C7B71">
              <w:rPr>
                <w:rFonts w:ascii="Franklin Gothic Demi" w:hAnsi="Franklin Gothic Demi"/>
              </w:rPr>
              <w:t>Total</w:t>
            </w:r>
          </w:p>
        </w:tc>
        <w:tc>
          <w:tcPr>
            <w:tcW w:w="136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rsidR="00496F96" w:rsidRPr="005C7B71" w:rsidRDefault="00496F96" w:rsidP="005C7B71">
            <w:pPr>
              <w:pStyle w:val="TableDataEntries"/>
              <w:jc w:val="left"/>
              <w:rPr>
                <w:rFonts w:ascii="Franklin Gothic Demi" w:hAnsi="Franklin Gothic Demi"/>
              </w:rPr>
            </w:pPr>
          </w:p>
        </w:tc>
        <w:tc>
          <w:tcPr>
            <w:tcW w:w="260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rsidR="00496F96" w:rsidRPr="005C7B71" w:rsidRDefault="00FE5883" w:rsidP="005C7B71">
            <w:pPr>
              <w:pStyle w:val="TableDataEntries"/>
              <w:rPr>
                <w:rFonts w:ascii="Franklin Gothic Demi" w:hAnsi="Franklin Gothic Demi"/>
              </w:rPr>
            </w:pPr>
            <w:r w:rsidRPr="005C7B71">
              <w:rPr>
                <w:rFonts w:ascii="Franklin Gothic Demi" w:hAnsi="Franklin Gothic Demi"/>
              </w:rPr>
              <w:t xml:space="preserve">245 </w:t>
            </w:r>
            <w:r w:rsidR="00496F96" w:rsidRPr="005C7B71">
              <w:rPr>
                <w:rFonts w:ascii="Franklin Gothic Demi" w:hAnsi="Franklin Gothic Demi"/>
              </w:rPr>
              <w:t>878</w:t>
            </w:r>
          </w:p>
        </w:tc>
      </w:tr>
    </w:tbl>
    <w:p w:rsidR="00596DC0" w:rsidRPr="00596DC0" w:rsidRDefault="00496F96" w:rsidP="00596DC0">
      <w:pPr>
        <w:pStyle w:val="Source"/>
      </w:pPr>
      <w:proofErr w:type="gramStart"/>
      <w:r>
        <w:rPr>
          <w:i/>
        </w:rPr>
        <w:t>Source</w:t>
      </w:r>
      <w:r w:rsidRPr="00E4232C">
        <w:rPr>
          <w:i/>
        </w:rPr>
        <w:t>:</w:t>
      </w:r>
      <w:r>
        <w:t xml:space="preserve"> Telstra.</w:t>
      </w:r>
      <w:proofErr w:type="gramEnd"/>
    </w:p>
    <w:p w:rsidR="00675046" w:rsidRDefault="00675046" w:rsidP="00675046">
      <w:pPr>
        <w:pStyle w:val="Heading3"/>
      </w:pPr>
      <w:r>
        <w:t>Other impacts</w:t>
      </w:r>
    </w:p>
    <w:p w:rsidR="00596DC0" w:rsidRDefault="00596DC0" w:rsidP="00596DC0">
      <w:pPr>
        <w:pStyle w:val="BodyText"/>
      </w:pPr>
      <w:r>
        <w:t>There may be other less tangible impacts of retail price controls, including:</w:t>
      </w:r>
    </w:p>
    <w:p w:rsidR="00596DC0" w:rsidRDefault="00596DC0" w:rsidP="00596DC0">
      <w:pPr>
        <w:pStyle w:val="ListBullet"/>
      </w:pPr>
      <w:r>
        <w:t xml:space="preserve">delays in product release; </w:t>
      </w:r>
    </w:p>
    <w:p w:rsidR="00596DC0" w:rsidRDefault="00596DC0" w:rsidP="00596DC0">
      <w:pPr>
        <w:pStyle w:val="ListBullet"/>
      </w:pPr>
      <w:r>
        <w:t>shifting product focus to meet retail price controls rather than to provide a product that customers would like — for example for changes to line rental Telstra must consult with the Low Income Measures Assessment Committee, report this to ACCC and await confirmation from ACCC that consultation has been appropriate; and</w:t>
      </w:r>
    </w:p>
    <w:p w:rsidR="00596DC0" w:rsidRDefault="00596DC0" w:rsidP="00596DC0">
      <w:pPr>
        <w:pStyle w:val="ListBullet"/>
      </w:pPr>
      <w:proofErr w:type="gramStart"/>
      <w:r>
        <w:t>reducing</w:t>
      </w:r>
      <w:proofErr w:type="gramEnd"/>
      <w:r>
        <w:t xml:space="preserve"> product innovation by Telstra.</w:t>
      </w:r>
    </w:p>
    <w:p w:rsidR="00596DC0" w:rsidRDefault="00596DC0" w:rsidP="00596DC0">
      <w:pPr>
        <w:pStyle w:val="Heading3"/>
      </w:pPr>
      <w:r>
        <w:lastRenderedPageBreak/>
        <w:t>Summary of costs and benefits of the amending determination</w:t>
      </w:r>
    </w:p>
    <w:p w:rsidR="00596DC0" w:rsidRDefault="00596DC0" w:rsidP="00675046">
      <w:pPr>
        <w:pStyle w:val="BodyText"/>
      </w:pPr>
      <w:r>
        <w:t xml:space="preserve">The </w:t>
      </w:r>
      <w:r w:rsidR="00612CD9">
        <w:t xml:space="preserve">retail price control arrangement put in place in 2012 has had no discernible impact on retail prices. </w:t>
      </w:r>
      <w:proofErr w:type="gramStart"/>
      <w:r w:rsidR="00612CD9">
        <w:t>Instead</w:t>
      </w:r>
      <w:proofErr w:type="gramEnd"/>
      <w:r w:rsidR="00612CD9">
        <w:t xml:space="preserve"> it has imposed net costs through additional administration.</w:t>
      </w:r>
    </w:p>
    <w:p w:rsidR="00612CD9" w:rsidRDefault="00612CD9" w:rsidP="00675046">
      <w:pPr>
        <w:pStyle w:val="BodyText"/>
      </w:pPr>
      <w:r>
        <w:t xml:space="preserve">The net costs of the regulations </w:t>
      </w:r>
      <w:proofErr w:type="gramStart"/>
      <w:r>
        <w:t>are estimated</w:t>
      </w:r>
      <w:proofErr w:type="gramEnd"/>
      <w:r>
        <w:t xml:space="preserve"> at $0.5 million over two years (undiscounted).</w:t>
      </w:r>
    </w:p>
    <w:p w:rsidR="00612CD9" w:rsidRDefault="00612CD9" w:rsidP="00675046">
      <w:pPr>
        <w:pStyle w:val="BodyText"/>
      </w:pPr>
      <w:r>
        <w:t xml:space="preserve">Note that though the regulation </w:t>
      </w:r>
      <w:proofErr w:type="gramStart"/>
      <w:r>
        <w:t xml:space="preserve">has </w:t>
      </w:r>
      <w:r w:rsidRPr="00612CD9">
        <w:rPr>
          <w:i/>
        </w:rPr>
        <w:t>ex post</w:t>
      </w:r>
      <w:r>
        <w:t xml:space="preserve"> had</w:t>
      </w:r>
      <w:proofErr w:type="gramEnd"/>
      <w:r>
        <w:t xml:space="preserve"> a small net cost this outcome may not have occurred. As discussed in further detail in subsequent chapters, if the retail price controls had significantly constrained Telstra’s behaviour then this may well have led to much larger net costs than actually occurred. </w:t>
      </w:r>
    </w:p>
    <w:p w:rsidR="00675046" w:rsidRDefault="00675046" w:rsidP="00675046">
      <w:pPr>
        <w:pStyle w:val="Heading2"/>
      </w:pPr>
      <w:bookmarkStart w:id="606" w:name="_Toc381784744"/>
      <w:bookmarkStart w:id="607" w:name="_Toc388269630"/>
      <w:r>
        <w:t>Assessment of achievement of objectives</w:t>
      </w:r>
      <w:bookmarkEnd w:id="606"/>
      <w:bookmarkEnd w:id="607"/>
    </w:p>
    <w:p w:rsidR="00B169B9" w:rsidRDefault="00B169B9" w:rsidP="00B169B9">
      <w:pPr>
        <w:pStyle w:val="BodyText"/>
      </w:pPr>
      <w:r>
        <w:t>In table </w:t>
      </w:r>
      <w:fldSimple w:instr=" REF _Caption4097 ">
        <w:r w:rsidR="00304215">
          <w:rPr>
            <w:noProof/>
          </w:rPr>
          <w:t>3</w:t>
        </w:r>
        <w:r w:rsidR="00304215" w:rsidRPr="00695C93">
          <w:rPr>
            <w:noProof/>
          </w:rPr>
          <w:t>.</w:t>
        </w:r>
        <w:r w:rsidR="00304215">
          <w:rPr>
            <w:noProof/>
          </w:rPr>
          <w:t>8</w:t>
        </w:r>
      </w:fldSimple>
      <w:r>
        <w:t xml:space="preserve"> we </w:t>
      </w:r>
      <w:r w:rsidR="001E3840">
        <w:t xml:space="preserve">provide an </w:t>
      </w:r>
      <w:r>
        <w:t>assess</w:t>
      </w:r>
      <w:r w:rsidR="001E3840">
        <w:t>ment against the following questions.</w:t>
      </w:r>
    </w:p>
    <w:p w:rsidR="00B169B9" w:rsidRDefault="001E3840" w:rsidP="00B169B9">
      <w:pPr>
        <w:pStyle w:val="ListBullet"/>
      </w:pPr>
      <w:r>
        <w:t>Were the</w:t>
      </w:r>
      <w:r w:rsidR="00B169B9">
        <w:t xml:space="preserve"> price controls necessary to achieve the objectives of the regulation (i.e. would the objectives have been achieved </w:t>
      </w:r>
      <w:r>
        <w:t>even without the price controls</w:t>
      </w:r>
      <w:r w:rsidR="00B169B9">
        <w:t>)</w:t>
      </w:r>
      <w:r>
        <w:t>?</w:t>
      </w:r>
    </w:p>
    <w:p w:rsidR="00B169B9" w:rsidRDefault="00B169B9" w:rsidP="00B169B9">
      <w:pPr>
        <w:pStyle w:val="ListBullet"/>
      </w:pPr>
      <w:r>
        <w:t xml:space="preserve">If the price controls </w:t>
      </w:r>
      <w:proofErr w:type="gramStart"/>
      <w:r>
        <w:t>were considered</w:t>
      </w:r>
      <w:proofErr w:type="gramEnd"/>
      <w:r>
        <w:t xml:space="preserve"> necessary, were they effective in meeting the objectives?</w:t>
      </w:r>
    </w:p>
    <w:p w:rsidR="00B169B9" w:rsidRDefault="00B169B9" w:rsidP="00B169B9">
      <w:pPr>
        <w:pStyle w:val="ListBullet"/>
      </w:pPr>
      <w:r>
        <w:t>Were the price controls likely to be the most efficient approach to achieving the objectives (i.e. could the objectives have been achieved using a lower cost approach)?</w:t>
      </w:r>
    </w:p>
    <w:p w:rsidR="00612CD9" w:rsidRDefault="00612CD9" w:rsidP="00612CD9">
      <w:pPr>
        <w:pStyle w:val="BodyText"/>
      </w:pPr>
      <w:r>
        <w:t xml:space="preserve">Overall, we consider it unlikely that the price controls were necessary to achieve the objectives. </w:t>
      </w:r>
    </w:p>
    <w:p w:rsidR="00612CD9" w:rsidRDefault="00612CD9" w:rsidP="00612CD9">
      <w:pPr>
        <w:pStyle w:val="BodyText"/>
      </w:pPr>
      <w:r>
        <w:t xml:space="preserve">While unlikely, </w:t>
      </w:r>
      <w:proofErr w:type="gramStart"/>
      <w:r>
        <w:t>it is possible that Telstra may</w:t>
      </w:r>
      <w:proofErr w:type="gramEnd"/>
      <w:r>
        <w:t xml:space="preserve"> have charged a higher price in regional and rural areas as costs are higher in these areas.  It is therefore possible that the price controls promoted nationally consistent prices. The promotion of nationally consistent prices </w:t>
      </w:r>
      <w:proofErr w:type="gramStart"/>
      <w:r>
        <w:t>is not closely related</w:t>
      </w:r>
      <w:proofErr w:type="gramEnd"/>
      <w:r>
        <w:t xml:space="preserve"> to any well-defined definition of social equity. As discussed in </w:t>
      </w:r>
      <w:proofErr w:type="gramStart"/>
      <w:r>
        <w:t>greater detail</w:t>
      </w:r>
      <w:proofErr w:type="gramEnd"/>
      <w:r>
        <w:t xml:space="preserve"> in subsequent chapters, the level of social disadvantage is not closely related to geography.</w:t>
      </w:r>
    </w:p>
    <w:p w:rsidR="00675046" w:rsidRDefault="00EA392A" w:rsidP="00675046">
      <w:pPr>
        <w:pStyle w:val="Caption"/>
      </w:pPr>
      <w:r>
        <w:br w:type="page"/>
      </w:r>
      <w:r w:rsidR="00675046" w:rsidRPr="00695C93">
        <w:lastRenderedPageBreak/>
        <w:fldChar w:fldCharType="begin"/>
      </w:r>
      <w:r w:rsidR="00675046" w:rsidRPr="00695C93">
        <w:instrText xml:space="preserve"> IF 1 = 1 "</w:instrText>
      </w:r>
      <w:r w:rsidR="00675046" w:rsidRPr="00695C93">
        <w:fldChar w:fldCharType="begin"/>
      </w:r>
      <w:r w:rsidR="00675046" w:rsidRPr="00695C93">
        <w:instrText xml:space="preserve"> IF </w:instrText>
      </w:r>
      <w:fldSimple w:instr=" STYLEREF &quot;Heading 6&quot; \l \n ">
        <w:r w:rsidR="00304215">
          <w:rPr>
            <w:noProof/>
          </w:rPr>
          <w:instrText>0</w:instrText>
        </w:r>
      </w:fldSimple>
      <w:r w:rsidR="00675046" w:rsidRPr="00695C93">
        <w:instrText xml:space="preserve"> = 0 "</w:instrText>
      </w:r>
      <w:r w:rsidR="00675046" w:rsidRPr="00695C93">
        <w:fldChar w:fldCharType="begin"/>
      </w:r>
      <w:r w:rsidR="00675046" w:rsidRPr="00695C93">
        <w:instrText xml:space="preserve"> IF </w:instrText>
      </w:r>
      <w:fldSimple w:instr=" STYLEREF &quot;Heading 1&quot; \l \n ">
        <w:r w:rsidR="00304215">
          <w:rPr>
            <w:noProof/>
          </w:rPr>
          <w:instrText>3</w:instrText>
        </w:r>
      </w:fldSimple>
      <w:r w:rsidR="00675046" w:rsidRPr="00695C93">
        <w:instrText xml:space="preserve"> = 0 "" "</w:instrText>
      </w:r>
      <w:fldSimple w:instr=" STYLEREF &quot;Heading 1&quot; \l \n ">
        <w:r w:rsidR="00304215">
          <w:rPr>
            <w:noProof/>
          </w:rPr>
          <w:instrText>3</w:instrText>
        </w:r>
      </w:fldSimple>
      <w:r w:rsidR="00675046" w:rsidRPr="00695C93">
        <w:instrText xml:space="preserve">." </w:instrText>
      </w:r>
      <w:r w:rsidR="00675046" w:rsidRPr="00695C93">
        <w:fldChar w:fldCharType="separate"/>
      </w:r>
      <w:r w:rsidR="00304215">
        <w:rPr>
          <w:noProof/>
        </w:rPr>
        <w:instrText>3</w:instrText>
      </w:r>
      <w:r w:rsidR="00304215" w:rsidRPr="00695C93">
        <w:rPr>
          <w:noProof/>
        </w:rPr>
        <w:instrText>.</w:instrText>
      </w:r>
      <w:r w:rsidR="00675046" w:rsidRPr="00695C93">
        <w:fldChar w:fldCharType="end"/>
      </w:r>
      <w:r w:rsidR="00675046" w:rsidRPr="00695C93">
        <w:instrText>" "</w:instrText>
      </w:r>
      <w:fldSimple w:instr=" STYLEREF &quot;Heading 6&quot; \l \n ">
        <w:r w:rsidR="00675046" w:rsidRPr="00695C93">
          <w:instrText>B</w:instrText>
        </w:r>
      </w:fldSimple>
      <w:r w:rsidR="00675046" w:rsidRPr="00695C93">
        <w:instrText xml:space="preserve">." </w:instrText>
      </w:r>
      <w:r w:rsidR="00675046" w:rsidRPr="00695C93">
        <w:fldChar w:fldCharType="separate"/>
      </w:r>
      <w:r w:rsidR="00584F9A">
        <w:rPr>
          <w:noProof/>
        </w:rPr>
        <w:instrText>3</w:instrText>
      </w:r>
      <w:r w:rsidR="00584F9A" w:rsidRPr="00695C93">
        <w:rPr>
          <w:noProof/>
        </w:rPr>
        <w:instrText>.</w:instrText>
      </w:r>
      <w:r w:rsidR="00675046" w:rsidRPr="00695C93">
        <w:fldChar w:fldCharType="end"/>
      </w:r>
      <w:r w:rsidR="00675046" w:rsidRPr="00695C93">
        <w:fldChar w:fldCharType="begin"/>
      </w:r>
      <w:r w:rsidR="00675046" w:rsidRPr="00695C93">
        <w:instrText xml:space="preserve"> SEQ Item \* ARABIC \s </w:instrText>
      </w:r>
      <w:r w:rsidR="00675046" w:rsidRPr="00695C93">
        <w:fldChar w:fldCharType="begin"/>
      </w:r>
      <w:r w:rsidR="00675046" w:rsidRPr="00695C93">
        <w:instrText xml:space="preserve"> IF </w:instrText>
      </w:r>
      <w:fldSimple w:instr=" STYLEREF &quot;Heading 6&quot; \l \n ">
        <w:r w:rsidR="00304215">
          <w:rPr>
            <w:noProof/>
          </w:rPr>
          <w:instrText>0</w:instrText>
        </w:r>
      </w:fldSimple>
      <w:r w:rsidR="00675046" w:rsidRPr="00695C93">
        <w:instrText xml:space="preserve"> = 0 "</w:instrText>
      </w:r>
      <w:r w:rsidR="00675046" w:rsidRPr="00695C93">
        <w:fldChar w:fldCharType="begin"/>
      </w:r>
      <w:r w:rsidR="00675046" w:rsidRPr="00695C93">
        <w:instrText xml:space="preserve"> IF </w:instrText>
      </w:r>
      <w:fldSimple w:instr=" STYLEREF &quot;Heading 1&quot; \l \n ">
        <w:r w:rsidR="00304215">
          <w:rPr>
            <w:noProof/>
          </w:rPr>
          <w:instrText>3</w:instrText>
        </w:r>
      </w:fldSimple>
      <w:r w:rsidR="00675046" w:rsidRPr="00695C93">
        <w:instrText xml:space="preserve"> = 0 "" "1" </w:instrText>
      </w:r>
      <w:r w:rsidR="00675046" w:rsidRPr="00695C93">
        <w:fldChar w:fldCharType="separate"/>
      </w:r>
      <w:r w:rsidR="00584F9A" w:rsidRPr="00695C93">
        <w:rPr>
          <w:noProof/>
        </w:rPr>
        <w:instrText>1</w:instrText>
      </w:r>
      <w:r w:rsidR="00675046" w:rsidRPr="00695C93">
        <w:fldChar w:fldCharType="end"/>
      </w:r>
      <w:r w:rsidR="00675046" w:rsidRPr="00695C93">
        <w:instrText xml:space="preserve">" "6" </w:instrText>
      </w:r>
      <w:r w:rsidR="00675046" w:rsidRPr="00695C93">
        <w:fldChar w:fldCharType="separate"/>
      </w:r>
      <w:r w:rsidR="00584F9A" w:rsidRPr="00695C93">
        <w:rPr>
          <w:noProof/>
        </w:rPr>
        <w:instrText>1</w:instrText>
      </w:r>
      <w:r w:rsidR="00675046" w:rsidRPr="00695C93">
        <w:fldChar w:fldCharType="end"/>
      </w:r>
      <w:r w:rsidR="00675046" w:rsidRPr="00695C93">
        <w:instrText xml:space="preserve"> </w:instrText>
      </w:r>
      <w:r w:rsidR="00675046" w:rsidRPr="00695C93">
        <w:fldChar w:fldCharType="separate"/>
      </w:r>
      <w:r w:rsidR="00304215">
        <w:rPr>
          <w:noProof/>
        </w:rPr>
        <w:instrText>8</w:instrText>
      </w:r>
      <w:r w:rsidR="00675046" w:rsidRPr="00695C93">
        <w:fldChar w:fldCharType="end"/>
      </w:r>
      <w:r w:rsidR="00675046" w:rsidRPr="00695C93">
        <w:instrText xml:space="preserve">" "" </w:instrText>
      </w:r>
      <w:r w:rsidR="00675046" w:rsidRPr="00695C93">
        <w:fldChar w:fldCharType="separate"/>
      </w:r>
      <w:bookmarkStart w:id="608" w:name="_Caption1338"/>
      <w:bookmarkStart w:id="609" w:name="_Caption6742"/>
      <w:bookmarkStart w:id="610" w:name="_Caption3047"/>
      <w:bookmarkStart w:id="611" w:name="_Caption4624"/>
      <w:bookmarkStart w:id="612" w:name="_Caption1938"/>
      <w:bookmarkStart w:id="613" w:name="_Caption7098"/>
      <w:bookmarkStart w:id="614" w:name="_Caption2816"/>
      <w:bookmarkStart w:id="615" w:name="_Caption5735"/>
      <w:bookmarkStart w:id="616" w:name="_Caption4086"/>
      <w:bookmarkStart w:id="617" w:name="_Caption6110"/>
      <w:bookmarkStart w:id="618" w:name="_Caption2440"/>
      <w:bookmarkStart w:id="619" w:name="_Caption2671"/>
      <w:bookmarkStart w:id="620" w:name="_Caption6318"/>
      <w:bookmarkStart w:id="621" w:name="_Caption4393"/>
      <w:bookmarkStart w:id="622" w:name="_Caption2739"/>
      <w:bookmarkStart w:id="623" w:name="_Caption9483"/>
      <w:bookmarkStart w:id="624" w:name="_Caption3165"/>
      <w:bookmarkStart w:id="625" w:name="_Caption9585"/>
      <w:bookmarkStart w:id="626" w:name="_Caption6625"/>
      <w:bookmarkStart w:id="627" w:name="_Caption8540"/>
      <w:bookmarkStart w:id="628" w:name="_Caption6752"/>
      <w:bookmarkStart w:id="629" w:name="_Caption8215"/>
      <w:bookmarkStart w:id="630" w:name="_Caption5293"/>
      <w:bookmarkStart w:id="631" w:name="_Caption9374"/>
      <w:bookmarkStart w:id="632" w:name="_Caption1550"/>
      <w:bookmarkStart w:id="633" w:name="_Caption9736"/>
      <w:bookmarkStart w:id="634" w:name="_Caption2945"/>
      <w:bookmarkStart w:id="635" w:name="_Caption1748"/>
      <w:bookmarkStart w:id="636" w:name="_Caption7715"/>
      <w:bookmarkStart w:id="637" w:name="_Caption4990"/>
      <w:bookmarkStart w:id="638" w:name="_Caption6919"/>
      <w:bookmarkStart w:id="639" w:name="_Caption2386"/>
      <w:bookmarkStart w:id="640" w:name="_Caption9676"/>
      <w:bookmarkStart w:id="641" w:name="_Caption5811"/>
      <w:bookmarkStart w:id="642" w:name="_Caption8833"/>
      <w:bookmarkStart w:id="643" w:name="_Caption2237"/>
      <w:bookmarkStart w:id="644" w:name="_Caption5127"/>
      <w:bookmarkStart w:id="645" w:name="_Caption4097"/>
      <w:bookmarkStart w:id="646" w:name="_Toc381784725"/>
      <w:bookmarkStart w:id="647" w:name="_Toc391972951"/>
      <w:r w:rsidR="00584F9A">
        <w:rPr>
          <w:noProof/>
        </w:rPr>
        <w:t>3</w:t>
      </w:r>
      <w:r w:rsidR="00584F9A" w:rsidRPr="00695C93">
        <w:rPr>
          <w:noProof/>
        </w:rPr>
        <w:t>.</w:t>
      </w:r>
      <w:r w:rsidR="00584F9A">
        <w:rPr>
          <w:noProof/>
        </w:rPr>
        <w:t>8</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rsidR="00675046" w:rsidRPr="00695C93">
        <w:fldChar w:fldCharType="end"/>
      </w:r>
      <w:r w:rsidR="00675046" w:rsidRPr="00695C93">
        <w:tab/>
      </w:r>
      <w:r w:rsidR="00675046">
        <w:t>Assessment against objectives</w:t>
      </w:r>
      <w:bookmarkEnd w:id="646"/>
      <w:bookmarkEnd w:id="647"/>
    </w:p>
    <w:tbl>
      <w:tblPr>
        <w:tblW w:w="0" w:type="auto"/>
        <w:tblInd w:w="57" w:type="dxa"/>
        <w:tblLayout w:type="fixed"/>
        <w:tblLook w:val="0000" w:firstRow="0" w:lastRow="0" w:firstColumn="0" w:lastColumn="0" w:noHBand="0" w:noVBand="0"/>
      </w:tblPr>
      <w:tblGrid>
        <w:gridCol w:w="1843"/>
        <w:gridCol w:w="6094"/>
      </w:tblGrid>
      <w:tr w:rsidR="00675046" w:rsidTr="001E3840">
        <w:tc>
          <w:tcPr>
            <w:tcW w:w="1843" w:type="dxa"/>
            <w:tcBorders>
              <w:bottom w:val="single" w:sz="8" w:space="0" w:color="FFFFFF" w:themeColor="background1"/>
            </w:tcBorders>
            <w:shd w:val="clear" w:color="auto" w:fill="6F6652"/>
            <w:tcMar>
              <w:left w:w="57" w:type="dxa"/>
              <w:right w:w="57" w:type="dxa"/>
            </w:tcMar>
          </w:tcPr>
          <w:p w:rsidR="00675046" w:rsidRDefault="00675046" w:rsidP="00675046">
            <w:pPr>
              <w:pStyle w:val="TableTextColumnHeading"/>
            </w:pPr>
            <w:r>
              <w:t>Objective</w:t>
            </w:r>
          </w:p>
        </w:tc>
        <w:tc>
          <w:tcPr>
            <w:tcW w:w="6094" w:type="dxa"/>
            <w:tcBorders>
              <w:bottom w:val="single" w:sz="8" w:space="0" w:color="FFFFFF" w:themeColor="background1"/>
            </w:tcBorders>
            <w:shd w:val="clear" w:color="auto" w:fill="6F6652"/>
            <w:tcMar>
              <w:left w:w="57" w:type="dxa"/>
              <w:right w:w="57" w:type="dxa"/>
            </w:tcMar>
          </w:tcPr>
          <w:p w:rsidR="00675046" w:rsidRDefault="00675046" w:rsidP="00675046">
            <w:pPr>
              <w:pStyle w:val="TableTextColumnHeading"/>
            </w:pPr>
            <w:r>
              <w:t>Assessment</w:t>
            </w:r>
          </w:p>
        </w:tc>
      </w:tr>
      <w:tr w:rsidR="00675046" w:rsidTr="001E3840">
        <w:tc>
          <w:tcPr>
            <w:tcW w:w="1843"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675046" w:rsidP="00675046">
            <w:pPr>
              <w:pStyle w:val="TableTextEntries"/>
            </w:pPr>
            <w:r>
              <w:t>Addressed a lack of competitive tension in Telstra’s fixed-line service pricing</w:t>
            </w:r>
          </w:p>
        </w:tc>
        <w:tc>
          <w:tcPr>
            <w:tcW w:w="609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612CD9" w:rsidP="00675046">
            <w:pPr>
              <w:pStyle w:val="TableTextEntries"/>
            </w:pPr>
            <w:r>
              <w:t xml:space="preserve">The fact that prices are below caps indicates that </w:t>
            </w:r>
            <w:r w:rsidR="00710816">
              <w:t xml:space="preserve">there has been </w:t>
            </w:r>
            <w:r>
              <w:t xml:space="preserve">competition to Telstra’s fixed line voice services, either through provision of fixed line voice services over Telstra’s infrastructure or through competition from </w:t>
            </w:r>
            <w:r w:rsidR="00B169B9">
              <w:t>mobile and Voice over Internet Protocol (VoIP).</w:t>
            </w:r>
          </w:p>
          <w:p w:rsidR="00EF0B0B" w:rsidRDefault="00EF0B0B" w:rsidP="00612CD9">
            <w:pPr>
              <w:pStyle w:val="TableTextEntries"/>
            </w:pPr>
            <w:r>
              <w:t xml:space="preserve">In regional and rural areas, </w:t>
            </w:r>
            <w:r w:rsidR="00612CD9">
              <w:t>there probably is a lack of competitive tension. However, maintenance of nationally consistent prices appears to be standard practice for services and this means that competition in urban markets is sufficient to constrain behaviour in regional markets</w:t>
            </w:r>
            <w:r>
              <w:t>.</w:t>
            </w:r>
          </w:p>
        </w:tc>
      </w:tr>
      <w:tr w:rsidR="00675046" w:rsidTr="001E3840">
        <w:tc>
          <w:tcPr>
            <w:tcW w:w="1843"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675046" w:rsidP="00675046">
            <w:pPr>
              <w:pStyle w:val="TableTextEntries"/>
            </w:pPr>
            <w:r>
              <w:t>Promoted greater social equity in ensuring affordability of access to services</w:t>
            </w:r>
          </w:p>
        </w:tc>
        <w:tc>
          <w:tcPr>
            <w:tcW w:w="609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5F06CD" w:rsidP="00675046">
            <w:pPr>
              <w:pStyle w:val="TableTextEntries"/>
            </w:pPr>
            <w:r>
              <w:t>It is</w:t>
            </w:r>
            <w:r w:rsidR="00612CD9">
              <w:t xml:space="preserve"> likely that </w:t>
            </w:r>
            <w:r>
              <w:t>uniform national prices for fixed line services wo</w:t>
            </w:r>
            <w:r w:rsidR="00612CD9">
              <w:t xml:space="preserve">uld have </w:t>
            </w:r>
            <w:proofErr w:type="gramStart"/>
            <w:r w:rsidR="00612CD9">
              <w:t>occurred  in</w:t>
            </w:r>
            <w:proofErr w:type="gramEnd"/>
            <w:r w:rsidR="00612CD9">
              <w:t xml:space="preserve"> the absence of retail price controls</w:t>
            </w:r>
            <w:r>
              <w:t xml:space="preserve">. </w:t>
            </w:r>
          </w:p>
          <w:p w:rsidR="005F06CD" w:rsidRDefault="004F65EB" w:rsidP="004F65EB">
            <w:pPr>
              <w:pStyle w:val="TableTextEntries"/>
            </w:pPr>
            <w:r>
              <w:t>Uniform n</w:t>
            </w:r>
            <w:r w:rsidR="005F06CD">
              <w:t xml:space="preserve">ational pricing </w:t>
            </w:r>
            <w:r w:rsidR="00213B29">
              <w:t xml:space="preserve">for fixed line voice service </w:t>
            </w:r>
            <w:r>
              <w:t xml:space="preserve">is a very broad measure for achieving </w:t>
            </w:r>
            <w:r w:rsidR="00213B29">
              <w:t>social equity</w:t>
            </w:r>
            <w:r>
              <w:t xml:space="preserve">, as discussed in </w:t>
            </w:r>
            <w:proofErr w:type="gramStart"/>
            <w:r>
              <w:t>greater detail</w:t>
            </w:r>
            <w:proofErr w:type="gramEnd"/>
            <w:r>
              <w:t xml:space="preserve"> in later chapters</w:t>
            </w:r>
            <w:r w:rsidR="00213B29">
              <w:t xml:space="preserve">. </w:t>
            </w:r>
          </w:p>
        </w:tc>
      </w:tr>
      <w:tr w:rsidR="00675046" w:rsidTr="001E3840">
        <w:tc>
          <w:tcPr>
            <w:tcW w:w="1843"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675046" w:rsidP="00675046">
            <w:pPr>
              <w:pStyle w:val="TableTextEntries"/>
            </w:pPr>
            <w:r>
              <w:t>Ensured that efficiency benefits are passed on to customers</w:t>
            </w:r>
          </w:p>
        </w:tc>
        <w:tc>
          <w:tcPr>
            <w:tcW w:w="609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75046" w:rsidRDefault="005F06CD" w:rsidP="00612CD9">
            <w:pPr>
              <w:pStyle w:val="TableTextEntries"/>
            </w:pPr>
            <w:r>
              <w:t xml:space="preserve">Since the actual prices charged by Telstra were below the regulated price cap for all bundles, </w:t>
            </w:r>
            <w:r w:rsidR="00B169B9">
              <w:t xml:space="preserve">the price controls </w:t>
            </w:r>
            <w:r w:rsidR="00113754">
              <w:t>were not necessary</w:t>
            </w:r>
            <w:r w:rsidR="00B169B9">
              <w:t xml:space="preserve"> to ensure</w:t>
            </w:r>
            <w:r w:rsidR="00113754">
              <w:t xml:space="preserve"> that efficiency benefits </w:t>
            </w:r>
            <w:proofErr w:type="gramStart"/>
            <w:r w:rsidR="00113754">
              <w:t>are passed</w:t>
            </w:r>
            <w:proofErr w:type="gramEnd"/>
            <w:r w:rsidR="00113754">
              <w:t xml:space="preserve"> onto consumers.</w:t>
            </w:r>
          </w:p>
        </w:tc>
      </w:tr>
      <w:tr w:rsidR="00675046" w:rsidTr="001E3840">
        <w:tc>
          <w:tcPr>
            <w:tcW w:w="1843" w:type="dxa"/>
            <w:tcBorders>
              <w:top w:val="single" w:sz="8" w:space="0" w:color="FFFFFF" w:themeColor="background1"/>
              <w:bottom w:val="single" w:sz="4" w:space="0" w:color="6F6652"/>
            </w:tcBorders>
            <w:shd w:val="clear" w:color="auto" w:fill="E9E8E5" w:themeFill="background2"/>
            <w:tcMar>
              <w:left w:w="57" w:type="dxa"/>
              <w:right w:w="57" w:type="dxa"/>
            </w:tcMar>
          </w:tcPr>
          <w:p w:rsidR="00675046" w:rsidRDefault="00675046" w:rsidP="00675046">
            <w:pPr>
              <w:pStyle w:val="TableTextEntries"/>
            </w:pPr>
            <w:r>
              <w:t>Safeguarded low-income consumers</w:t>
            </w:r>
          </w:p>
        </w:tc>
        <w:tc>
          <w:tcPr>
            <w:tcW w:w="6094" w:type="dxa"/>
            <w:tcBorders>
              <w:top w:val="single" w:sz="8" w:space="0" w:color="FFFFFF" w:themeColor="background1"/>
              <w:bottom w:val="single" w:sz="4" w:space="0" w:color="6F6652"/>
            </w:tcBorders>
            <w:shd w:val="clear" w:color="auto" w:fill="E9E8E5" w:themeFill="background2"/>
            <w:tcMar>
              <w:left w:w="57" w:type="dxa"/>
              <w:right w:w="57" w:type="dxa"/>
            </w:tcMar>
          </w:tcPr>
          <w:p w:rsidR="00675046" w:rsidRDefault="00953CB3" w:rsidP="00675046">
            <w:pPr>
              <w:pStyle w:val="TableTextEntries"/>
            </w:pPr>
            <w:r>
              <w:t xml:space="preserve">Since the prices charged by Telstra are below the regulated price </w:t>
            </w:r>
            <w:r w:rsidR="00113754">
              <w:t>cap, the price controls were not necessary to keep the price of fixed line services affordable.</w:t>
            </w:r>
            <w:r w:rsidR="00612CD9">
              <w:t xml:space="preserve"> </w:t>
            </w:r>
          </w:p>
          <w:p w:rsidR="005F06CD" w:rsidRDefault="005F06CD" w:rsidP="00675046">
            <w:pPr>
              <w:pStyle w:val="TableTextEntries"/>
            </w:pPr>
            <w:r>
              <w:t xml:space="preserve">Price controls are </w:t>
            </w:r>
            <w:r w:rsidR="00113754">
              <w:t xml:space="preserve">also </w:t>
            </w:r>
            <w:r>
              <w:t>unlikely to be the most efficient approach to safeguarding low</w:t>
            </w:r>
            <w:r>
              <w:noBreakHyphen/>
              <w:t>income consumers. More targeted approaches — such as specific subsidies — are likely to be much more efficient.</w:t>
            </w:r>
          </w:p>
        </w:tc>
      </w:tr>
    </w:tbl>
    <w:p w:rsidR="00675046" w:rsidRDefault="00675046" w:rsidP="00675046">
      <w:pPr>
        <w:pStyle w:val="Source"/>
      </w:pPr>
      <w:proofErr w:type="gramStart"/>
      <w:r>
        <w:rPr>
          <w:i/>
        </w:rPr>
        <w:t>Source</w:t>
      </w:r>
      <w:r w:rsidRPr="00E4232C">
        <w:rPr>
          <w:i/>
        </w:rPr>
        <w:t>:</w:t>
      </w:r>
      <w:r>
        <w:t xml:space="preserve"> The CIE.</w:t>
      </w:r>
      <w:proofErr w:type="gramEnd"/>
    </w:p>
    <w:p w:rsidR="00612CD9" w:rsidRDefault="00612CD9" w:rsidP="00612CD9">
      <w:pPr>
        <w:pStyle w:val="Heading2"/>
      </w:pPr>
      <w:bookmarkStart w:id="648" w:name="_Toc388269631"/>
      <w:r>
        <w:t>Have retail price controls acted as a barrier to competition?</w:t>
      </w:r>
      <w:bookmarkEnd w:id="648"/>
    </w:p>
    <w:p w:rsidR="00612CD9" w:rsidRDefault="009C1B85" w:rsidP="00612CD9">
      <w:pPr>
        <w:pStyle w:val="BodyText"/>
      </w:pPr>
      <w:r>
        <w:t xml:space="preserve">Retail price controls have had no discernible impact on retail prices. In this </w:t>
      </w:r>
      <w:proofErr w:type="gramStart"/>
      <w:r>
        <w:t>case</w:t>
      </w:r>
      <w:proofErr w:type="gramEnd"/>
      <w:r>
        <w:t xml:space="preserve"> they have not acted as a barrier to competition.</w:t>
      </w:r>
    </w:p>
    <w:p w:rsidR="009C1B85" w:rsidRDefault="009C1B85" w:rsidP="00612CD9">
      <w:pPr>
        <w:pStyle w:val="BodyText"/>
      </w:pPr>
      <w:r>
        <w:t>Potentially retail price controls could have acted as a barrier to competition. For example, if regulated wholesale prices had increased then retail price controls may have made competition commercially unviable. This did not eventuate from 2012 to 2014.</w:t>
      </w:r>
    </w:p>
    <w:p w:rsidR="009C1B85" w:rsidRDefault="009C1B85" w:rsidP="00612CD9">
      <w:pPr>
        <w:pStyle w:val="BodyText"/>
      </w:pPr>
      <w:r>
        <w:t>Retail price controls also potentially act as a barrier to competition in regional areas, because prices are nationally consistent, wholesale line rental is nationally consistent but retail prices are different. Again, we consider that this is only a potential barrier and Telstra would have maintained nationally consistent pricing regardless of the presence of retail price controls from 2012 to 2014.</w:t>
      </w:r>
    </w:p>
    <w:p w:rsidR="005C7B71" w:rsidRPr="00612CD9" w:rsidRDefault="005C7B71" w:rsidP="00612CD9">
      <w:pPr>
        <w:pStyle w:val="BodyText"/>
      </w:pPr>
    </w:p>
    <w:p w:rsidR="00675046" w:rsidRDefault="00675046" w:rsidP="00675046">
      <w:pPr>
        <w:pStyle w:val="BodyText"/>
      </w:pPr>
    </w:p>
    <w:p w:rsidR="00675046" w:rsidRPr="00F51AF6" w:rsidRDefault="00675046" w:rsidP="00675046">
      <w:pPr>
        <w:pStyle w:val="Heading1"/>
      </w:pPr>
      <w:bookmarkStart w:id="649" w:name="_Toc388269632"/>
      <w:r>
        <w:lastRenderedPageBreak/>
        <w:t>Current state of competition for retail telecommunications voice services</w:t>
      </w:r>
      <w:bookmarkEnd w:id="649"/>
    </w:p>
    <w:p w:rsidR="00392639" w:rsidRPr="007B7E2F" w:rsidRDefault="00392639" w:rsidP="00392639">
      <w:pPr>
        <w:pStyle w:val="BodyText"/>
      </w:pPr>
      <w:r>
        <w:t xml:space="preserve">Price regulation is typically required only in markets where there is insufficient competition to ensure an efficient price. A key element of this review is therefore establishing </w:t>
      </w:r>
      <w:r w:rsidR="00710816">
        <w:t>the level of competitive constraints on Telstra’s behaviour</w:t>
      </w:r>
      <w:r>
        <w:t xml:space="preserve"> to ensure that Telstra cannot exploit market power and charge prices that exceed the efficient cost of supply, including a reasonable rate of return on its capital.</w:t>
      </w:r>
    </w:p>
    <w:p w:rsidR="00392639" w:rsidRDefault="00392639" w:rsidP="00392639">
      <w:pPr>
        <w:pStyle w:val="Heading2"/>
      </w:pPr>
      <w:bookmarkStart w:id="650" w:name="_Toc381784746"/>
      <w:bookmarkStart w:id="651" w:name="_Toc388269633"/>
      <w:bookmarkStart w:id="652" w:name="_Toc381784748"/>
      <w:bookmarkStart w:id="653" w:name="_Toc384721440"/>
      <w:r>
        <w:t>Defining the market</w:t>
      </w:r>
      <w:bookmarkEnd w:id="650"/>
      <w:bookmarkEnd w:id="651"/>
    </w:p>
    <w:p w:rsidR="00392639" w:rsidRDefault="00392639" w:rsidP="00392639">
      <w:pPr>
        <w:pStyle w:val="BodyText"/>
      </w:pPr>
      <w:r>
        <w:t>Telstra’s retail price controls relate specifically to fixed line voice services. Defining a market can be a complex and contested exercise. The framework used by the ACCC when deciding whether to approve mergers provides useful guidance on identifying the markets that are relevant to retail price controls (see box </w:t>
      </w:r>
      <w:fldSimple w:instr=" REF _Caption6624 ">
        <w:r w:rsidR="00304215">
          <w:rPr>
            <w:noProof/>
          </w:rPr>
          <w:t>4</w:t>
        </w:r>
        <w:r w:rsidR="00304215" w:rsidRPr="00E05C8C">
          <w:rPr>
            <w:noProof/>
          </w:rPr>
          <w:t>.</w:t>
        </w:r>
        <w:r w:rsidR="00304215">
          <w:rPr>
            <w:noProof/>
          </w:rPr>
          <w:t>1</w:t>
        </w:r>
      </w:fldSimple>
      <w:r>
        <w:rPr>
          <w:noProof/>
        </w:rPr>
        <w:t>)</w:t>
      </w:r>
      <w:r>
        <w:t>.</w:t>
      </w:r>
    </w:p>
    <w:p w:rsidR="00392639" w:rsidRDefault="00392639" w:rsidP="00392639">
      <w:pPr>
        <w:pStyle w:val="BodyText"/>
      </w:pPr>
      <w:r>
        <w:t>Based on the ACCC’s approach, the markets relevant to the retail price controls could include the following.</w:t>
      </w:r>
    </w:p>
    <w:p w:rsidR="00392639" w:rsidRDefault="00392639" w:rsidP="00392639">
      <w:pPr>
        <w:pStyle w:val="ListBullet"/>
      </w:pPr>
      <w:r>
        <w:t>The market for fixed line voice services</w:t>
      </w:r>
    </w:p>
    <w:p w:rsidR="00392639" w:rsidRDefault="00392639" w:rsidP="00392639">
      <w:pPr>
        <w:pStyle w:val="ListBullet"/>
      </w:pPr>
      <w:r>
        <w:t>The market for bundled services that include fixed line voice services</w:t>
      </w:r>
    </w:p>
    <w:p w:rsidR="00392639" w:rsidRDefault="00392639" w:rsidP="00392639">
      <w:pPr>
        <w:pStyle w:val="ListBullet"/>
      </w:pPr>
      <w:r>
        <w:t>The markets for close substitutes — this could include:</w:t>
      </w:r>
    </w:p>
    <w:p w:rsidR="00392639" w:rsidRDefault="00F55EB5" w:rsidP="00392639">
      <w:pPr>
        <w:pStyle w:val="ListBullet2"/>
      </w:pPr>
      <w:r>
        <w:t>m</w:t>
      </w:r>
      <w:r w:rsidR="00392639">
        <w:t>obile voice services</w:t>
      </w:r>
    </w:p>
    <w:p w:rsidR="00392639" w:rsidRDefault="00392639" w:rsidP="00392639">
      <w:pPr>
        <w:pStyle w:val="ListBullet2"/>
      </w:pPr>
      <w:r>
        <w:t xml:space="preserve">Voice </w:t>
      </w:r>
      <w:r w:rsidR="00F55EB5">
        <w:t>o</w:t>
      </w:r>
      <w:r>
        <w:t>ver Internet Protocols</w:t>
      </w:r>
    </w:p>
    <w:p w:rsidR="00392639" w:rsidRDefault="00F55EB5" w:rsidP="00392639">
      <w:pPr>
        <w:pStyle w:val="ListBullet2"/>
      </w:pPr>
      <w:proofErr w:type="gramStart"/>
      <w:r>
        <w:t>services</w:t>
      </w:r>
      <w:proofErr w:type="gramEnd"/>
      <w:r>
        <w:t xml:space="preserve"> over s</w:t>
      </w:r>
      <w:r w:rsidR="00392639">
        <w:t>atellite.</w:t>
      </w:r>
    </w:p>
    <w:p w:rsidR="00392639" w:rsidRDefault="00392639" w:rsidP="00392639">
      <w:pPr>
        <w:pStyle w:val="BodyText"/>
      </w:pPr>
      <w:r>
        <w:t>In assessing the level of competition in these markets, it will also be necessary to consider the geographic dimensions of these markets. In its recent Declaration Inquiry into fixed line service declarations, the ACCC adopted a national market definition. One of the reasons for this was that Telstra (and other retailers) set prices that are uniform across Australia. To the extent that we considered it possible — albeit unlikely — that Telstra would charge a different price for regional and rural customers in the absence of the price controls, this would weaken the ACCC’s argument for a national market defin</w:t>
      </w:r>
      <w:r w:rsidR="00F55EB5">
        <w:t xml:space="preserve">ition. We therefore consider that it is relevant </w:t>
      </w:r>
      <w:r>
        <w:t xml:space="preserve">to consider the geographic dimensions of the </w:t>
      </w:r>
      <w:r w:rsidR="00F55EB5">
        <w:t>market</w:t>
      </w:r>
      <w:r>
        <w:t>.</w:t>
      </w:r>
    </w:p>
    <w:p w:rsidR="00392639" w:rsidRDefault="00392639" w:rsidP="00392639">
      <w:pPr>
        <w:pStyle w:val="BodyText"/>
      </w:pPr>
    </w:p>
    <w:p w:rsidR="00392639" w:rsidRDefault="00392639" w:rsidP="00392639">
      <w:pPr>
        <w:pStyle w:val="Invisiblepara"/>
      </w:pPr>
    </w:p>
    <w:tbl>
      <w:tblPr>
        <w:tblW w:w="7938" w:type="dxa"/>
        <w:tblInd w:w="142" w:type="dxa"/>
        <w:tblBorders>
          <w:top w:val="single" w:sz="2" w:space="0" w:color="auto"/>
          <w:left w:val="single" w:sz="2" w:space="0" w:color="auto"/>
          <w:bottom w:val="single" w:sz="2" w:space="0" w:color="auto"/>
          <w:right w:val="single" w:sz="2" w:space="0" w:color="auto"/>
        </w:tblBorders>
        <w:tblLayout w:type="fixed"/>
        <w:tblCellMar>
          <w:left w:w="142" w:type="dxa"/>
          <w:right w:w="142" w:type="dxa"/>
        </w:tblCellMar>
        <w:tblLook w:val="0000" w:firstRow="0" w:lastRow="0" w:firstColumn="0" w:lastColumn="0" w:noHBand="0" w:noVBand="0"/>
      </w:tblPr>
      <w:tblGrid>
        <w:gridCol w:w="7938"/>
      </w:tblGrid>
      <w:tr w:rsidR="00392639" w:rsidRPr="00E05C8C" w:rsidTr="00F55EB5">
        <w:trPr>
          <w:cantSplit/>
        </w:trPr>
        <w:tc>
          <w:tcPr>
            <w:tcW w:w="7938" w:type="dxa"/>
            <w:tcBorders>
              <w:top w:val="nil"/>
              <w:left w:val="nil"/>
              <w:bottom w:val="nil"/>
              <w:right w:val="nil"/>
            </w:tcBorders>
            <w:shd w:val="clear" w:color="auto" w:fill="C6BFAB" w:themeFill="accent3"/>
          </w:tcPr>
          <w:p w:rsidR="00392639" w:rsidRPr="00E05C8C" w:rsidRDefault="00392639" w:rsidP="00392639">
            <w:pPr>
              <w:pStyle w:val="Caption"/>
              <w:numPr>
                <w:ilvl w:val="0"/>
                <w:numId w:val="15"/>
              </w:numPr>
              <w:spacing w:before="120" w:after="100"/>
            </w:pPr>
            <w:r w:rsidRPr="00E05C8C">
              <w:fldChar w:fldCharType="begin"/>
            </w:r>
            <w:r w:rsidRPr="00E05C8C">
              <w:instrText xml:space="preserve"> IF 1 = 1 "</w:instrText>
            </w:r>
            <w:r w:rsidRPr="00E05C8C">
              <w:fldChar w:fldCharType="begin"/>
            </w:r>
            <w:r w:rsidRPr="00E05C8C">
              <w:instrText xml:space="preserve"> IF </w:instrText>
            </w:r>
            <w:fldSimple w:instr=" STYLEREF &quot;Heading 6&quot; \l \n ">
              <w:r w:rsidR="00304215">
                <w:rPr>
                  <w:noProof/>
                </w:rPr>
                <w:instrText>0</w:instrText>
              </w:r>
            </w:fldSimple>
            <w:r w:rsidRPr="00E05C8C">
              <w:instrText xml:space="preserve"> = 0 "</w:instrText>
            </w:r>
            <w:r w:rsidRPr="00E05C8C">
              <w:fldChar w:fldCharType="begin"/>
            </w:r>
            <w:r w:rsidRPr="00E05C8C">
              <w:instrText xml:space="preserve"> IF </w:instrText>
            </w:r>
            <w:fldSimple w:instr=" STYLEREF &quot;Heading 1&quot; \l \n ">
              <w:r w:rsidR="00304215">
                <w:rPr>
                  <w:noProof/>
                </w:rPr>
                <w:instrText>4</w:instrText>
              </w:r>
            </w:fldSimple>
            <w:r w:rsidRPr="00E05C8C">
              <w:instrText xml:space="preserve"> = 0 "" "</w:instrText>
            </w:r>
            <w:fldSimple w:instr=" STYLEREF &quot;Heading 1&quot; \l \n ">
              <w:r w:rsidR="00304215">
                <w:rPr>
                  <w:noProof/>
                </w:rPr>
                <w:instrText>4</w:instrText>
              </w:r>
            </w:fldSimple>
            <w:r w:rsidRPr="00E05C8C">
              <w:instrText xml:space="preserve">." </w:instrText>
            </w:r>
            <w:r w:rsidRPr="00E05C8C">
              <w:fldChar w:fldCharType="separate"/>
            </w:r>
            <w:r w:rsidR="00304215">
              <w:rPr>
                <w:noProof/>
              </w:rPr>
              <w:instrText>4</w:instrText>
            </w:r>
            <w:r w:rsidR="00304215" w:rsidRPr="00E05C8C">
              <w:rPr>
                <w:noProof/>
              </w:rPr>
              <w:instrText>.</w:instrText>
            </w:r>
            <w:r w:rsidRPr="00E05C8C">
              <w:fldChar w:fldCharType="end"/>
            </w:r>
            <w:r w:rsidRPr="00E05C8C">
              <w:instrText>" "</w:instrText>
            </w:r>
            <w:fldSimple w:instr=" STYLEREF &quot;Heading 6&quot; \l \n ">
              <w:r w:rsidRPr="00E05C8C">
                <w:instrText>B</w:instrText>
              </w:r>
            </w:fldSimple>
            <w:r w:rsidRPr="00E05C8C">
              <w:instrText xml:space="preserve">." </w:instrText>
            </w:r>
            <w:r w:rsidRPr="00E05C8C">
              <w:fldChar w:fldCharType="separate"/>
            </w:r>
            <w:r w:rsidR="00584F9A">
              <w:rPr>
                <w:noProof/>
              </w:rPr>
              <w:instrText>4</w:instrText>
            </w:r>
            <w:r w:rsidR="00584F9A" w:rsidRPr="00E05C8C">
              <w:rPr>
                <w:noProof/>
              </w:rPr>
              <w:instrText>.</w:instrText>
            </w:r>
            <w:r w:rsidRPr="00E05C8C">
              <w:fldChar w:fldCharType="end"/>
            </w:r>
            <w:r w:rsidRPr="00E05C8C">
              <w:fldChar w:fldCharType="begin"/>
            </w:r>
            <w:r w:rsidRPr="00E05C8C">
              <w:instrText xml:space="preserve"> SEQ Item \* ARABIC \s </w:instrText>
            </w:r>
            <w:r w:rsidRPr="00E05C8C">
              <w:fldChar w:fldCharType="begin"/>
            </w:r>
            <w:r w:rsidRPr="00E05C8C">
              <w:instrText xml:space="preserve"> IF </w:instrText>
            </w:r>
            <w:fldSimple w:instr=" STYLEREF &quot;Heading 6&quot; \l \n ">
              <w:r w:rsidR="00304215">
                <w:rPr>
                  <w:noProof/>
                </w:rPr>
                <w:instrText>0</w:instrText>
              </w:r>
            </w:fldSimple>
            <w:r w:rsidRPr="00E05C8C">
              <w:instrText xml:space="preserve"> = 0 "</w:instrText>
            </w:r>
            <w:r w:rsidRPr="00E05C8C">
              <w:fldChar w:fldCharType="begin"/>
            </w:r>
            <w:r w:rsidRPr="00E05C8C">
              <w:instrText xml:space="preserve"> IF </w:instrText>
            </w:r>
            <w:fldSimple w:instr=" STYLEREF &quot;Heading 1&quot; \l \n ">
              <w:r w:rsidR="00304215">
                <w:rPr>
                  <w:noProof/>
                </w:rPr>
                <w:instrText>4</w:instrText>
              </w:r>
            </w:fldSimple>
            <w:r w:rsidRPr="00E05C8C">
              <w:instrText xml:space="preserve"> = 0 "" "1" </w:instrText>
            </w:r>
            <w:r w:rsidRPr="00E05C8C">
              <w:fldChar w:fldCharType="separate"/>
            </w:r>
            <w:r w:rsidR="00584F9A" w:rsidRPr="00E05C8C">
              <w:rPr>
                <w:noProof/>
              </w:rPr>
              <w:instrText>1</w:instrText>
            </w:r>
            <w:r w:rsidRPr="00E05C8C">
              <w:fldChar w:fldCharType="end"/>
            </w:r>
            <w:r w:rsidRPr="00E05C8C">
              <w:instrText xml:space="preserve">" "6" </w:instrText>
            </w:r>
            <w:r w:rsidRPr="00E05C8C">
              <w:fldChar w:fldCharType="separate"/>
            </w:r>
            <w:r w:rsidR="00584F9A" w:rsidRPr="00E05C8C">
              <w:rPr>
                <w:noProof/>
              </w:rPr>
              <w:instrText>1</w:instrText>
            </w:r>
            <w:r w:rsidRPr="00E05C8C">
              <w:fldChar w:fldCharType="end"/>
            </w:r>
            <w:r w:rsidRPr="00E05C8C">
              <w:instrText xml:space="preserve"> </w:instrText>
            </w:r>
            <w:r w:rsidRPr="00E05C8C">
              <w:fldChar w:fldCharType="separate"/>
            </w:r>
            <w:r w:rsidR="00304215">
              <w:rPr>
                <w:noProof/>
              </w:rPr>
              <w:instrText>1</w:instrText>
            </w:r>
            <w:r w:rsidRPr="00E05C8C">
              <w:fldChar w:fldCharType="end"/>
            </w:r>
            <w:r w:rsidRPr="00E05C8C">
              <w:instrText xml:space="preserve">" "" </w:instrText>
            </w:r>
            <w:r w:rsidRPr="00E05C8C">
              <w:fldChar w:fldCharType="separate"/>
            </w:r>
            <w:bookmarkStart w:id="654" w:name="_Caption6067"/>
            <w:bookmarkStart w:id="655" w:name="_Caption9874"/>
            <w:bookmarkStart w:id="656" w:name="_Caption0856"/>
            <w:bookmarkStart w:id="657" w:name="_Caption1081"/>
            <w:bookmarkStart w:id="658" w:name="_Caption9747"/>
            <w:bookmarkStart w:id="659" w:name="_Caption4906"/>
            <w:bookmarkStart w:id="660" w:name="_Caption6525"/>
            <w:bookmarkStart w:id="661" w:name="_Caption3443"/>
            <w:bookmarkStart w:id="662" w:name="_Caption9170"/>
            <w:bookmarkStart w:id="663" w:name="_Caption9231"/>
            <w:bookmarkStart w:id="664" w:name="_Caption9626"/>
            <w:bookmarkStart w:id="665" w:name="_Caption2746"/>
            <w:bookmarkStart w:id="666" w:name="_Caption9595"/>
            <w:bookmarkStart w:id="667" w:name="_Caption0280"/>
            <w:bookmarkStart w:id="668" w:name="_Caption9367"/>
            <w:bookmarkStart w:id="669" w:name="_Caption2431"/>
            <w:bookmarkStart w:id="670" w:name="_Caption9590"/>
            <w:bookmarkStart w:id="671" w:name="_Caption8906"/>
            <w:bookmarkStart w:id="672" w:name="_Caption6624"/>
            <w:bookmarkStart w:id="673" w:name="_Caption4113"/>
            <w:bookmarkStart w:id="674" w:name="_Caption6086"/>
            <w:bookmarkStart w:id="675" w:name="_Caption5339"/>
            <w:bookmarkStart w:id="676" w:name="_Caption5415"/>
            <w:bookmarkStart w:id="677" w:name="_Caption2623"/>
            <w:bookmarkStart w:id="678" w:name="_Caption7436"/>
            <w:bookmarkStart w:id="679" w:name="_Toc391972952"/>
            <w:r w:rsidR="00584F9A">
              <w:rPr>
                <w:noProof/>
              </w:rPr>
              <w:t>4</w:t>
            </w:r>
            <w:r w:rsidR="00584F9A" w:rsidRPr="00E05C8C">
              <w:rPr>
                <w:noProof/>
              </w:rPr>
              <w:t>.</w:t>
            </w:r>
            <w:r w:rsidR="00584F9A">
              <w:rPr>
                <w:noProof/>
              </w:rPr>
              <w:t>1</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sidRPr="00E05C8C">
              <w:fldChar w:fldCharType="end"/>
            </w:r>
            <w:r w:rsidRPr="00E05C8C">
              <w:tab/>
            </w:r>
            <w:r>
              <w:t>The ACCC approach to defining a market</w:t>
            </w:r>
            <w:r>
              <w:rPr>
                <w:rStyle w:val="FootnoteReference"/>
              </w:rPr>
              <w:footnoteReference w:id="16"/>
            </w:r>
            <w:bookmarkEnd w:id="679"/>
          </w:p>
        </w:tc>
      </w:tr>
      <w:tr w:rsidR="00392639" w:rsidTr="002166AA">
        <w:tblPrEx>
          <w:tblBorders>
            <w:top w:val="none" w:sz="0" w:space="0" w:color="auto"/>
            <w:left w:val="none" w:sz="0" w:space="0" w:color="auto"/>
            <w:bottom w:val="none" w:sz="0" w:space="0" w:color="auto"/>
            <w:right w:val="none" w:sz="0" w:space="0" w:color="auto"/>
          </w:tblBorders>
          <w:shd w:val="clear" w:color="6F6652" w:fill="F1EFEA"/>
        </w:tblPrEx>
        <w:trPr>
          <w:cantSplit/>
        </w:trPr>
        <w:tc>
          <w:tcPr>
            <w:tcW w:w="7938" w:type="dxa"/>
            <w:shd w:val="clear" w:color="auto" w:fill="E9E8E5" w:themeFill="background2"/>
          </w:tcPr>
          <w:p w:rsidR="00392639" w:rsidRPr="00E1092B" w:rsidRDefault="00392639" w:rsidP="00F55EB5">
            <w:pPr>
              <w:pStyle w:val="BodyText"/>
            </w:pPr>
            <w:r w:rsidRPr="00E1092B">
              <w:t>Under the Competition and Consumer Act 2010, a market includes goods or services that are substitutable for, or otherwise competitive with, the goods and services under analysis. The ACCC focuses on both the product and geographic dimensions of substitution in characterising a market.</w:t>
            </w:r>
          </w:p>
          <w:p w:rsidR="00392639" w:rsidRPr="00E1092B" w:rsidRDefault="00392639" w:rsidP="00F55EB5">
            <w:pPr>
              <w:pStyle w:val="BodyText"/>
            </w:pPr>
            <w:r w:rsidRPr="00E1092B">
              <w:t>Substitution can be either:</w:t>
            </w:r>
          </w:p>
          <w:p w:rsidR="00392639" w:rsidRPr="00E1092B" w:rsidRDefault="00392639" w:rsidP="007F2436">
            <w:pPr>
              <w:pStyle w:val="ListBullet"/>
              <w:spacing w:before="0"/>
            </w:pPr>
            <w:r w:rsidRPr="00E1092B">
              <w:t xml:space="preserve">Demand side substitution — this is a customer’s ability to switch </w:t>
            </w:r>
            <w:proofErr w:type="gramStart"/>
            <w:r w:rsidRPr="00E1092B">
              <w:t>to an alternative product in response to an increase in the price,</w:t>
            </w:r>
            <w:proofErr w:type="gramEnd"/>
            <w:r w:rsidRPr="00E1092B">
              <w:t xml:space="preserve"> or decrease in the service quality of the product. For mergers, the likelihood that a product will be considered a demand</w:t>
            </w:r>
            <w:r w:rsidRPr="00E1092B">
              <w:noBreakHyphen/>
              <w:t>side substitute, the ACCC considers:</w:t>
            </w:r>
          </w:p>
          <w:p w:rsidR="00392639" w:rsidRPr="00E1092B" w:rsidRDefault="00392639" w:rsidP="007F2436">
            <w:pPr>
              <w:pStyle w:val="ListBullet2"/>
              <w:spacing w:before="0"/>
            </w:pPr>
            <w:r w:rsidRPr="00E1092B">
              <w:t>The characteristics or functions of the product (the product dimension of a market)</w:t>
            </w:r>
          </w:p>
          <w:p w:rsidR="00392639" w:rsidRPr="00E1092B" w:rsidRDefault="00392639" w:rsidP="007F2436">
            <w:pPr>
              <w:pStyle w:val="ListBullet2"/>
              <w:spacing w:before="0"/>
            </w:pPr>
            <w:proofErr w:type="gramStart"/>
            <w:r w:rsidRPr="00E1092B">
              <w:t>The availability of the product for purchase, and use, at the relevant location (the geographic dimension of the market).</w:t>
            </w:r>
            <w:proofErr w:type="gramEnd"/>
          </w:p>
          <w:p w:rsidR="00392639" w:rsidRPr="00E1092B" w:rsidRDefault="00392639" w:rsidP="00F55EB5">
            <w:pPr>
              <w:pStyle w:val="ListBullet"/>
            </w:pPr>
            <w:r w:rsidRPr="00E1092B">
              <w:t>Supply side substitution — a product may be considered a supply</w:t>
            </w:r>
            <w:r w:rsidRPr="00E1092B">
              <w:noBreakHyphen/>
              <w:t>side substitute if in response to an increase in the price of the product under consideration:</w:t>
            </w:r>
          </w:p>
          <w:p w:rsidR="00392639" w:rsidRPr="00E1092B" w:rsidRDefault="00392639" w:rsidP="007F2436">
            <w:pPr>
              <w:pStyle w:val="ListBullet2"/>
              <w:spacing w:before="0"/>
            </w:pPr>
            <w:r w:rsidRPr="00E1092B">
              <w:t>The production facilities and marketing efforts used for that product can be switched quickly and without significant investment to supply a demand</w:t>
            </w:r>
            <w:r w:rsidRPr="00E1092B">
              <w:noBreakHyphen/>
              <w:t>side substitute for the product under consideration (the product dimension of the market)</w:t>
            </w:r>
          </w:p>
          <w:p w:rsidR="00392639" w:rsidRPr="00E1092B" w:rsidRDefault="00392639" w:rsidP="007F2436">
            <w:pPr>
              <w:pStyle w:val="ListBullet2"/>
              <w:spacing w:before="0"/>
            </w:pPr>
            <w:r w:rsidRPr="00E1092B">
              <w:t>The distribution network used by the product can be modified quickly and without significant investment to supply users of the product at their present location or within a distance they would likely travel (the geographic dimension of the market)</w:t>
            </w:r>
          </w:p>
          <w:p w:rsidR="00392639" w:rsidRPr="00E1092B" w:rsidRDefault="00392639" w:rsidP="007F2436">
            <w:pPr>
              <w:pStyle w:val="ListBullet2"/>
              <w:spacing w:before="0"/>
            </w:pPr>
            <w:r w:rsidRPr="00E1092B">
              <w:t xml:space="preserve">It would be profitable for the current suppliers of the product to make these changes — that is, the profits earned on the assets in their current use would be less than if they </w:t>
            </w:r>
            <w:proofErr w:type="gramStart"/>
            <w:r w:rsidRPr="00E1092B">
              <w:t>were switched</w:t>
            </w:r>
            <w:proofErr w:type="gramEnd"/>
            <w:r w:rsidRPr="00E1092B">
              <w:t xml:space="preserve"> to supply a demand</w:t>
            </w:r>
            <w:r w:rsidRPr="00E1092B">
              <w:noBreakHyphen/>
              <w:t>side substitute for the product under analysis.</w:t>
            </w:r>
          </w:p>
        </w:tc>
      </w:tr>
      <w:tr w:rsidR="00392639" w:rsidTr="002166AA">
        <w:tblPrEx>
          <w:tblBorders>
            <w:top w:val="none" w:sz="0" w:space="0" w:color="auto"/>
            <w:left w:val="none" w:sz="0" w:space="0" w:color="auto"/>
            <w:bottom w:val="none" w:sz="0" w:space="0" w:color="auto"/>
            <w:right w:val="none" w:sz="0" w:space="0" w:color="auto"/>
          </w:tblBorders>
          <w:shd w:val="clear" w:color="6F6652" w:fill="F1EFEA"/>
        </w:tblPrEx>
        <w:trPr>
          <w:cantSplit/>
          <w:trHeight w:hRule="exact" w:val="142"/>
        </w:trPr>
        <w:tc>
          <w:tcPr>
            <w:tcW w:w="7938" w:type="dxa"/>
            <w:tcBorders>
              <w:bottom w:val="single" w:sz="4" w:space="0" w:color="9B917E" w:themeColor="accent4"/>
            </w:tcBorders>
            <w:shd w:val="clear" w:color="auto" w:fill="E9E8E5" w:themeFill="background2"/>
          </w:tcPr>
          <w:p w:rsidR="00392639" w:rsidRPr="00E1092B" w:rsidRDefault="00392639" w:rsidP="00F55EB5"/>
        </w:tc>
      </w:tr>
      <w:tr w:rsidR="00392639" w:rsidTr="002166AA">
        <w:tblPrEx>
          <w:tblBorders>
            <w:top w:val="none" w:sz="0" w:space="0" w:color="auto"/>
            <w:left w:val="none" w:sz="0" w:space="0" w:color="auto"/>
            <w:bottom w:val="none" w:sz="0" w:space="0" w:color="auto"/>
            <w:right w:val="none" w:sz="0" w:space="0" w:color="auto"/>
          </w:tblBorders>
          <w:shd w:val="clear" w:color="6F6652" w:fill="F1EFEA"/>
        </w:tblPrEx>
        <w:trPr>
          <w:cantSplit/>
          <w:trHeight w:hRule="exact" w:val="198"/>
        </w:trPr>
        <w:tc>
          <w:tcPr>
            <w:tcW w:w="7938" w:type="dxa"/>
            <w:tcBorders>
              <w:top w:val="single" w:sz="4" w:space="0" w:color="9B917E" w:themeColor="accent4"/>
            </w:tcBorders>
            <w:shd w:val="clear" w:color="6F6652" w:fill="auto"/>
          </w:tcPr>
          <w:p w:rsidR="00392639" w:rsidRDefault="00392639" w:rsidP="00F55EB5"/>
        </w:tc>
      </w:tr>
    </w:tbl>
    <w:p w:rsidR="00392639" w:rsidRDefault="00392639" w:rsidP="007F2436">
      <w:pPr>
        <w:pStyle w:val="Heading2"/>
        <w:spacing w:before="360"/>
      </w:pPr>
      <w:bookmarkStart w:id="680" w:name="_Toc381784747"/>
      <w:bookmarkStart w:id="681" w:name="_Toc388269634"/>
      <w:r>
        <w:t>Characterising the market</w:t>
      </w:r>
      <w:bookmarkEnd w:id="680"/>
      <w:bookmarkEnd w:id="681"/>
    </w:p>
    <w:p w:rsidR="00392639" w:rsidRDefault="00392639" w:rsidP="00392639">
      <w:pPr>
        <w:pStyle w:val="BodyText"/>
      </w:pPr>
      <w:r>
        <w:t>In this section, we assess the level of competition in markets relevant to the retail price controls.</w:t>
      </w:r>
    </w:p>
    <w:p w:rsidR="00392639" w:rsidRPr="000D688E" w:rsidRDefault="00392639" w:rsidP="007F2436">
      <w:pPr>
        <w:pStyle w:val="Heading3"/>
        <w:spacing w:before="360"/>
      </w:pPr>
      <w:r>
        <w:t>The market for f</w:t>
      </w:r>
      <w:r w:rsidRPr="000D688E">
        <w:t xml:space="preserve">ixed line voice </w:t>
      </w:r>
      <w:r>
        <w:t>services</w:t>
      </w:r>
    </w:p>
    <w:p w:rsidR="00392639" w:rsidRDefault="00392639" w:rsidP="00392639">
      <w:pPr>
        <w:pStyle w:val="BodyText"/>
      </w:pPr>
      <w:r>
        <w:t xml:space="preserve">The price controls directly relate to the market for fixed line voice services. While it would not be viable for operators to rollout their own fixed line network to provide voice only services, Service Providers can compete with Telstra in this market, by reselling Telstra’s services using the Public Switched Telephone network (PSTN). Wholesale services required include: </w:t>
      </w:r>
    </w:p>
    <w:p w:rsidR="00392639" w:rsidRDefault="00392639" w:rsidP="00392639">
      <w:pPr>
        <w:pStyle w:val="ListBullet"/>
      </w:pPr>
      <w:r>
        <w:lastRenderedPageBreak/>
        <w:t xml:space="preserve">Wholesale Line Rental (WLR) services — these services allow a telecommunication company to rent an active copper line from a service provider, such as Telstra, and on-sell the rented line to retail customers as part of its retail plans. The line is rented with: </w:t>
      </w:r>
    </w:p>
    <w:p w:rsidR="00392639" w:rsidRDefault="00392639" w:rsidP="00392639">
      <w:pPr>
        <w:pStyle w:val="ListBullet2"/>
      </w:pPr>
      <w:r>
        <w:t xml:space="preserve">the </w:t>
      </w:r>
      <w:r w:rsidRPr="006C66B5">
        <w:t>ability</w:t>
      </w:r>
      <w:r>
        <w:t xml:space="preserve"> to make and receive standard voice calls (such as local, national, international, fixed-to-mobile and mobile-to-fixed calls), and</w:t>
      </w:r>
    </w:p>
    <w:p w:rsidR="00392639" w:rsidRDefault="00392639" w:rsidP="00392639">
      <w:pPr>
        <w:pStyle w:val="ListBullet2"/>
      </w:pPr>
      <w:proofErr w:type="gramStart"/>
      <w:r>
        <w:t>a</w:t>
      </w:r>
      <w:proofErr w:type="gramEnd"/>
      <w:r>
        <w:t xml:space="preserve"> telephone number.</w:t>
      </w:r>
    </w:p>
    <w:p w:rsidR="00392639" w:rsidRDefault="00392639" w:rsidP="00392639">
      <w:pPr>
        <w:pStyle w:val="ListBullet"/>
      </w:pPr>
      <w:r>
        <w:t xml:space="preserve">Local Carriage Services (LCS) — these services allow other telecommunications providers to provide local calls to retail customers without having to invest in their own exchange equipment. Instead, they use Telstra’s network and switching equipment to connect their customer’s phone calls. </w:t>
      </w:r>
    </w:p>
    <w:p w:rsidR="00392639" w:rsidRPr="00EF2EF4" w:rsidRDefault="00392639" w:rsidP="00392639">
      <w:pPr>
        <w:pStyle w:val="ListBullet"/>
      </w:pPr>
      <w:r>
        <w:t>Public Switched Telephone network originating access (PSTN OA) service — t</w:t>
      </w:r>
      <w:r w:rsidRPr="00EF2EF4">
        <w:t xml:space="preserve">his </w:t>
      </w:r>
      <w:proofErr w:type="gramStart"/>
      <w:r w:rsidRPr="00EF2EF4">
        <w:t>is made up</w:t>
      </w:r>
      <w:proofErr w:type="gramEnd"/>
      <w:r w:rsidRPr="00EF2EF4">
        <w:t xml:space="preserve"> of two service</w:t>
      </w:r>
      <w:r>
        <w:t>s</w:t>
      </w:r>
      <w:r w:rsidRPr="00EF2EF4">
        <w:t>, the originating and terminating service</w:t>
      </w:r>
      <w:r>
        <w:t xml:space="preserve">. </w:t>
      </w:r>
      <w:r w:rsidRPr="00EF2EF4">
        <w:t xml:space="preserve"> </w:t>
      </w:r>
    </w:p>
    <w:p w:rsidR="00392639" w:rsidRDefault="00392639" w:rsidP="00392639">
      <w:pPr>
        <w:pStyle w:val="ListBullet2"/>
      </w:pPr>
      <w:r w:rsidRPr="00080446">
        <w:t>The originating servi</w:t>
      </w:r>
      <w:r>
        <w:t xml:space="preserve">ce — allows a telephone call to </w:t>
      </w:r>
      <w:proofErr w:type="gramStart"/>
      <w:r>
        <w:t>be connected</w:t>
      </w:r>
      <w:proofErr w:type="gramEnd"/>
      <w:r>
        <w:t xml:space="preserve"> from the caller to a point of interconnection with another network. </w:t>
      </w:r>
    </w:p>
    <w:p w:rsidR="00392639" w:rsidRDefault="00392639" w:rsidP="00392639">
      <w:pPr>
        <w:pStyle w:val="ListBullet2"/>
      </w:pPr>
      <w:r>
        <w:t>The terminating service — allows a telephone call to be carried form the point of interconnection to the party being called on another network</w:t>
      </w:r>
    </w:p>
    <w:p w:rsidR="00392639" w:rsidRDefault="00392639" w:rsidP="00392639">
      <w:pPr>
        <w:pStyle w:val="BodyText"/>
      </w:pPr>
      <w:r>
        <w:rPr>
          <w:lang w:val="en-GB"/>
        </w:rPr>
        <w:t xml:space="preserve">Voice resellers typically combine PSTN OA with other wholesale services, such as Telstra’s wholesale line rental (WLR) and local carriage service (LCS) to provide customers with a package of local, long distance, international and fixed-to-mobile calls. Some examples of voice resellers include AAPT, TPG and many other smaller retail service providers. </w:t>
      </w:r>
      <w:r>
        <w:t xml:space="preserve">These three services </w:t>
      </w:r>
      <w:proofErr w:type="gramStart"/>
      <w:r>
        <w:t>are typically purchased</w:t>
      </w:r>
      <w:proofErr w:type="gramEnd"/>
      <w:r>
        <w:t xml:space="preserve"> in a bundle from Telstra.</w:t>
      </w:r>
    </w:p>
    <w:p w:rsidR="00016AE2" w:rsidRDefault="00016AE2" w:rsidP="00392639">
      <w:pPr>
        <w:pStyle w:val="BodyText"/>
      </w:pPr>
      <w:r>
        <w:t xml:space="preserve">The second largest telecommunications company operating in Australia, </w:t>
      </w:r>
      <w:proofErr w:type="gramStart"/>
      <w:r>
        <w:t>Optus,</w:t>
      </w:r>
      <w:proofErr w:type="gramEnd"/>
      <w:r>
        <w:t xml:space="preserve"> has exited the consumer fixed resale market — that is reselling Telstra’s services — because it was not profitable.</w:t>
      </w:r>
      <w:r>
        <w:rPr>
          <w:rStyle w:val="FootnoteReference"/>
        </w:rPr>
        <w:footnoteReference w:id="17"/>
      </w:r>
      <w:r w:rsidR="002E5C43">
        <w:t xml:space="preserve"> (Optus continues to offer fixed voice services over their own infrastructure and using the unbundled local loop.)</w:t>
      </w:r>
    </w:p>
    <w:p w:rsidR="00392639" w:rsidRDefault="00392639" w:rsidP="00392639">
      <w:pPr>
        <w:pStyle w:val="BodyText"/>
        <w:rPr>
          <w:lang w:val="en-GB"/>
        </w:rPr>
      </w:pPr>
      <w:r>
        <w:rPr>
          <w:lang w:val="en-GB"/>
        </w:rPr>
        <w:t>In the absence of Telstra’s retail price controls, the p</w:t>
      </w:r>
      <w:r w:rsidRPr="008A6D83">
        <w:rPr>
          <w:lang w:val="en-GB"/>
        </w:rPr>
        <w:t xml:space="preserve">ricing of these wholesale services is </w:t>
      </w:r>
      <w:r>
        <w:rPr>
          <w:lang w:val="en-GB"/>
        </w:rPr>
        <w:t xml:space="preserve">expected to continue being </w:t>
      </w:r>
      <w:r w:rsidRPr="008A6D83">
        <w:rPr>
          <w:lang w:val="en-GB"/>
        </w:rPr>
        <w:t xml:space="preserve">regulated </w:t>
      </w:r>
      <w:r>
        <w:rPr>
          <w:lang w:val="en-GB"/>
        </w:rPr>
        <w:t xml:space="preserve">by the ACCC. Such regulation is expected to continue until the National Broadband Network is rolled out to a sufficient level. </w:t>
      </w:r>
    </w:p>
    <w:p w:rsidR="00392639" w:rsidRDefault="00392639" w:rsidP="00392639">
      <w:pPr>
        <w:pStyle w:val="BodyText"/>
        <w:rPr>
          <w:lang w:val="en-GB"/>
        </w:rPr>
      </w:pPr>
      <w:r>
        <w:rPr>
          <w:lang w:val="en-GB"/>
        </w:rPr>
        <w:t xml:space="preserve">The </w:t>
      </w:r>
      <w:proofErr w:type="gramStart"/>
      <w:r>
        <w:rPr>
          <w:lang w:val="en-GB"/>
        </w:rPr>
        <w:t>price of all three services have</w:t>
      </w:r>
      <w:proofErr w:type="gramEnd"/>
      <w:r>
        <w:rPr>
          <w:lang w:val="en-GB"/>
        </w:rPr>
        <w:t xml:space="preserve"> decreased over time (table </w:t>
      </w:r>
      <w:r>
        <w:rPr>
          <w:lang w:val="en-GB"/>
        </w:rPr>
        <w:fldChar w:fldCharType="begin"/>
      </w:r>
      <w:r>
        <w:rPr>
          <w:lang w:val="en-GB"/>
        </w:rPr>
        <w:instrText xml:space="preserve"> REF _Caption3286 </w:instrText>
      </w:r>
      <w:r>
        <w:rPr>
          <w:lang w:val="en-GB"/>
        </w:rPr>
        <w:fldChar w:fldCharType="separate"/>
      </w:r>
      <w:r w:rsidR="00304215">
        <w:rPr>
          <w:noProof/>
        </w:rPr>
        <w:t>4</w:t>
      </w:r>
      <w:r w:rsidR="00304215" w:rsidRPr="00695C93">
        <w:rPr>
          <w:noProof/>
        </w:rPr>
        <w:t>.</w:t>
      </w:r>
      <w:r w:rsidR="00304215">
        <w:rPr>
          <w:noProof/>
        </w:rPr>
        <w:t>2</w:t>
      </w:r>
      <w:r>
        <w:rPr>
          <w:lang w:val="en-GB"/>
        </w:rPr>
        <w:fldChar w:fldCharType="end"/>
      </w:r>
      <w:r>
        <w:rPr>
          <w:lang w:val="en-GB"/>
        </w:rPr>
        <w:t xml:space="preserve">). In particular: </w:t>
      </w:r>
    </w:p>
    <w:p w:rsidR="00392639" w:rsidRPr="008A6D83" w:rsidRDefault="00392639" w:rsidP="00392639">
      <w:pPr>
        <w:pStyle w:val="ListBullet"/>
        <w:rPr>
          <w:rFonts w:eastAsiaTheme="minorHAnsi"/>
          <w:lang w:eastAsia="en-US"/>
        </w:rPr>
      </w:pPr>
      <w:r>
        <w:rPr>
          <w:rFonts w:eastAsiaTheme="minorHAnsi"/>
          <w:lang w:eastAsia="en-US"/>
        </w:rPr>
        <w:t xml:space="preserve">The price for </w:t>
      </w:r>
      <w:r w:rsidRPr="00BE6EEF">
        <w:rPr>
          <w:rFonts w:eastAsiaTheme="minorHAnsi"/>
          <w:lang w:eastAsia="en-US"/>
        </w:rPr>
        <w:t>local carriage service</w:t>
      </w:r>
      <w:r>
        <w:rPr>
          <w:rFonts w:eastAsiaTheme="minorHAnsi"/>
          <w:lang w:eastAsia="en-US"/>
        </w:rPr>
        <w:t xml:space="preserve"> </w:t>
      </w:r>
      <w:r w:rsidRPr="00AD15D6">
        <w:rPr>
          <w:rFonts w:eastAsiaTheme="minorHAnsi"/>
          <w:lang w:eastAsia="en-US"/>
        </w:rPr>
        <w:t xml:space="preserve">has dropped </w:t>
      </w:r>
      <w:proofErr w:type="gramStart"/>
      <w:r w:rsidRPr="00AD15D6">
        <w:rPr>
          <w:rFonts w:eastAsiaTheme="minorHAnsi"/>
          <w:lang w:eastAsia="en-US"/>
        </w:rPr>
        <w:t>by ar</w:t>
      </w:r>
      <w:r>
        <w:rPr>
          <w:rFonts w:eastAsiaTheme="minorHAnsi"/>
          <w:lang w:eastAsia="en-US"/>
        </w:rPr>
        <w:t>ound 50 per cent over recent years from 17.92 cents in 2007 to 8.9 cents</w:t>
      </w:r>
      <w:proofErr w:type="gramEnd"/>
      <w:r w:rsidR="00F55EB5">
        <w:rPr>
          <w:rFonts w:eastAsiaTheme="minorHAnsi"/>
          <w:lang w:eastAsia="en-US"/>
        </w:rPr>
        <w:t xml:space="preserve"> in 2014</w:t>
      </w:r>
      <w:r>
        <w:rPr>
          <w:rFonts w:eastAsiaTheme="minorHAnsi"/>
          <w:lang w:eastAsia="en-US"/>
        </w:rPr>
        <w:t>.</w:t>
      </w:r>
    </w:p>
    <w:p w:rsidR="00392639" w:rsidRPr="008A6D83" w:rsidRDefault="00392639" w:rsidP="00392639">
      <w:pPr>
        <w:pStyle w:val="ListBullet"/>
        <w:rPr>
          <w:rFonts w:eastAsiaTheme="minorHAnsi"/>
          <w:lang w:eastAsia="en-US"/>
        </w:rPr>
      </w:pPr>
      <w:r>
        <w:rPr>
          <w:rFonts w:eastAsiaTheme="minorHAnsi"/>
          <w:lang w:eastAsia="en-US"/>
        </w:rPr>
        <w:t>W</w:t>
      </w:r>
      <w:r w:rsidRPr="00BE6EEF">
        <w:rPr>
          <w:rFonts w:eastAsiaTheme="minorHAnsi"/>
          <w:lang w:eastAsia="en-US"/>
        </w:rPr>
        <w:t>holesale line rental</w:t>
      </w:r>
      <w:r w:rsidRPr="00AD15D6">
        <w:rPr>
          <w:rFonts w:eastAsiaTheme="minorHAnsi"/>
          <w:lang w:eastAsia="en-US"/>
        </w:rPr>
        <w:t xml:space="preserve"> </w:t>
      </w:r>
      <w:r>
        <w:rPr>
          <w:rFonts w:eastAsiaTheme="minorHAnsi"/>
          <w:lang w:eastAsia="en-US"/>
        </w:rPr>
        <w:t xml:space="preserve">prices </w:t>
      </w:r>
      <w:proofErr w:type="gramStart"/>
      <w:r>
        <w:rPr>
          <w:rFonts w:eastAsiaTheme="minorHAnsi"/>
          <w:lang w:eastAsia="en-US"/>
        </w:rPr>
        <w:t>have</w:t>
      </w:r>
      <w:r w:rsidRPr="00AD15D6">
        <w:rPr>
          <w:rFonts w:eastAsiaTheme="minorHAnsi"/>
          <w:lang w:eastAsia="en-US"/>
        </w:rPr>
        <w:t xml:space="preserve"> been restructured</w:t>
      </w:r>
      <w:proofErr w:type="gramEnd"/>
      <w:r w:rsidRPr="00AD15D6">
        <w:rPr>
          <w:rFonts w:eastAsiaTheme="minorHAnsi"/>
          <w:lang w:eastAsia="en-US"/>
        </w:rPr>
        <w:t xml:space="preserve"> to have one nationally averaged price, replacing the </w:t>
      </w:r>
      <w:r>
        <w:rPr>
          <w:rFonts w:eastAsiaTheme="minorHAnsi"/>
          <w:lang w:eastAsia="en-US"/>
        </w:rPr>
        <w:t xml:space="preserve">previous </w:t>
      </w:r>
      <w:r w:rsidRPr="00AD15D6">
        <w:rPr>
          <w:rFonts w:eastAsiaTheme="minorHAnsi"/>
          <w:lang w:eastAsia="en-US"/>
        </w:rPr>
        <w:t>home line and business line arrangement. After increasing from 20</w:t>
      </w:r>
      <w:r>
        <w:rPr>
          <w:rFonts w:eastAsiaTheme="minorHAnsi"/>
          <w:lang w:eastAsia="en-US"/>
        </w:rPr>
        <w:t>0</w:t>
      </w:r>
      <w:r w:rsidRPr="00AD15D6">
        <w:rPr>
          <w:rFonts w:eastAsiaTheme="minorHAnsi"/>
          <w:lang w:eastAsia="en-US"/>
        </w:rPr>
        <w:t>7 to 2010, the price is now l</w:t>
      </w:r>
      <w:r>
        <w:rPr>
          <w:rFonts w:eastAsiaTheme="minorHAnsi"/>
          <w:lang w:eastAsia="en-US"/>
        </w:rPr>
        <w:t xml:space="preserve">ower than what it was in 2007. </w:t>
      </w:r>
    </w:p>
    <w:p w:rsidR="00392639" w:rsidRPr="00BE6EEF" w:rsidRDefault="00392639" w:rsidP="00392639">
      <w:pPr>
        <w:pStyle w:val="ListBullet"/>
        <w:rPr>
          <w:rFonts w:eastAsiaTheme="minorHAnsi"/>
          <w:lang w:eastAsia="en-US"/>
        </w:rPr>
      </w:pPr>
      <w:r w:rsidRPr="00BE6EEF">
        <w:rPr>
          <w:rFonts w:eastAsiaTheme="minorHAnsi"/>
          <w:lang w:eastAsia="en-US"/>
        </w:rPr>
        <w:t xml:space="preserve">Prices for originating access </w:t>
      </w:r>
      <w:proofErr w:type="gramStart"/>
      <w:r w:rsidR="00F55EB5">
        <w:rPr>
          <w:rFonts w:eastAsiaTheme="minorHAnsi"/>
          <w:lang w:eastAsia="en-US"/>
        </w:rPr>
        <w:t>are charged</w:t>
      </w:r>
      <w:proofErr w:type="gramEnd"/>
      <w:r w:rsidR="00F55EB5">
        <w:rPr>
          <w:rFonts w:eastAsiaTheme="minorHAnsi"/>
          <w:lang w:eastAsia="en-US"/>
        </w:rPr>
        <w:t xml:space="preserve"> per call at a rate in</w:t>
      </w:r>
      <w:r w:rsidRPr="00BE6EEF">
        <w:rPr>
          <w:rFonts w:eastAsiaTheme="minorHAnsi"/>
          <w:lang w:eastAsia="en-US"/>
        </w:rPr>
        <w:t xml:space="preserve"> cents per minute. The nominal price has decreased from 1 cent per minute</w:t>
      </w:r>
      <w:r w:rsidR="00F55EB5">
        <w:rPr>
          <w:rFonts w:eastAsiaTheme="minorHAnsi"/>
          <w:lang w:eastAsia="en-US"/>
        </w:rPr>
        <w:t xml:space="preserve"> in 2007/078 through </w:t>
      </w:r>
      <w:proofErr w:type="gramStart"/>
      <w:r w:rsidR="00F55EB5">
        <w:rPr>
          <w:rFonts w:eastAsiaTheme="minorHAnsi"/>
          <w:lang w:eastAsia="en-US"/>
        </w:rPr>
        <w:t>to 2010/11</w:t>
      </w:r>
      <w:r w:rsidRPr="00BE6EEF">
        <w:rPr>
          <w:rFonts w:eastAsiaTheme="minorHAnsi"/>
          <w:lang w:eastAsia="en-US"/>
        </w:rPr>
        <w:t xml:space="preserve"> </w:t>
      </w:r>
      <w:r w:rsidR="00F55EB5">
        <w:rPr>
          <w:rFonts w:eastAsiaTheme="minorHAnsi"/>
          <w:lang w:eastAsia="en-US"/>
        </w:rPr>
        <w:t xml:space="preserve">to </w:t>
      </w:r>
      <w:r w:rsidRPr="00BE6EEF">
        <w:rPr>
          <w:rFonts w:eastAsiaTheme="minorHAnsi"/>
          <w:lang w:eastAsia="en-US"/>
        </w:rPr>
        <w:t>0.95 cents per minute in 201</w:t>
      </w:r>
      <w:r w:rsidR="00F55EB5">
        <w:rPr>
          <w:rFonts w:eastAsiaTheme="minorHAnsi"/>
          <w:lang w:eastAsia="en-US"/>
        </w:rPr>
        <w:t>4</w:t>
      </w:r>
      <w:r w:rsidRPr="00BE6EEF">
        <w:rPr>
          <w:rFonts w:eastAsiaTheme="minorHAnsi"/>
          <w:lang w:eastAsia="en-US"/>
        </w:rPr>
        <w:t>, following no change in nominal terms since 2007/08</w:t>
      </w:r>
      <w:proofErr w:type="gramEnd"/>
      <w:r w:rsidRPr="00BE6EEF">
        <w:rPr>
          <w:rFonts w:eastAsiaTheme="minorHAnsi"/>
          <w:lang w:eastAsia="en-US"/>
        </w:rPr>
        <w:t>.</w:t>
      </w:r>
    </w:p>
    <w:p w:rsidR="00392639" w:rsidRDefault="00392639" w:rsidP="00392639">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w:instrText>
      </w:r>
      <w:fldSimple w:instr=" STYLEREF &quot;Heading 1&quot; \l \n ">
        <w:r w:rsidR="00304215">
          <w:rPr>
            <w:noProof/>
          </w:rPr>
          <w:instrText>4</w:instrText>
        </w:r>
      </w:fldSimple>
      <w:r w:rsidRPr="00695C93">
        <w:instrText xml:space="preserve">." </w:instrText>
      </w:r>
      <w:r w:rsidRPr="00695C93">
        <w:fldChar w:fldCharType="separate"/>
      </w:r>
      <w:r w:rsidR="00304215">
        <w:rPr>
          <w:noProof/>
        </w:rPr>
        <w:instrText>4</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4</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2</w:instrText>
      </w:r>
      <w:r w:rsidRPr="00695C93">
        <w:fldChar w:fldCharType="end"/>
      </w:r>
      <w:r w:rsidRPr="00695C93">
        <w:instrText xml:space="preserve">" "" </w:instrText>
      </w:r>
      <w:r w:rsidRPr="00695C93">
        <w:fldChar w:fldCharType="separate"/>
      </w:r>
      <w:bookmarkStart w:id="682" w:name="_Caption5573"/>
      <w:bookmarkStart w:id="683" w:name="_Caption8991"/>
      <w:bookmarkStart w:id="684" w:name="_Caption3365"/>
      <w:bookmarkStart w:id="685" w:name="_Caption1546"/>
      <w:bookmarkStart w:id="686" w:name="_Caption2255"/>
      <w:bookmarkStart w:id="687" w:name="_Caption7415"/>
      <w:bookmarkStart w:id="688" w:name="_Caption3988"/>
      <w:bookmarkStart w:id="689" w:name="_Caption5165"/>
      <w:bookmarkStart w:id="690" w:name="_Caption3756"/>
      <w:bookmarkStart w:id="691" w:name="_Caption1116"/>
      <w:bookmarkStart w:id="692" w:name="_Caption8856"/>
      <w:bookmarkStart w:id="693" w:name="_Caption3286"/>
      <w:bookmarkStart w:id="694" w:name="_Caption3836"/>
      <w:bookmarkStart w:id="695" w:name="_Toc391972953"/>
      <w:r w:rsidR="00584F9A">
        <w:rPr>
          <w:noProof/>
        </w:rPr>
        <w:t>4</w:t>
      </w:r>
      <w:r w:rsidR="00584F9A" w:rsidRPr="00695C93">
        <w:rPr>
          <w:noProof/>
        </w:rPr>
        <w:t>.</w:t>
      </w:r>
      <w:r w:rsidR="00584F9A">
        <w:rPr>
          <w:noProof/>
        </w:rPr>
        <w:t>2</w:t>
      </w:r>
      <w:bookmarkEnd w:id="682"/>
      <w:bookmarkEnd w:id="683"/>
      <w:bookmarkEnd w:id="684"/>
      <w:bookmarkEnd w:id="685"/>
      <w:bookmarkEnd w:id="686"/>
      <w:bookmarkEnd w:id="687"/>
      <w:bookmarkEnd w:id="688"/>
      <w:bookmarkEnd w:id="689"/>
      <w:bookmarkEnd w:id="690"/>
      <w:bookmarkEnd w:id="691"/>
      <w:bookmarkEnd w:id="692"/>
      <w:bookmarkEnd w:id="693"/>
      <w:bookmarkEnd w:id="694"/>
      <w:r w:rsidRPr="00695C93">
        <w:fldChar w:fldCharType="end"/>
      </w:r>
      <w:r w:rsidRPr="00695C93">
        <w:tab/>
      </w:r>
      <w:r>
        <w:t>Prices for fixed line wholesale inputs</w:t>
      </w:r>
      <w:bookmarkEnd w:id="695"/>
    </w:p>
    <w:tbl>
      <w:tblPr>
        <w:tblW w:w="0" w:type="auto"/>
        <w:tblInd w:w="57" w:type="dxa"/>
        <w:tblLayout w:type="fixed"/>
        <w:tblLook w:val="0000" w:firstRow="0" w:lastRow="0" w:firstColumn="0" w:lastColumn="0" w:noHBand="0" w:noVBand="0"/>
      </w:tblPr>
      <w:tblGrid>
        <w:gridCol w:w="2694"/>
        <w:gridCol w:w="1048"/>
        <w:gridCol w:w="1049"/>
        <w:gridCol w:w="1048"/>
        <w:gridCol w:w="1049"/>
        <w:gridCol w:w="1049"/>
      </w:tblGrid>
      <w:tr w:rsidR="00392639" w:rsidTr="00F55EB5">
        <w:tc>
          <w:tcPr>
            <w:tcW w:w="2694" w:type="dxa"/>
            <w:tcBorders>
              <w:bottom w:val="single" w:sz="8" w:space="0" w:color="FFFFFF" w:themeColor="background1"/>
            </w:tcBorders>
            <w:shd w:val="clear" w:color="auto" w:fill="6F6652"/>
            <w:tcMar>
              <w:left w:w="57" w:type="dxa"/>
              <w:right w:w="57" w:type="dxa"/>
            </w:tcMar>
          </w:tcPr>
          <w:p w:rsidR="00392639" w:rsidRDefault="00392639" w:rsidP="00F55EB5">
            <w:pPr>
              <w:pStyle w:val="TableDataColumnHeading"/>
              <w:jc w:val="left"/>
              <w:rPr>
                <w:rFonts w:eastAsiaTheme="minorHAnsi"/>
              </w:rPr>
            </w:pPr>
            <w:r>
              <w:rPr>
                <w:rFonts w:eastAsiaTheme="minorHAnsi"/>
              </w:rPr>
              <w:t>Services</w:t>
            </w:r>
          </w:p>
        </w:tc>
        <w:tc>
          <w:tcPr>
            <w:tcW w:w="1048" w:type="dxa"/>
            <w:tcBorders>
              <w:bottom w:val="single" w:sz="8" w:space="0" w:color="FFFFFF" w:themeColor="background1"/>
            </w:tcBorders>
            <w:shd w:val="clear" w:color="auto" w:fill="6F6652"/>
            <w:tcMar>
              <w:left w:w="57" w:type="dxa"/>
              <w:right w:w="57" w:type="dxa"/>
            </w:tcMar>
          </w:tcPr>
          <w:p w:rsidR="00392639" w:rsidRPr="00827AD1" w:rsidRDefault="00392639" w:rsidP="00F55EB5">
            <w:pPr>
              <w:pStyle w:val="TableDataColumnHeading"/>
              <w:rPr>
                <w:rFonts w:eastAsiaTheme="minorHAnsi"/>
              </w:rPr>
            </w:pPr>
            <w:r w:rsidRPr="00827AD1">
              <w:rPr>
                <w:rFonts w:eastAsiaTheme="minorHAnsi"/>
              </w:rPr>
              <w:t>2007/08</w:t>
            </w:r>
          </w:p>
        </w:tc>
        <w:tc>
          <w:tcPr>
            <w:tcW w:w="1049" w:type="dxa"/>
            <w:tcBorders>
              <w:bottom w:val="single" w:sz="8" w:space="0" w:color="FFFFFF" w:themeColor="background1"/>
            </w:tcBorders>
            <w:shd w:val="clear" w:color="auto" w:fill="6F6652"/>
            <w:tcMar>
              <w:left w:w="57" w:type="dxa"/>
              <w:right w:w="57" w:type="dxa"/>
            </w:tcMar>
          </w:tcPr>
          <w:p w:rsidR="00392639" w:rsidRPr="00827AD1" w:rsidRDefault="00392639" w:rsidP="00F55EB5">
            <w:pPr>
              <w:pStyle w:val="TableDataColumnHeading"/>
            </w:pPr>
            <w:r w:rsidRPr="00827AD1">
              <w:t>July 2008 to  July 2009</w:t>
            </w:r>
          </w:p>
        </w:tc>
        <w:tc>
          <w:tcPr>
            <w:tcW w:w="1048" w:type="dxa"/>
            <w:tcBorders>
              <w:bottom w:val="single" w:sz="8" w:space="0" w:color="FFFFFF" w:themeColor="background1"/>
            </w:tcBorders>
            <w:shd w:val="clear" w:color="auto" w:fill="6F6652"/>
            <w:tcMar>
              <w:left w:w="57" w:type="dxa"/>
              <w:right w:w="57" w:type="dxa"/>
            </w:tcMar>
          </w:tcPr>
          <w:p w:rsidR="00392639" w:rsidRPr="00CF51D4" w:rsidRDefault="00392639" w:rsidP="00F55EB5">
            <w:pPr>
              <w:pStyle w:val="TableDataColumnHeading"/>
            </w:pPr>
            <w:r w:rsidRPr="00CF51D4">
              <w:t xml:space="preserve">August 2009 to December 2010 </w:t>
            </w:r>
          </w:p>
        </w:tc>
        <w:tc>
          <w:tcPr>
            <w:tcW w:w="1049" w:type="dxa"/>
            <w:tcBorders>
              <w:bottom w:val="single" w:sz="8" w:space="0" w:color="FFFFFF" w:themeColor="background1"/>
            </w:tcBorders>
            <w:shd w:val="clear" w:color="auto" w:fill="6F6652"/>
            <w:tcMar>
              <w:left w:w="57" w:type="dxa"/>
              <w:right w:w="57" w:type="dxa"/>
            </w:tcMar>
          </w:tcPr>
          <w:p w:rsidR="00392639" w:rsidRPr="00827AD1" w:rsidRDefault="00392639" w:rsidP="00F55EB5">
            <w:pPr>
              <w:pStyle w:val="TableDataColumnHeading"/>
            </w:pPr>
            <w:r w:rsidRPr="00827AD1">
              <w:t>Jan 2011 to July 2011</w:t>
            </w:r>
          </w:p>
        </w:tc>
        <w:tc>
          <w:tcPr>
            <w:tcW w:w="1049" w:type="dxa"/>
            <w:tcBorders>
              <w:bottom w:val="single" w:sz="8" w:space="0" w:color="FFFFFF" w:themeColor="background1"/>
            </w:tcBorders>
            <w:shd w:val="clear" w:color="auto" w:fill="6F6652"/>
            <w:tcMar>
              <w:left w:w="57" w:type="dxa"/>
              <w:right w:w="57" w:type="dxa"/>
            </w:tcMar>
          </w:tcPr>
          <w:p w:rsidR="00392639" w:rsidRPr="00827AD1" w:rsidRDefault="00392639" w:rsidP="00F55EB5">
            <w:pPr>
              <w:pStyle w:val="TableDataColumnHeading"/>
            </w:pPr>
            <w:r w:rsidRPr="00827AD1">
              <w:t xml:space="preserve">1 July 2011 to 30 June 2014 </w:t>
            </w:r>
          </w:p>
        </w:tc>
      </w:tr>
      <w:tr w:rsidR="00392639" w:rsidTr="00F55EB5">
        <w:tc>
          <w:tcPr>
            <w:tcW w:w="269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Pr="005D086C" w:rsidRDefault="00392639" w:rsidP="00F55EB5">
            <w:pPr>
              <w:pStyle w:val="TableTextEntries"/>
            </w:pPr>
            <w:r>
              <w:t>Lo</w:t>
            </w:r>
            <w:r w:rsidRPr="005D086C">
              <w:t xml:space="preserve">cal </w:t>
            </w:r>
            <w:r>
              <w:t>Carriage Service</w:t>
            </w:r>
            <w:r w:rsidRPr="005D086C">
              <w:t xml:space="preserve"> </w:t>
            </w:r>
            <w:r>
              <w:t>(</w:t>
            </w:r>
            <w:r w:rsidRPr="005D086C">
              <w:t>cents/call</w:t>
            </w:r>
            <w:r>
              <w:t>)</w:t>
            </w:r>
          </w:p>
        </w:tc>
        <w:tc>
          <w:tcPr>
            <w:tcW w:w="104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002F4B">
            <w:pPr>
              <w:pStyle w:val="TableDataEntries"/>
            </w:pPr>
            <w:r w:rsidRPr="004F5939">
              <w:t>17.92</w:t>
            </w:r>
          </w:p>
        </w:tc>
        <w:tc>
          <w:tcPr>
            <w:tcW w:w="104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002F4B">
            <w:pPr>
              <w:pStyle w:val="TableDataEntries"/>
            </w:pPr>
            <w:r>
              <w:t>17.36</w:t>
            </w:r>
          </w:p>
        </w:tc>
        <w:tc>
          <w:tcPr>
            <w:tcW w:w="104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Pr="00CF51D4" w:rsidRDefault="00392639" w:rsidP="00F55EB5">
            <w:pPr>
              <w:pStyle w:val="TableDataEntries"/>
            </w:pPr>
            <w:r w:rsidRPr="00CF51D4">
              <w:t>17.36</w:t>
            </w:r>
          </w:p>
          <w:p w:rsidR="00392639" w:rsidRPr="00CF51D4" w:rsidRDefault="00392639" w:rsidP="00F55EB5">
            <w:pPr>
              <w:pStyle w:val="TableDataEntries"/>
            </w:pPr>
          </w:p>
        </w:tc>
        <w:tc>
          <w:tcPr>
            <w:tcW w:w="104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Pr="00827AD1" w:rsidRDefault="00392639" w:rsidP="00F55EB5">
            <w:pPr>
              <w:pStyle w:val="TableDataEntries"/>
            </w:pPr>
            <w:r w:rsidRPr="00827AD1">
              <w:t>9.1</w:t>
            </w:r>
          </w:p>
        </w:tc>
        <w:tc>
          <w:tcPr>
            <w:tcW w:w="104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Pr="00827AD1" w:rsidRDefault="00392639" w:rsidP="00F55EB5">
            <w:pPr>
              <w:pStyle w:val="TableDataEntries"/>
            </w:pPr>
            <w:r w:rsidRPr="00827AD1">
              <w:t>8.9</w:t>
            </w:r>
          </w:p>
        </w:tc>
      </w:tr>
      <w:tr w:rsidR="00392639" w:rsidTr="00F55EB5">
        <w:tc>
          <w:tcPr>
            <w:tcW w:w="269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Pr="005D086C" w:rsidRDefault="00392639" w:rsidP="00F55EB5">
            <w:pPr>
              <w:pStyle w:val="TableTextEntries"/>
            </w:pPr>
            <w:r>
              <w:t>Wholesale Line Rental (</w:t>
            </w:r>
            <w:r w:rsidRPr="005D086C">
              <w:t>$/month</w:t>
            </w:r>
            <w:r>
              <w:t>)</w:t>
            </w:r>
          </w:p>
        </w:tc>
        <w:tc>
          <w:tcPr>
            <w:tcW w:w="104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23.12 (HL)</w:t>
            </w:r>
          </w:p>
          <w:p w:rsidR="00392639" w:rsidRPr="00AD41EF" w:rsidRDefault="00392639" w:rsidP="00F55EB5">
            <w:pPr>
              <w:pStyle w:val="TableDataEntries"/>
            </w:pPr>
            <w:r>
              <w:t>25.84 (BL)</w:t>
            </w:r>
          </w:p>
        </w:tc>
        <w:tc>
          <w:tcPr>
            <w:tcW w:w="104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Pr="00AD41EF" w:rsidRDefault="00392639" w:rsidP="00F55EB5">
            <w:pPr>
              <w:pStyle w:val="TableDataEntries"/>
            </w:pPr>
            <w:r w:rsidRPr="00AD41EF">
              <w:t xml:space="preserve">25.57 </w:t>
            </w:r>
            <w:r>
              <w:t>(</w:t>
            </w:r>
            <w:r w:rsidRPr="00AD41EF">
              <w:t>HL</w:t>
            </w:r>
            <w:r>
              <w:t>)</w:t>
            </w:r>
          </w:p>
          <w:p w:rsidR="00392639" w:rsidRDefault="00392639" w:rsidP="00F55EB5">
            <w:pPr>
              <w:pStyle w:val="TableDataEntries"/>
            </w:pPr>
            <w:r w:rsidRPr="00AD41EF">
              <w:t xml:space="preserve">26.93 </w:t>
            </w:r>
            <w:r>
              <w:t>(</w:t>
            </w:r>
            <w:r w:rsidRPr="00AD41EF">
              <w:t>BL</w:t>
            </w:r>
            <w:r>
              <w:t>)</w:t>
            </w:r>
          </w:p>
        </w:tc>
        <w:tc>
          <w:tcPr>
            <w:tcW w:w="104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Pr="00CF51D4" w:rsidRDefault="00392639" w:rsidP="00F55EB5">
            <w:pPr>
              <w:pStyle w:val="TableDataEntries"/>
            </w:pPr>
            <w:r w:rsidRPr="00CF51D4">
              <w:t>25.57 (HL)</w:t>
            </w:r>
            <w:r w:rsidRPr="00CF51D4">
              <w:br/>
              <w:t>26.93 (BL)</w:t>
            </w:r>
          </w:p>
          <w:p w:rsidR="00392639" w:rsidRPr="00CF51D4" w:rsidRDefault="00392639" w:rsidP="00F55EB5">
            <w:pPr>
              <w:pStyle w:val="TableDataEntries"/>
            </w:pPr>
          </w:p>
        </w:tc>
        <w:tc>
          <w:tcPr>
            <w:tcW w:w="104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22.10</w:t>
            </w:r>
            <w:r w:rsidRPr="00827AD1">
              <w:rPr>
                <w:rStyle w:val="NoteLabel"/>
              </w:rPr>
              <w:t>a</w:t>
            </w:r>
          </w:p>
        </w:tc>
        <w:tc>
          <w:tcPr>
            <w:tcW w:w="104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22.84</w:t>
            </w:r>
            <w:r w:rsidRPr="00827AD1">
              <w:rPr>
                <w:rStyle w:val="NoteLabel"/>
              </w:rPr>
              <w:t>a</w:t>
            </w:r>
          </w:p>
        </w:tc>
      </w:tr>
      <w:tr w:rsidR="00392639" w:rsidTr="00F55EB5">
        <w:tc>
          <w:tcPr>
            <w:tcW w:w="2694"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Default="00392639" w:rsidP="00F55EB5">
            <w:pPr>
              <w:pStyle w:val="TableTextEntries"/>
            </w:pPr>
            <w:r>
              <w:t>P</w:t>
            </w:r>
            <w:r w:rsidRPr="005D086C">
              <w:t xml:space="preserve">ublic </w:t>
            </w:r>
            <w:r>
              <w:t>Switched Telephone N</w:t>
            </w:r>
            <w:r w:rsidRPr="005D086C">
              <w:t>etwo</w:t>
            </w:r>
            <w:r>
              <w:t>rk Originating Access (</w:t>
            </w:r>
            <w:r w:rsidRPr="005D086C">
              <w:t>cents/minute</w:t>
            </w:r>
            <w:r>
              <w:t>)</w:t>
            </w:r>
          </w:p>
        </w:tc>
        <w:tc>
          <w:tcPr>
            <w:tcW w:w="1048"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Pr="00D47E3B" w:rsidRDefault="00392639" w:rsidP="00F55EB5">
            <w:pPr>
              <w:pStyle w:val="TableDataEntries"/>
            </w:pPr>
            <w:r w:rsidRPr="00D47E3B">
              <w:t>1.0</w:t>
            </w:r>
          </w:p>
        </w:tc>
        <w:tc>
          <w:tcPr>
            <w:tcW w:w="1049"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Pr="00D47E3B" w:rsidRDefault="00392639" w:rsidP="00F55EB5">
            <w:pPr>
              <w:pStyle w:val="TableDataEntries"/>
            </w:pPr>
            <w:r w:rsidRPr="00D47E3B">
              <w:t>1.0</w:t>
            </w:r>
          </w:p>
        </w:tc>
        <w:tc>
          <w:tcPr>
            <w:tcW w:w="1048"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Pr="00CF51D4" w:rsidRDefault="00392639" w:rsidP="00F55EB5">
            <w:pPr>
              <w:pStyle w:val="TableDataEntries"/>
            </w:pPr>
            <w:r w:rsidRPr="00CF51D4">
              <w:t>1.0</w:t>
            </w:r>
          </w:p>
        </w:tc>
        <w:tc>
          <w:tcPr>
            <w:tcW w:w="1049"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Pr="00D47E3B" w:rsidRDefault="00392639" w:rsidP="00F55EB5">
            <w:pPr>
              <w:pStyle w:val="TableDataEntries"/>
            </w:pPr>
            <w:r w:rsidRPr="00D47E3B">
              <w:t>1.0</w:t>
            </w:r>
          </w:p>
        </w:tc>
        <w:tc>
          <w:tcPr>
            <w:tcW w:w="1049"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Pr="00D47E3B" w:rsidRDefault="00392639" w:rsidP="00F55EB5">
            <w:pPr>
              <w:pStyle w:val="TableDataEntries"/>
            </w:pPr>
            <w:r>
              <w:t>0.95</w:t>
            </w:r>
          </w:p>
        </w:tc>
      </w:tr>
    </w:tbl>
    <w:p w:rsidR="00392639" w:rsidRPr="00E4232C" w:rsidRDefault="00392639" w:rsidP="00392639">
      <w:pPr>
        <w:pStyle w:val="Note"/>
      </w:pPr>
      <w:proofErr w:type="gramStart"/>
      <w:r w:rsidRPr="00E4232C">
        <w:rPr>
          <w:rStyle w:val="NoteLabel"/>
        </w:rPr>
        <w:t>a</w:t>
      </w:r>
      <w:proofErr w:type="gramEnd"/>
      <w:r>
        <w:t xml:space="preserve"> National average.</w:t>
      </w:r>
      <w:r w:rsidR="00CF51D4">
        <w:br/>
        <w:t>Note: HL = home line and BL = business line.</w:t>
      </w:r>
    </w:p>
    <w:p w:rsidR="00392639" w:rsidRDefault="00392639" w:rsidP="00392639">
      <w:pPr>
        <w:pStyle w:val="Source"/>
        <w:rPr>
          <w:rFonts w:eastAsiaTheme="minorHAnsi"/>
        </w:rPr>
      </w:pPr>
      <w:r w:rsidRPr="00827AD1">
        <w:rPr>
          <w:rFonts w:eastAsiaTheme="minorHAnsi"/>
          <w:i/>
        </w:rPr>
        <w:t>Source:</w:t>
      </w:r>
      <w:r w:rsidRPr="00827AD1">
        <w:rPr>
          <w:rFonts w:eastAsiaTheme="minorHAnsi"/>
        </w:rPr>
        <w:t xml:space="preserve"> </w:t>
      </w:r>
      <w:r>
        <w:t>ACCC fixed line declaration price reviews.</w:t>
      </w:r>
    </w:p>
    <w:p w:rsidR="00CF51D4" w:rsidRDefault="00392639" w:rsidP="00392639">
      <w:pPr>
        <w:pStyle w:val="BodyText"/>
      </w:pPr>
      <w:r>
        <w:t xml:space="preserve">One indicator of the level of competition is market share. </w:t>
      </w:r>
      <w:r w:rsidR="00CF51D4">
        <w:t>This is an imperfect indicator, as potential competition may constrain prices even when a company has a substantial market share. For example, Optus’s decision to exit providing retail services through resale of Telstra’s wholesale services because it was not profitable suggests that there is potential for entry should Telstra seek to widen the gap between wholesale and retail prices.</w:t>
      </w:r>
      <w:r w:rsidR="00CF51D4" w:rsidRPr="00CF51D4">
        <w:t xml:space="preserve"> </w:t>
      </w:r>
      <w:r w:rsidR="00CF51D4">
        <w:t xml:space="preserve">The AEMC has also noted that one of the risks of regulating prices in a potentially competitive market is that it can become </w:t>
      </w:r>
      <w:r w:rsidR="00851870">
        <w:t>self-perpetuating</w:t>
      </w:r>
      <w:r w:rsidR="00CF51D4">
        <w:t>; price regulation can lead to a lack of competition, which drives the need for continuing price regulation.</w:t>
      </w:r>
      <w:r w:rsidR="00CF51D4">
        <w:rPr>
          <w:rStyle w:val="FootnoteReference"/>
        </w:rPr>
        <w:footnoteReference w:id="18"/>
      </w:r>
      <w:r w:rsidR="00CF51D4">
        <w:t xml:space="preserve"> </w:t>
      </w:r>
    </w:p>
    <w:p w:rsidR="00392639" w:rsidRDefault="00392639" w:rsidP="00392639">
      <w:pPr>
        <w:pStyle w:val="BodyText"/>
      </w:pPr>
      <w:r>
        <w:t>Telstra remains the dominant player in the retail fixed voice market, with around 66 per cent of the market, as at June 2013 (chart </w:t>
      </w:r>
      <w:fldSimple w:instr=" REF _Caption6589 ">
        <w:r w:rsidR="00304215">
          <w:rPr>
            <w:noProof/>
          </w:rPr>
          <w:t>4</w:t>
        </w:r>
        <w:r w:rsidR="00304215" w:rsidRPr="00695C93">
          <w:rPr>
            <w:noProof/>
          </w:rPr>
          <w:t>.</w:t>
        </w:r>
        <w:r w:rsidR="00304215">
          <w:rPr>
            <w:noProof/>
          </w:rPr>
          <w:t>3</w:t>
        </w:r>
      </w:fldSimple>
      <w:r>
        <w:t>). Nevertheless, this share has gradually declined over recent years, with ‘other retailers’ increasing their market share. Oth</w:t>
      </w:r>
      <w:r w:rsidR="00CF51D4">
        <w:t xml:space="preserve">er retailers include </w:t>
      </w:r>
      <w:proofErr w:type="spellStart"/>
      <w:r w:rsidR="00CF51D4">
        <w:t>iinet</w:t>
      </w:r>
      <w:proofErr w:type="spellEnd"/>
      <w:r w:rsidR="00CF51D4">
        <w:t>, TPG and</w:t>
      </w:r>
      <w:r>
        <w:t xml:space="preserve"> AAPT. </w:t>
      </w:r>
    </w:p>
    <w:p w:rsidR="00392639" w:rsidRPr="00695C93" w:rsidRDefault="00392639" w:rsidP="00392639">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w:instrText>
      </w:r>
      <w:fldSimple w:instr=" STYLEREF &quot;Heading 1&quot; \l \n ">
        <w:r w:rsidR="00304215">
          <w:rPr>
            <w:noProof/>
          </w:rPr>
          <w:instrText>4</w:instrText>
        </w:r>
      </w:fldSimple>
      <w:r w:rsidRPr="00695C93">
        <w:instrText xml:space="preserve">." </w:instrText>
      </w:r>
      <w:r w:rsidRPr="00695C93">
        <w:fldChar w:fldCharType="separate"/>
      </w:r>
      <w:r w:rsidR="00304215">
        <w:rPr>
          <w:noProof/>
        </w:rPr>
        <w:instrText>4</w:instrText>
      </w:r>
      <w:r w:rsidR="00304215" w:rsidRPr="00695C93">
        <w:rPr>
          <w:noProof/>
        </w:rPr>
        <w:instrText>.</w:instrText>
      </w:r>
      <w:r w:rsidRPr="00695C93">
        <w:fldChar w:fldCharType="end"/>
      </w:r>
      <w:r w:rsidRPr="00695C93">
        <w:instrText>" "</w:instrText>
      </w:r>
      <w:fldSimple w:instr=" STYLEREF &quot;Heading 6&quot; \l \n ">
        <w:r>
          <w:rPr>
            <w:noProof/>
          </w:rPr>
          <w:instrText>A</w:instrText>
        </w:r>
      </w:fldSimple>
      <w:r w:rsidRPr="00695C93">
        <w:instrText xml:space="preserve">." </w:instrText>
      </w:r>
      <w:r w:rsidRPr="00695C93">
        <w:fldChar w:fldCharType="separate"/>
      </w:r>
      <w:r w:rsidR="00584F9A">
        <w:rPr>
          <w:noProof/>
        </w:rPr>
        <w:instrText>4</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3</w:instrText>
      </w:r>
      <w:r w:rsidRPr="00695C93">
        <w:fldChar w:fldCharType="end"/>
      </w:r>
      <w:r w:rsidRPr="00695C93">
        <w:instrText xml:space="preserve">" "" </w:instrText>
      </w:r>
      <w:r w:rsidRPr="00695C93">
        <w:fldChar w:fldCharType="separate"/>
      </w:r>
      <w:bookmarkStart w:id="696" w:name="_Caption3775"/>
      <w:bookmarkStart w:id="697" w:name="_Caption2180"/>
      <w:bookmarkStart w:id="698" w:name="_Caption9741"/>
      <w:bookmarkStart w:id="699" w:name="_Caption6710"/>
      <w:bookmarkStart w:id="700" w:name="_Caption0664"/>
      <w:bookmarkStart w:id="701" w:name="_Caption5824"/>
      <w:bookmarkStart w:id="702" w:name="_Caption4879"/>
      <w:bookmarkStart w:id="703" w:name="_Caption6230"/>
      <w:bookmarkStart w:id="704" w:name="_Caption5768"/>
      <w:bookmarkStart w:id="705" w:name="_Caption7493"/>
      <w:bookmarkStart w:id="706" w:name="_Caption1330"/>
      <w:bookmarkStart w:id="707" w:name="_Caption0965"/>
      <w:bookmarkStart w:id="708" w:name="_Caption1450"/>
      <w:bookmarkStart w:id="709" w:name="_Caption1827"/>
      <w:bookmarkStart w:id="710" w:name="_Caption7146"/>
      <w:bookmarkStart w:id="711" w:name="_Caption5256"/>
      <w:bookmarkStart w:id="712" w:name="_Caption0780"/>
      <w:bookmarkStart w:id="713" w:name="_Caption5337"/>
      <w:bookmarkStart w:id="714" w:name="_Caption6589"/>
      <w:bookmarkStart w:id="715" w:name="_Caption0910"/>
      <w:bookmarkStart w:id="716" w:name="_Caption8711"/>
      <w:bookmarkStart w:id="717" w:name="_Caption0282"/>
      <w:bookmarkStart w:id="718" w:name="_Caption6416"/>
      <w:bookmarkStart w:id="719" w:name="_Caption7890"/>
      <w:bookmarkStart w:id="720" w:name="_Caption7251"/>
      <w:bookmarkStart w:id="721" w:name="_Caption1816"/>
      <w:bookmarkStart w:id="722" w:name="_Toc391972954"/>
      <w:r w:rsidR="00584F9A">
        <w:rPr>
          <w:noProof/>
        </w:rPr>
        <w:t>4</w:t>
      </w:r>
      <w:r w:rsidR="00584F9A" w:rsidRPr="00695C93">
        <w:rPr>
          <w:noProof/>
        </w:rPr>
        <w:t>.</w:t>
      </w:r>
      <w:r w:rsidR="00584F9A">
        <w:rPr>
          <w:noProof/>
        </w:rPr>
        <w:t>3</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sidRPr="00695C93">
        <w:fldChar w:fldCharType="end"/>
      </w:r>
      <w:r w:rsidRPr="00695C93">
        <w:tab/>
      </w:r>
      <w:r>
        <w:t>Retail fixed voice services — market share</w:t>
      </w:r>
      <w:bookmarkEnd w:id="722"/>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blLayout w:type="fixed"/>
        <w:tblCellMar>
          <w:left w:w="0" w:type="dxa"/>
          <w:right w:w="0" w:type="dxa"/>
        </w:tblCellMar>
        <w:tblLook w:val="04A0" w:firstRow="1" w:lastRow="0" w:firstColumn="1" w:lastColumn="0" w:noHBand="0" w:noVBand="1"/>
      </w:tblPr>
      <w:tblGrid>
        <w:gridCol w:w="7938"/>
      </w:tblGrid>
      <w:tr w:rsidR="00392639" w:rsidTr="00B01898">
        <w:trPr>
          <w:cantSplit/>
          <w:tblHeader/>
        </w:trPr>
        <w:tc>
          <w:tcPr>
            <w:tcW w:w="7938" w:type="dxa"/>
            <w:shd w:val="clear" w:color="auto" w:fill="E9E8E5"/>
          </w:tcPr>
          <w:p w:rsidR="00392639" w:rsidRDefault="00067FEF" w:rsidP="005C7B71">
            <w:pPr>
              <w:pStyle w:val="Chart"/>
              <w:jc w:val="center"/>
            </w:pPr>
            <w:r>
              <w:rPr>
                <w:noProof/>
                <w:lang w:eastAsia="en-AU"/>
              </w:rPr>
              <w:drawing>
                <wp:inline distT="0" distB="0" distL="0" distR="0" wp14:anchorId="4B195C23" wp14:editId="26F07904">
                  <wp:extent cx="4858385" cy="2528570"/>
                  <wp:effectExtent l="0" t="0" r="0" b="0"/>
                  <wp:docPr id="235" name="Picture 235" descr="Bar graph outlining the market share of retail fixed voice services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58385" cy="2528570"/>
                          </a:xfrm>
                          <a:prstGeom prst="rect">
                            <a:avLst/>
                          </a:prstGeom>
                          <a:noFill/>
                          <a:ln>
                            <a:noFill/>
                          </a:ln>
                        </pic:spPr>
                      </pic:pic>
                    </a:graphicData>
                  </a:graphic>
                </wp:inline>
              </w:drawing>
            </w:r>
          </w:p>
        </w:tc>
      </w:tr>
    </w:tbl>
    <w:p w:rsidR="00392639" w:rsidRDefault="00392639" w:rsidP="00392639">
      <w:pPr>
        <w:pStyle w:val="Source"/>
      </w:pPr>
      <w:r>
        <w:rPr>
          <w:i/>
        </w:rPr>
        <w:t>Data source</w:t>
      </w:r>
      <w:r w:rsidRPr="00A67576">
        <w:rPr>
          <w:i/>
        </w:rPr>
        <w:t>:</w:t>
      </w:r>
      <w:r>
        <w:t xml:space="preserve"> ACCC, Telecommunications reports 2011</w:t>
      </w:r>
      <w:r>
        <w:noBreakHyphen/>
        <w:t>12, p. 15.</w:t>
      </w:r>
    </w:p>
    <w:p w:rsidR="00392639" w:rsidRDefault="00392639" w:rsidP="00392639">
      <w:pPr>
        <w:pStyle w:val="BodyText"/>
      </w:pPr>
      <w:r>
        <w:lastRenderedPageBreak/>
        <w:t xml:space="preserve">Based on the number of lines, Telstra shows a decreasing dominance in the provision of phone lines. The retail market is more competitive than the wholesale market, with the percentage of retail lines </w:t>
      </w:r>
      <w:proofErr w:type="gramStart"/>
      <w:r>
        <w:t>being provided</w:t>
      </w:r>
      <w:proofErr w:type="gramEnd"/>
      <w:r>
        <w:t xml:space="preserve"> by Telstra dropping by 10 per cent over the five years, while the wholesale market dropped 5 per cent. Since 2009, the number of phone lines in the overall wholesale market has increased, suggesting other service providers are supplying resale services to third parties. At the same time lines in the overall </w:t>
      </w:r>
      <w:proofErr w:type="gramStart"/>
      <w:r>
        <w:t>retail</w:t>
      </w:r>
      <w:proofErr w:type="gramEnd"/>
      <w:r>
        <w:t xml:space="preserve"> market have decreased. </w:t>
      </w:r>
      <w:proofErr w:type="gramStart"/>
      <w:r>
        <w:t>Overall</w:t>
      </w:r>
      <w:proofErr w:type="gramEnd"/>
      <w:r>
        <w:t xml:space="preserve"> fixed line numbers have dropped from 10.67 million in June 2009 to 10.32 million in June 2013.</w:t>
      </w:r>
    </w:p>
    <w:p w:rsidR="00392639" w:rsidRDefault="00392639" w:rsidP="00392639">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w:instrText>
      </w:r>
      <w:fldSimple w:instr=" STYLEREF &quot;Heading 1&quot; \l \n ">
        <w:r w:rsidR="00304215">
          <w:rPr>
            <w:noProof/>
          </w:rPr>
          <w:instrText>4</w:instrText>
        </w:r>
      </w:fldSimple>
      <w:r w:rsidRPr="00695C93">
        <w:instrText xml:space="preserve">." </w:instrText>
      </w:r>
      <w:r w:rsidRPr="00695C93">
        <w:fldChar w:fldCharType="separate"/>
      </w:r>
      <w:r w:rsidR="00304215">
        <w:rPr>
          <w:noProof/>
        </w:rPr>
        <w:instrText>4</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4</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4</w:instrText>
      </w:r>
      <w:r w:rsidRPr="00695C93">
        <w:fldChar w:fldCharType="end"/>
      </w:r>
      <w:r w:rsidRPr="00695C93">
        <w:instrText xml:space="preserve">" "" </w:instrText>
      </w:r>
      <w:r w:rsidRPr="00695C93">
        <w:fldChar w:fldCharType="separate"/>
      </w:r>
      <w:bookmarkStart w:id="723" w:name="_Caption7300"/>
      <w:bookmarkStart w:id="724" w:name="_Caption0578"/>
      <w:bookmarkStart w:id="725" w:name="_Caption0448"/>
      <w:bookmarkStart w:id="726" w:name="_Caption7152"/>
      <w:bookmarkStart w:id="727" w:name="_Caption9339"/>
      <w:bookmarkStart w:id="728" w:name="_Caption4499"/>
      <w:bookmarkStart w:id="729" w:name="_Caption8762"/>
      <w:bookmarkStart w:id="730" w:name="_Caption5691"/>
      <w:bookmarkStart w:id="731" w:name="_Caption1602"/>
      <w:bookmarkStart w:id="732" w:name="_Caption5544"/>
      <w:bookmarkStart w:id="733" w:name="_Caption9381"/>
      <w:bookmarkStart w:id="734" w:name="_Caption0189"/>
      <w:bookmarkStart w:id="735" w:name="_Caption4088"/>
      <w:bookmarkStart w:id="736" w:name="_Caption8279"/>
      <w:bookmarkStart w:id="737" w:name="_Caption2152"/>
      <w:bookmarkStart w:id="738" w:name="_Caption8180"/>
      <w:bookmarkStart w:id="739" w:name="_Caption6578"/>
      <w:bookmarkStart w:id="740" w:name="_Caption6125"/>
      <w:bookmarkStart w:id="741" w:name="_Caption1360"/>
      <w:bookmarkStart w:id="742" w:name="_Caption2261"/>
      <w:bookmarkStart w:id="743" w:name="_Caption2872"/>
      <w:bookmarkStart w:id="744" w:name="_Caption0991"/>
      <w:bookmarkStart w:id="745" w:name="_Caption5941"/>
      <w:bookmarkStart w:id="746" w:name="_Caption9259"/>
      <w:bookmarkStart w:id="747" w:name="_Caption8932"/>
      <w:bookmarkStart w:id="748" w:name="_Toc391972955"/>
      <w:r w:rsidR="00584F9A">
        <w:rPr>
          <w:noProof/>
        </w:rPr>
        <w:t>4</w:t>
      </w:r>
      <w:r w:rsidR="00584F9A" w:rsidRPr="00695C93">
        <w:rPr>
          <w:noProof/>
        </w:rPr>
        <w:t>.</w:t>
      </w:r>
      <w:r w:rsidR="00584F9A">
        <w:rPr>
          <w:noProof/>
        </w:rPr>
        <w:t>4</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sidRPr="00695C93">
        <w:fldChar w:fldCharType="end"/>
      </w:r>
      <w:r w:rsidRPr="00695C93">
        <w:tab/>
      </w:r>
      <w:r>
        <w:t>Number of fixed line voice services in operation</w:t>
      </w:r>
      <w:bookmarkEnd w:id="748"/>
    </w:p>
    <w:tbl>
      <w:tblPr>
        <w:tblW w:w="8080" w:type="dxa"/>
        <w:tblInd w:w="57" w:type="dxa"/>
        <w:shd w:val="clear" w:color="auto" w:fill="FFFFFF" w:themeFill="background1"/>
        <w:tblLayout w:type="fixed"/>
        <w:tblLook w:val="04A0" w:firstRow="1" w:lastRow="0" w:firstColumn="1" w:lastColumn="0" w:noHBand="0" w:noVBand="1"/>
      </w:tblPr>
      <w:tblGrid>
        <w:gridCol w:w="2126"/>
        <w:gridCol w:w="1190"/>
        <w:gridCol w:w="1191"/>
        <w:gridCol w:w="1191"/>
        <w:gridCol w:w="1191"/>
        <w:gridCol w:w="1191"/>
      </w:tblGrid>
      <w:tr w:rsidR="00392639" w:rsidRPr="000E5C25" w:rsidTr="00392639">
        <w:trPr>
          <w:trHeight w:val="288"/>
        </w:trPr>
        <w:tc>
          <w:tcPr>
            <w:tcW w:w="2126" w:type="dxa"/>
            <w:tcBorders>
              <w:bottom w:val="single" w:sz="8" w:space="0" w:color="FFFFFF" w:themeColor="background1"/>
            </w:tcBorders>
            <w:shd w:val="clear" w:color="auto" w:fill="6F6652"/>
            <w:noWrap/>
            <w:tcMar>
              <w:left w:w="57" w:type="dxa"/>
              <w:right w:w="57" w:type="dxa"/>
            </w:tcMar>
            <w:hideMark/>
          </w:tcPr>
          <w:p w:rsidR="00392639" w:rsidRPr="000E5C25" w:rsidRDefault="00392639" w:rsidP="00F55EB5">
            <w:pPr>
              <w:pStyle w:val="TableDataColumnHeading"/>
            </w:pPr>
          </w:p>
        </w:tc>
        <w:tc>
          <w:tcPr>
            <w:tcW w:w="1190" w:type="dxa"/>
            <w:tcBorders>
              <w:bottom w:val="single" w:sz="8" w:space="0" w:color="FFFFFF" w:themeColor="background1"/>
            </w:tcBorders>
            <w:shd w:val="clear" w:color="auto" w:fill="6F6652"/>
            <w:noWrap/>
            <w:tcMar>
              <w:left w:w="57" w:type="dxa"/>
              <w:right w:w="57" w:type="dxa"/>
            </w:tcMar>
            <w:hideMark/>
          </w:tcPr>
          <w:p w:rsidR="00392639" w:rsidRPr="000E5C25" w:rsidRDefault="00392639" w:rsidP="00F55EB5">
            <w:pPr>
              <w:pStyle w:val="TableDataColumnHeading"/>
            </w:pPr>
            <w:r w:rsidRPr="000E5C25">
              <w:t>Jun-09</w:t>
            </w:r>
          </w:p>
        </w:tc>
        <w:tc>
          <w:tcPr>
            <w:tcW w:w="1191" w:type="dxa"/>
            <w:tcBorders>
              <w:bottom w:val="single" w:sz="8" w:space="0" w:color="FFFFFF" w:themeColor="background1"/>
            </w:tcBorders>
            <w:shd w:val="clear" w:color="auto" w:fill="6F6652"/>
            <w:noWrap/>
            <w:tcMar>
              <w:left w:w="57" w:type="dxa"/>
              <w:right w:w="57" w:type="dxa"/>
            </w:tcMar>
            <w:hideMark/>
          </w:tcPr>
          <w:p w:rsidR="00392639" w:rsidRPr="000E5C25" w:rsidRDefault="00392639" w:rsidP="00F55EB5">
            <w:pPr>
              <w:pStyle w:val="TableDataColumnHeading"/>
            </w:pPr>
            <w:r w:rsidRPr="000E5C25">
              <w:t>Jun-10</w:t>
            </w:r>
          </w:p>
        </w:tc>
        <w:tc>
          <w:tcPr>
            <w:tcW w:w="1191" w:type="dxa"/>
            <w:tcBorders>
              <w:bottom w:val="single" w:sz="8" w:space="0" w:color="FFFFFF" w:themeColor="background1"/>
            </w:tcBorders>
            <w:shd w:val="clear" w:color="auto" w:fill="6F6652"/>
            <w:noWrap/>
            <w:tcMar>
              <w:left w:w="57" w:type="dxa"/>
              <w:right w:w="57" w:type="dxa"/>
            </w:tcMar>
            <w:hideMark/>
          </w:tcPr>
          <w:p w:rsidR="00392639" w:rsidRPr="000E5C25" w:rsidRDefault="00392639" w:rsidP="00F55EB5">
            <w:pPr>
              <w:pStyle w:val="TableDataColumnHeading"/>
            </w:pPr>
            <w:r w:rsidRPr="000E5C25">
              <w:t>Jun-11</w:t>
            </w:r>
          </w:p>
        </w:tc>
        <w:tc>
          <w:tcPr>
            <w:tcW w:w="1191" w:type="dxa"/>
            <w:tcBorders>
              <w:bottom w:val="single" w:sz="8" w:space="0" w:color="FFFFFF" w:themeColor="background1"/>
            </w:tcBorders>
            <w:shd w:val="clear" w:color="auto" w:fill="6F6652"/>
            <w:noWrap/>
            <w:tcMar>
              <w:left w:w="57" w:type="dxa"/>
              <w:right w:w="57" w:type="dxa"/>
            </w:tcMar>
            <w:hideMark/>
          </w:tcPr>
          <w:p w:rsidR="00392639" w:rsidRPr="000E5C25" w:rsidRDefault="00392639" w:rsidP="00F55EB5">
            <w:pPr>
              <w:pStyle w:val="TableDataColumnHeading"/>
            </w:pPr>
            <w:r w:rsidRPr="000E5C25">
              <w:t>Jun-12</w:t>
            </w:r>
          </w:p>
        </w:tc>
        <w:tc>
          <w:tcPr>
            <w:tcW w:w="1191" w:type="dxa"/>
            <w:tcBorders>
              <w:bottom w:val="single" w:sz="8" w:space="0" w:color="FFFFFF" w:themeColor="background1"/>
            </w:tcBorders>
            <w:shd w:val="clear" w:color="auto" w:fill="6F6652"/>
            <w:noWrap/>
            <w:tcMar>
              <w:left w:w="57" w:type="dxa"/>
              <w:right w:w="57" w:type="dxa"/>
            </w:tcMar>
            <w:hideMark/>
          </w:tcPr>
          <w:p w:rsidR="00392639" w:rsidRPr="000E5C25" w:rsidRDefault="00392639" w:rsidP="00F55EB5">
            <w:pPr>
              <w:pStyle w:val="TableDataColumnHeading"/>
            </w:pPr>
            <w:r w:rsidRPr="000E5C25">
              <w:t>Jun-13</w:t>
            </w:r>
          </w:p>
        </w:tc>
      </w:tr>
      <w:tr w:rsidR="00392639" w:rsidRPr="009E6771" w:rsidTr="00392639">
        <w:trPr>
          <w:trHeight w:val="288"/>
        </w:trPr>
        <w:tc>
          <w:tcPr>
            <w:tcW w:w="2126" w:type="dxa"/>
            <w:tcBorders>
              <w:top w:val="single" w:sz="8" w:space="0" w:color="FFFFFF" w:themeColor="background1"/>
              <w:bottom w:val="single" w:sz="8" w:space="0" w:color="FFFFFF" w:themeColor="background1"/>
            </w:tcBorders>
            <w:shd w:val="clear" w:color="auto" w:fill="E4E0DA" w:themeFill="text2" w:themeFillTint="33"/>
            <w:noWrap/>
            <w:tcMar>
              <w:left w:w="57" w:type="dxa"/>
              <w:right w:w="57" w:type="dxa"/>
            </w:tcMar>
          </w:tcPr>
          <w:p w:rsidR="00392639" w:rsidRPr="00FE782E" w:rsidRDefault="00392639" w:rsidP="00F55EB5">
            <w:pPr>
              <w:pStyle w:val="TableHeading1"/>
            </w:pPr>
            <w:r>
              <w:t>Retail</w:t>
            </w:r>
          </w:p>
        </w:tc>
        <w:tc>
          <w:tcPr>
            <w:tcW w:w="1190" w:type="dxa"/>
            <w:tcBorders>
              <w:top w:val="single" w:sz="8" w:space="0" w:color="FFFFFF" w:themeColor="background1"/>
              <w:bottom w:val="single" w:sz="8" w:space="0" w:color="FFFFFF" w:themeColor="background1"/>
            </w:tcBorders>
            <w:shd w:val="clear" w:color="auto" w:fill="E4E0DA" w:themeFill="text2" w:themeFillTint="33"/>
            <w:noWrap/>
            <w:tcMar>
              <w:left w:w="57" w:type="dxa"/>
              <w:right w:w="57" w:type="dxa"/>
            </w:tcMar>
          </w:tcPr>
          <w:p w:rsidR="00392639" w:rsidRPr="00FE782E" w:rsidRDefault="00392639" w:rsidP="00F55EB5">
            <w:pPr>
              <w:pStyle w:val="TableHeading1"/>
            </w:pPr>
          </w:p>
        </w:tc>
        <w:tc>
          <w:tcPr>
            <w:tcW w:w="1191" w:type="dxa"/>
            <w:tcBorders>
              <w:top w:val="single" w:sz="8" w:space="0" w:color="FFFFFF" w:themeColor="background1"/>
              <w:bottom w:val="single" w:sz="8" w:space="0" w:color="FFFFFF" w:themeColor="background1"/>
            </w:tcBorders>
            <w:shd w:val="clear" w:color="auto" w:fill="E4E0DA" w:themeFill="text2" w:themeFillTint="33"/>
            <w:noWrap/>
            <w:tcMar>
              <w:left w:w="57" w:type="dxa"/>
              <w:right w:w="57" w:type="dxa"/>
            </w:tcMar>
          </w:tcPr>
          <w:p w:rsidR="00392639" w:rsidRPr="00FE782E" w:rsidRDefault="00392639" w:rsidP="00F55EB5">
            <w:pPr>
              <w:pStyle w:val="TableHeading1"/>
            </w:pPr>
          </w:p>
        </w:tc>
        <w:tc>
          <w:tcPr>
            <w:tcW w:w="1191" w:type="dxa"/>
            <w:tcBorders>
              <w:top w:val="single" w:sz="8" w:space="0" w:color="FFFFFF" w:themeColor="background1"/>
              <w:bottom w:val="single" w:sz="8" w:space="0" w:color="FFFFFF" w:themeColor="background1"/>
            </w:tcBorders>
            <w:shd w:val="clear" w:color="auto" w:fill="E4E0DA" w:themeFill="text2" w:themeFillTint="33"/>
            <w:noWrap/>
            <w:tcMar>
              <w:left w:w="57" w:type="dxa"/>
              <w:right w:w="57" w:type="dxa"/>
            </w:tcMar>
          </w:tcPr>
          <w:p w:rsidR="00392639" w:rsidRPr="00FE782E" w:rsidRDefault="00392639" w:rsidP="00F55EB5">
            <w:pPr>
              <w:pStyle w:val="TableHeading1"/>
            </w:pPr>
          </w:p>
        </w:tc>
        <w:tc>
          <w:tcPr>
            <w:tcW w:w="1191" w:type="dxa"/>
            <w:tcBorders>
              <w:top w:val="single" w:sz="8" w:space="0" w:color="FFFFFF" w:themeColor="background1"/>
              <w:bottom w:val="single" w:sz="8" w:space="0" w:color="FFFFFF" w:themeColor="background1"/>
            </w:tcBorders>
            <w:shd w:val="clear" w:color="auto" w:fill="E4E0DA" w:themeFill="text2" w:themeFillTint="33"/>
            <w:noWrap/>
            <w:tcMar>
              <w:left w:w="57" w:type="dxa"/>
              <w:right w:w="57" w:type="dxa"/>
            </w:tcMar>
          </w:tcPr>
          <w:p w:rsidR="00392639" w:rsidRPr="00FE782E" w:rsidRDefault="00392639" w:rsidP="00F55EB5">
            <w:pPr>
              <w:pStyle w:val="TableHeading1"/>
            </w:pPr>
          </w:p>
        </w:tc>
        <w:tc>
          <w:tcPr>
            <w:tcW w:w="1191" w:type="dxa"/>
            <w:tcBorders>
              <w:top w:val="single" w:sz="8" w:space="0" w:color="FFFFFF" w:themeColor="background1"/>
              <w:bottom w:val="single" w:sz="8" w:space="0" w:color="FFFFFF" w:themeColor="background1"/>
            </w:tcBorders>
            <w:shd w:val="clear" w:color="auto" w:fill="E4E0DA" w:themeFill="text2" w:themeFillTint="33"/>
            <w:noWrap/>
            <w:tcMar>
              <w:left w:w="57" w:type="dxa"/>
              <w:right w:w="57" w:type="dxa"/>
            </w:tcMar>
          </w:tcPr>
          <w:p w:rsidR="00392639" w:rsidRPr="00FE782E" w:rsidRDefault="00392639" w:rsidP="00F55EB5">
            <w:pPr>
              <w:pStyle w:val="TableHeading1"/>
            </w:pPr>
          </w:p>
        </w:tc>
      </w:tr>
      <w:tr w:rsidR="00392639" w:rsidRPr="009E6771" w:rsidTr="00392639">
        <w:trPr>
          <w:trHeight w:val="288"/>
        </w:trPr>
        <w:tc>
          <w:tcPr>
            <w:tcW w:w="21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TextEntries"/>
            </w:pPr>
            <w:r w:rsidRPr="00FE782E">
              <w:t>All CSPs</w:t>
            </w:r>
            <w:r>
              <w:t xml:space="preserve"> (million)</w:t>
            </w:r>
          </w:p>
        </w:tc>
        <w:tc>
          <w:tcPr>
            <w:tcW w:w="119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Unit"/>
            </w:pPr>
            <w:r w:rsidRPr="00FE782E">
              <w:t>9.17</w:t>
            </w:r>
          </w:p>
        </w:tc>
        <w:tc>
          <w:tcPr>
            <w:tcW w:w="119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Unit"/>
            </w:pPr>
            <w:r w:rsidRPr="00FE782E">
              <w:t>9.12</w:t>
            </w:r>
          </w:p>
        </w:tc>
        <w:tc>
          <w:tcPr>
            <w:tcW w:w="119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Unit"/>
            </w:pPr>
            <w:r w:rsidRPr="00FE782E">
              <w:t>9.15</w:t>
            </w:r>
          </w:p>
        </w:tc>
        <w:tc>
          <w:tcPr>
            <w:tcW w:w="119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Unit"/>
            </w:pPr>
            <w:r w:rsidRPr="00FE782E">
              <w:t>9.01</w:t>
            </w:r>
          </w:p>
        </w:tc>
        <w:tc>
          <w:tcPr>
            <w:tcW w:w="119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Unit"/>
            </w:pPr>
            <w:r w:rsidRPr="00FE782E">
              <w:t>8.79</w:t>
            </w:r>
          </w:p>
        </w:tc>
      </w:tr>
      <w:tr w:rsidR="00392639" w:rsidRPr="009E6771" w:rsidTr="005C7B71">
        <w:trPr>
          <w:trHeight w:val="288"/>
        </w:trPr>
        <w:tc>
          <w:tcPr>
            <w:tcW w:w="21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TextEntries"/>
            </w:pPr>
            <w:r w:rsidRPr="00FE782E">
              <w:t>Telstra</w:t>
            </w:r>
            <w:r>
              <w:t xml:space="preserve"> (million)</w:t>
            </w:r>
          </w:p>
        </w:tc>
        <w:tc>
          <w:tcPr>
            <w:tcW w:w="119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DataEntries"/>
            </w:pPr>
            <w:r w:rsidRPr="00FE782E">
              <w:t>7.73</w:t>
            </w:r>
          </w:p>
        </w:tc>
        <w:tc>
          <w:tcPr>
            <w:tcW w:w="119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DataEntries"/>
            </w:pPr>
            <w:r w:rsidRPr="00FE782E">
              <w:t>7.41</w:t>
            </w:r>
          </w:p>
        </w:tc>
        <w:tc>
          <w:tcPr>
            <w:tcW w:w="119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DataEntries"/>
            </w:pPr>
            <w:r w:rsidRPr="00FE782E">
              <w:t>7.16</w:t>
            </w:r>
          </w:p>
        </w:tc>
        <w:tc>
          <w:tcPr>
            <w:tcW w:w="119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DataEntries"/>
            </w:pPr>
            <w:r w:rsidRPr="00FE782E">
              <w:t>6.88</w:t>
            </w:r>
          </w:p>
        </w:tc>
        <w:tc>
          <w:tcPr>
            <w:tcW w:w="119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DataEntries"/>
            </w:pPr>
            <w:r w:rsidRPr="00FE782E">
              <w:t>6.53</w:t>
            </w:r>
          </w:p>
        </w:tc>
      </w:tr>
      <w:tr w:rsidR="00392639" w:rsidRPr="005C7B71" w:rsidTr="00BE0A38">
        <w:trPr>
          <w:trHeight w:val="345"/>
        </w:trPr>
        <w:tc>
          <w:tcPr>
            <w:tcW w:w="2126" w:type="dxa"/>
            <w:tcBorders>
              <w:top w:val="single" w:sz="8" w:space="0" w:color="FFFFFF" w:themeColor="background1"/>
              <w:bottom w:val="single" w:sz="18" w:space="0" w:color="FFFFFF" w:themeColor="background1"/>
            </w:tcBorders>
            <w:shd w:val="clear" w:color="auto" w:fill="C2DADB" w:themeFill="accent6" w:themeFillTint="99"/>
            <w:tcMar>
              <w:left w:w="57" w:type="dxa"/>
              <w:right w:w="57" w:type="dxa"/>
            </w:tcMar>
            <w:vAlign w:val="bottom"/>
            <w:hideMark/>
          </w:tcPr>
          <w:p w:rsidR="00392639" w:rsidRPr="005C7B71" w:rsidRDefault="00392639" w:rsidP="00BE0A38">
            <w:pPr>
              <w:pStyle w:val="TableTextEntries"/>
              <w:rPr>
                <w:rFonts w:ascii="Franklin Gothic Demi" w:hAnsi="Franklin Gothic Demi"/>
              </w:rPr>
            </w:pPr>
            <w:r w:rsidRPr="005C7B71">
              <w:rPr>
                <w:rFonts w:ascii="Franklin Gothic Demi" w:hAnsi="Franklin Gothic Demi"/>
              </w:rPr>
              <w:t xml:space="preserve">Telstra </w:t>
            </w:r>
            <w:r w:rsidR="00F55EB5" w:rsidRPr="005C7B71">
              <w:rPr>
                <w:rFonts w:ascii="Franklin Gothic Demi" w:hAnsi="Franklin Gothic Demi"/>
              </w:rPr>
              <w:t>share (per cent</w:t>
            </w:r>
            <w:r w:rsidRPr="005C7B71">
              <w:rPr>
                <w:rFonts w:ascii="Franklin Gothic Demi" w:hAnsi="Franklin Gothic Demi"/>
              </w:rPr>
              <w:t>)</w:t>
            </w:r>
          </w:p>
        </w:tc>
        <w:tc>
          <w:tcPr>
            <w:tcW w:w="1190" w:type="dxa"/>
            <w:tcBorders>
              <w:top w:val="single" w:sz="8" w:space="0" w:color="FFFFFF" w:themeColor="background1"/>
              <w:bottom w:val="single" w:sz="18" w:space="0" w:color="FFFFFF" w:themeColor="background1"/>
            </w:tcBorders>
            <w:shd w:val="clear" w:color="auto" w:fill="C2DADB" w:themeFill="accent6" w:themeFillTint="99"/>
            <w:noWrap/>
            <w:tcMar>
              <w:left w:w="57" w:type="dxa"/>
              <w:right w:w="57" w:type="dxa"/>
            </w:tcMar>
            <w:vAlign w:val="bottom"/>
            <w:hideMark/>
          </w:tcPr>
          <w:p w:rsidR="00392639" w:rsidRPr="005C7B71" w:rsidRDefault="00392639" w:rsidP="00BE0A38">
            <w:pPr>
              <w:pStyle w:val="TableDataEntries"/>
              <w:rPr>
                <w:rFonts w:ascii="Franklin Gothic Demi" w:hAnsi="Franklin Gothic Demi"/>
              </w:rPr>
            </w:pPr>
            <w:r w:rsidRPr="005C7B71">
              <w:rPr>
                <w:rFonts w:ascii="Franklin Gothic Demi" w:hAnsi="Franklin Gothic Demi"/>
              </w:rPr>
              <w:t>84</w:t>
            </w:r>
          </w:p>
        </w:tc>
        <w:tc>
          <w:tcPr>
            <w:tcW w:w="1191" w:type="dxa"/>
            <w:tcBorders>
              <w:top w:val="single" w:sz="8" w:space="0" w:color="FFFFFF" w:themeColor="background1"/>
              <w:bottom w:val="single" w:sz="18" w:space="0" w:color="FFFFFF" w:themeColor="background1"/>
            </w:tcBorders>
            <w:shd w:val="clear" w:color="auto" w:fill="C2DADB" w:themeFill="accent6" w:themeFillTint="99"/>
            <w:noWrap/>
            <w:tcMar>
              <w:left w:w="57" w:type="dxa"/>
              <w:right w:w="57" w:type="dxa"/>
            </w:tcMar>
            <w:vAlign w:val="bottom"/>
            <w:hideMark/>
          </w:tcPr>
          <w:p w:rsidR="00392639" w:rsidRPr="005C7B71" w:rsidRDefault="00392639" w:rsidP="00BE0A38">
            <w:pPr>
              <w:pStyle w:val="TableDataEntries"/>
              <w:rPr>
                <w:rFonts w:ascii="Franklin Gothic Demi" w:hAnsi="Franklin Gothic Demi"/>
              </w:rPr>
            </w:pPr>
            <w:r w:rsidRPr="005C7B71">
              <w:rPr>
                <w:rFonts w:ascii="Franklin Gothic Demi" w:hAnsi="Franklin Gothic Demi"/>
              </w:rPr>
              <w:t>81</w:t>
            </w:r>
          </w:p>
        </w:tc>
        <w:tc>
          <w:tcPr>
            <w:tcW w:w="1191" w:type="dxa"/>
            <w:tcBorders>
              <w:top w:val="single" w:sz="8" w:space="0" w:color="FFFFFF" w:themeColor="background1"/>
              <w:bottom w:val="single" w:sz="18" w:space="0" w:color="FFFFFF" w:themeColor="background1"/>
            </w:tcBorders>
            <w:shd w:val="clear" w:color="auto" w:fill="C2DADB" w:themeFill="accent6" w:themeFillTint="99"/>
            <w:noWrap/>
            <w:tcMar>
              <w:left w:w="57" w:type="dxa"/>
              <w:right w:w="57" w:type="dxa"/>
            </w:tcMar>
            <w:vAlign w:val="bottom"/>
            <w:hideMark/>
          </w:tcPr>
          <w:p w:rsidR="00392639" w:rsidRPr="005C7B71" w:rsidRDefault="00392639" w:rsidP="00BE0A38">
            <w:pPr>
              <w:pStyle w:val="TableDataEntries"/>
              <w:rPr>
                <w:rFonts w:ascii="Franklin Gothic Demi" w:hAnsi="Franklin Gothic Demi"/>
              </w:rPr>
            </w:pPr>
            <w:r w:rsidRPr="005C7B71">
              <w:rPr>
                <w:rFonts w:ascii="Franklin Gothic Demi" w:hAnsi="Franklin Gothic Demi"/>
              </w:rPr>
              <w:t>78</w:t>
            </w:r>
          </w:p>
        </w:tc>
        <w:tc>
          <w:tcPr>
            <w:tcW w:w="1191" w:type="dxa"/>
            <w:tcBorders>
              <w:top w:val="single" w:sz="8" w:space="0" w:color="FFFFFF" w:themeColor="background1"/>
              <w:bottom w:val="single" w:sz="18" w:space="0" w:color="FFFFFF" w:themeColor="background1"/>
            </w:tcBorders>
            <w:shd w:val="clear" w:color="auto" w:fill="C2DADB" w:themeFill="accent6" w:themeFillTint="99"/>
            <w:noWrap/>
            <w:tcMar>
              <w:left w:w="57" w:type="dxa"/>
              <w:right w:w="57" w:type="dxa"/>
            </w:tcMar>
            <w:vAlign w:val="bottom"/>
            <w:hideMark/>
          </w:tcPr>
          <w:p w:rsidR="00392639" w:rsidRPr="005C7B71" w:rsidRDefault="00392639" w:rsidP="00BE0A38">
            <w:pPr>
              <w:pStyle w:val="TableDataEntries"/>
              <w:rPr>
                <w:rFonts w:ascii="Franklin Gothic Demi" w:hAnsi="Franklin Gothic Demi"/>
              </w:rPr>
            </w:pPr>
            <w:r w:rsidRPr="005C7B71">
              <w:rPr>
                <w:rFonts w:ascii="Franklin Gothic Demi" w:hAnsi="Franklin Gothic Demi"/>
              </w:rPr>
              <w:t>76</w:t>
            </w:r>
          </w:p>
        </w:tc>
        <w:tc>
          <w:tcPr>
            <w:tcW w:w="1191" w:type="dxa"/>
            <w:tcBorders>
              <w:top w:val="single" w:sz="8" w:space="0" w:color="FFFFFF" w:themeColor="background1"/>
              <w:bottom w:val="single" w:sz="18" w:space="0" w:color="FFFFFF" w:themeColor="background1"/>
            </w:tcBorders>
            <w:shd w:val="clear" w:color="auto" w:fill="C2DADB" w:themeFill="accent6" w:themeFillTint="99"/>
            <w:noWrap/>
            <w:tcMar>
              <w:left w:w="57" w:type="dxa"/>
              <w:right w:w="57" w:type="dxa"/>
            </w:tcMar>
            <w:vAlign w:val="bottom"/>
            <w:hideMark/>
          </w:tcPr>
          <w:p w:rsidR="00392639" w:rsidRPr="005C7B71" w:rsidRDefault="00392639" w:rsidP="00BE0A38">
            <w:pPr>
              <w:pStyle w:val="TableDataEntries"/>
              <w:rPr>
                <w:rFonts w:ascii="Franklin Gothic Demi" w:hAnsi="Franklin Gothic Demi"/>
              </w:rPr>
            </w:pPr>
            <w:r w:rsidRPr="005C7B71">
              <w:rPr>
                <w:rFonts w:ascii="Franklin Gothic Demi" w:hAnsi="Franklin Gothic Demi"/>
              </w:rPr>
              <w:t>74</w:t>
            </w:r>
          </w:p>
        </w:tc>
      </w:tr>
      <w:tr w:rsidR="00392639" w:rsidRPr="009E6771" w:rsidTr="005C7B71">
        <w:trPr>
          <w:trHeight w:val="288"/>
        </w:trPr>
        <w:tc>
          <w:tcPr>
            <w:tcW w:w="2126" w:type="dxa"/>
            <w:tcBorders>
              <w:top w:val="single" w:sz="18" w:space="0" w:color="FFFFFF" w:themeColor="background1"/>
              <w:bottom w:val="single" w:sz="8" w:space="0" w:color="FFFFFF" w:themeColor="background1"/>
            </w:tcBorders>
            <w:shd w:val="clear" w:color="auto" w:fill="E4E0DA" w:themeFill="text2" w:themeFillTint="33"/>
            <w:noWrap/>
            <w:tcMar>
              <w:left w:w="57" w:type="dxa"/>
              <w:right w:w="57" w:type="dxa"/>
            </w:tcMar>
          </w:tcPr>
          <w:p w:rsidR="00392639" w:rsidRPr="00FE782E" w:rsidRDefault="00392639" w:rsidP="00F55EB5">
            <w:pPr>
              <w:pStyle w:val="TableHeading1"/>
            </w:pPr>
            <w:r w:rsidRPr="00FE782E">
              <w:t>Wholesale</w:t>
            </w:r>
            <w:r w:rsidRPr="005712CF">
              <w:rPr>
                <w:rStyle w:val="NoteLabel"/>
              </w:rPr>
              <w:t>a</w:t>
            </w:r>
          </w:p>
        </w:tc>
        <w:tc>
          <w:tcPr>
            <w:tcW w:w="1190" w:type="dxa"/>
            <w:tcBorders>
              <w:top w:val="single" w:sz="18" w:space="0" w:color="FFFFFF" w:themeColor="background1"/>
              <w:bottom w:val="single" w:sz="8" w:space="0" w:color="FFFFFF" w:themeColor="background1"/>
            </w:tcBorders>
            <w:shd w:val="clear" w:color="auto" w:fill="E4E0DA" w:themeFill="text2" w:themeFillTint="33"/>
            <w:noWrap/>
            <w:tcMar>
              <w:left w:w="57" w:type="dxa"/>
              <w:right w:w="57" w:type="dxa"/>
            </w:tcMar>
          </w:tcPr>
          <w:p w:rsidR="00392639" w:rsidRPr="00FE782E" w:rsidRDefault="00392639" w:rsidP="00F55EB5">
            <w:pPr>
              <w:pStyle w:val="TableHeading1"/>
            </w:pPr>
          </w:p>
        </w:tc>
        <w:tc>
          <w:tcPr>
            <w:tcW w:w="1191" w:type="dxa"/>
            <w:tcBorders>
              <w:top w:val="single" w:sz="18" w:space="0" w:color="FFFFFF" w:themeColor="background1"/>
              <w:bottom w:val="single" w:sz="8" w:space="0" w:color="FFFFFF" w:themeColor="background1"/>
            </w:tcBorders>
            <w:shd w:val="clear" w:color="auto" w:fill="E4E0DA" w:themeFill="text2" w:themeFillTint="33"/>
            <w:noWrap/>
            <w:tcMar>
              <w:left w:w="57" w:type="dxa"/>
              <w:right w:w="57" w:type="dxa"/>
            </w:tcMar>
          </w:tcPr>
          <w:p w:rsidR="00392639" w:rsidRPr="00FE782E" w:rsidRDefault="00392639" w:rsidP="00F55EB5">
            <w:pPr>
              <w:pStyle w:val="TableHeading1"/>
            </w:pPr>
          </w:p>
        </w:tc>
        <w:tc>
          <w:tcPr>
            <w:tcW w:w="1191" w:type="dxa"/>
            <w:tcBorders>
              <w:top w:val="single" w:sz="18" w:space="0" w:color="FFFFFF" w:themeColor="background1"/>
              <w:bottom w:val="single" w:sz="8" w:space="0" w:color="FFFFFF" w:themeColor="background1"/>
            </w:tcBorders>
            <w:shd w:val="clear" w:color="auto" w:fill="E4E0DA" w:themeFill="text2" w:themeFillTint="33"/>
            <w:noWrap/>
            <w:tcMar>
              <w:left w:w="57" w:type="dxa"/>
              <w:right w:w="57" w:type="dxa"/>
            </w:tcMar>
          </w:tcPr>
          <w:p w:rsidR="00392639" w:rsidRPr="00FE782E" w:rsidRDefault="00392639" w:rsidP="00F55EB5">
            <w:pPr>
              <w:pStyle w:val="TableHeading1"/>
            </w:pPr>
          </w:p>
        </w:tc>
        <w:tc>
          <w:tcPr>
            <w:tcW w:w="1191" w:type="dxa"/>
            <w:tcBorders>
              <w:top w:val="single" w:sz="18" w:space="0" w:color="FFFFFF" w:themeColor="background1"/>
              <w:bottom w:val="single" w:sz="8" w:space="0" w:color="FFFFFF" w:themeColor="background1"/>
            </w:tcBorders>
            <w:shd w:val="clear" w:color="auto" w:fill="E4E0DA" w:themeFill="text2" w:themeFillTint="33"/>
            <w:noWrap/>
            <w:tcMar>
              <w:left w:w="57" w:type="dxa"/>
              <w:right w:w="57" w:type="dxa"/>
            </w:tcMar>
          </w:tcPr>
          <w:p w:rsidR="00392639" w:rsidRPr="00FE782E" w:rsidRDefault="00392639" w:rsidP="00F55EB5">
            <w:pPr>
              <w:pStyle w:val="TableHeading1"/>
            </w:pPr>
          </w:p>
        </w:tc>
        <w:tc>
          <w:tcPr>
            <w:tcW w:w="1191" w:type="dxa"/>
            <w:tcBorders>
              <w:top w:val="single" w:sz="18" w:space="0" w:color="FFFFFF" w:themeColor="background1"/>
              <w:bottom w:val="single" w:sz="8" w:space="0" w:color="FFFFFF" w:themeColor="background1"/>
            </w:tcBorders>
            <w:shd w:val="clear" w:color="auto" w:fill="E4E0DA" w:themeFill="text2" w:themeFillTint="33"/>
            <w:noWrap/>
            <w:tcMar>
              <w:left w:w="57" w:type="dxa"/>
              <w:right w:w="57" w:type="dxa"/>
            </w:tcMar>
          </w:tcPr>
          <w:p w:rsidR="00392639" w:rsidRPr="00FE782E" w:rsidRDefault="00392639" w:rsidP="00F55EB5">
            <w:pPr>
              <w:pStyle w:val="TableHeading1"/>
            </w:pPr>
          </w:p>
        </w:tc>
      </w:tr>
      <w:tr w:rsidR="00392639" w:rsidRPr="009E6771" w:rsidTr="00392639">
        <w:trPr>
          <w:trHeight w:val="288"/>
        </w:trPr>
        <w:tc>
          <w:tcPr>
            <w:tcW w:w="21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TextEntries"/>
            </w:pPr>
            <w:r w:rsidRPr="00FE782E">
              <w:t>All CSPs</w:t>
            </w:r>
            <w:r>
              <w:t xml:space="preserve"> (million)</w:t>
            </w:r>
          </w:p>
        </w:tc>
        <w:tc>
          <w:tcPr>
            <w:tcW w:w="119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DataEntries"/>
            </w:pPr>
            <w:r w:rsidRPr="00FE782E">
              <w:t>1.5</w:t>
            </w:r>
          </w:p>
        </w:tc>
        <w:tc>
          <w:tcPr>
            <w:tcW w:w="119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DataEntries"/>
            </w:pPr>
            <w:r w:rsidRPr="00FE782E">
              <w:t>1.47</w:t>
            </w:r>
          </w:p>
        </w:tc>
        <w:tc>
          <w:tcPr>
            <w:tcW w:w="119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DataEntries"/>
            </w:pPr>
            <w:r w:rsidRPr="00FE782E">
              <w:t>1.39</w:t>
            </w:r>
          </w:p>
        </w:tc>
        <w:tc>
          <w:tcPr>
            <w:tcW w:w="119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DataEntries"/>
            </w:pPr>
            <w:r w:rsidRPr="00FE782E">
              <w:t>1.43</w:t>
            </w:r>
          </w:p>
        </w:tc>
        <w:tc>
          <w:tcPr>
            <w:tcW w:w="119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DataEntries"/>
            </w:pPr>
            <w:r w:rsidRPr="00FE782E">
              <w:t>1.53</w:t>
            </w:r>
          </w:p>
        </w:tc>
      </w:tr>
      <w:tr w:rsidR="00392639" w:rsidRPr="009E6771" w:rsidTr="00392639">
        <w:trPr>
          <w:trHeight w:val="288"/>
        </w:trPr>
        <w:tc>
          <w:tcPr>
            <w:tcW w:w="21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TextEntries"/>
            </w:pPr>
            <w:r w:rsidRPr="00FE782E">
              <w:t>Telstra</w:t>
            </w:r>
            <w:r>
              <w:t xml:space="preserve"> (million)</w:t>
            </w:r>
          </w:p>
        </w:tc>
        <w:tc>
          <w:tcPr>
            <w:tcW w:w="119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DataEntries"/>
            </w:pPr>
            <w:r w:rsidRPr="00FE782E">
              <w:t>1.29</w:t>
            </w:r>
          </w:p>
        </w:tc>
        <w:tc>
          <w:tcPr>
            <w:tcW w:w="119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DataEntries"/>
            </w:pPr>
            <w:r w:rsidRPr="00FE782E">
              <w:t>1.25</w:t>
            </w:r>
          </w:p>
        </w:tc>
        <w:tc>
          <w:tcPr>
            <w:tcW w:w="119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DataEntries"/>
            </w:pPr>
            <w:r w:rsidRPr="00FE782E">
              <w:t>1.21</w:t>
            </w:r>
          </w:p>
        </w:tc>
        <w:tc>
          <w:tcPr>
            <w:tcW w:w="119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DataEntries"/>
            </w:pPr>
            <w:r w:rsidRPr="00FE782E">
              <w:t>1.18</w:t>
            </w:r>
          </w:p>
        </w:tc>
        <w:tc>
          <w:tcPr>
            <w:tcW w:w="119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392639" w:rsidRPr="00FE782E" w:rsidRDefault="00392639" w:rsidP="00F55EB5">
            <w:pPr>
              <w:pStyle w:val="TableDataEntries"/>
            </w:pPr>
            <w:r w:rsidRPr="00FE782E">
              <w:t>1.24</w:t>
            </w:r>
          </w:p>
        </w:tc>
      </w:tr>
      <w:tr w:rsidR="00392639" w:rsidRPr="005C7B71" w:rsidTr="00BE0A38">
        <w:trPr>
          <w:trHeight w:val="324"/>
        </w:trPr>
        <w:tc>
          <w:tcPr>
            <w:tcW w:w="2126" w:type="dxa"/>
            <w:tcBorders>
              <w:top w:val="single" w:sz="8" w:space="0" w:color="FFFFFF" w:themeColor="background1"/>
              <w:bottom w:val="single" w:sz="6" w:space="0" w:color="6F6652"/>
            </w:tcBorders>
            <w:shd w:val="clear" w:color="auto" w:fill="C2DADB" w:themeFill="accent6" w:themeFillTint="99"/>
            <w:tcMar>
              <w:left w:w="57" w:type="dxa"/>
              <w:right w:w="57" w:type="dxa"/>
            </w:tcMar>
            <w:vAlign w:val="bottom"/>
            <w:hideMark/>
          </w:tcPr>
          <w:p w:rsidR="00392639" w:rsidRPr="005C7B71" w:rsidRDefault="00392639" w:rsidP="00BE0A38">
            <w:pPr>
              <w:pStyle w:val="TableTextEntries"/>
              <w:rPr>
                <w:rFonts w:ascii="Franklin Gothic Demi" w:hAnsi="Franklin Gothic Demi"/>
              </w:rPr>
            </w:pPr>
            <w:r w:rsidRPr="005C7B71">
              <w:rPr>
                <w:rFonts w:ascii="Franklin Gothic Demi" w:hAnsi="Franklin Gothic Demi"/>
              </w:rPr>
              <w:t xml:space="preserve">Telstra </w:t>
            </w:r>
            <w:r w:rsidR="00F55EB5" w:rsidRPr="005C7B71">
              <w:rPr>
                <w:rFonts w:ascii="Franklin Gothic Demi" w:hAnsi="Franklin Gothic Demi"/>
              </w:rPr>
              <w:t>share (per cent</w:t>
            </w:r>
            <w:r w:rsidRPr="005C7B71">
              <w:rPr>
                <w:rFonts w:ascii="Franklin Gothic Demi" w:hAnsi="Franklin Gothic Demi"/>
              </w:rPr>
              <w:t>)</w:t>
            </w:r>
          </w:p>
        </w:tc>
        <w:tc>
          <w:tcPr>
            <w:tcW w:w="119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rsidR="00392639" w:rsidRPr="005C7B71" w:rsidRDefault="00392639" w:rsidP="00BE0A38">
            <w:pPr>
              <w:pStyle w:val="TableDataEntries"/>
              <w:rPr>
                <w:rFonts w:ascii="Franklin Gothic Demi" w:hAnsi="Franklin Gothic Demi"/>
              </w:rPr>
            </w:pPr>
            <w:r w:rsidRPr="005C7B71">
              <w:rPr>
                <w:rFonts w:ascii="Franklin Gothic Demi" w:hAnsi="Franklin Gothic Demi"/>
              </w:rPr>
              <w:t>86</w:t>
            </w:r>
          </w:p>
        </w:tc>
        <w:tc>
          <w:tcPr>
            <w:tcW w:w="119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rsidR="00392639" w:rsidRPr="005C7B71" w:rsidRDefault="00392639" w:rsidP="00BE0A38">
            <w:pPr>
              <w:pStyle w:val="TableDataEntries"/>
              <w:rPr>
                <w:rFonts w:ascii="Franklin Gothic Demi" w:hAnsi="Franklin Gothic Demi"/>
              </w:rPr>
            </w:pPr>
            <w:r w:rsidRPr="005C7B71">
              <w:rPr>
                <w:rFonts w:ascii="Franklin Gothic Demi" w:hAnsi="Franklin Gothic Demi"/>
              </w:rPr>
              <w:t>85</w:t>
            </w:r>
          </w:p>
        </w:tc>
        <w:tc>
          <w:tcPr>
            <w:tcW w:w="119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rsidR="00392639" w:rsidRPr="005C7B71" w:rsidRDefault="00392639" w:rsidP="00BE0A38">
            <w:pPr>
              <w:pStyle w:val="TableDataEntries"/>
              <w:rPr>
                <w:rFonts w:ascii="Franklin Gothic Demi" w:hAnsi="Franklin Gothic Demi"/>
              </w:rPr>
            </w:pPr>
            <w:r w:rsidRPr="005C7B71">
              <w:rPr>
                <w:rFonts w:ascii="Franklin Gothic Demi" w:hAnsi="Franklin Gothic Demi"/>
              </w:rPr>
              <w:t>87</w:t>
            </w:r>
          </w:p>
        </w:tc>
        <w:tc>
          <w:tcPr>
            <w:tcW w:w="119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rsidR="00392639" w:rsidRPr="005C7B71" w:rsidRDefault="00392639" w:rsidP="00BE0A38">
            <w:pPr>
              <w:pStyle w:val="TableDataEntries"/>
              <w:rPr>
                <w:rFonts w:ascii="Franklin Gothic Demi" w:hAnsi="Franklin Gothic Demi"/>
              </w:rPr>
            </w:pPr>
            <w:r w:rsidRPr="005C7B71">
              <w:rPr>
                <w:rFonts w:ascii="Franklin Gothic Demi" w:hAnsi="Franklin Gothic Demi"/>
              </w:rPr>
              <w:t>83</w:t>
            </w:r>
          </w:p>
        </w:tc>
        <w:tc>
          <w:tcPr>
            <w:tcW w:w="119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rsidR="00392639" w:rsidRPr="005C7B71" w:rsidRDefault="00392639" w:rsidP="00BE0A38">
            <w:pPr>
              <w:pStyle w:val="TableDataEntries"/>
              <w:rPr>
                <w:rFonts w:ascii="Franklin Gothic Demi" w:hAnsi="Franklin Gothic Demi"/>
              </w:rPr>
            </w:pPr>
            <w:r w:rsidRPr="005C7B71">
              <w:rPr>
                <w:rFonts w:ascii="Franklin Gothic Demi" w:hAnsi="Franklin Gothic Demi"/>
              </w:rPr>
              <w:t>81</w:t>
            </w:r>
          </w:p>
        </w:tc>
      </w:tr>
    </w:tbl>
    <w:p w:rsidR="00392639" w:rsidRPr="00E4232C" w:rsidRDefault="00392639" w:rsidP="00392639">
      <w:pPr>
        <w:pStyle w:val="Note"/>
      </w:pPr>
      <w:proofErr w:type="gramStart"/>
      <w:r w:rsidRPr="00E4232C">
        <w:rPr>
          <w:rStyle w:val="NoteLabel"/>
        </w:rPr>
        <w:t>a</w:t>
      </w:r>
      <w:proofErr w:type="gramEnd"/>
      <w:r>
        <w:t xml:space="preserve"> </w:t>
      </w:r>
      <w:r w:rsidRPr="007F2B09">
        <w:rPr>
          <w:sz w:val="16"/>
        </w:rPr>
        <w:t>Whole</w:t>
      </w:r>
      <w:r>
        <w:rPr>
          <w:sz w:val="16"/>
        </w:rPr>
        <w:t>sale relates to resell products.</w:t>
      </w:r>
    </w:p>
    <w:p w:rsidR="00392639" w:rsidRDefault="00392639" w:rsidP="00392639">
      <w:pPr>
        <w:pStyle w:val="Source"/>
      </w:pPr>
      <w:r>
        <w:rPr>
          <w:i/>
        </w:rPr>
        <w:t>Source</w:t>
      </w:r>
      <w:r w:rsidRPr="00E4232C">
        <w:rPr>
          <w:i/>
        </w:rPr>
        <w:t>:</w:t>
      </w:r>
      <w:r>
        <w:t xml:space="preserve"> </w:t>
      </w:r>
      <w:r w:rsidRPr="007F2B09">
        <w:rPr>
          <w:sz w:val="16"/>
        </w:rPr>
        <w:t>ACMA communications 2012-13</w:t>
      </w:r>
      <w:r>
        <w:rPr>
          <w:sz w:val="16"/>
        </w:rPr>
        <w:t xml:space="preserve"> report.</w:t>
      </w:r>
    </w:p>
    <w:p w:rsidR="00392639" w:rsidRDefault="00392639" w:rsidP="00392639">
      <w:pPr>
        <w:pStyle w:val="BodyText"/>
      </w:pPr>
      <w:r>
        <w:t>Despite declines in the number of fixed lines, fixed line services remain profitable for Telstra compared with other products such as mobile and fixed broadband. PSTN profitability increased by 3 percentage points from 2011/12 to 2012/13 (table </w:t>
      </w:r>
      <w:fldSimple w:instr=" REF _Caption7696 ">
        <w:r w:rsidR="00304215">
          <w:rPr>
            <w:noProof/>
          </w:rPr>
          <w:t>4</w:t>
        </w:r>
        <w:r w:rsidR="00304215" w:rsidRPr="00695C93">
          <w:rPr>
            <w:noProof/>
          </w:rPr>
          <w:t>.</w:t>
        </w:r>
        <w:r w:rsidR="00304215">
          <w:rPr>
            <w:noProof/>
          </w:rPr>
          <w:t>5</w:t>
        </w:r>
      </w:fldSimple>
      <w:r>
        <w:t xml:space="preserve">). </w:t>
      </w:r>
      <w:r w:rsidR="00F55EB5">
        <w:t xml:space="preserve">The </w:t>
      </w:r>
      <w:proofErr w:type="gramStart"/>
      <w:r w:rsidR="00F55EB5">
        <w:t>levels of capital employed in providing different services differs</w:t>
      </w:r>
      <w:proofErr w:type="gramEnd"/>
      <w:r w:rsidR="00F55EB5">
        <w:t>, so this may not be a reflection of returns above economic returns.</w:t>
      </w:r>
    </w:p>
    <w:p w:rsidR="00392639" w:rsidRDefault="00392639" w:rsidP="00392639">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w:instrText>
      </w:r>
      <w:fldSimple w:instr=" STYLEREF &quot;Heading 1&quot; \l \n ">
        <w:r w:rsidR="00304215">
          <w:rPr>
            <w:noProof/>
          </w:rPr>
          <w:instrText>4</w:instrText>
        </w:r>
      </w:fldSimple>
      <w:r w:rsidRPr="00695C93">
        <w:instrText xml:space="preserve">." </w:instrText>
      </w:r>
      <w:r w:rsidRPr="00695C93">
        <w:fldChar w:fldCharType="separate"/>
      </w:r>
      <w:r w:rsidR="00304215">
        <w:rPr>
          <w:noProof/>
        </w:rPr>
        <w:instrText>4</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4</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5</w:instrText>
      </w:r>
      <w:r w:rsidRPr="00695C93">
        <w:fldChar w:fldCharType="end"/>
      </w:r>
      <w:r w:rsidRPr="00695C93">
        <w:instrText xml:space="preserve">" "" </w:instrText>
      </w:r>
      <w:r w:rsidRPr="00695C93">
        <w:fldChar w:fldCharType="separate"/>
      </w:r>
      <w:bookmarkStart w:id="749" w:name="_Caption2957"/>
      <w:bookmarkStart w:id="750" w:name="_Caption3975"/>
      <w:bookmarkStart w:id="751" w:name="_Caption8950"/>
      <w:bookmarkStart w:id="752" w:name="_Caption5826"/>
      <w:bookmarkStart w:id="753" w:name="_Caption0496"/>
      <w:bookmarkStart w:id="754" w:name="_Caption5656"/>
      <w:bookmarkStart w:id="755" w:name="_Caption6328"/>
      <w:bookmarkStart w:id="756" w:name="_Caption6062"/>
      <w:bookmarkStart w:id="757" w:name="_Caption9411"/>
      <w:bookmarkStart w:id="758" w:name="_Caption2665"/>
      <w:bookmarkStart w:id="759" w:name="_Caption3981"/>
      <w:bookmarkStart w:id="760" w:name="_Caption5819"/>
      <w:bookmarkStart w:id="761" w:name="_Caption3516"/>
      <w:bookmarkStart w:id="762" w:name="_Caption1606"/>
      <w:bookmarkStart w:id="763" w:name="_Caption2924"/>
      <w:bookmarkStart w:id="764" w:name="_Caption6291"/>
      <w:bookmarkStart w:id="765" w:name="_Caption0937"/>
      <w:bookmarkStart w:id="766" w:name="_Caption1185"/>
      <w:bookmarkStart w:id="767" w:name="_Caption3453"/>
      <w:bookmarkStart w:id="768" w:name="_Caption0557"/>
      <w:bookmarkStart w:id="769" w:name="_Caption7922"/>
      <w:bookmarkStart w:id="770" w:name="_Caption7696"/>
      <w:bookmarkStart w:id="771" w:name="_Caption7722"/>
      <w:bookmarkStart w:id="772" w:name="_Caption4586"/>
      <w:bookmarkStart w:id="773" w:name="_Caption8993"/>
      <w:bookmarkStart w:id="774" w:name="_Toc391972956"/>
      <w:r w:rsidR="00584F9A">
        <w:rPr>
          <w:noProof/>
        </w:rPr>
        <w:t>4</w:t>
      </w:r>
      <w:r w:rsidR="00584F9A" w:rsidRPr="00695C93">
        <w:rPr>
          <w:noProof/>
        </w:rPr>
        <w:t>.</w:t>
      </w:r>
      <w:r w:rsidR="00584F9A">
        <w:rPr>
          <w:noProof/>
        </w:rPr>
        <w:t>5</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695C93">
        <w:fldChar w:fldCharType="end"/>
      </w:r>
      <w:r w:rsidRPr="00695C93">
        <w:tab/>
      </w:r>
      <w:r>
        <w:t>Profitability of Telstra products – Earnings before interest, tax, depreciation and amortisation (EBITDA)</w:t>
      </w:r>
      <w:bookmarkEnd w:id="774"/>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1768"/>
        <w:gridCol w:w="1768"/>
        <w:gridCol w:w="2316"/>
      </w:tblGrid>
      <w:tr w:rsidR="00392639" w:rsidRPr="005C7B71" w:rsidTr="00B01898">
        <w:trPr>
          <w:tblHeader/>
        </w:trPr>
        <w:tc>
          <w:tcPr>
            <w:tcW w:w="2085" w:type="dxa"/>
            <w:tcBorders>
              <w:bottom w:val="single" w:sz="8" w:space="0" w:color="FFFFFF" w:themeColor="background1"/>
            </w:tcBorders>
            <w:shd w:val="clear" w:color="auto" w:fill="6F6652"/>
            <w:tcMar>
              <w:left w:w="57" w:type="dxa"/>
              <w:right w:w="57" w:type="dxa"/>
            </w:tcMar>
          </w:tcPr>
          <w:p w:rsidR="00392639" w:rsidRPr="005C7B71" w:rsidRDefault="00392639" w:rsidP="00F55EB5">
            <w:pPr>
              <w:pStyle w:val="TableDataColumnHeading"/>
              <w:jc w:val="left"/>
            </w:pPr>
          </w:p>
        </w:tc>
        <w:tc>
          <w:tcPr>
            <w:tcW w:w="1768" w:type="dxa"/>
            <w:tcBorders>
              <w:bottom w:val="single" w:sz="8" w:space="0" w:color="FFFFFF" w:themeColor="background1"/>
            </w:tcBorders>
            <w:shd w:val="clear" w:color="auto" w:fill="6F6652"/>
            <w:tcMar>
              <w:left w:w="57" w:type="dxa"/>
              <w:right w:w="57" w:type="dxa"/>
            </w:tcMar>
          </w:tcPr>
          <w:p w:rsidR="00392639" w:rsidRPr="005C7B71" w:rsidRDefault="00392639" w:rsidP="00F55EB5">
            <w:pPr>
              <w:pStyle w:val="TableDataColumnHeading"/>
            </w:pPr>
            <w:r w:rsidRPr="005C7B71">
              <w:t>2012/13</w:t>
            </w:r>
          </w:p>
        </w:tc>
        <w:tc>
          <w:tcPr>
            <w:tcW w:w="1768" w:type="dxa"/>
            <w:tcBorders>
              <w:bottom w:val="single" w:sz="8" w:space="0" w:color="FFFFFF" w:themeColor="background1"/>
            </w:tcBorders>
            <w:shd w:val="clear" w:color="auto" w:fill="6F6652"/>
            <w:tcMar>
              <w:left w:w="57" w:type="dxa"/>
              <w:right w:w="57" w:type="dxa"/>
            </w:tcMar>
          </w:tcPr>
          <w:p w:rsidR="00392639" w:rsidRPr="005C7B71" w:rsidRDefault="00392639" w:rsidP="00F55EB5">
            <w:pPr>
              <w:pStyle w:val="TableDataColumnHeading"/>
            </w:pPr>
            <w:r w:rsidRPr="005C7B71">
              <w:t>2011/12</w:t>
            </w:r>
          </w:p>
        </w:tc>
        <w:tc>
          <w:tcPr>
            <w:tcW w:w="2316" w:type="dxa"/>
            <w:tcBorders>
              <w:bottom w:val="single" w:sz="8" w:space="0" w:color="FFFFFF" w:themeColor="background1"/>
            </w:tcBorders>
            <w:shd w:val="clear" w:color="auto" w:fill="6F6652"/>
            <w:tcMar>
              <w:left w:w="57" w:type="dxa"/>
              <w:right w:w="57" w:type="dxa"/>
            </w:tcMar>
          </w:tcPr>
          <w:p w:rsidR="00392639" w:rsidRPr="005C7B71" w:rsidRDefault="00392639" w:rsidP="00F55EB5">
            <w:pPr>
              <w:pStyle w:val="TableDataColumnHeading"/>
            </w:pPr>
            <w:r w:rsidRPr="005C7B71">
              <w:t>Change</w:t>
            </w:r>
          </w:p>
        </w:tc>
      </w:tr>
      <w:tr w:rsidR="00392639" w:rsidRPr="00EA42F0" w:rsidTr="00B01898">
        <w:trPr>
          <w:tblHeader/>
        </w:trPr>
        <w:tc>
          <w:tcPr>
            <w:tcW w:w="2085" w:type="dxa"/>
            <w:tcBorders>
              <w:top w:val="single" w:sz="8" w:space="0" w:color="FFFFFF" w:themeColor="background1"/>
              <w:bottom w:val="single" w:sz="8" w:space="0" w:color="FFFFFF" w:themeColor="background1"/>
            </w:tcBorders>
            <w:shd w:val="clear" w:color="auto" w:fill="auto"/>
            <w:tcMar>
              <w:left w:w="57" w:type="dxa"/>
              <w:right w:w="57" w:type="dxa"/>
            </w:tcMar>
          </w:tcPr>
          <w:p w:rsidR="00392639" w:rsidRPr="00EA42F0" w:rsidRDefault="00392639" w:rsidP="005C7B71">
            <w:pPr>
              <w:pStyle w:val="TableDataEntries"/>
            </w:pPr>
          </w:p>
        </w:tc>
        <w:tc>
          <w:tcPr>
            <w:tcW w:w="1768" w:type="dxa"/>
            <w:tcBorders>
              <w:top w:val="single" w:sz="8" w:space="0" w:color="FFFFFF" w:themeColor="background1"/>
              <w:bottom w:val="single" w:sz="8" w:space="0" w:color="FFFFFF" w:themeColor="background1"/>
            </w:tcBorders>
            <w:shd w:val="clear" w:color="auto" w:fill="auto"/>
            <w:tcMar>
              <w:left w:w="57" w:type="dxa"/>
              <w:right w:w="57" w:type="dxa"/>
            </w:tcMar>
          </w:tcPr>
          <w:p w:rsidR="00392639" w:rsidRPr="00EA42F0" w:rsidRDefault="00392639" w:rsidP="005C7B71">
            <w:pPr>
              <w:pStyle w:val="TableDataEntries"/>
            </w:pPr>
            <w:r>
              <w:t>Per cent</w:t>
            </w:r>
          </w:p>
        </w:tc>
        <w:tc>
          <w:tcPr>
            <w:tcW w:w="1768" w:type="dxa"/>
            <w:tcBorders>
              <w:top w:val="single" w:sz="8" w:space="0" w:color="FFFFFF" w:themeColor="background1"/>
              <w:bottom w:val="single" w:sz="8" w:space="0" w:color="FFFFFF" w:themeColor="background1"/>
            </w:tcBorders>
            <w:shd w:val="clear" w:color="auto" w:fill="auto"/>
            <w:tcMar>
              <w:left w:w="57" w:type="dxa"/>
              <w:right w:w="57" w:type="dxa"/>
            </w:tcMar>
          </w:tcPr>
          <w:p w:rsidR="00392639" w:rsidRPr="00EA42F0" w:rsidRDefault="00392639" w:rsidP="005C7B71">
            <w:pPr>
              <w:pStyle w:val="TableDataEntries"/>
            </w:pPr>
            <w:r>
              <w:t>Per cent</w:t>
            </w:r>
          </w:p>
        </w:tc>
        <w:tc>
          <w:tcPr>
            <w:tcW w:w="2316" w:type="dxa"/>
            <w:tcBorders>
              <w:top w:val="single" w:sz="8" w:space="0" w:color="FFFFFF" w:themeColor="background1"/>
              <w:bottom w:val="single" w:sz="8" w:space="0" w:color="FFFFFF" w:themeColor="background1"/>
            </w:tcBorders>
            <w:shd w:val="clear" w:color="auto" w:fill="auto"/>
            <w:tcMar>
              <w:left w:w="57" w:type="dxa"/>
              <w:right w:w="57" w:type="dxa"/>
            </w:tcMar>
          </w:tcPr>
          <w:p w:rsidR="00392639" w:rsidRPr="00EA42F0" w:rsidRDefault="00392639" w:rsidP="005C7B71">
            <w:pPr>
              <w:pStyle w:val="TableDataEntries"/>
            </w:pPr>
            <w:r>
              <w:t>Percentage points</w:t>
            </w:r>
          </w:p>
        </w:tc>
      </w:tr>
      <w:tr w:rsidR="00392639" w:rsidTr="00B01898">
        <w:trPr>
          <w:tblHeader/>
        </w:trPr>
        <w:tc>
          <w:tcPr>
            <w:tcW w:w="208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Unit"/>
              <w:jc w:val="left"/>
            </w:pPr>
            <w:r>
              <w:t>Mobile</w:t>
            </w:r>
          </w:p>
        </w:tc>
        <w:tc>
          <w:tcPr>
            <w:tcW w:w="17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Unit"/>
            </w:pPr>
            <w:r>
              <w:t>38</w:t>
            </w:r>
          </w:p>
        </w:tc>
        <w:tc>
          <w:tcPr>
            <w:tcW w:w="17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Unit"/>
            </w:pPr>
            <w:r>
              <w:t>36</w:t>
            </w:r>
          </w:p>
        </w:tc>
        <w:tc>
          <w:tcPr>
            <w:tcW w:w="23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Unit"/>
            </w:pPr>
            <w:r>
              <w:t>+ 2</w:t>
            </w:r>
          </w:p>
        </w:tc>
      </w:tr>
      <w:tr w:rsidR="00392639" w:rsidTr="00B01898">
        <w:trPr>
          <w:tblHeader/>
        </w:trPr>
        <w:tc>
          <w:tcPr>
            <w:tcW w:w="208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jc w:val="left"/>
            </w:pPr>
            <w:r>
              <w:t xml:space="preserve">Fixed Broadband </w:t>
            </w:r>
          </w:p>
        </w:tc>
        <w:tc>
          <w:tcPr>
            <w:tcW w:w="17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42</w:t>
            </w:r>
          </w:p>
        </w:tc>
        <w:tc>
          <w:tcPr>
            <w:tcW w:w="17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38</w:t>
            </w:r>
          </w:p>
        </w:tc>
        <w:tc>
          <w:tcPr>
            <w:tcW w:w="23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+ 4</w:t>
            </w:r>
          </w:p>
        </w:tc>
      </w:tr>
      <w:tr w:rsidR="00392639" w:rsidTr="00B01898">
        <w:trPr>
          <w:tblHeader/>
        </w:trPr>
        <w:tc>
          <w:tcPr>
            <w:tcW w:w="208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F55EB5" w:rsidP="00F55EB5">
            <w:pPr>
              <w:pStyle w:val="TableDataEntries"/>
              <w:jc w:val="left"/>
            </w:pPr>
            <w:r>
              <w:t>P</w:t>
            </w:r>
            <w:r w:rsidRPr="005D086C">
              <w:t xml:space="preserve">ublic </w:t>
            </w:r>
            <w:r>
              <w:t>Switched Telephone N</w:t>
            </w:r>
            <w:r w:rsidRPr="005D086C">
              <w:t>etwo</w:t>
            </w:r>
            <w:r>
              <w:t>rk</w:t>
            </w:r>
          </w:p>
        </w:tc>
        <w:tc>
          <w:tcPr>
            <w:tcW w:w="17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63</w:t>
            </w:r>
          </w:p>
        </w:tc>
        <w:tc>
          <w:tcPr>
            <w:tcW w:w="17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60</w:t>
            </w:r>
          </w:p>
        </w:tc>
        <w:tc>
          <w:tcPr>
            <w:tcW w:w="23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+3</w:t>
            </w:r>
          </w:p>
        </w:tc>
      </w:tr>
      <w:tr w:rsidR="00392639" w:rsidTr="00B01898">
        <w:trPr>
          <w:tblHeader/>
        </w:trPr>
        <w:tc>
          <w:tcPr>
            <w:tcW w:w="208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jc w:val="left"/>
            </w:pPr>
            <w:r>
              <w:t>Data + IP</w:t>
            </w:r>
          </w:p>
        </w:tc>
        <w:tc>
          <w:tcPr>
            <w:tcW w:w="17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65</w:t>
            </w:r>
          </w:p>
        </w:tc>
        <w:tc>
          <w:tcPr>
            <w:tcW w:w="17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64</w:t>
            </w:r>
          </w:p>
        </w:tc>
        <w:tc>
          <w:tcPr>
            <w:tcW w:w="23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+1</w:t>
            </w:r>
          </w:p>
        </w:tc>
      </w:tr>
      <w:tr w:rsidR="00392639" w:rsidTr="00B01898">
        <w:trPr>
          <w:tblHeader/>
        </w:trPr>
        <w:tc>
          <w:tcPr>
            <w:tcW w:w="208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jc w:val="left"/>
            </w:pPr>
            <w:proofErr w:type="spellStart"/>
            <w:r>
              <w:t>Sensis</w:t>
            </w:r>
            <w:proofErr w:type="spellEnd"/>
          </w:p>
        </w:tc>
        <w:tc>
          <w:tcPr>
            <w:tcW w:w="17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44</w:t>
            </w:r>
          </w:p>
        </w:tc>
        <w:tc>
          <w:tcPr>
            <w:tcW w:w="17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50</w:t>
            </w:r>
          </w:p>
        </w:tc>
        <w:tc>
          <w:tcPr>
            <w:tcW w:w="23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Pr="00567096" w:rsidRDefault="00392639" w:rsidP="00F55EB5">
            <w:pPr>
              <w:pStyle w:val="TableDataEntries"/>
            </w:pPr>
            <w:r>
              <w:t>-6</w:t>
            </w:r>
          </w:p>
        </w:tc>
      </w:tr>
      <w:tr w:rsidR="00392639" w:rsidTr="00B01898">
        <w:trPr>
          <w:tblHeader/>
        </w:trPr>
        <w:tc>
          <w:tcPr>
            <w:tcW w:w="2085"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Default="00392639" w:rsidP="00F55EB5">
            <w:pPr>
              <w:pStyle w:val="TableDataEntries"/>
              <w:jc w:val="left"/>
            </w:pPr>
            <w:r>
              <w:t xml:space="preserve">Telstra Group </w:t>
            </w:r>
          </w:p>
        </w:tc>
        <w:tc>
          <w:tcPr>
            <w:tcW w:w="1768"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Default="00392639" w:rsidP="00F55EB5">
            <w:pPr>
              <w:pStyle w:val="TableDataEntries"/>
            </w:pPr>
            <w:r>
              <w:t>42</w:t>
            </w:r>
          </w:p>
        </w:tc>
        <w:tc>
          <w:tcPr>
            <w:tcW w:w="1768"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Default="00392639" w:rsidP="00F55EB5">
            <w:pPr>
              <w:pStyle w:val="TableDataEntries"/>
            </w:pPr>
            <w:r>
              <w:t>41</w:t>
            </w:r>
          </w:p>
        </w:tc>
        <w:tc>
          <w:tcPr>
            <w:tcW w:w="2316"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Default="00392639" w:rsidP="00F55EB5">
            <w:pPr>
              <w:pStyle w:val="TableDataEntries"/>
            </w:pPr>
            <w:r>
              <w:t>+1</w:t>
            </w:r>
          </w:p>
        </w:tc>
      </w:tr>
    </w:tbl>
    <w:p w:rsidR="00392639" w:rsidRDefault="00392639" w:rsidP="00392639">
      <w:pPr>
        <w:pStyle w:val="Source"/>
      </w:pPr>
      <w:r>
        <w:rPr>
          <w:i/>
        </w:rPr>
        <w:t>Source</w:t>
      </w:r>
      <w:r w:rsidRPr="00E4232C">
        <w:rPr>
          <w:i/>
        </w:rPr>
        <w:t>:</w:t>
      </w:r>
      <w:r>
        <w:t xml:space="preserve"> </w:t>
      </w:r>
      <w:r w:rsidRPr="00045E0E">
        <w:rPr>
          <w:sz w:val="16"/>
        </w:rPr>
        <w:t xml:space="preserve">Telstra </w:t>
      </w:r>
      <w:r>
        <w:rPr>
          <w:sz w:val="16"/>
        </w:rPr>
        <w:t>A</w:t>
      </w:r>
      <w:r w:rsidRPr="00045E0E">
        <w:rPr>
          <w:sz w:val="16"/>
        </w:rPr>
        <w:t xml:space="preserve">nnual </w:t>
      </w:r>
      <w:r>
        <w:rPr>
          <w:sz w:val="16"/>
        </w:rPr>
        <w:t>R</w:t>
      </w:r>
      <w:r w:rsidRPr="00045E0E">
        <w:rPr>
          <w:sz w:val="16"/>
        </w:rPr>
        <w:t>eport</w:t>
      </w:r>
      <w:r>
        <w:rPr>
          <w:sz w:val="16"/>
        </w:rPr>
        <w:t xml:space="preserve"> 2013, p.</w:t>
      </w:r>
      <w:r w:rsidRPr="00045E0E">
        <w:rPr>
          <w:sz w:val="16"/>
        </w:rPr>
        <w:t xml:space="preserve"> 15</w:t>
      </w:r>
      <w:r>
        <w:rPr>
          <w:sz w:val="16"/>
        </w:rPr>
        <w:t>.</w:t>
      </w:r>
    </w:p>
    <w:p w:rsidR="00392639" w:rsidRPr="0078272D" w:rsidRDefault="00392639" w:rsidP="00392639">
      <w:pPr>
        <w:pStyle w:val="Heading4"/>
        <w:rPr>
          <w:lang w:val="en-GB"/>
        </w:rPr>
      </w:pPr>
      <w:r w:rsidRPr="0078272D">
        <w:rPr>
          <w:lang w:val="en-GB"/>
        </w:rPr>
        <w:lastRenderedPageBreak/>
        <w:t>Pre-selection and over-ride service providers</w:t>
      </w:r>
    </w:p>
    <w:p w:rsidR="00392639" w:rsidRPr="00314E26" w:rsidRDefault="00392639" w:rsidP="00392639">
      <w:pPr>
        <w:pStyle w:val="BodyText"/>
        <w:rPr>
          <w:lang w:val="en-GB"/>
        </w:rPr>
      </w:pPr>
      <w:r w:rsidRPr="00314E26">
        <w:rPr>
          <w:lang w:val="en-GB"/>
        </w:rPr>
        <w:t>Pre- selection or over- ride service providers give an option to retail customers to have a different service provider for long distance and international calls from th</w:t>
      </w:r>
      <w:r>
        <w:rPr>
          <w:lang w:val="en-GB"/>
        </w:rPr>
        <w:t>e line and local call provider.</w:t>
      </w:r>
    </w:p>
    <w:p w:rsidR="00392639" w:rsidRPr="0078272D" w:rsidRDefault="00392639" w:rsidP="00392639">
      <w:pPr>
        <w:pStyle w:val="BodyText"/>
      </w:pPr>
      <w:r w:rsidRPr="00314E26">
        <w:rPr>
          <w:lang w:val="en-GB"/>
        </w:rPr>
        <w:t xml:space="preserve">These services are now decreasing as more service providers </w:t>
      </w:r>
      <w:r w:rsidR="00016AE2">
        <w:rPr>
          <w:lang w:val="en-GB"/>
        </w:rPr>
        <w:t xml:space="preserve">invest </w:t>
      </w:r>
      <w:r w:rsidRPr="00314E26">
        <w:rPr>
          <w:lang w:val="en-GB"/>
        </w:rPr>
        <w:t xml:space="preserve">in their own fixed line equipment. They have had a direct influence in making the market for national and international calls more competitive, in light of retail price controls. </w:t>
      </w:r>
    </w:p>
    <w:p w:rsidR="00392639" w:rsidRPr="006A3F08" w:rsidRDefault="00392639" w:rsidP="00392639">
      <w:pPr>
        <w:pStyle w:val="Heading3"/>
        <w:rPr>
          <w:rFonts w:eastAsiaTheme="minorHAnsi"/>
          <w:lang w:eastAsia="en-US"/>
        </w:rPr>
      </w:pPr>
      <w:r>
        <w:rPr>
          <w:rFonts w:eastAsiaTheme="minorHAnsi"/>
          <w:lang w:eastAsia="en-US"/>
        </w:rPr>
        <w:t>Other</w:t>
      </w:r>
      <w:r w:rsidRPr="006A3F08">
        <w:rPr>
          <w:rFonts w:eastAsiaTheme="minorHAnsi"/>
          <w:lang w:eastAsia="en-US"/>
        </w:rPr>
        <w:t xml:space="preserve"> </w:t>
      </w:r>
      <w:r>
        <w:rPr>
          <w:rFonts w:eastAsiaTheme="minorHAnsi"/>
          <w:lang w:eastAsia="en-US"/>
        </w:rPr>
        <w:t xml:space="preserve">wholesale </w:t>
      </w:r>
      <w:r w:rsidRPr="006A3F08">
        <w:rPr>
          <w:rFonts w:eastAsiaTheme="minorHAnsi"/>
          <w:lang w:eastAsia="en-US"/>
        </w:rPr>
        <w:t xml:space="preserve">fixed line </w:t>
      </w:r>
      <w:r>
        <w:rPr>
          <w:rFonts w:eastAsiaTheme="minorHAnsi"/>
          <w:lang w:eastAsia="en-US"/>
        </w:rPr>
        <w:t>services (data based products)</w:t>
      </w:r>
    </w:p>
    <w:p w:rsidR="00392639" w:rsidRDefault="00392639" w:rsidP="00392639">
      <w:pPr>
        <w:pStyle w:val="BodyText"/>
        <w:rPr>
          <w:rFonts w:eastAsiaTheme="minorHAnsi"/>
          <w:lang w:eastAsia="en-US"/>
        </w:rPr>
      </w:pPr>
      <w:r>
        <w:rPr>
          <w:rFonts w:eastAsiaTheme="minorHAnsi"/>
          <w:lang w:eastAsia="en-US"/>
        </w:rPr>
        <w:t xml:space="preserve">Telstra’s share of the market for fixed line broadband is significantly lower than its share of the fixed line voice services market. As at June 2013, Telstra holds 42 per cent of the market, with service providers Optus, </w:t>
      </w:r>
      <w:proofErr w:type="spellStart"/>
      <w:r>
        <w:rPr>
          <w:rFonts w:eastAsiaTheme="minorHAnsi"/>
          <w:lang w:eastAsia="en-US"/>
        </w:rPr>
        <w:t>iinet</w:t>
      </w:r>
      <w:proofErr w:type="spellEnd"/>
      <w:r>
        <w:rPr>
          <w:rFonts w:eastAsiaTheme="minorHAnsi"/>
          <w:lang w:eastAsia="en-US"/>
        </w:rPr>
        <w:t>, TPG and Primus the next largest players with roughly similar market shares (chart </w:t>
      </w:r>
      <w:r>
        <w:rPr>
          <w:rFonts w:eastAsiaTheme="minorHAnsi"/>
          <w:lang w:eastAsia="en-US"/>
        </w:rPr>
        <w:fldChar w:fldCharType="begin"/>
      </w:r>
      <w:r>
        <w:rPr>
          <w:rFonts w:eastAsiaTheme="minorHAnsi"/>
          <w:lang w:eastAsia="en-US"/>
        </w:rPr>
        <w:instrText xml:space="preserve"> REF _Caption7073 </w:instrText>
      </w:r>
      <w:r>
        <w:rPr>
          <w:rFonts w:eastAsiaTheme="minorHAnsi"/>
          <w:lang w:eastAsia="en-US"/>
        </w:rPr>
        <w:fldChar w:fldCharType="separate"/>
      </w:r>
      <w:r w:rsidR="00304215">
        <w:rPr>
          <w:noProof/>
        </w:rPr>
        <w:t>4</w:t>
      </w:r>
      <w:r w:rsidR="00304215" w:rsidRPr="00695C93">
        <w:rPr>
          <w:noProof/>
        </w:rPr>
        <w:t>.</w:t>
      </w:r>
      <w:r w:rsidR="00304215">
        <w:rPr>
          <w:noProof/>
        </w:rPr>
        <w:t>6</w:t>
      </w:r>
      <w:r>
        <w:rPr>
          <w:rFonts w:eastAsiaTheme="minorHAnsi"/>
          <w:lang w:eastAsia="en-US"/>
        </w:rPr>
        <w:fldChar w:fldCharType="end"/>
      </w:r>
      <w:r>
        <w:rPr>
          <w:rFonts w:eastAsiaTheme="minorHAnsi"/>
          <w:lang w:eastAsia="en-US"/>
        </w:rPr>
        <w:t>).</w:t>
      </w:r>
    </w:p>
    <w:p w:rsidR="00392639" w:rsidRPr="00695C93" w:rsidRDefault="00392639" w:rsidP="00392639">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w:instrText>
      </w:r>
      <w:fldSimple w:instr=" STYLEREF &quot;Heading 1&quot; \l \n ">
        <w:r w:rsidR="00304215">
          <w:rPr>
            <w:noProof/>
          </w:rPr>
          <w:instrText>4</w:instrText>
        </w:r>
      </w:fldSimple>
      <w:r w:rsidRPr="00695C93">
        <w:instrText xml:space="preserve">." </w:instrText>
      </w:r>
      <w:r w:rsidRPr="00695C93">
        <w:fldChar w:fldCharType="separate"/>
      </w:r>
      <w:r w:rsidR="00304215">
        <w:rPr>
          <w:noProof/>
        </w:rPr>
        <w:instrText>4</w:instrText>
      </w:r>
      <w:r w:rsidR="00304215" w:rsidRPr="00695C93">
        <w:rPr>
          <w:noProof/>
        </w:rPr>
        <w:instrText>.</w:instrText>
      </w:r>
      <w:r w:rsidRPr="00695C93">
        <w:fldChar w:fldCharType="end"/>
      </w:r>
      <w:r w:rsidRPr="00695C93">
        <w:instrText>" "</w:instrText>
      </w:r>
      <w:fldSimple w:instr=" STYLEREF &quot;Heading 6&quot; \l \n ">
        <w:r>
          <w:rPr>
            <w:noProof/>
          </w:rPr>
          <w:instrText>A</w:instrText>
        </w:r>
      </w:fldSimple>
      <w:r w:rsidRPr="00695C93">
        <w:instrText xml:space="preserve">." </w:instrText>
      </w:r>
      <w:r w:rsidRPr="00695C93">
        <w:fldChar w:fldCharType="separate"/>
      </w:r>
      <w:r w:rsidR="00584F9A">
        <w:rPr>
          <w:noProof/>
        </w:rPr>
        <w:instrText>4</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6</w:instrText>
      </w:r>
      <w:r w:rsidRPr="00695C93">
        <w:fldChar w:fldCharType="end"/>
      </w:r>
      <w:r w:rsidRPr="00695C93">
        <w:instrText xml:space="preserve">" "" </w:instrText>
      </w:r>
      <w:r w:rsidRPr="00695C93">
        <w:fldChar w:fldCharType="separate"/>
      </w:r>
      <w:bookmarkStart w:id="775" w:name="_Caption6550"/>
      <w:bookmarkStart w:id="776" w:name="_Caption7523"/>
      <w:bookmarkStart w:id="777" w:name="_Caption2777"/>
      <w:bookmarkStart w:id="778" w:name="_Caption6983"/>
      <w:bookmarkStart w:id="779" w:name="_Caption9517"/>
      <w:bookmarkStart w:id="780" w:name="_Caption4677"/>
      <w:bookmarkStart w:id="781" w:name="_Caption1264"/>
      <w:bookmarkStart w:id="782" w:name="_Caption8038"/>
      <w:bookmarkStart w:id="783" w:name="_Caption3166"/>
      <w:bookmarkStart w:id="784" w:name="_Caption9030"/>
      <w:bookmarkStart w:id="785" w:name="_Caption6473"/>
      <w:bookmarkStart w:id="786" w:name="_Caption4987"/>
      <w:bookmarkStart w:id="787" w:name="_Caption8191"/>
      <w:bookmarkStart w:id="788" w:name="_Caption2140"/>
      <w:bookmarkStart w:id="789" w:name="_Caption7193"/>
      <w:bookmarkStart w:id="790" w:name="_Caption4703"/>
      <w:bookmarkStart w:id="791" w:name="_Caption3448"/>
      <w:bookmarkStart w:id="792" w:name="_Caption7073"/>
      <w:bookmarkStart w:id="793" w:name="_Caption1513"/>
      <w:bookmarkStart w:id="794" w:name="_Caption8359"/>
      <w:bookmarkStart w:id="795" w:name="_Caption9377"/>
      <w:bookmarkStart w:id="796" w:name="_Caption2306"/>
      <w:bookmarkStart w:id="797" w:name="_Caption4121"/>
      <w:bookmarkStart w:id="798" w:name="_Toc391972957"/>
      <w:r w:rsidR="00584F9A">
        <w:rPr>
          <w:noProof/>
        </w:rPr>
        <w:t>4</w:t>
      </w:r>
      <w:r w:rsidR="00584F9A" w:rsidRPr="00695C93">
        <w:rPr>
          <w:noProof/>
        </w:rPr>
        <w:t>.</w:t>
      </w:r>
      <w:r w:rsidR="00584F9A">
        <w:rPr>
          <w:noProof/>
        </w:rPr>
        <w:t>6</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695C93">
        <w:fldChar w:fldCharType="end"/>
      </w:r>
      <w:r w:rsidRPr="00695C93">
        <w:tab/>
      </w:r>
      <w:r>
        <w:t>Retail market share for fixed broadband (DSL and cable)</w:t>
      </w:r>
      <w:bookmarkEnd w:id="798"/>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392639" w:rsidTr="00B01898">
        <w:trPr>
          <w:cantSplit/>
          <w:tblHeader/>
        </w:trPr>
        <w:tc>
          <w:tcPr>
            <w:tcW w:w="7938" w:type="dxa"/>
            <w:shd w:val="clear" w:color="auto" w:fill="E9E8E5" w:themeFill="background2"/>
          </w:tcPr>
          <w:p w:rsidR="00392639" w:rsidRDefault="00392639" w:rsidP="005C7B71">
            <w:pPr>
              <w:pStyle w:val="Chart"/>
              <w:jc w:val="center"/>
            </w:pPr>
            <w:r>
              <w:rPr>
                <w:noProof/>
                <w:lang w:eastAsia="en-AU"/>
              </w:rPr>
              <w:drawing>
                <wp:inline distT="0" distB="0" distL="0" distR="0" wp14:anchorId="2FED473B" wp14:editId="3CD27CDF">
                  <wp:extent cx="4858385" cy="2385695"/>
                  <wp:effectExtent l="0" t="0" r="0" b="0"/>
                  <wp:docPr id="17" name="Picture 17" descr="Bar graph outlining the market share for fixed broadband (DSL and cable)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58385" cy="2385695"/>
                          </a:xfrm>
                          <a:prstGeom prst="rect">
                            <a:avLst/>
                          </a:prstGeom>
                          <a:noFill/>
                          <a:ln>
                            <a:noFill/>
                          </a:ln>
                        </pic:spPr>
                      </pic:pic>
                    </a:graphicData>
                  </a:graphic>
                </wp:inline>
              </w:drawing>
            </w:r>
          </w:p>
        </w:tc>
      </w:tr>
    </w:tbl>
    <w:p w:rsidR="00392639" w:rsidRPr="00080446" w:rsidRDefault="00392639" w:rsidP="00392639">
      <w:pPr>
        <w:pStyle w:val="Note"/>
      </w:pPr>
      <w:r w:rsidRPr="00080446">
        <w:t xml:space="preserve">Note: Market share calculations </w:t>
      </w:r>
      <w:proofErr w:type="gramStart"/>
      <w:r w:rsidRPr="00080446">
        <w:t>are based</w:t>
      </w:r>
      <w:proofErr w:type="gramEnd"/>
      <w:r w:rsidRPr="00080446">
        <w:t xml:space="preserve"> on the number of subscribers. Totals do not add to 100 per cent in all years due to rounding. </w:t>
      </w:r>
    </w:p>
    <w:p w:rsidR="00392639" w:rsidRDefault="00392639" w:rsidP="00392639">
      <w:pPr>
        <w:pStyle w:val="Source"/>
      </w:pPr>
      <w:r>
        <w:rPr>
          <w:i/>
        </w:rPr>
        <w:t>Data source</w:t>
      </w:r>
      <w:r w:rsidRPr="00A67576">
        <w:rPr>
          <w:i/>
        </w:rPr>
        <w:t>:</w:t>
      </w:r>
      <w:r>
        <w:t xml:space="preserve"> </w:t>
      </w:r>
      <w:r w:rsidRPr="00080446">
        <w:t>ACCC Division 12 RKR Reports &amp; ABS, Internet Activity Australia, June 2013 (8153.0)</w:t>
      </w:r>
    </w:p>
    <w:p w:rsidR="00392639" w:rsidRDefault="00392639" w:rsidP="00392639">
      <w:pPr>
        <w:pStyle w:val="BodyText"/>
        <w:rPr>
          <w:rFonts w:eastAsiaTheme="minorHAnsi"/>
          <w:lang w:eastAsia="en-US"/>
        </w:rPr>
      </w:pPr>
      <w:r>
        <w:rPr>
          <w:rFonts w:eastAsiaTheme="minorHAnsi"/>
          <w:lang w:eastAsia="en-US"/>
        </w:rPr>
        <w:t xml:space="preserve">This suggests a greater level of competitive tension in this market. Increasingly, service providers are using wholesale broadband equipment, in conjunction with their own equipment to offer retail customers data service in conjunction with voice services. </w:t>
      </w:r>
    </w:p>
    <w:p w:rsidR="00392639" w:rsidRDefault="00392639" w:rsidP="00392639">
      <w:pPr>
        <w:pStyle w:val="BodyText"/>
      </w:pPr>
      <w:r>
        <w:t xml:space="preserve">Fixed voice and data services </w:t>
      </w:r>
      <w:proofErr w:type="gramStart"/>
      <w:r>
        <w:t>can be supplied</w:t>
      </w:r>
      <w:proofErr w:type="gramEnd"/>
      <w:r>
        <w:t xml:space="preserve"> to the retail customer directly from Telstra or through other providers that purchase wholesale inputs from Telstra or others to supply the service. Unlike voice only services, providers of data services have an option to install their own equipment in the exchange called a Digital Subscriber Line Access Multiplexer (DSLAM).</w:t>
      </w:r>
      <w:r>
        <w:rPr>
          <w:rStyle w:val="FootnoteReference"/>
        </w:rPr>
        <w:footnoteReference w:id="19"/>
      </w:r>
      <w:r>
        <w:t xml:space="preserve"> The DSLAM enables broadband services to </w:t>
      </w:r>
      <w:proofErr w:type="gramStart"/>
      <w:r>
        <w:t>be provided</w:t>
      </w:r>
      <w:proofErr w:type="gramEnd"/>
      <w:r>
        <w:t xml:space="preserve"> over </w:t>
      </w:r>
      <w:r>
        <w:lastRenderedPageBreak/>
        <w:t>the copper line. The DSLAM links copper wires to a core IP network via a backhaul system.</w:t>
      </w:r>
    </w:p>
    <w:p w:rsidR="00392639" w:rsidRDefault="00392639" w:rsidP="00392639">
      <w:pPr>
        <w:pStyle w:val="BodyText"/>
      </w:pPr>
      <w:r>
        <w:t>In addition to installing DSLAMs in the exchange, service providers still require access to the copper line between the exchanges and their retail customer premises from Telstra. The wholesale services related to this are:</w:t>
      </w:r>
    </w:p>
    <w:p w:rsidR="00392639" w:rsidRDefault="00016AE2" w:rsidP="00392639">
      <w:pPr>
        <w:pStyle w:val="ListBullet"/>
      </w:pPr>
      <w:r>
        <w:t>t</w:t>
      </w:r>
      <w:r w:rsidR="00392639">
        <w:t>he unconditioned local loop (ULL)</w:t>
      </w:r>
    </w:p>
    <w:p w:rsidR="00392639" w:rsidRDefault="00016AE2" w:rsidP="00392639">
      <w:pPr>
        <w:pStyle w:val="ListBullet"/>
      </w:pPr>
      <w:r>
        <w:t>l</w:t>
      </w:r>
      <w:r w:rsidR="00392639">
        <w:t>ine sharing service (LSS)</w:t>
      </w:r>
    </w:p>
    <w:p w:rsidR="00392639" w:rsidRPr="00ED643B" w:rsidRDefault="00392639" w:rsidP="00392639">
      <w:pPr>
        <w:pStyle w:val="Heading4"/>
      </w:pPr>
      <w:r w:rsidRPr="00ED643B">
        <w:t>U</w:t>
      </w:r>
      <w:r>
        <w:t xml:space="preserve">nconditioned </w:t>
      </w:r>
      <w:r w:rsidRPr="00ED643B">
        <w:t>L</w:t>
      </w:r>
      <w:r>
        <w:t xml:space="preserve">ocal </w:t>
      </w:r>
      <w:r w:rsidRPr="00ED643B">
        <w:t>L</w:t>
      </w:r>
      <w:r>
        <w:t>oop Service</w:t>
      </w:r>
    </w:p>
    <w:p w:rsidR="00392639" w:rsidRDefault="00392639" w:rsidP="00392639">
      <w:pPr>
        <w:pStyle w:val="BodyText"/>
      </w:pPr>
      <w:r>
        <w:t>By purchasing the ULL service from Telstra, service providers are able to provide both voice and broadband services to retail customers using their own DSLAM. In terms of the voice service, the service provider has two options for supplying a voice service:</w:t>
      </w:r>
    </w:p>
    <w:p w:rsidR="00392639" w:rsidRDefault="00016AE2" w:rsidP="00392639">
      <w:pPr>
        <w:pStyle w:val="ListBullet"/>
      </w:pPr>
      <w:r>
        <w:t>i</w:t>
      </w:r>
      <w:r w:rsidR="00392639">
        <w:t>nstall a voice-enabled DSLAMs</w:t>
      </w:r>
      <w:r w:rsidR="00392639" w:rsidRPr="00805CA9">
        <w:t xml:space="preserve"> and their own telephone swit</w:t>
      </w:r>
      <w:r w:rsidR="00392639">
        <w:t>ching equipment in the exchange</w:t>
      </w:r>
      <w:r>
        <w:t>;</w:t>
      </w:r>
      <w:r w:rsidR="00392639">
        <w:t xml:space="preserve"> or</w:t>
      </w:r>
    </w:p>
    <w:p w:rsidR="00392639" w:rsidRPr="00FB7045" w:rsidRDefault="00016AE2" w:rsidP="00392639">
      <w:pPr>
        <w:pStyle w:val="ListBullet"/>
      </w:pPr>
      <w:proofErr w:type="gramStart"/>
      <w:r>
        <w:t>u</w:t>
      </w:r>
      <w:r w:rsidR="00392639" w:rsidRPr="00FB7045">
        <w:t>se</w:t>
      </w:r>
      <w:proofErr w:type="gramEnd"/>
      <w:r w:rsidR="00392639" w:rsidRPr="00FB7045">
        <w:t xml:space="preserve"> a non-voice-enabled DSLAM and relevant switching and adaptive equipment in their Internet Protocol Core. This allows them to offer end-users an IP-based voice service</w:t>
      </w:r>
      <w:r w:rsidR="00392639">
        <w:t>.</w:t>
      </w:r>
    </w:p>
    <w:p w:rsidR="00392639" w:rsidRDefault="00392639" w:rsidP="00392639">
      <w:pPr>
        <w:pStyle w:val="BodyText"/>
      </w:pPr>
      <w:r>
        <w:t xml:space="preserve">A service provider can also use the ULL to supply a naked DSL service, which is standalone broadband service, not bundled with a fixed voice service. Retail customers purchasing a naked DSL service then use a VoIP service to make voice calls. </w:t>
      </w:r>
    </w:p>
    <w:p w:rsidR="00392639" w:rsidRPr="0037315F" w:rsidRDefault="00392639" w:rsidP="00392639">
      <w:pPr>
        <w:pStyle w:val="Heading4"/>
      </w:pPr>
      <w:r w:rsidRPr="0037315F">
        <w:t>L</w:t>
      </w:r>
      <w:r>
        <w:t xml:space="preserve">ine </w:t>
      </w:r>
      <w:r w:rsidRPr="0037315F">
        <w:t>S</w:t>
      </w:r>
      <w:r>
        <w:t xml:space="preserve">haring </w:t>
      </w:r>
      <w:r w:rsidRPr="0037315F">
        <w:t>S</w:t>
      </w:r>
      <w:r>
        <w:t xml:space="preserve">ervice </w:t>
      </w:r>
    </w:p>
    <w:p w:rsidR="00392639" w:rsidRDefault="00392639" w:rsidP="00392639">
      <w:pPr>
        <w:pStyle w:val="BodyText"/>
      </w:pPr>
      <w:r>
        <w:t xml:space="preserve">The LSS gives a service provider access to the data services part of the copper line. A service provider would use the LSS to supply a broadband service to a retail customer with an already activated voice service (using the voice services part of the copper line). This gives the retail customer an opportunity to purchase voice and broadband services from different providers. </w:t>
      </w:r>
    </w:p>
    <w:p w:rsidR="00392639" w:rsidRDefault="00392639" w:rsidP="00392639">
      <w:pPr>
        <w:pStyle w:val="BodyText"/>
      </w:pPr>
      <w:r>
        <w:t xml:space="preserve">Like ULL, the LSS service is unconditioned so the service provider is required to deploy equipment, such as DSLAMs, to connect to the copper wire. </w:t>
      </w:r>
    </w:p>
    <w:p w:rsidR="00392639" w:rsidRDefault="00392639" w:rsidP="00392639">
      <w:pPr>
        <w:pStyle w:val="Heading4"/>
        <w:numPr>
          <w:ilvl w:val="0"/>
          <w:numId w:val="0"/>
        </w:numPr>
      </w:pPr>
      <w:r>
        <w:t xml:space="preserve">Additional inputs </w:t>
      </w:r>
    </w:p>
    <w:p w:rsidR="00392639" w:rsidRPr="0053046F" w:rsidRDefault="00392639" w:rsidP="00392639">
      <w:pPr>
        <w:pStyle w:val="BodyText"/>
      </w:pPr>
      <w:r>
        <w:t>In some circumstances, service providers buying wholesale broadband inputs and using their own DSLAM, also buy fixed line voice inputs (WLR, LCS, PSTN OTA) instead of investing in their own voice related equipment</w:t>
      </w:r>
      <w:r w:rsidRPr="00FB7045">
        <w:t>.</w:t>
      </w:r>
      <w:r w:rsidRPr="00FB7045">
        <w:rPr>
          <w:rStyle w:val="FootnoteReference"/>
        </w:rPr>
        <w:footnoteReference w:id="20"/>
      </w:r>
    </w:p>
    <w:p w:rsidR="00392639" w:rsidRPr="00805CA9" w:rsidRDefault="00392639" w:rsidP="00392639">
      <w:pPr>
        <w:pStyle w:val="BodyText"/>
      </w:pPr>
      <w:r>
        <w:t xml:space="preserve">The ACCC regulates prices for fixed line broadband wholesale inputs. </w:t>
      </w:r>
      <w:r w:rsidRPr="000168D6">
        <w:t>Overall, the prices for regulated wholesale inputs have declined in real terms</w:t>
      </w:r>
      <w:r>
        <w:t xml:space="preserve"> (table </w:t>
      </w:r>
      <w:fldSimple w:instr=" REF _Caption8999 ">
        <w:r w:rsidR="00304215">
          <w:rPr>
            <w:noProof/>
          </w:rPr>
          <w:t>4</w:t>
        </w:r>
        <w:r w:rsidR="00304215" w:rsidRPr="00695C93">
          <w:rPr>
            <w:noProof/>
          </w:rPr>
          <w:t>.</w:t>
        </w:r>
        <w:r w:rsidR="00304215">
          <w:rPr>
            <w:noProof/>
          </w:rPr>
          <w:t>7</w:t>
        </w:r>
      </w:fldSimple>
      <w:r>
        <w:t>)</w:t>
      </w:r>
      <w:r w:rsidRPr="000168D6">
        <w:t xml:space="preserve">. </w:t>
      </w:r>
      <w:r>
        <w:t>More specifically:</w:t>
      </w:r>
    </w:p>
    <w:p w:rsidR="00392639" w:rsidRDefault="00392639" w:rsidP="00392639">
      <w:pPr>
        <w:pStyle w:val="ListBullet"/>
      </w:pPr>
      <w:r>
        <w:lastRenderedPageBreak/>
        <w:t>c</w:t>
      </w:r>
      <w:r w:rsidRPr="005D086C">
        <w:t xml:space="preserve">harges for the ULL </w:t>
      </w:r>
      <w:r>
        <w:t>based on geographic bands — i</w:t>
      </w:r>
      <w:r w:rsidRPr="005D086C">
        <w:t>n the recent draft declaration, the ACCC has proposed</w:t>
      </w:r>
      <w:r>
        <w:t xml:space="preserve"> to</w:t>
      </w:r>
      <w:r w:rsidRPr="005D086C">
        <w:t xml:space="preserve"> have one price for bands 1 to 3 an</w:t>
      </w:r>
      <w:r w:rsidR="00016AE2">
        <w:t>d reinstate a price for band 4;</w:t>
      </w:r>
    </w:p>
    <w:p w:rsidR="00392639" w:rsidRDefault="00016AE2" w:rsidP="00392639">
      <w:pPr>
        <w:pStyle w:val="ListBullet"/>
      </w:pPr>
      <w:r>
        <w:t>t</w:t>
      </w:r>
      <w:r w:rsidR="00392639" w:rsidRPr="005D086C">
        <w:t>he price for band 1 has essentially increased while prices for band 2 and more signific</w:t>
      </w:r>
      <w:r w:rsidR="00392639">
        <w:t>a</w:t>
      </w:r>
      <w:r>
        <w:t>ntly band 3 have decreased; and</w:t>
      </w:r>
    </w:p>
    <w:p w:rsidR="00392639" w:rsidRDefault="00016AE2" w:rsidP="00392639">
      <w:pPr>
        <w:pStyle w:val="ListBullet"/>
        <w:rPr>
          <w:rFonts w:eastAsiaTheme="minorHAnsi"/>
          <w:lang w:eastAsia="en-US"/>
        </w:rPr>
      </w:pPr>
      <w:proofErr w:type="gramStart"/>
      <w:r>
        <w:rPr>
          <w:rFonts w:eastAsiaTheme="minorHAnsi"/>
          <w:lang w:eastAsia="en-US"/>
        </w:rPr>
        <w:t>t</w:t>
      </w:r>
      <w:r w:rsidR="00392639" w:rsidRPr="00713A02">
        <w:rPr>
          <w:rFonts w:eastAsiaTheme="minorHAnsi"/>
          <w:lang w:eastAsia="en-US"/>
        </w:rPr>
        <w:t>he</w:t>
      </w:r>
      <w:proofErr w:type="gramEnd"/>
      <w:r w:rsidR="00392639" w:rsidRPr="00713A02">
        <w:rPr>
          <w:rFonts w:eastAsiaTheme="minorHAnsi"/>
          <w:lang w:eastAsia="en-US"/>
        </w:rPr>
        <w:t xml:space="preserve"> prices for LSS are se</w:t>
      </w:r>
      <w:r>
        <w:rPr>
          <w:rFonts w:eastAsiaTheme="minorHAnsi"/>
          <w:lang w:eastAsia="en-US"/>
        </w:rPr>
        <w:t xml:space="preserve">t in conjunction with the ULL </w:t>
      </w:r>
      <w:r w:rsidR="00392639">
        <w:rPr>
          <w:rFonts w:eastAsiaTheme="minorHAnsi"/>
          <w:lang w:eastAsia="en-US"/>
        </w:rPr>
        <w:t>have also reduced.</w:t>
      </w:r>
    </w:p>
    <w:p w:rsidR="00392639" w:rsidRDefault="00392639" w:rsidP="00392639">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w:instrText>
      </w:r>
      <w:fldSimple w:instr=" STYLEREF &quot;Heading 1&quot; \l \n ">
        <w:r w:rsidR="00304215">
          <w:rPr>
            <w:noProof/>
          </w:rPr>
          <w:instrText>4</w:instrText>
        </w:r>
      </w:fldSimple>
      <w:r w:rsidRPr="00695C93">
        <w:instrText xml:space="preserve">." </w:instrText>
      </w:r>
      <w:r w:rsidRPr="00695C93">
        <w:fldChar w:fldCharType="separate"/>
      </w:r>
      <w:r w:rsidR="00304215">
        <w:rPr>
          <w:noProof/>
        </w:rPr>
        <w:instrText>4</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4</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7</w:instrText>
      </w:r>
      <w:r w:rsidRPr="00695C93">
        <w:fldChar w:fldCharType="end"/>
      </w:r>
      <w:r w:rsidRPr="00695C93">
        <w:instrText xml:space="preserve">" "" </w:instrText>
      </w:r>
      <w:r w:rsidRPr="00695C93">
        <w:fldChar w:fldCharType="separate"/>
      </w:r>
      <w:bookmarkStart w:id="799" w:name="_Caption2789"/>
      <w:bookmarkStart w:id="800" w:name="_Caption1405"/>
      <w:bookmarkStart w:id="801" w:name="_Caption3669"/>
      <w:bookmarkStart w:id="802" w:name="_Caption5499"/>
      <w:bookmarkStart w:id="803" w:name="_Caption9635"/>
      <w:bookmarkStart w:id="804" w:name="_Caption4795"/>
      <w:bookmarkStart w:id="805" w:name="_Caption3184"/>
      <w:bookmarkStart w:id="806" w:name="_Caption1921"/>
      <w:bookmarkStart w:id="807" w:name="_Caption0952"/>
      <w:bookmarkStart w:id="808" w:name="_Caption7116"/>
      <w:bookmarkStart w:id="809" w:name="_Caption3312"/>
      <w:bookmarkStart w:id="810" w:name="_Caption8999"/>
      <w:bookmarkStart w:id="811" w:name="_Caption3463"/>
      <w:bookmarkStart w:id="812" w:name="_Caption1987"/>
      <w:bookmarkStart w:id="813" w:name="_Toc391972958"/>
      <w:r w:rsidR="00584F9A">
        <w:rPr>
          <w:noProof/>
        </w:rPr>
        <w:t>4</w:t>
      </w:r>
      <w:r w:rsidR="00584F9A" w:rsidRPr="00695C93">
        <w:rPr>
          <w:noProof/>
        </w:rPr>
        <w:t>.</w:t>
      </w:r>
      <w:r w:rsidR="00584F9A">
        <w:rPr>
          <w:noProof/>
        </w:rPr>
        <w:t>7</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695C93">
        <w:fldChar w:fldCharType="end"/>
      </w:r>
      <w:r w:rsidRPr="00695C93">
        <w:tab/>
      </w:r>
      <w:r>
        <w:t>ULL and LSS prices</w:t>
      </w:r>
      <w:r w:rsidR="00016AE2">
        <w:t xml:space="preserve"> (nominal)</w:t>
      </w:r>
      <w:bookmarkEnd w:id="813"/>
    </w:p>
    <w:tbl>
      <w:tblPr>
        <w:tblW w:w="0" w:type="auto"/>
        <w:tblInd w:w="57" w:type="dxa"/>
        <w:tblLayout w:type="fixed"/>
        <w:tblLook w:val="0000" w:firstRow="0" w:lastRow="0" w:firstColumn="0" w:lastColumn="0" w:noHBand="0" w:noVBand="0"/>
      </w:tblPr>
      <w:tblGrid>
        <w:gridCol w:w="1843"/>
        <w:gridCol w:w="1015"/>
        <w:gridCol w:w="1016"/>
        <w:gridCol w:w="1015"/>
        <w:gridCol w:w="1016"/>
        <w:gridCol w:w="1015"/>
        <w:gridCol w:w="1016"/>
      </w:tblGrid>
      <w:tr w:rsidR="00392639" w:rsidTr="00F55EB5">
        <w:tc>
          <w:tcPr>
            <w:tcW w:w="1843" w:type="dxa"/>
            <w:shd w:val="clear" w:color="auto" w:fill="6F6652"/>
            <w:tcMar>
              <w:left w:w="57" w:type="dxa"/>
              <w:right w:w="57" w:type="dxa"/>
            </w:tcMar>
          </w:tcPr>
          <w:p w:rsidR="00392639" w:rsidRDefault="00392639" w:rsidP="00F55EB5">
            <w:pPr>
              <w:pStyle w:val="TableDataColumnHeading"/>
              <w:jc w:val="left"/>
              <w:rPr>
                <w:rFonts w:eastAsiaTheme="minorHAnsi"/>
              </w:rPr>
            </w:pPr>
          </w:p>
        </w:tc>
        <w:tc>
          <w:tcPr>
            <w:tcW w:w="1015" w:type="dxa"/>
            <w:shd w:val="clear" w:color="auto" w:fill="6F6652"/>
            <w:tcMar>
              <w:left w:w="57" w:type="dxa"/>
              <w:right w:w="57" w:type="dxa"/>
            </w:tcMar>
          </w:tcPr>
          <w:p w:rsidR="00392639" w:rsidRDefault="00392639" w:rsidP="00F55EB5">
            <w:pPr>
              <w:pStyle w:val="TableDataColumnHeading"/>
              <w:rPr>
                <w:rFonts w:eastAsiaTheme="minorHAnsi"/>
              </w:rPr>
            </w:pPr>
            <w:r>
              <w:rPr>
                <w:rFonts w:eastAsiaTheme="minorHAnsi"/>
              </w:rPr>
              <w:t>2006/07</w:t>
            </w:r>
          </w:p>
        </w:tc>
        <w:tc>
          <w:tcPr>
            <w:tcW w:w="1016" w:type="dxa"/>
            <w:shd w:val="clear" w:color="auto" w:fill="6F6652"/>
            <w:tcMar>
              <w:left w:w="57" w:type="dxa"/>
              <w:right w:w="57" w:type="dxa"/>
            </w:tcMar>
          </w:tcPr>
          <w:p w:rsidR="00392639" w:rsidRDefault="00392639" w:rsidP="00F55EB5">
            <w:pPr>
              <w:pStyle w:val="TableDataColumnHeading"/>
              <w:rPr>
                <w:rFonts w:eastAsiaTheme="minorHAnsi"/>
              </w:rPr>
            </w:pPr>
            <w:r>
              <w:rPr>
                <w:rFonts w:eastAsiaTheme="minorHAnsi"/>
              </w:rPr>
              <w:t>2007/08</w:t>
            </w:r>
          </w:p>
        </w:tc>
        <w:tc>
          <w:tcPr>
            <w:tcW w:w="1015" w:type="dxa"/>
            <w:shd w:val="clear" w:color="auto" w:fill="6F6652"/>
            <w:tcMar>
              <w:left w:w="57" w:type="dxa"/>
              <w:right w:w="57" w:type="dxa"/>
            </w:tcMar>
          </w:tcPr>
          <w:p w:rsidR="00392639" w:rsidRDefault="00392639" w:rsidP="00F55EB5">
            <w:pPr>
              <w:pStyle w:val="TableDataColumnHeading"/>
              <w:rPr>
                <w:rFonts w:eastAsiaTheme="minorHAnsi"/>
              </w:rPr>
            </w:pPr>
            <w:r>
              <w:rPr>
                <w:rFonts w:eastAsiaTheme="minorHAnsi"/>
              </w:rPr>
              <w:t>2008/09</w:t>
            </w:r>
            <w:r w:rsidRPr="00485719">
              <w:rPr>
                <w:rStyle w:val="NoteLabel"/>
                <w:rFonts w:eastAsiaTheme="minorHAnsi"/>
              </w:rPr>
              <w:t>a</w:t>
            </w:r>
          </w:p>
        </w:tc>
        <w:tc>
          <w:tcPr>
            <w:tcW w:w="1016" w:type="dxa"/>
            <w:shd w:val="clear" w:color="auto" w:fill="6F6652"/>
            <w:tcMar>
              <w:left w:w="57" w:type="dxa"/>
              <w:right w:w="57" w:type="dxa"/>
            </w:tcMar>
          </w:tcPr>
          <w:p w:rsidR="00392639" w:rsidRDefault="00392639" w:rsidP="00F55EB5">
            <w:pPr>
              <w:pStyle w:val="TableDataColumnHeading"/>
              <w:rPr>
                <w:rFonts w:eastAsiaTheme="minorHAnsi"/>
              </w:rPr>
            </w:pPr>
            <w:r>
              <w:rPr>
                <w:rFonts w:eastAsiaTheme="minorHAnsi"/>
              </w:rPr>
              <w:t>August 2009 to December 2010</w:t>
            </w:r>
          </w:p>
        </w:tc>
        <w:tc>
          <w:tcPr>
            <w:tcW w:w="1015" w:type="dxa"/>
            <w:shd w:val="clear" w:color="auto" w:fill="6F6652"/>
            <w:tcMar>
              <w:left w:w="57" w:type="dxa"/>
              <w:right w:w="57" w:type="dxa"/>
            </w:tcMar>
          </w:tcPr>
          <w:p w:rsidR="00392639" w:rsidRDefault="00392639" w:rsidP="00F55EB5">
            <w:pPr>
              <w:pStyle w:val="TableDataColumnHeading"/>
              <w:rPr>
                <w:rFonts w:eastAsiaTheme="minorHAnsi"/>
              </w:rPr>
            </w:pPr>
            <w:r>
              <w:rPr>
                <w:rFonts w:eastAsiaTheme="minorHAnsi"/>
              </w:rPr>
              <w:t>January 2011 to 30 June 2011</w:t>
            </w:r>
          </w:p>
        </w:tc>
        <w:tc>
          <w:tcPr>
            <w:tcW w:w="1016" w:type="dxa"/>
            <w:shd w:val="clear" w:color="auto" w:fill="6F6652"/>
            <w:tcMar>
              <w:left w:w="57" w:type="dxa"/>
              <w:right w:w="57" w:type="dxa"/>
            </w:tcMar>
          </w:tcPr>
          <w:p w:rsidR="00392639" w:rsidRDefault="00392639" w:rsidP="00F55EB5">
            <w:pPr>
              <w:pStyle w:val="TableDataColumnHeading"/>
              <w:rPr>
                <w:rFonts w:eastAsiaTheme="minorHAnsi"/>
              </w:rPr>
            </w:pPr>
            <w:r>
              <w:rPr>
                <w:rFonts w:eastAsiaTheme="minorHAnsi"/>
              </w:rPr>
              <w:t>July 2011 to June 2014</w:t>
            </w:r>
          </w:p>
        </w:tc>
      </w:tr>
      <w:tr w:rsidR="00392639" w:rsidTr="00F55EB5">
        <w:tc>
          <w:tcPr>
            <w:tcW w:w="1843" w:type="dxa"/>
            <w:tcBorders>
              <w:bottom w:val="single" w:sz="8" w:space="0" w:color="FFFFFF" w:themeColor="background1"/>
            </w:tcBorders>
            <w:shd w:val="clear" w:color="auto" w:fill="auto"/>
            <w:tcMar>
              <w:left w:w="57" w:type="dxa"/>
              <w:right w:w="57" w:type="dxa"/>
            </w:tcMar>
          </w:tcPr>
          <w:p w:rsidR="00392639" w:rsidRDefault="00392639" w:rsidP="005C7B71">
            <w:pPr>
              <w:pStyle w:val="TableDataEntries"/>
              <w:rPr>
                <w:rFonts w:eastAsiaTheme="minorHAnsi"/>
              </w:rPr>
            </w:pPr>
          </w:p>
        </w:tc>
        <w:tc>
          <w:tcPr>
            <w:tcW w:w="1015" w:type="dxa"/>
            <w:tcBorders>
              <w:bottom w:val="single" w:sz="8" w:space="0" w:color="FFFFFF" w:themeColor="background1"/>
            </w:tcBorders>
            <w:shd w:val="clear" w:color="auto" w:fill="auto"/>
            <w:tcMar>
              <w:left w:w="57" w:type="dxa"/>
              <w:right w:w="57" w:type="dxa"/>
            </w:tcMar>
          </w:tcPr>
          <w:p w:rsidR="00392639" w:rsidRDefault="00392639" w:rsidP="005C7B71">
            <w:pPr>
              <w:pStyle w:val="TableDataEntries"/>
              <w:rPr>
                <w:rFonts w:eastAsiaTheme="minorHAnsi"/>
              </w:rPr>
            </w:pPr>
            <w:r>
              <w:rPr>
                <w:rFonts w:eastAsiaTheme="minorHAnsi"/>
              </w:rPr>
              <w:t>$</w:t>
            </w:r>
          </w:p>
        </w:tc>
        <w:tc>
          <w:tcPr>
            <w:tcW w:w="1016" w:type="dxa"/>
            <w:tcBorders>
              <w:bottom w:val="single" w:sz="8" w:space="0" w:color="FFFFFF" w:themeColor="background1"/>
            </w:tcBorders>
            <w:shd w:val="clear" w:color="auto" w:fill="auto"/>
            <w:tcMar>
              <w:left w:w="57" w:type="dxa"/>
              <w:right w:w="57" w:type="dxa"/>
            </w:tcMar>
          </w:tcPr>
          <w:p w:rsidR="00392639" w:rsidRDefault="00392639" w:rsidP="005C7B71">
            <w:pPr>
              <w:pStyle w:val="TableDataEntries"/>
              <w:rPr>
                <w:rFonts w:eastAsiaTheme="minorHAnsi"/>
              </w:rPr>
            </w:pPr>
            <w:r>
              <w:rPr>
                <w:rFonts w:eastAsiaTheme="minorHAnsi"/>
              </w:rPr>
              <w:t>$</w:t>
            </w:r>
          </w:p>
        </w:tc>
        <w:tc>
          <w:tcPr>
            <w:tcW w:w="1015" w:type="dxa"/>
            <w:tcBorders>
              <w:bottom w:val="single" w:sz="8" w:space="0" w:color="FFFFFF" w:themeColor="background1"/>
            </w:tcBorders>
            <w:shd w:val="clear" w:color="auto" w:fill="auto"/>
            <w:tcMar>
              <w:left w:w="57" w:type="dxa"/>
              <w:right w:w="57" w:type="dxa"/>
            </w:tcMar>
          </w:tcPr>
          <w:p w:rsidR="00392639" w:rsidRDefault="00392639" w:rsidP="005C7B71">
            <w:pPr>
              <w:pStyle w:val="TableDataEntries"/>
              <w:rPr>
                <w:rFonts w:eastAsiaTheme="minorHAnsi"/>
              </w:rPr>
            </w:pPr>
            <w:r>
              <w:rPr>
                <w:rFonts w:eastAsiaTheme="minorHAnsi"/>
              </w:rPr>
              <w:t>$</w:t>
            </w:r>
          </w:p>
        </w:tc>
        <w:tc>
          <w:tcPr>
            <w:tcW w:w="1016" w:type="dxa"/>
            <w:tcBorders>
              <w:bottom w:val="single" w:sz="8" w:space="0" w:color="FFFFFF" w:themeColor="background1"/>
            </w:tcBorders>
            <w:shd w:val="clear" w:color="auto" w:fill="auto"/>
            <w:tcMar>
              <w:left w:w="57" w:type="dxa"/>
              <w:right w:w="57" w:type="dxa"/>
            </w:tcMar>
          </w:tcPr>
          <w:p w:rsidR="00392639" w:rsidRDefault="00392639" w:rsidP="005C7B71">
            <w:pPr>
              <w:pStyle w:val="TableDataEntries"/>
              <w:rPr>
                <w:rFonts w:eastAsiaTheme="minorHAnsi"/>
              </w:rPr>
            </w:pPr>
            <w:r>
              <w:rPr>
                <w:rFonts w:eastAsiaTheme="minorHAnsi"/>
              </w:rPr>
              <w:t>$</w:t>
            </w:r>
          </w:p>
        </w:tc>
        <w:tc>
          <w:tcPr>
            <w:tcW w:w="1015" w:type="dxa"/>
            <w:tcBorders>
              <w:bottom w:val="single" w:sz="8" w:space="0" w:color="FFFFFF" w:themeColor="background1"/>
            </w:tcBorders>
            <w:shd w:val="clear" w:color="auto" w:fill="auto"/>
            <w:tcMar>
              <w:left w:w="57" w:type="dxa"/>
              <w:right w:w="57" w:type="dxa"/>
            </w:tcMar>
          </w:tcPr>
          <w:p w:rsidR="00392639" w:rsidRDefault="00392639" w:rsidP="005C7B71">
            <w:pPr>
              <w:pStyle w:val="TableDataEntries"/>
              <w:rPr>
                <w:rFonts w:eastAsiaTheme="minorHAnsi"/>
              </w:rPr>
            </w:pPr>
            <w:r>
              <w:rPr>
                <w:rFonts w:eastAsiaTheme="minorHAnsi"/>
              </w:rPr>
              <w:t>$</w:t>
            </w:r>
          </w:p>
        </w:tc>
        <w:tc>
          <w:tcPr>
            <w:tcW w:w="1016" w:type="dxa"/>
            <w:tcBorders>
              <w:bottom w:val="single" w:sz="8" w:space="0" w:color="FFFFFF" w:themeColor="background1"/>
            </w:tcBorders>
            <w:shd w:val="clear" w:color="auto" w:fill="auto"/>
            <w:tcMar>
              <w:left w:w="57" w:type="dxa"/>
              <w:right w:w="57" w:type="dxa"/>
            </w:tcMar>
          </w:tcPr>
          <w:p w:rsidR="00392639" w:rsidRDefault="00392639" w:rsidP="005C7B71">
            <w:pPr>
              <w:pStyle w:val="TableDataEntries"/>
              <w:rPr>
                <w:rFonts w:eastAsiaTheme="minorHAnsi"/>
              </w:rPr>
            </w:pPr>
            <w:r>
              <w:rPr>
                <w:rFonts w:eastAsiaTheme="minorHAnsi"/>
              </w:rPr>
              <w:t>$</w:t>
            </w:r>
          </w:p>
        </w:tc>
      </w:tr>
      <w:tr w:rsidR="00392639" w:rsidTr="00F55EB5">
        <w:tc>
          <w:tcPr>
            <w:tcW w:w="1843" w:type="dxa"/>
            <w:tcBorders>
              <w:top w:val="single" w:sz="8" w:space="0" w:color="FFFFFF" w:themeColor="background1"/>
              <w:bottom w:val="single" w:sz="8" w:space="0" w:color="FFFFFF" w:themeColor="background1"/>
            </w:tcBorders>
            <w:shd w:val="clear" w:color="auto" w:fill="E4E0DA" w:themeFill="text2" w:themeFillTint="33"/>
            <w:tcMar>
              <w:left w:w="57" w:type="dxa"/>
              <w:right w:w="57" w:type="dxa"/>
            </w:tcMar>
          </w:tcPr>
          <w:p w:rsidR="00392639" w:rsidRDefault="00392639" w:rsidP="00F55EB5">
            <w:pPr>
              <w:pStyle w:val="TableHeading1"/>
              <w:rPr>
                <w:rFonts w:eastAsiaTheme="minorHAnsi"/>
              </w:rPr>
            </w:pPr>
            <w:r>
              <w:rPr>
                <w:rFonts w:eastAsiaTheme="minorHAnsi"/>
              </w:rPr>
              <w:t>ULLS prices</w:t>
            </w:r>
          </w:p>
        </w:tc>
        <w:tc>
          <w:tcPr>
            <w:tcW w:w="1015" w:type="dxa"/>
            <w:tcBorders>
              <w:top w:val="single" w:sz="8" w:space="0" w:color="FFFFFF" w:themeColor="background1"/>
              <w:bottom w:val="single" w:sz="8" w:space="0" w:color="FFFFFF" w:themeColor="background1"/>
            </w:tcBorders>
            <w:shd w:val="clear" w:color="auto" w:fill="E4E0DA" w:themeFill="text2" w:themeFillTint="33"/>
            <w:tcMar>
              <w:left w:w="57" w:type="dxa"/>
              <w:right w:w="57" w:type="dxa"/>
            </w:tcMar>
          </w:tcPr>
          <w:p w:rsidR="00392639" w:rsidRDefault="00392639" w:rsidP="00F55EB5">
            <w:pPr>
              <w:pStyle w:val="TableHeading1"/>
              <w:rPr>
                <w:rFonts w:eastAsiaTheme="minorHAnsi"/>
              </w:rPr>
            </w:pPr>
          </w:p>
        </w:tc>
        <w:tc>
          <w:tcPr>
            <w:tcW w:w="1016" w:type="dxa"/>
            <w:tcBorders>
              <w:top w:val="single" w:sz="8" w:space="0" w:color="FFFFFF" w:themeColor="background1"/>
              <w:bottom w:val="single" w:sz="8" w:space="0" w:color="FFFFFF" w:themeColor="background1"/>
            </w:tcBorders>
            <w:shd w:val="clear" w:color="auto" w:fill="E4E0DA" w:themeFill="text2" w:themeFillTint="33"/>
            <w:tcMar>
              <w:left w:w="57" w:type="dxa"/>
              <w:right w:w="57" w:type="dxa"/>
            </w:tcMar>
          </w:tcPr>
          <w:p w:rsidR="00392639" w:rsidRDefault="00392639" w:rsidP="00F55EB5">
            <w:pPr>
              <w:pStyle w:val="TableHeading1"/>
              <w:rPr>
                <w:rFonts w:eastAsiaTheme="minorHAnsi"/>
              </w:rPr>
            </w:pPr>
          </w:p>
        </w:tc>
        <w:tc>
          <w:tcPr>
            <w:tcW w:w="1015" w:type="dxa"/>
            <w:tcBorders>
              <w:top w:val="single" w:sz="8" w:space="0" w:color="FFFFFF" w:themeColor="background1"/>
              <w:bottom w:val="single" w:sz="8" w:space="0" w:color="FFFFFF" w:themeColor="background1"/>
            </w:tcBorders>
            <w:shd w:val="clear" w:color="auto" w:fill="E4E0DA" w:themeFill="text2" w:themeFillTint="33"/>
            <w:tcMar>
              <w:left w:w="57" w:type="dxa"/>
              <w:right w:w="57" w:type="dxa"/>
            </w:tcMar>
          </w:tcPr>
          <w:p w:rsidR="00392639" w:rsidRDefault="00392639" w:rsidP="00F55EB5">
            <w:pPr>
              <w:pStyle w:val="TableHeading1"/>
              <w:rPr>
                <w:rFonts w:eastAsiaTheme="minorHAnsi"/>
              </w:rPr>
            </w:pPr>
          </w:p>
        </w:tc>
        <w:tc>
          <w:tcPr>
            <w:tcW w:w="1016" w:type="dxa"/>
            <w:tcBorders>
              <w:top w:val="single" w:sz="8" w:space="0" w:color="FFFFFF" w:themeColor="background1"/>
              <w:bottom w:val="single" w:sz="8" w:space="0" w:color="FFFFFF" w:themeColor="background1"/>
            </w:tcBorders>
            <w:shd w:val="clear" w:color="auto" w:fill="E4E0DA" w:themeFill="text2" w:themeFillTint="33"/>
            <w:tcMar>
              <w:left w:w="57" w:type="dxa"/>
              <w:right w:w="57" w:type="dxa"/>
            </w:tcMar>
          </w:tcPr>
          <w:p w:rsidR="00392639" w:rsidRDefault="00392639" w:rsidP="00F55EB5">
            <w:pPr>
              <w:pStyle w:val="TableHeading1"/>
              <w:rPr>
                <w:rFonts w:eastAsiaTheme="minorHAnsi"/>
              </w:rPr>
            </w:pPr>
          </w:p>
        </w:tc>
        <w:tc>
          <w:tcPr>
            <w:tcW w:w="1015" w:type="dxa"/>
            <w:tcBorders>
              <w:top w:val="single" w:sz="8" w:space="0" w:color="FFFFFF" w:themeColor="background1"/>
              <w:bottom w:val="single" w:sz="8" w:space="0" w:color="FFFFFF" w:themeColor="background1"/>
            </w:tcBorders>
            <w:shd w:val="clear" w:color="auto" w:fill="E4E0DA" w:themeFill="text2" w:themeFillTint="33"/>
            <w:tcMar>
              <w:left w:w="57" w:type="dxa"/>
              <w:right w:w="57" w:type="dxa"/>
            </w:tcMar>
          </w:tcPr>
          <w:p w:rsidR="00392639" w:rsidRDefault="00392639" w:rsidP="00F55EB5">
            <w:pPr>
              <w:pStyle w:val="TableHeading1"/>
              <w:rPr>
                <w:rFonts w:eastAsiaTheme="minorHAnsi"/>
              </w:rPr>
            </w:pPr>
          </w:p>
        </w:tc>
        <w:tc>
          <w:tcPr>
            <w:tcW w:w="1016" w:type="dxa"/>
            <w:tcBorders>
              <w:top w:val="single" w:sz="8" w:space="0" w:color="FFFFFF" w:themeColor="background1"/>
              <w:bottom w:val="single" w:sz="8" w:space="0" w:color="FFFFFF" w:themeColor="background1"/>
            </w:tcBorders>
            <w:shd w:val="clear" w:color="auto" w:fill="E4E0DA" w:themeFill="text2" w:themeFillTint="33"/>
            <w:tcMar>
              <w:left w:w="57" w:type="dxa"/>
              <w:right w:w="57" w:type="dxa"/>
            </w:tcMar>
          </w:tcPr>
          <w:p w:rsidR="00392639" w:rsidRDefault="00392639" w:rsidP="00F55EB5">
            <w:pPr>
              <w:pStyle w:val="TableHeading1"/>
              <w:rPr>
                <w:rFonts w:eastAsiaTheme="minorHAnsi"/>
              </w:rPr>
            </w:pPr>
          </w:p>
        </w:tc>
      </w:tr>
      <w:tr w:rsidR="00392639" w:rsidTr="00F55EB5">
        <w:tc>
          <w:tcPr>
            <w:tcW w:w="1843"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Heading2"/>
              <w:rPr>
                <w:rFonts w:eastAsiaTheme="minorHAnsi"/>
              </w:rPr>
            </w:pPr>
            <w:r>
              <w:rPr>
                <w:rFonts w:eastAsiaTheme="minorHAnsi"/>
              </w:rPr>
              <w:t>Monthly charge</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Heading2"/>
              <w:rPr>
                <w:rFonts w:eastAsiaTheme="minorHAnsi"/>
              </w:rPr>
            </w:pP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Heading2"/>
              <w:rPr>
                <w:rFonts w:eastAsiaTheme="minorHAnsi"/>
              </w:rPr>
            </w:pP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Heading2"/>
              <w:rPr>
                <w:rFonts w:eastAsiaTheme="minorHAnsi"/>
              </w:rPr>
            </w:pP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Heading2"/>
              <w:rPr>
                <w:rFonts w:eastAsiaTheme="minorHAnsi"/>
              </w:rPr>
            </w:pP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Heading2"/>
              <w:rPr>
                <w:rFonts w:eastAsiaTheme="minorHAnsi"/>
              </w:rPr>
            </w:pP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Heading2"/>
              <w:rPr>
                <w:rFonts w:eastAsiaTheme="minorHAnsi"/>
              </w:rPr>
            </w:pPr>
          </w:p>
        </w:tc>
      </w:tr>
      <w:tr w:rsidR="00392639" w:rsidTr="00F55EB5">
        <w:tc>
          <w:tcPr>
            <w:tcW w:w="1843"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jc w:val="left"/>
              <w:rPr>
                <w:rFonts w:eastAsiaTheme="minorHAnsi"/>
              </w:rPr>
            </w:pPr>
            <w:r>
              <w:rPr>
                <w:rFonts w:eastAsiaTheme="minorHAnsi"/>
              </w:rPr>
              <w:t>CBD (Band 1)</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6.00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6.20</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6.60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6.60</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16.00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16.14</w:t>
            </w:r>
          </w:p>
        </w:tc>
      </w:tr>
      <w:tr w:rsidR="00392639" w:rsidTr="00F55EB5">
        <w:tc>
          <w:tcPr>
            <w:tcW w:w="1843"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jc w:val="left"/>
              <w:rPr>
                <w:rFonts w:eastAsiaTheme="minorHAnsi"/>
              </w:rPr>
            </w:pPr>
            <w:r>
              <w:rPr>
                <w:rFonts w:eastAsiaTheme="minorHAnsi"/>
              </w:rPr>
              <w:t>Metropolitan (Band 2)</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13.70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14.30</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16.00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16.00</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16.00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16.14</w:t>
            </w:r>
          </w:p>
        </w:tc>
      </w:tr>
      <w:tr w:rsidR="00392639" w:rsidTr="00F55EB5">
        <w:tc>
          <w:tcPr>
            <w:tcW w:w="1843"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jc w:val="left"/>
              <w:rPr>
                <w:rFonts w:eastAsiaTheme="minorHAnsi"/>
              </w:rPr>
            </w:pPr>
            <w:r>
              <w:rPr>
                <w:rFonts w:eastAsiaTheme="minorHAnsi"/>
              </w:rPr>
              <w:t>Regional (Band 3)</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27.30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28.50</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31.30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31.30</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16.00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16.14</w:t>
            </w:r>
          </w:p>
        </w:tc>
      </w:tr>
      <w:tr w:rsidR="00392639" w:rsidTr="00F55EB5">
        <w:tc>
          <w:tcPr>
            <w:tcW w:w="1843"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jc w:val="left"/>
              <w:rPr>
                <w:rFonts w:eastAsiaTheme="minorHAnsi"/>
              </w:rPr>
            </w:pPr>
            <w:r>
              <w:rPr>
                <w:rFonts w:eastAsiaTheme="minorHAnsi"/>
              </w:rPr>
              <w:t>Rural (Band 4)</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noBreakHyphen/>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noBreakHyphen/>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noBreakHyphen/>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noBreakHyphen/>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48.00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48.19</w:t>
            </w:r>
          </w:p>
        </w:tc>
      </w:tr>
      <w:tr w:rsidR="00392639" w:rsidTr="00F55EB5">
        <w:tc>
          <w:tcPr>
            <w:tcW w:w="1843"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Heading2"/>
              <w:rPr>
                <w:rFonts w:eastAsiaTheme="minorHAnsi"/>
              </w:rPr>
            </w:pPr>
            <w:r>
              <w:rPr>
                <w:rFonts w:eastAsiaTheme="minorHAnsi"/>
              </w:rPr>
              <w:t>Single connection</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Heading2"/>
              <w:rPr>
                <w:rFonts w:eastAsiaTheme="minorHAnsi"/>
              </w:rPr>
            </w:pP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Heading2"/>
              <w:rPr>
                <w:rFonts w:eastAsiaTheme="minorHAnsi"/>
              </w:rPr>
            </w:pP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Heading2"/>
              <w:rPr>
                <w:rFonts w:eastAsiaTheme="minorHAnsi"/>
              </w:rPr>
            </w:pP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Heading2"/>
              <w:rPr>
                <w:rFonts w:eastAsiaTheme="minorHAnsi"/>
              </w:rPr>
            </w:pP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Heading2"/>
              <w:rPr>
                <w:rFonts w:eastAsiaTheme="minorHAnsi"/>
              </w:rPr>
            </w:pP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Heading2"/>
              <w:rPr>
                <w:rFonts w:eastAsiaTheme="minorHAnsi"/>
              </w:rPr>
            </w:pPr>
          </w:p>
        </w:tc>
      </w:tr>
      <w:tr w:rsidR="00392639" w:rsidTr="00F55EB5">
        <w:tc>
          <w:tcPr>
            <w:tcW w:w="1843"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jc w:val="left"/>
              <w:rPr>
                <w:rFonts w:eastAsiaTheme="minorHAnsi"/>
              </w:rPr>
            </w:pPr>
            <w:r>
              <w:rPr>
                <w:rFonts w:eastAsiaTheme="minorHAnsi"/>
              </w:rPr>
              <w:t>1</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44.00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50.10</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50.40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50.40</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p>
        </w:tc>
      </w:tr>
      <w:tr w:rsidR="00392639" w:rsidTr="005C7B71">
        <w:tc>
          <w:tcPr>
            <w:tcW w:w="1843"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jc w:val="left"/>
              <w:rPr>
                <w:rFonts w:eastAsiaTheme="minorHAnsi"/>
              </w:rPr>
            </w:pPr>
            <w:r>
              <w:rPr>
                <w:rFonts w:eastAsiaTheme="minorHAnsi"/>
              </w:rPr>
              <w:t>2</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47.80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52.80</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53.10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53.10</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p>
        </w:tc>
      </w:tr>
      <w:tr w:rsidR="00392639" w:rsidTr="005C7B71">
        <w:tc>
          <w:tcPr>
            <w:tcW w:w="1843" w:type="dxa"/>
            <w:tcBorders>
              <w:top w:val="single" w:sz="8" w:space="0" w:color="FFFFFF" w:themeColor="background1"/>
              <w:bottom w:val="single" w:sz="18" w:space="0" w:color="FFFFFF" w:themeColor="background1"/>
            </w:tcBorders>
            <w:shd w:val="clear" w:color="auto" w:fill="E9E8E5" w:themeFill="background2"/>
            <w:tcMar>
              <w:left w:w="57" w:type="dxa"/>
              <w:right w:w="57" w:type="dxa"/>
            </w:tcMar>
          </w:tcPr>
          <w:p w:rsidR="00392639" w:rsidRDefault="00392639" w:rsidP="00F55EB5">
            <w:pPr>
              <w:pStyle w:val="TableDataEntries"/>
              <w:jc w:val="left"/>
              <w:rPr>
                <w:rFonts w:eastAsiaTheme="minorHAnsi"/>
              </w:rPr>
            </w:pPr>
            <w:r>
              <w:rPr>
                <w:rFonts w:eastAsiaTheme="minorHAnsi"/>
              </w:rPr>
              <w:t>3</w:t>
            </w:r>
          </w:p>
        </w:tc>
        <w:tc>
          <w:tcPr>
            <w:tcW w:w="1015" w:type="dxa"/>
            <w:tcBorders>
              <w:top w:val="single" w:sz="8" w:space="0" w:color="FFFFFF" w:themeColor="background1"/>
              <w:bottom w:val="single" w:sz="1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54.10</w:t>
            </w:r>
          </w:p>
        </w:tc>
        <w:tc>
          <w:tcPr>
            <w:tcW w:w="1016" w:type="dxa"/>
            <w:tcBorders>
              <w:top w:val="single" w:sz="8" w:space="0" w:color="FFFFFF" w:themeColor="background1"/>
              <w:bottom w:val="single" w:sz="1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57.40</w:t>
            </w:r>
          </w:p>
        </w:tc>
        <w:tc>
          <w:tcPr>
            <w:tcW w:w="1015" w:type="dxa"/>
            <w:tcBorders>
              <w:top w:val="single" w:sz="8" w:space="0" w:color="FFFFFF" w:themeColor="background1"/>
              <w:bottom w:val="single" w:sz="1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57.70</w:t>
            </w:r>
          </w:p>
        </w:tc>
        <w:tc>
          <w:tcPr>
            <w:tcW w:w="1016" w:type="dxa"/>
            <w:tcBorders>
              <w:top w:val="single" w:sz="8" w:space="0" w:color="FFFFFF" w:themeColor="background1"/>
              <w:bottom w:val="single" w:sz="1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57.70</w:t>
            </w:r>
          </w:p>
        </w:tc>
        <w:tc>
          <w:tcPr>
            <w:tcW w:w="1015" w:type="dxa"/>
            <w:tcBorders>
              <w:top w:val="single" w:sz="8" w:space="0" w:color="FFFFFF" w:themeColor="background1"/>
              <w:bottom w:val="single" w:sz="1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p>
        </w:tc>
        <w:tc>
          <w:tcPr>
            <w:tcW w:w="1016" w:type="dxa"/>
            <w:tcBorders>
              <w:top w:val="single" w:sz="8" w:space="0" w:color="FFFFFF" w:themeColor="background1"/>
              <w:bottom w:val="single" w:sz="1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p>
        </w:tc>
      </w:tr>
      <w:tr w:rsidR="00392639" w:rsidTr="005C7B71">
        <w:tc>
          <w:tcPr>
            <w:tcW w:w="1843" w:type="dxa"/>
            <w:tcBorders>
              <w:top w:val="single" w:sz="18" w:space="0" w:color="FFFFFF" w:themeColor="background1"/>
              <w:bottom w:val="single" w:sz="8" w:space="0" w:color="FFFFFF" w:themeColor="background1"/>
            </w:tcBorders>
            <w:shd w:val="clear" w:color="auto" w:fill="E4E0DA" w:themeFill="text2" w:themeFillTint="33"/>
            <w:tcMar>
              <w:left w:w="57" w:type="dxa"/>
              <w:right w:w="57" w:type="dxa"/>
            </w:tcMar>
          </w:tcPr>
          <w:p w:rsidR="00392639" w:rsidRDefault="00392639" w:rsidP="00F55EB5">
            <w:pPr>
              <w:pStyle w:val="TableHeading1"/>
              <w:rPr>
                <w:rFonts w:eastAsiaTheme="minorHAnsi"/>
              </w:rPr>
            </w:pPr>
            <w:r>
              <w:rPr>
                <w:rFonts w:eastAsiaTheme="minorHAnsi"/>
              </w:rPr>
              <w:t>LSS prices</w:t>
            </w:r>
          </w:p>
        </w:tc>
        <w:tc>
          <w:tcPr>
            <w:tcW w:w="1015" w:type="dxa"/>
            <w:tcBorders>
              <w:top w:val="single" w:sz="18" w:space="0" w:color="FFFFFF" w:themeColor="background1"/>
              <w:bottom w:val="single" w:sz="8" w:space="0" w:color="FFFFFF" w:themeColor="background1"/>
            </w:tcBorders>
            <w:shd w:val="clear" w:color="auto" w:fill="E4E0DA" w:themeFill="text2" w:themeFillTint="33"/>
            <w:tcMar>
              <w:left w:w="57" w:type="dxa"/>
              <w:right w:w="57" w:type="dxa"/>
            </w:tcMar>
          </w:tcPr>
          <w:p w:rsidR="00392639" w:rsidRDefault="00392639" w:rsidP="00F55EB5">
            <w:pPr>
              <w:pStyle w:val="TableHeading1"/>
              <w:rPr>
                <w:rFonts w:eastAsiaTheme="minorHAnsi"/>
              </w:rPr>
            </w:pPr>
          </w:p>
        </w:tc>
        <w:tc>
          <w:tcPr>
            <w:tcW w:w="1016" w:type="dxa"/>
            <w:tcBorders>
              <w:top w:val="single" w:sz="18" w:space="0" w:color="FFFFFF" w:themeColor="background1"/>
              <w:bottom w:val="single" w:sz="8" w:space="0" w:color="FFFFFF" w:themeColor="background1"/>
            </w:tcBorders>
            <w:shd w:val="clear" w:color="auto" w:fill="E4E0DA" w:themeFill="text2" w:themeFillTint="33"/>
            <w:tcMar>
              <w:left w:w="57" w:type="dxa"/>
              <w:right w:w="57" w:type="dxa"/>
            </w:tcMar>
          </w:tcPr>
          <w:p w:rsidR="00392639" w:rsidRDefault="00392639" w:rsidP="00F55EB5">
            <w:pPr>
              <w:pStyle w:val="TableHeading1"/>
              <w:rPr>
                <w:rFonts w:eastAsiaTheme="minorHAnsi"/>
              </w:rPr>
            </w:pPr>
          </w:p>
        </w:tc>
        <w:tc>
          <w:tcPr>
            <w:tcW w:w="1015" w:type="dxa"/>
            <w:tcBorders>
              <w:top w:val="single" w:sz="18" w:space="0" w:color="FFFFFF" w:themeColor="background1"/>
              <w:bottom w:val="single" w:sz="8" w:space="0" w:color="FFFFFF" w:themeColor="background1"/>
            </w:tcBorders>
            <w:shd w:val="clear" w:color="auto" w:fill="E4E0DA" w:themeFill="text2" w:themeFillTint="33"/>
            <w:tcMar>
              <w:left w:w="57" w:type="dxa"/>
              <w:right w:w="57" w:type="dxa"/>
            </w:tcMar>
          </w:tcPr>
          <w:p w:rsidR="00392639" w:rsidRDefault="00392639" w:rsidP="00F55EB5">
            <w:pPr>
              <w:pStyle w:val="TableHeading1"/>
              <w:rPr>
                <w:rFonts w:eastAsiaTheme="minorHAnsi"/>
              </w:rPr>
            </w:pPr>
          </w:p>
        </w:tc>
        <w:tc>
          <w:tcPr>
            <w:tcW w:w="1016" w:type="dxa"/>
            <w:tcBorders>
              <w:top w:val="single" w:sz="18" w:space="0" w:color="FFFFFF" w:themeColor="background1"/>
              <w:bottom w:val="single" w:sz="8" w:space="0" w:color="FFFFFF" w:themeColor="background1"/>
            </w:tcBorders>
            <w:shd w:val="clear" w:color="auto" w:fill="E4E0DA" w:themeFill="text2" w:themeFillTint="33"/>
            <w:tcMar>
              <w:left w:w="57" w:type="dxa"/>
              <w:right w:w="57" w:type="dxa"/>
            </w:tcMar>
          </w:tcPr>
          <w:p w:rsidR="00392639" w:rsidRDefault="00392639" w:rsidP="00F55EB5">
            <w:pPr>
              <w:pStyle w:val="TableHeading1"/>
              <w:rPr>
                <w:rFonts w:eastAsiaTheme="minorHAnsi"/>
              </w:rPr>
            </w:pPr>
          </w:p>
        </w:tc>
        <w:tc>
          <w:tcPr>
            <w:tcW w:w="1015" w:type="dxa"/>
            <w:tcBorders>
              <w:top w:val="single" w:sz="18" w:space="0" w:color="FFFFFF" w:themeColor="background1"/>
              <w:bottom w:val="single" w:sz="8" w:space="0" w:color="FFFFFF" w:themeColor="background1"/>
            </w:tcBorders>
            <w:shd w:val="clear" w:color="auto" w:fill="E4E0DA" w:themeFill="text2" w:themeFillTint="33"/>
            <w:tcMar>
              <w:left w:w="57" w:type="dxa"/>
              <w:right w:w="57" w:type="dxa"/>
            </w:tcMar>
          </w:tcPr>
          <w:p w:rsidR="00392639" w:rsidRDefault="00392639" w:rsidP="00F55EB5">
            <w:pPr>
              <w:pStyle w:val="TableHeading1"/>
              <w:rPr>
                <w:rFonts w:eastAsiaTheme="minorHAnsi"/>
              </w:rPr>
            </w:pPr>
          </w:p>
        </w:tc>
        <w:tc>
          <w:tcPr>
            <w:tcW w:w="1016" w:type="dxa"/>
            <w:tcBorders>
              <w:top w:val="single" w:sz="18" w:space="0" w:color="FFFFFF" w:themeColor="background1"/>
              <w:bottom w:val="single" w:sz="8" w:space="0" w:color="FFFFFF" w:themeColor="background1"/>
            </w:tcBorders>
            <w:shd w:val="clear" w:color="auto" w:fill="E4E0DA" w:themeFill="text2" w:themeFillTint="33"/>
            <w:tcMar>
              <w:left w:w="57" w:type="dxa"/>
              <w:right w:w="57" w:type="dxa"/>
            </w:tcMar>
          </w:tcPr>
          <w:p w:rsidR="00392639" w:rsidRDefault="00392639" w:rsidP="00F55EB5">
            <w:pPr>
              <w:pStyle w:val="TableHeading1"/>
              <w:rPr>
                <w:rFonts w:eastAsiaTheme="minorHAnsi"/>
              </w:rPr>
            </w:pPr>
          </w:p>
        </w:tc>
      </w:tr>
      <w:tr w:rsidR="00392639" w:rsidTr="00F55EB5">
        <w:tc>
          <w:tcPr>
            <w:tcW w:w="1843"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jc w:val="left"/>
              <w:rPr>
                <w:rFonts w:eastAsiaTheme="minorHAnsi"/>
              </w:rPr>
            </w:pPr>
            <w:r>
              <w:rPr>
                <w:rFonts w:eastAsiaTheme="minorHAnsi"/>
              </w:rPr>
              <w:t>Monthly charge</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2.50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2.50</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2.50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2.50</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1.80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1.80</w:t>
            </w:r>
          </w:p>
        </w:tc>
      </w:tr>
      <w:tr w:rsidR="00392639" w:rsidTr="00F55EB5">
        <w:tc>
          <w:tcPr>
            <w:tcW w:w="1843"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jc w:val="left"/>
              <w:rPr>
                <w:rFonts w:eastAsiaTheme="minorHAnsi"/>
              </w:rPr>
            </w:pPr>
            <w:r>
              <w:rPr>
                <w:rFonts w:eastAsiaTheme="minorHAnsi"/>
              </w:rPr>
              <w:t>Connection</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39.30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41.40</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43.10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43.10</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rPr>
                <w:rFonts w:eastAsiaTheme="minorHAnsi"/>
              </w:rPr>
            </w:pPr>
          </w:p>
        </w:tc>
      </w:tr>
      <w:tr w:rsidR="00392639" w:rsidTr="00F55EB5">
        <w:tc>
          <w:tcPr>
            <w:tcW w:w="1843"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Default="00392639" w:rsidP="00F55EB5">
            <w:pPr>
              <w:pStyle w:val="TableDataEntries"/>
              <w:jc w:val="left"/>
              <w:rPr>
                <w:rFonts w:eastAsiaTheme="minorHAnsi"/>
              </w:rPr>
            </w:pPr>
            <w:r>
              <w:rPr>
                <w:rFonts w:eastAsiaTheme="minorHAnsi"/>
              </w:rPr>
              <w:t>Per exchange charge</w:t>
            </w:r>
          </w:p>
        </w:tc>
        <w:tc>
          <w:tcPr>
            <w:tcW w:w="1015"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704.20</w:t>
            </w:r>
          </w:p>
        </w:tc>
        <w:tc>
          <w:tcPr>
            <w:tcW w:w="1016"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752.50</w:t>
            </w:r>
          </w:p>
        </w:tc>
        <w:tc>
          <w:tcPr>
            <w:tcW w:w="1015"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784.10</w:t>
            </w:r>
          </w:p>
        </w:tc>
        <w:tc>
          <w:tcPr>
            <w:tcW w:w="1016"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Default="00392639" w:rsidP="00F55EB5">
            <w:pPr>
              <w:pStyle w:val="TableDataEntries"/>
              <w:rPr>
                <w:rFonts w:eastAsiaTheme="minorHAnsi"/>
              </w:rPr>
            </w:pPr>
            <w:r>
              <w:rPr>
                <w:rFonts w:eastAsiaTheme="minorHAnsi"/>
              </w:rPr>
              <w:t>784.10</w:t>
            </w:r>
          </w:p>
        </w:tc>
        <w:tc>
          <w:tcPr>
            <w:tcW w:w="1015"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Default="00392639" w:rsidP="00F55EB5">
            <w:pPr>
              <w:pStyle w:val="TableDataEntries"/>
              <w:rPr>
                <w:rFonts w:eastAsiaTheme="minorHAnsi"/>
              </w:rPr>
            </w:pPr>
          </w:p>
        </w:tc>
        <w:tc>
          <w:tcPr>
            <w:tcW w:w="1016"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Default="00392639" w:rsidP="00F55EB5">
            <w:pPr>
              <w:pStyle w:val="TableDataEntries"/>
              <w:rPr>
                <w:rFonts w:eastAsiaTheme="minorHAnsi"/>
              </w:rPr>
            </w:pPr>
          </w:p>
        </w:tc>
      </w:tr>
    </w:tbl>
    <w:p w:rsidR="00392639" w:rsidRPr="00E4232C" w:rsidRDefault="00392639" w:rsidP="00392639">
      <w:pPr>
        <w:pStyle w:val="Note"/>
      </w:pPr>
      <w:proofErr w:type="gramStart"/>
      <w:r w:rsidRPr="00E4232C">
        <w:rPr>
          <w:rStyle w:val="NoteLabel"/>
        </w:rPr>
        <w:t>a</w:t>
      </w:r>
      <w:proofErr w:type="gramEnd"/>
      <w:r>
        <w:t xml:space="preserve"> 1 July 2008 to 31 July 2009.</w:t>
      </w:r>
    </w:p>
    <w:p w:rsidR="00392639" w:rsidRDefault="00392639" w:rsidP="00392639">
      <w:pPr>
        <w:pStyle w:val="Source"/>
        <w:rPr>
          <w:rFonts w:eastAsiaTheme="minorHAnsi"/>
        </w:rPr>
      </w:pPr>
      <w:r w:rsidRPr="00485719">
        <w:rPr>
          <w:rFonts w:eastAsiaTheme="minorHAnsi"/>
          <w:i/>
        </w:rPr>
        <w:t>Source:</w:t>
      </w:r>
      <w:r w:rsidRPr="00485719">
        <w:rPr>
          <w:rFonts w:eastAsiaTheme="minorHAnsi"/>
        </w:rPr>
        <w:t xml:space="preserve"> </w:t>
      </w:r>
      <w:r w:rsidR="00304215">
        <w:t xml:space="preserve">ACCC, </w:t>
      </w:r>
      <w:r w:rsidR="00304215" w:rsidRPr="004C044C">
        <w:rPr>
          <w:i/>
        </w:rPr>
        <w:t>Fixed Services Review — Declaration Inquiry</w:t>
      </w:r>
      <w:r w:rsidR="00304215">
        <w:t>, Public inquiry into the fixed line services declaration, Final Report, April 2014</w:t>
      </w:r>
    </w:p>
    <w:p w:rsidR="00392639" w:rsidRDefault="00016AE2" w:rsidP="00392639">
      <w:pPr>
        <w:pStyle w:val="BodyText"/>
      </w:pPr>
      <w:r>
        <w:t xml:space="preserve">Chart </w:t>
      </w:r>
      <w:fldSimple w:instr=" REF _Caption1910 ">
        <w:r w:rsidR="00304215">
          <w:rPr>
            <w:noProof/>
          </w:rPr>
          <w:t>4</w:t>
        </w:r>
        <w:r w:rsidR="00304215" w:rsidRPr="00695C93">
          <w:rPr>
            <w:noProof/>
          </w:rPr>
          <w:t>.</w:t>
        </w:r>
        <w:r w:rsidR="00304215">
          <w:rPr>
            <w:noProof/>
          </w:rPr>
          <w:t>8</w:t>
        </w:r>
      </w:fldSimple>
      <w:r w:rsidR="00392639">
        <w:t xml:space="preserve"> shows that the number of services in operation using the ULL has consistently grown, since 2007, while the use of LSS has declined since mid-2010. </w:t>
      </w:r>
      <w:r w:rsidR="00FE5883">
        <w:t xml:space="preserve">According to the ACCC, this </w:t>
      </w:r>
      <w:r w:rsidR="00392639">
        <w:t xml:space="preserve">is because cost effective VoIP based technology is offering high quality voice services, without </w:t>
      </w:r>
      <w:r w:rsidR="00FE5883">
        <w:t>the need to invest</w:t>
      </w:r>
      <w:r w:rsidR="00392639">
        <w:t xml:space="preserve"> in telephone switches</w:t>
      </w:r>
      <w:r w:rsidR="00FE5883">
        <w:t>.</w:t>
      </w:r>
      <w:r w:rsidR="00392639">
        <w:rPr>
          <w:rStyle w:val="FootnoteReference"/>
        </w:rPr>
        <w:footnoteReference w:id="21"/>
      </w:r>
    </w:p>
    <w:p w:rsidR="00392639" w:rsidRDefault="00392639" w:rsidP="00392639">
      <w:pPr>
        <w:pStyle w:val="BodyText"/>
      </w:pPr>
      <w:r>
        <w:t>The growth in the number of ULL services also demonstrates the increased investment service providers, apart from Telstra are making in fixed line</w:t>
      </w:r>
      <w:r w:rsidR="00FE5883">
        <w:t xml:space="preserve"> infrastructure.</w:t>
      </w:r>
    </w:p>
    <w:p w:rsidR="00FE5883" w:rsidRPr="00695C93" w:rsidRDefault="00FE5883" w:rsidP="00F55EB5">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w:instrText>
      </w:r>
      <w:fldSimple w:instr=" STYLEREF &quot;Heading 1&quot; \l \n ">
        <w:r w:rsidR="00304215">
          <w:rPr>
            <w:noProof/>
          </w:rPr>
          <w:instrText>4</w:instrText>
        </w:r>
      </w:fldSimple>
      <w:r w:rsidRPr="00695C93">
        <w:instrText xml:space="preserve">." </w:instrText>
      </w:r>
      <w:r w:rsidRPr="00695C93">
        <w:fldChar w:fldCharType="separate"/>
      </w:r>
      <w:r w:rsidR="00304215">
        <w:rPr>
          <w:noProof/>
        </w:rPr>
        <w:instrText>4</w:instrText>
      </w:r>
      <w:r w:rsidR="00304215" w:rsidRPr="00695C93">
        <w:rPr>
          <w:noProof/>
        </w:rPr>
        <w:instrText>.</w:instrText>
      </w:r>
      <w:r w:rsidRPr="00695C93">
        <w:fldChar w:fldCharType="end"/>
      </w:r>
      <w:r w:rsidRPr="00695C93">
        <w:instrText>" "</w:instrText>
      </w:r>
      <w:fldSimple w:instr=" STYLEREF &quot;Heading 6&quot; \l \n ">
        <w:r>
          <w:rPr>
            <w:noProof/>
          </w:rPr>
          <w:instrText>A</w:instrText>
        </w:r>
      </w:fldSimple>
      <w:r w:rsidRPr="00695C93">
        <w:instrText xml:space="preserve">." </w:instrText>
      </w:r>
      <w:r w:rsidRPr="00695C93">
        <w:fldChar w:fldCharType="separate"/>
      </w:r>
      <w:r w:rsidR="00584F9A">
        <w:rPr>
          <w:noProof/>
        </w:rPr>
        <w:instrText>4</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8</w:instrText>
      </w:r>
      <w:r w:rsidRPr="00695C93">
        <w:fldChar w:fldCharType="end"/>
      </w:r>
      <w:r w:rsidRPr="00695C93">
        <w:instrText xml:space="preserve">" "" </w:instrText>
      </w:r>
      <w:r w:rsidRPr="00695C93">
        <w:fldChar w:fldCharType="separate"/>
      </w:r>
      <w:bookmarkStart w:id="814" w:name="_Caption5645"/>
      <w:bookmarkStart w:id="815" w:name="_Caption6939"/>
      <w:bookmarkStart w:id="816" w:name="_Caption0831"/>
      <w:bookmarkStart w:id="817" w:name="_Caption8241"/>
      <w:bookmarkStart w:id="818" w:name="_Caption2494"/>
      <w:bookmarkStart w:id="819" w:name="_Caption4881"/>
      <w:bookmarkStart w:id="820" w:name="_Caption9918"/>
      <w:bookmarkStart w:id="821" w:name="_Caption9487"/>
      <w:bookmarkStart w:id="822" w:name="_Caption6748"/>
      <w:bookmarkStart w:id="823" w:name="_Caption1910"/>
      <w:bookmarkStart w:id="824" w:name="_Caption9679"/>
      <w:bookmarkStart w:id="825" w:name="_Toc391972959"/>
      <w:r w:rsidR="00584F9A">
        <w:rPr>
          <w:noProof/>
        </w:rPr>
        <w:t>4</w:t>
      </w:r>
      <w:r w:rsidR="00584F9A" w:rsidRPr="00695C93">
        <w:rPr>
          <w:noProof/>
        </w:rPr>
        <w:t>.</w:t>
      </w:r>
      <w:r w:rsidR="00584F9A">
        <w:rPr>
          <w:noProof/>
        </w:rPr>
        <w:t>8</w:t>
      </w:r>
      <w:bookmarkEnd w:id="814"/>
      <w:bookmarkEnd w:id="815"/>
      <w:bookmarkEnd w:id="816"/>
      <w:bookmarkEnd w:id="817"/>
      <w:bookmarkEnd w:id="818"/>
      <w:bookmarkEnd w:id="819"/>
      <w:bookmarkEnd w:id="820"/>
      <w:bookmarkEnd w:id="821"/>
      <w:bookmarkEnd w:id="822"/>
      <w:bookmarkEnd w:id="823"/>
      <w:bookmarkEnd w:id="824"/>
      <w:r w:rsidRPr="00695C93">
        <w:fldChar w:fldCharType="end"/>
      </w:r>
      <w:r w:rsidRPr="00695C93">
        <w:tab/>
      </w:r>
      <w:r>
        <w:t>Number of ULLS and LSS services in operation (SIOs)</w:t>
      </w:r>
      <w:bookmarkEnd w:id="825"/>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FE5883" w:rsidTr="00B01898">
        <w:trPr>
          <w:cantSplit/>
          <w:tblHeader/>
        </w:trPr>
        <w:tc>
          <w:tcPr>
            <w:tcW w:w="7938" w:type="dxa"/>
            <w:shd w:val="clear" w:color="auto" w:fill="E9E8E5" w:themeFill="background2"/>
          </w:tcPr>
          <w:p w:rsidR="00FE5883" w:rsidRDefault="00FE5883" w:rsidP="005C7B71">
            <w:pPr>
              <w:pStyle w:val="Chart"/>
              <w:jc w:val="center"/>
            </w:pPr>
            <w:r>
              <w:rPr>
                <w:noProof/>
                <w:lang w:eastAsia="en-AU"/>
              </w:rPr>
              <w:drawing>
                <wp:inline distT="0" distB="0" distL="0" distR="0" wp14:anchorId="4774DAAA" wp14:editId="68F588AB">
                  <wp:extent cx="4858385" cy="2385695"/>
                  <wp:effectExtent l="0" t="0" r="0" b="0"/>
                  <wp:docPr id="3" name="Picture 3" descr="Line graph outlining the number of Unconditioned Local Loop Service and Local Sharing Services in operation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58385" cy="2385695"/>
                          </a:xfrm>
                          <a:prstGeom prst="rect">
                            <a:avLst/>
                          </a:prstGeom>
                          <a:noFill/>
                          <a:ln>
                            <a:noFill/>
                          </a:ln>
                        </pic:spPr>
                      </pic:pic>
                    </a:graphicData>
                  </a:graphic>
                </wp:inline>
              </w:drawing>
            </w:r>
          </w:p>
        </w:tc>
      </w:tr>
    </w:tbl>
    <w:p w:rsidR="00FE5883" w:rsidRDefault="00FE5883" w:rsidP="00F55EB5">
      <w:pPr>
        <w:pStyle w:val="Source"/>
      </w:pPr>
      <w:proofErr w:type="gramStart"/>
      <w:r>
        <w:rPr>
          <w:i/>
        </w:rPr>
        <w:t>Data source</w:t>
      </w:r>
      <w:r w:rsidRPr="00A67576">
        <w:rPr>
          <w:i/>
        </w:rPr>
        <w:t>:</w:t>
      </w:r>
      <w:r>
        <w:t xml:space="preserve"> ACCC, CAN RKR Reports.</w:t>
      </w:r>
      <w:proofErr w:type="gramEnd"/>
    </w:p>
    <w:p w:rsidR="00392639" w:rsidRDefault="00392639" w:rsidP="00392639">
      <w:pPr>
        <w:pStyle w:val="BodyText"/>
      </w:pPr>
      <w:r>
        <w:t>This investment though, is not uniform across the country. Most of the investment in ULL services by service providers other than Telstra has been in metropolitan areas (chart </w:t>
      </w:r>
      <w:fldSimple w:instr=" REF _Caption9113 ">
        <w:r w:rsidR="00304215">
          <w:rPr>
            <w:noProof/>
          </w:rPr>
          <w:t>4</w:t>
        </w:r>
        <w:r w:rsidR="00304215" w:rsidRPr="00695C93">
          <w:rPr>
            <w:noProof/>
          </w:rPr>
          <w:t>.</w:t>
        </w:r>
        <w:r w:rsidR="00304215">
          <w:rPr>
            <w:noProof/>
          </w:rPr>
          <w:t>9</w:t>
        </w:r>
      </w:fldSimple>
      <w:r>
        <w:t xml:space="preserve">). In band </w:t>
      </w:r>
      <w:proofErr w:type="gramStart"/>
      <w:r>
        <w:t>1</w:t>
      </w:r>
      <w:proofErr w:type="gramEnd"/>
      <w:r>
        <w:t xml:space="preserve"> (CBD) the majority of ULL services are from service providers other than Telstra and ban</w:t>
      </w:r>
      <w:r w:rsidR="00016AE2">
        <w:t>d 2 (metropolitan areas) are sp</w:t>
      </w:r>
      <w:r>
        <w:t>l</w:t>
      </w:r>
      <w:r w:rsidR="00016AE2">
        <w:t>i</w:t>
      </w:r>
      <w:r>
        <w:t>t half and half between Telstra and other service providers. The situation in the regional and rural bands 3 and 4 is a very different situation. Telstra operates around 95 per cent of regional services and 99 per cent of rural services. This indicates a greater level of competition for fixed line broadband services in metropolitan areas, compared to country areas. Telstra’s very high market share in regional and rural areas could also suggest that Telstra could have some degree of market power in fixed line services in regional and rural areas.</w:t>
      </w:r>
    </w:p>
    <w:p w:rsidR="00392639" w:rsidRPr="00695C93" w:rsidRDefault="00392639" w:rsidP="007F2436">
      <w:pPr>
        <w:pStyle w:val="Caption"/>
        <w:spacing w:before="240"/>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w:instrText>
      </w:r>
      <w:fldSimple w:instr=" STYLEREF &quot;Heading 1&quot; \l \n ">
        <w:r w:rsidR="00304215">
          <w:rPr>
            <w:noProof/>
          </w:rPr>
          <w:instrText>4</w:instrText>
        </w:r>
      </w:fldSimple>
      <w:r w:rsidRPr="00695C93">
        <w:instrText xml:space="preserve">." </w:instrText>
      </w:r>
      <w:r w:rsidRPr="00695C93">
        <w:fldChar w:fldCharType="separate"/>
      </w:r>
      <w:r w:rsidR="00304215">
        <w:rPr>
          <w:noProof/>
        </w:rPr>
        <w:instrText>4</w:instrText>
      </w:r>
      <w:r w:rsidR="00304215" w:rsidRPr="00695C93">
        <w:rPr>
          <w:noProof/>
        </w:rPr>
        <w:instrText>.</w:instrText>
      </w:r>
      <w:r w:rsidRPr="00695C93">
        <w:fldChar w:fldCharType="end"/>
      </w:r>
      <w:r w:rsidRPr="00695C93">
        <w:instrText>" "</w:instrText>
      </w:r>
      <w:fldSimple w:instr=" STYLEREF &quot;Heading 6&quot; \l \n ">
        <w:r>
          <w:rPr>
            <w:noProof/>
          </w:rPr>
          <w:instrText>A</w:instrText>
        </w:r>
      </w:fldSimple>
      <w:r w:rsidRPr="00695C93">
        <w:instrText xml:space="preserve">." </w:instrText>
      </w:r>
      <w:r w:rsidRPr="00695C93">
        <w:fldChar w:fldCharType="separate"/>
      </w:r>
      <w:r w:rsidR="00584F9A">
        <w:rPr>
          <w:noProof/>
        </w:rPr>
        <w:instrText>4</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9</w:instrText>
      </w:r>
      <w:r w:rsidRPr="00695C93">
        <w:fldChar w:fldCharType="end"/>
      </w:r>
      <w:r w:rsidRPr="00695C93">
        <w:instrText xml:space="preserve">" "" </w:instrText>
      </w:r>
      <w:r w:rsidRPr="00695C93">
        <w:fldChar w:fldCharType="separate"/>
      </w:r>
      <w:bookmarkStart w:id="826" w:name="_Caption6780"/>
      <w:bookmarkStart w:id="827" w:name="_Caption1422"/>
      <w:bookmarkStart w:id="828" w:name="_Caption5741"/>
      <w:bookmarkStart w:id="829" w:name="_Caption5807"/>
      <w:bookmarkStart w:id="830" w:name="_Caption6781"/>
      <w:bookmarkStart w:id="831" w:name="_Caption1824"/>
      <w:bookmarkStart w:id="832" w:name="_Caption8142"/>
      <w:bookmarkStart w:id="833" w:name="_Caption8658"/>
      <w:bookmarkStart w:id="834" w:name="_Caption2490"/>
      <w:bookmarkStart w:id="835" w:name="_Caption7825"/>
      <w:bookmarkStart w:id="836" w:name="_Caption2938"/>
      <w:bookmarkStart w:id="837" w:name="_Caption1876"/>
      <w:bookmarkStart w:id="838" w:name="_Caption6812"/>
      <w:bookmarkStart w:id="839" w:name="_Caption9206"/>
      <w:bookmarkStart w:id="840" w:name="_Caption8867"/>
      <w:bookmarkStart w:id="841" w:name="_Caption5151"/>
      <w:bookmarkStart w:id="842" w:name="_Caption9113"/>
      <w:bookmarkStart w:id="843" w:name="_Caption5638"/>
      <w:bookmarkStart w:id="844" w:name="_Caption5138"/>
      <w:bookmarkStart w:id="845" w:name="_Caption4380"/>
      <w:bookmarkStart w:id="846" w:name="_Caption2655"/>
      <w:bookmarkStart w:id="847" w:name="_Caption0698"/>
      <w:bookmarkStart w:id="848" w:name="_Caption8537"/>
      <w:bookmarkStart w:id="849" w:name="_Caption5003"/>
      <w:bookmarkStart w:id="850" w:name="_Toc391972960"/>
      <w:r w:rsidR="00584F9A">
        <w:rPr>
          <w:noProof/>
        </w:rPr>
        <w:t>4</w:t>
      </w:r>
      <w:r w:rsidR="00584F9A" w:rsidRPr="00695C93">
        <w:rPr>
          <w:noProof/>
        </w:rPr>
        <w:t>.</w:t>
      </w:r>
      <w:r w:rsidR="00584F9A">
        <w:rPr>
          <w:noProof/>
        </w:rPr>
        <w:t>9</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r w:rsidRPr="00695C93">
        <w:fldChar w:fldCharType="end"/>
      </w:r>
      <w:r w:rsidRPr="00695C93">
        <w:tab/>
      </w:r>
      <w:r>
        <w:t>Number of ULL services in operation — Telstra v other service providers</w:t>
      </w:r>
      <w:bookmarkEnd w:id="850"/>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392639" w:rsidTr="00B01898">
        <w:trPr>
          <w:cantSplit/>
          <w:tblHeader/>
        </w:trPr>
        <w:tc>
          <w:tcPr>
            <w:tcW w:w="7938" w:type="dxa"/>
            <w:shd w:val="clear" w:color="auto" w:fill="E9E8E5" w:themeFill="background2"/>
          </w:tcPr>
          <w:p w:rsidR="00392639" w:rsidRDefault="001B43A3" w:rsidP="005C7B71">
            <w:pPr>
              <w:pStyle w:val="Chart"/>
              <w:jc w:val="center"/>
            </w:pPr>
            <w:r>
              <w:rPr>
                <w:noProof/>
                <w:lang w:eastAsia="en-AU"/>
              </w:rPr>
              <w:drawing>
                <wp:inline distT="0" distB="0" distL="0" distR="0" wp14:anchorId="03AC37E8" wp14:editId="00E96DBE">
                  <wp:extent cx="3286045" cy="3152775"/>
                  <wp:effectExtent l="0" t="0" r="0" b="0"/>
                  <wp:docPr id="229" name="Picture 229" descr="Pie Graphs outlining the number of Unconditioned Local Loop services in operation - Telstra versus other service providers - in CBD, metro, regional and rural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1294" t="5353" r="20347" b="2917"/>
                          <a:stretch/>
                        </pic:blipFill>
                        <pic:spPr bwMode="auto">
                          <a:xfrm>
                            <a:off x="0" y="0"/>
                            <a:ext cx="3294886" cy="3161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92639" w:rsidRDefault="00392639" w:rsidP="00392639">
      <w:pPr>
        <w:pStyle w:val="Source"/>
      </w:pPr>
      <w:proofErr w:type="gramStart"/>
      <w:r>
        <w:rPr>
          <w:i/>
        </w:rPr>
        <w:t>Data source</w:t>
      </w:r>
      <w:r w:rsidRPr="00A67576">
        <w:rPr>
          <w:i/>
        </w:rPr>
        <w:t>:</w:t>
      </w:r>
      <w:r>
        <w:t xml:space="preserve"> </w:t>
      </w:r>
      <w:r w:rsidR="001B43A3">
        <w:t>ACCC CAN RKR Reports.</w:t>
      </w:r>
      <w:proofErr w:type="gramEnd"/>
    </w:p>
    <w:p w:rsidR="00392639" w:rsidRPr="00923F6F" w:rsidRDefault="00392639" w:rsidP="00392639">
      <w:pPr>
        <w:pStyle w:val="Heading3"/>
      </w:pPr>
      <w:r w:rsidRPr="00923F6F">
        <w:lastRenderedPageBreak/>
        <w:t>Retail bundling</w:t>
      </w:r>
      <w:r>
        <w:t xml:space="preserve"> </w:t>
      </w:r>
      <w:r w:rsidRPr="00923F6F">
        <w:t xml:space="preserve">for fixed line services </w:t>
      </w:r>
    </w:p>
    <w:p w:rsidR="00392639" w:rsidRPr="00625EC6" w:rsidRDefault="00392639" w:rsidP="00392639">
      <w:pPr>
        <w:pStyle w:val="BodyText"/>
      </w:pPr>
      <w:r w:rsidRPr="00365AEE">
        <w:t xml:space="preserve">Often </w:t>
      </w:r>
      <w:r>
        <w:t xml:space="preserve">fixed line </w:t>
      </w:r>
      <w:r w:rsidRPr="00365AEE">
        <w:t xml:space="preserve">products </w:t>
      </w:r>
      <w:proofErr w:type="gramStart"/>
      <w:r w:rsidRPr="00365AEE">
        <w:t>are sold</w:t>
      </w:r>
      <w:proofErr w:type="gramEnd"/>
      <w:r w:rsidRPr="00365AEE">
        <w:t xml:space="preserve"> as part of a bundle. For instance, </w:t>
      </w:r>
      <w:proofErr w:type="spellStart"/>
      <w:r w:rsidRPr="00365AEE">
        <w:t>iinet</w:t>
      </w:r>
      <w:proofErr w:type="spellEnd"/>
      <w:r w:rsidRPr="00365AEE">
        <w:t xml:space="preserve"> only offer their home fixed line service in a bundle with broadband, mobile broadband or dialup plans. It </w:t>
      </w:r>
      <w:proofErr w:type="gramStart"/>
      <w:r w:rsidRPr="00365AEE">
        <w:t>cannot</w:t>
      </w:r>
      <w:r>
        <w:t xml:space="preserve"> be bought</w:t>
      </w:r>
      <w:proofErr w:type="gramEnd"/>
      <w:r>
        <w:t xml:space="preserve"> individually</w:t>
      </w:r>
      <w:r>
        <w:rPr>
          <w:rStyle w:val="FootnoteReference"/>
        </w:rPr>
        <w:footnoteReference w:id="22"/>
      </w:r>
      <w:r>
        <w:t xml:space="preserve">.  </w:t>
      </w:r>
    </w:p>
    <w:p w:rsidR="00392639" w:rsidRDefault="00392639" w:rsidP="00392639">
      <w:pPr>
        <w:pStyle w:val="BodyText"/>
      </w:pPr>
      <w:r w:rsidRPr="00957A55">
        <w:t xml:space="preserve">A </w:t>
      </w:r>
      <w:r>
        <w:t xml:space="preserve">significant </w:t>
      </w:r>
      <w:r w:rsidRPr="00957A55">
        <w:t xml:space="preserve">number of households </w:t>
      </w:r>
      <w:r>
        <w:t>bundle</w:t>
      </w:r>
      <w:r w:rsidRPr="00957A55">
        <w:t xml:space="preserve"> fixed line voice services with a fixed line broadband service</w:t>
      </w:r>
      <w:r w:rsidR="00096BB1">
        <w:t xml:space="preserve"> (chart </w:t>
      </w:r>
      <w:r w:rsidR="00CF51D4" w:rsidRPr="00CF51D4">
        <w:fldChar w:fldCharType="begin"/>
      </w:r>
      <w:r w:rsidR="00CF51D4" w:rsidRPr="00CF51D4">
        <w:instrText xml:space="preserve"> REF _Caption5887 </w:instrText>
      </w:r>
      <w:r w:rsidR="00CF51D4">
        <w:instrText xml:space="preserve"> \* MERGEFORMAT </w:instrText>
      </w:r>
      <w:r w:rsidR="00CF51D4" w:rsidRPr="00CF51D4">
        <w:fldChar w:fldCharType="separate"/>
      </w:r>
      <w:r w:rsidR="00304215">
        <w:rPr>
          <w:noProof/>
        </w:rPr>
        <w:t>4</w:t>
      </w:r>
      <w:r w:rsidR="00304215" w:rsidRPr="00CF51D4">
        <w:rPr>
          <w:noProof/>
        </w:rPr>
        <w:t>.</w:t>
      </w:r>
      <w:r w:rsidR="00304215">
        <w:rPr>
          <w:noProof/>
        </w:rPr>
        <w:t>10</w:t>
      </w:r>
      <w:r w:rsidR="00CF51D4" w:rsidRPr="00CF51D4">
        <w:rPr>
          <w:noProof/>
        </w:rPr>
        <w:fldChar w:fldCharType="end"/>
      </w:r>
      <w:r w:rsidR="00096BB1">
        <w:t>)</w:t>
      </w:r>
      <w:r w:rsidRPr="00957A55">
        <w:t>. The line rental month</w:t>
      </w:r>
      <w:r>
        <w:t xml:space="preserve">ly cost </w:t>
      </w:r>
      <w:proofErr w:type="gramStart"/>
      <w:r>
        <w:t>is calculated</w:t>
      </w:r>
      <w:proofErr w:type="gramEnd"/>
      <w:r>
        <w:t xml:space="preserve"> across the two products offering cheaper prices than purchasing services individually. Bundles often include free calls and data allowances included in a monthly package. Other services such as mobile phones and pay TV </w:t>
      </w:r>
      <w:proofErr w:type="gramStart"/>
      <w:r>
        <w:t>can be added</w:t>
      </w:r>
      <w:proofErr w:type="gramEnd"/>
      <w:r>
        <w:t xml:space="preserve"> to a bundle.</w:t>
      </w:r>
    </w:p>
    <w:p w:rsidR="00392639" w:rsidRPr="00CF51D4" w:rsidRDefault="00392639" w:rsidP="00392639">
      <w:pPr>
        <w:pStyle w:val="Caption"/>
      </w:pPr>
      <w:r w:rsidRPr="00CF51D4">
        <w:fldChar w:fldCharType="begin"/>
      </w:r>
      <w:r w:rsidRPr="00CF51D4">
        <w:instrText xml:space="preserve"> IF 1 = 1 "</w:instrText>
      </w:r>
      <w:r w:rsidRPr="00CF51D4">
        <w:fldChar w:fldCharType="begin"/>
      </w:r>
      <w:r w:rsidRPr="00CF51D4">
        <w:instrText xml:space="preserve"> IF </w:instrText>
      </w:r>
      <w:fldSimple w:instr=" STYLEREF &quot;Heading 6&quot; \l \n ">
        <w:r w:rsidR="00304215">
          <w:rPr>
            <w:noProof/>
          </w:rPr>
          <w:instrText>0</w:instrText>
        </w:r>
      </w:fldSimple>
      <w:r w:rsidRPr="00CF51D4">
        <w:instrText xml:space="preserve"> = 0 "</w:instrText>
      </w:r>
      <w:r w:rsidRPr="00CF51D4">
        <w:fldChar w:fldCharType="begin"/>
      </w:r>
      <w:r w:rsidRPr="00CF51D4">
        <w:instrText xml:space="preserve"> IF </w:instrText>
      </w:r>
      <w:fldSimple w:instr=" STYLEREF &quot;Heading 1&quot; \l \n ">
        <w:r w:rsidR="00304215">
          <w:rPr>
            <w:noProof/>
          </w:rPr>
          <w:instrText>4</w:instrText>
        </w:r>
      </w:fldSimple>
      <w:r w:rsidRPr="00CF51D4">
        <w:instrText xml:space="preserve"> = 0 "" "</w:instrText>
      </w:r>
      <w:fldSimple w:instr=" STYLEREF &quot;Heading 1&quot; \l \n ">
        <w:r w:rsidR="00304215">
          <w:rPr>
            <w:noProof/>
          </w:rPr>
          <w:instrText>4</w:instrText>
        </w:r>
      </w:fldSimple>
      <w:r w:rsidRPr="00CF51D4">
        <w:instrText xml:space="preserve">." </w:instrText>
      </w:r>
      <w:r w:rsidRPr="00CF51D4">
        <w:fldChar w:fldCharType="separate"/>
      </w:r>
      <w:r w:rsidR="00304215">
        <w:rPr>
          <w:noProof/>
        </w:rPr>
        <w:instrText>4</w:instrText>
      </w:r>
      <w:r w:rsidR="00304215" w:rsidRPr="00CF51D4">
        <w:rPr>
          <w:noProof/>
        </w:rPr>
        <w:instrText>.</w:instrText>
      </w:r>
      <w:r w:rsidRPr="00CF51D4">
        <w:fldChar w:fldCharType="end"/>
      </w:r>
      <w:r w:rsidRPr="00CF51D4">
        <w:instrText>" "</w:instrText>
      </w:r>
      <w:fldSimple w:instr=" STYLEREF &quot;Heading 6&quot; \l \n ">
        <w:r w:rsidRPr="00CF51D4">
          <w:rPr>
            <w:noProof/>
          </w:rPr>
          <w:instrText>A</w:instrText>
        </w:r>
      </w:fldSimple>
      <w:r w:rsidRPr="00CF51D4">
        <w:instrText xml:space="preserve">." </w:instrText>
      </w:r>
      <w:r w:rsidRPr="00CF51D4">
        <w:fldChar w:fldCharType="separate"/>
      </w:r>
      <w:r w:rsidR="00584F9A">
        <w:rPr>
          <w:noProof/>
        </w:rPr>
        <w:instrText>4</w:instrText>
      </w:r>
      <w:r w:rsidR="00584F9A" w:rsidRPr="00CF51D4">
        <w:rPr>
          <w:noProof/>
        </w:rPr>
        <w:instrText>.</w:instrText>
      </w:r>
      <w:r w:rsidRPr="00CF51D4">
        <w:fldChar w:fldCharType="end"/>
      </w:r>
      <w:r w:rsidRPr="00CF51D4">
        <w:fldChar w:fldCharType="begin"/>
      </w:r>
      <w:r w:rsidRPr="00CF51D4">
        <w:instrText xml:space="preserve"> SEQ Item \* ARABIC \s </w:instrText>
      </w:r>
      <w:r w:rsidRPr="00CF51D4">
        <w:fldChar w:fldCharType="begin"/>
      </w:r>
      <w:r w:rsidRPr="00CF51D4">
        <w:instrText xml:space="preserve"> IF </w:instrText>
      </w:r>
      <w:fldSimple w:instr=" STYLEREF &quot;Heading 6&quot; \l \n ">
        <w:r w:rsidR="00304215">
          <w:rPr>
            <w:noProof/>
          </w:rPr>
          <w:instrText>0</w:instrText>
        </w:r>
      </w:fldSimple>
      <w:r w:rsidRPr="00CF51D4">
        <w:instrText xml:space="preserve"> = 0 "</w:instrText>
      </w:r>
      <w:r w:rsidRPr="00CF51D4">
        <w:fldChar w:fldCharType="begin"/>
      </w:r>
      <w:r w:rsidRPr="00CF51D4">
        <w:instrText xml:space="preserve"> IF </w:instrText>
      </w:r>
      <w:fldSimple w:instr=" STYLEREF &quot;Heading 1&quot; \l \n ">
        <w:r w:rsidR="00304215">
          <w:rPr>
            <w:noProof/>
          </w:rPr>
          <w:instrText>4</w:instrText>
        </w:r>
      </w:fldSimple>
      <w:r w:rsidRPr="00CF51D4">
        <w:instrText xml:space="preserve"> = 0 "" "1" </w:instrText>
      </w:r>
      <w:r w:rsidRPr="00CF51D4">
        <w:fldChar w:fldCharType="separate"/>
      </w:r>
      <w:r w:rsidR="00584F9A" w:rsidRPr="00CF51D4">
        <w:rPr>
          <w:noProof/>
        </w:rPr>
        <w:instrText>1</w:instrText>
      </w:r>
      <w:r w:rsidRPr="00CF51D4">
        <w:fldChar w:fldCharType="end"/>
      </w:r>
      <w:r w:rsidRPr="00CF51D4">
        <w:instrText xml:space="preserve">" "6" </w:instrText>
      </w:r>
      <w:r w:rsidRPr="00CF51D4">
        <w:fldChar w:fldCharType="separate"/>
      </w:r>
      <w:r w:rsidR="00584F9A" w:rsidRPr="00CF51D4">
        <w:rPr>
          <w:noProof/>
        </w:rPr>
        <w:instrText>1</w:instrText>
      </w:r>
      <w:r w:rsidRPr="00CF51D4">
        <w:fldChar w:fldCharType="end"/>
      </w:r>
      <w:r w:rsidRPr="00CF51D4">
        <w:instrText xml:space="preserve"> </w:instrText>
      </w:r>
      <w:r w:rsidRPr="00CF51D4">
        <w:fldChar w:fldCharType="separate"/>
      </w:r>
      <w:r w:rsidR="00304215">
        <w:rPr>
          <w:noProof/>
        </w:rPr>
        <w:instrText>10</w:instrText>
      </w:r>
      <w:r w:rsidRPr="00CF51D4">
        <w:fldChar w:fldCharType="end"/>
      </w:r>
      <w:r w:rsidRPr="00CF51D4">
        <w:instrText xml:space="preserve">" "" </w:instrText>
      </w:r>
      <w:r w:rsidRPr="00CF51D4">
        <w:fldChar w:fldCharType="separate"/>
      </w:r>
      <w:bookmarkStart w:id="851" w:name="_Caption6032"/>
      <w:bookmarkStart w:id="852" w:name="_Caption9219"/>
      <w:bookmarkStart w:id="853" w:name="_Caption2257"/>
      <w:bookmarkStart w:id="854" w:name="_Caption2323"/>
      <w:bookmarkStart w:id="855" w:name="_Caption3297"/>
      <w:bookmarkStart w:id="856" w:name="_Caption6307"/>
      <w:bookmarkStart w:id="857" w:name="_Caption8780"/>
      <w:bookmarkStart w:id="858" w:name="_Caption4310"/>
      <w:bookmarkStart w:id="859" w:name="_Caption5887"/>
      <w:bookmarkStart w:id="860" w:name="_Caption2112"/>
      <w:bookmarkStart w:id="861" w:name="_Caption7225"/>
      <w:bookmarkStart w:id="862" w:name="_Caption6429"/>
      <w:bookmarkStart w:id="863" w:name="_Caption0683"/>
      <w:bookmarkStart w:id="864" w:name="_Caption7851"/>
      <w:bookmarkStart w:id="865" w:name="_Caption4447"/>
      <w:bookmarkStart w:id="866" w:name="_Caption3346"/>
      <w:bookmarkStart w:id="867" w:name="_Caption8873"/>
      <w:bookmarkStart w:id="868" w:name="_Caption8388"/>
      <w:bookmarkStart w:id="869" w:name="_Caption4564"/>
      <w:bookmarkStart w:id="870" w:name="_Caption9787"/>
      <w:bookmarkStart w:id="871" w:name="_Caption9967"/>
      <w:bookmarkStart w:id="872" w:name="_Caption9674"/>
      <w:bookmarkStart w:id="873" w:name="_Caption4740"/>
      <w:bookmarkStart w:id="874" w:name="_Caption4856"/>
      <w:bookmarkStart w:id="875" w:name="_Toc391972961"/>
      <w:r w:rsidR="00584F9A">
        <w:rPr>
          <w:noProof/>
        </w:rPr>
        <w:t>4</w:t>
      </w:r>
      <w:r w:rsidR="00584F9A" w:rsidRPr="00CF51D4">
        <w:rPr>
          <w:noProof/>
        </w:rPr>
        <w:t>.</w:t>
      </w:r>
      <w:r w:rsidR="00584F9A">
        <w:rPr>
          <w:noProof/>
        </w:rPr>
        <w:t>10</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sidRPr="00CF51D4">
        <w:fldChar w:fldCharType="end"/>
      </w:r>
      <w:r w:rsidRPr="00CF51D4">
        <w:tab/>
        <w:t>Services included in bundling arrangements</w:t>
      </w:r>
      <w:bookmarkEnd w:id="875"/>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392639" w:rsidTr="00B01898">
        <w:trPr>
          <w:cantSplit/>
          <w:tblHeader/>
        </w:trPr>
        <w:tc>
          <w:tcPr>
            <w:tcW w:w="7938" w:type="dxa"/>
            <w:shd w:val="clear" w:color="auto" w:fill="E9E8E5" w:themeFill="background2"/>
          </w:tcPr>
          <w:p w:rsidR="00392639" w:rsidRDefault="00BE0A38" w:rsidP="005C7B71">
            <w:pPr>
              <w:pStyle w:val="Chart"/>
              <w:jc w:val="center"/>
            </w:pPr>
            <w:r>
              <w:rPr>
                <w:noProof/>
                <w:lang w:eastAsia="en-AU"/>
              </w:rPr>
              <w:drawing>
                <wp:inline distT="0" distB="0" distL="0" distR="0" wp14:anchorId="0D51174F" wp14:editId="7AF7EB77">
                  <wp:extent cx="4866005" cy="2767330"/>
                  <wp:effectExtent l="0" t="0" r="0" b="0"/>
                  <wp:docPr id="29" name="Picture 29" descr="Bar Graph outlining the services included in bundling 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66005" cy="2767330"/>
                          </a:xfrm>
                          <a:prstGeom prst="rect">
                            <a:avLst/>
                          </a:prstGeom>
                          <a:noFill/>
                          <a:ln>
                            <a:noFill/>
                          </a:ln>
                        </pic:spPr>
                      </pic:pic>
                    </a:graphicData>
                  </a:graphic>
                </wp:inline>
              </w:drawing>
            </w:r>
          </w:p>
        </w:tc>
      </w:tr>
    </w:tbl>
    <w:p w:rsidR="00392639" w:rsidRDefault="00392639" w:rsidP="00392639">
      <w:pPr>
        <w:pStyle w:val="Source"/>
      </w:pPr>
      <w:proofErr w:type="gramStart"/>
      <w:r>
        <w:rPr>
          <w:i/>
        </w:rPr>
        <w:t>Data source</w:t>
      </w:r>
      <w:r w:rsidRPr="00A67576">
        <w:rPr>
          <w:i/>
        </w:rPr>
        <w:t>:</w:t>
      </w:r>
      <w:r>
        <w:t xml:space="preserve"> Roy Morgan Single Source, June 2012, as cited in ACMA Communications Report 2011</w:t>
      </w:r>
      <w:r>
        <w:noBreakHyphen/>
        <w:t>12, p. 39.</w:t>
      </w:r>
      <w:proofErr w:type="gramEnd"/>
    </w:p>
    <w:p w:rsidR="00392639" w:rsidRPr="004E5F62" w:rsidRDefault="00392639" w:rsidP="00392639">
      <w:pPr>
        <w:pStyle w:val="Heading3"/>
      </w:pPr>
      <w:r w:rsidRPr="004E5F62">
        <w:t>Competition from mobile</w:t>
      </w:r>
      <w:r>
        <w:t xml:space="preserve"> services</w:t>
      </w:r>
    </w:p>
    <w:p w:rsidR="00392639" w:rsidRDefault="00392639" w:rsidP="00392639">
      <w:pPr>
        <w:pStyle w:val="BodyText"/>
      </w:pPr>
      <w:r>
        <w:t xml:space="preserve">The ACCC argues that some pricing features of the fixed line service are unlikely to </w:t>
      </w:r>
      <w:proofErr w:type="gramStart"/>
      <w:r>
        <w:t>be replicated</w:t>
      </w:r>
      <w:proofErr w:type="gramEnd"/>
      <w:r>
        <w:t xml:space="preserve"> by mobile service providers and this will limit the extent of fixed to mobile substitution.</w:t>
      </w:r>
      <w:r>
        <w:rPr>
          <w:rStyle w:val="FootnoteReference"/>
        </w:rPr>
        <w:footnoteReference w:id="23"/>
      </w:r>
      <w:r>
        <w:t xml:space="preserve"> However, </w:t>
      </w:r>
      <w:proofErr w:type="gramStart"/>
      <w:r>
        <w:t>a range of indicators suggest</w:t>
      </w:r>
      <w:proofErr w:type="gramEnd"/>
      <w:r>
        <w:t xml:space="preserve"> that mobile services are providing increasingly strong competition to fixed line services. This suggests that mobile services are a close substitute for fixed line services, albeit not a perfect substitute.</w:t>
      </w:r>
    </w:p>
    <w:p w:rsidR="00392639" w:rsidRDefault="00392639" w:rsidP="00392639">
      <w:pPr>
        <w:pStyle w:val="BodyText"/>
      </w:pPr>
      <w:r>
        <w:t>A key factor in the increased competitiveness of mobile services has been falling prices. The prices paid for mobile services directly affect the prices and volumes in the fixed line service market. Since 1997/98, the price of mobile calls has declined at a greater rate than fixed line services, although since 2009/10, the price of fixed line services has declined by more the mobiles (chart </w:t>
      </w:r>
      <w:fldSimple w:instr=" REF _Caption6016 ">
        <w:r w:rsidR="00304215">
          <w:rPr>
            <w:noProof/>
          </w:rPr>
          <w:t>4</w:t>
        </w:r>
        <w:r w:rsidR="00304215" w:rsidRPr="00695C93">
          <w:rPr>
            <w:noProof/>
          </w:rPr>
          <w:t>.</w:t>
        </w:r>
        <w:r w:rsidR="00304215">
          <w:rPr>
            <w:noProof/>
          </w:rPr>
          <w:t>11</w:t>
        </w:r>
      </w:fldSimple>
      <w:r>
        <w:t xml:space="preserve">). </w:t>
      </w:r>
      <w:r w:rsidR="00096BB1">
        <w:t xml:space="preserve">Mobile prices adjusted </w:t>
      </w:r>
      <w:proofErr w:type="gramStart"/>
      <w:r w:rsidR="00096BB1">
        <w:t>for the amount of</w:t>
      </w:r>
      <w:proofErr w:type="gramEnd"/>
      <w:r w:rsidR="00096BB1">
        <w:t xml:space="preserve"> outputs </w:t>
      </w:r>
      <w:r w:rsidR="00096BB1">
        <w:lastRenderedPageBreak/>
        <w:t>purchased have decreased more rapidly, with the CIE finding price decreases of 8.4 per cent per year from 2006 to 2013.</w:t>
      </w:r>
      <w:r w:rsidR="00096BB1">
        <w:rPr>
          <w:rStyle w:val="FootnoteReference"/>
        </w:rPr>
        <w:footnoteReference w:id="24"/>
      </w:r>
      <w:r w:rsidR="00096BB1">
        <w:t xml:space="preserve"> </w:t>
      </w:r>
    </w:p>
    <w:p w:rsidR="00392639" w:rsidRPr="00695C93" w:rsidRDefault="00392639" w:rsidP="00392639">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w:instrText>
      </w:r>
      <w:fldSimple w:instr=" STYLEREF &quot;Heading 1&quot; \l \n ">
        <w:r w:rsidR="00304215">
          <w:rPr>
            <w:noProof/>
          </w:rPr>
          <w:instrText>4</w:instrText>
        </w:r>
      </w:fldSimple>
      <w:r w:rsidRPr="00695C93">
        <w:instrText xml:space="preserve">." </w:instrText>
      </w:r>
      <w:r w:rsidRPr="00695C93">
        <w:fldChar w:fldCharType="separate"/>
      </w:r>
      <w:r w:rsidR="00304215">
        <w:rPr>
          <w:noProof/>
        </w:rPr>
        <w:instrText>4</w:instrText>
      </w:r>
      <w:r w:rsidR="00304215" w:rsidRPr="00695C93">
        <w:rPr>
          <w:noProof/>
        </w:rPr>
        <w:instrText>.</w:instrText>
      </w:r>
      <w:r w:rsidRPr="00695C93">
        <w:fldChar w:fldCharType="end"/>
      </w:r>
      <w:r w:rsidRPr="00695C93">
        <w:instrText>" "</w:instrText>
      </w:r>
      <w:fldSimple w:instr=" STYLEREF &quot;Heading 6&quot; \l \n ">
        <w:r>
          <w:rPr>
            <w:noProof/>
          </w:rPr>
          <w:instrText>A</w:instrText>
        </w:r>
      </w:fldSimple>
      <w:r w:rsidRPr="00695C93">
        <w:instrText xml:space="preserve">." </w:instrText>
      </w:r>
      <w:r w:rsidRPr="00695C93">
        <w:fldChar w:fldCharType="separate"/>
      </w:r>
      <w:r w:rsidR="00584F9A">
        <w:rPr>
          <w:noProof/>
        </w:rPr>
        <w:instrText>4</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11</w:instrText>
      </w:r>
      <w:r w:rsidRPr="00695C93">
        <w:fldChar w:fldCharType="end"/>
      </w:r>
      <w:r w:rsidRPr="00695C93">
        <w:instrText xml:space="preserve">" "" </w:instrText>
      </w:r>
      <w:r w:rsidRPr="00695C93">
        <w:fldChar w:fldCharType="separate"/>
      </w:r>
      <w:bookmarkStart w:id="876" w:name="_Caption8275"/>
      <w:bookmarkStart w:id="877" w:name="_Caption3171"/>
      <w:bookmarkStart w:id="878" w:name="_Caption0054"/>
      <w:bookmarkStart w:id="879" w:name="_Caption7464"/>
      <w:bookmarkStart w:id="880" w:name="_Caption5670"/>
      <w:bookmarkStart w:id="881" w:name="_Caption4104"/>
      <w:bookmarkStart w:id="882" w:name="_Caption7458"/>
      <w:bookmarkStart w:id="883" w:name="_Caption5109"/>
      <w:bookmarkStart w:id="884" w:name="_Caption6155"/>
      <w:bookmarkStart w:id="885" w:name="_Caption7218"/>
      <w:bookmarkStart w:id="886" w:name="_Caption3741"/>
      <w:bookmarkStart w:id="887" w:name="_Caption3039"/>
      <w:bookmarkStart w:id="888" w:name="_Caption4381"/>
      <w:bookmarkStart w:id="889" w:name="_Caption3685"/>
      <w:bookmarkStart w:id="890" w:name="_Caption0362"/>
      <w:bookmarkStart w:id="891" w:name="_Caption6016"/>
      <w:bookmarkStart w:id="892" w:name="_Caption0190"/>
      <w:bookmarkStart w:id="893" w:name="_Caption9827"/>
      <w:bookmarkStart w:id="894" w:name="_Caption2556"/>
      <w:bookmarkStart w:id="895" w:name="_Caption6189"/>
      <w:bookmarkStart w:id="896" w:name="_Caption0655"/>
      <w:bookmarkStart w:id="897" w:name="_Caption9986"/>
      <w:bookmarkStart w:id="898" w:name="_Toc391972962"/>
      <w:r w:rsidR="00584F9A">
        <w:rPr>
          <w:noProof/>
        </w:rPr>
        <w:t>4</w:t>
      </w:r>
      <w:r w:rsidR="00584F9A" w:rsidRPr="00695C93">
        <w:rPr>
          <w:noProof/>
        </w:rPr>
        <w:t>.</w:t>
      </w:r>
      <w:r w:rsidR="00584F9A">
        <w:rPr>
          <w:noProof/>
        </w:rPr>
        <w:t>11</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sidRPr="00695C93">
        <w:fldChar w:fldCharType="end"/>
      </w:r>
      <w:r w:rsidRPr="00695C93">
        <w:tab/>
      </w:r>
      <w:r>
        <w:t>Telecommunication services price index</w:t>
      </w:r>
      <w:bookmarkEnd w:id="898"/>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392639" w:rsidTr="00B01898">
        <w:trPr>
          <w:cantSplit/>
          <w:tblHeader/>
        </w:trPr>
        <w:tc>
          <w:tcPr>
            <w:tcW w:w="7938" w:type="dxa"/>
            <w:shd w:val="clear" w:color="auto" w:fill="E9E8E5" w:themeFill="background2"/>
          </w:tcPr>
          <w:p w:rsidR="00392639" w:rsidRDefault="00392639" w:rsidP="005C7B71">
            <w:pPr>
              <w:pStyle w:val="Chart"/>
              <w:jc w:val="center"/>
            </w:pPr>
            <w:r>
              <w:rPr>
                <w:noProof/>
                <w:lang w:eastAsia="en-AU"/>
              </w:rPr>
              <w:drawing>
                <wp:inline distT="0" distB="0" distL="0" distR="0" wp14:anchorId="7D312E82" wp14:editId="62D22E6E">
                  <wp:extent cx="4866005" cy="2385695"/>
                  <wp:effectExtent l="0" t="0" r="0" b="0"/>
                  <wp:docPr id="22" name="Picture 22" descr="Line Graph outlining the Price Index for telecommunic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66005" cy="2385695"/>
                          </a:xfrm>
                          <a:prstGeom prst="rect">
                            <a:avLst/>
                          </a:prstGeom>
                          <a:noFill/>
                          <a:ln>
                            <a:noFill/>
                          </a:ln>
                        </pic:spPr>
                      </pic:pic>
                    </a:graphicData>
                  </a:graphic>
                </wp:inline>
              </w:drawing>
            </w:r>
          </w:p>
        </w:tc>
      </w:tr>
    </w:tbl>
    <w:p w:rsidR="00392639" w:rsidRDefault="00392639" w:rsidP="00392639">
      <w:pPr>
        <w:pStyle w:val="Source"/>
      </w:pPr>
      <w:r>
        <w:rPr>
          <w:i/>
        </w:rPr>
        <w:t>Data source</w:t>
      </w:r>
      <w:r w:rsidRPr="00A67576">
        <w:rPr>
          <w:i/>
        </w:rPr>
        <w:t>:</w:t>
      </w:r>
      <w:r>
        <w:t xml:space="preserve"> ACCC, Changes in the prices paid for telecommunications services in Australia 2012</w:t>
      </w:r>
      <w:r>
        <w:noBreakHyphen/>
        <w:t>13, February 2014, p. 121.</w:t>
      </w:r>
    </w:p>
    <w:p w:rsidR="00392639" w:rsidRDefault="00096BB1" w:rsidP="00392639">
      <w:pPr>
        <w:pStyle w:val="BodyText"/>
      </w:pPr>
      <w:r>
        <w:t>T</w:t>
      </w:r>
      <w:r w:rsidR="00392639">
        <w:t xml:space="preserve">he ACCC </w:t>
      </w:r>
      <w:r>
        <w:t xml:space="preserve">considered that the untimed local call </w:t>
      </w:r>
      <w:r w:rsidR="00392639">
        <w:t xml:space="preserve">has a pricing advantage over a mobile service, which </w:t>
      </w:r>
      <w:proofErr w:type="gramStart"/>
      <w:r w:rsidR="00392639">
        <w:t>is charged</w:t>
      </w:r>
      <w:proofErr w:type="gramEnd"/>
      <w:r w:rsidR="00392639">
        <w:t xml:space="preserve"> in increments</w:t>
      </w:r>
      <w:r>
        <w:rPr>
          <w:rStyle w:val="FootnoteReference"/>
        </w:rPr>
        <w:footnoteReference w:id="25"/>
      </w:r>
      <w:r w:rsidR="00392639">
        <w:t>. However, the structure of some mobile phone plans mean that up to a specified limit, the marginal cost of an additional phone is effectively zero.</w:t>
      </w:r>
    </w:p>
    <w:p w:rsidR="00392639" w:rsidRDefault="00392639" w:rsidP="00392639">
      <w:pPr>
        <w:pStyle w:val="BodyText"/>
        <w:rPr>
          <w:rFonts w:cs="Arial"/>
        </w:rPr>
      </w:pPr>
      <w:r>
        <w:t xml:space="preserve">According to </w:t>
      </w:r>
      <w:proofErr w:type="spellStart"/>
      <w:r>
        <w:t>IBISWorld</w:t>
      </w:r>
      <w:proofErr w:type="spellEnd"/>
      <w:r>
        <w:t>, the price competition in the mobile market means it is now cheaper for some households and business consumers to disconnect their landlines and rely on mobile services</w:t>
      </w:r>
      <w:r w:rsidR="00096BB1">
        <w:t>.</w:t>
      </w:r>
      <w:r w:rsidR="00096BB1">
        <w:rPr>
          <w:rStyle w:val="FootnoteReference"/>
        </w:rPr>
        <w:footnoteReference w:id="26"/>
      </w:r>
      <w:r w:rsidR="00096BB1">
        <w:t xml:space="preserve"> </w:t>
      </w:r>
      <w:r>
        <w:rPr>
          <w:rFonts w:cs="Arial"/>
        </w:rPr>
        <w:t xml:space="preserve">This </w:t>
      </w:r>
      <w:proofErr w:type="gramStart"/>
      <w:r>
        <w:rPr>
          <w:rFonts w:cs="Arial"/>
        </w:rPr>
        <w:t>is reflected</w:t>
      </w:r>
      <w:proofErr w:type="gramEnd"/>
      <w:r>
        <w:rPr>
          <w:rFonts w:cs="Arial"/>
        </w:rPr>
        <w:t xml:space="preserve"> in the growth in the</w:t>
      </w:r>
      <w:r w:rsidRPr="00205FB6">
        <w:rPr>
          <w:rFonts w:cs="Arial"/>
        </w:rPr>
        <w:t xml:space="preserve"> number of mobile only households. From June 2012 to Jun</w:t>
      </w:r>
      <w:r>
        <w:rPr>
          <w:rFonts w:cs="Arial"/>
        </w:rPr>
        <w:t>e 2013, the number of people wi</w:t>
      </w:r>
      <w:r w:rsidRPr="00205FB6">
        <w:rPr>
          <w:rFonts w:cs="Arial"/>
        </w:rPr>
        <w:t>thout a fixed line phone increased fro</w:t>
      </w:r>
      <w:r>
        <w:rPr>
          <w:rFonts w:cs="Arial"/>
        </w:rPr>
        <w:t>m 18 per cent to 21 per cent (3.68 million) of the total adult population. Most of this group are a younger demographic being 18-34 year olds (</w:t>
      </w:r>
      <w:r w:rsidR="00096BB1">
        <w:rPr>
          <w:rFonts w:cs="Arial"/>
        </w:rPr>
        <w:t>chart </w:t>
      </w:r>
      <w:r w:rsidR="00096BB1">
        <w:rPr>
          <w:rFonts w:cs="Arial"/>
        </w:rPr>
        <w:fldChar w:fldCharType="begin"/>
      </w:r>
      <w:r w:rsidR="00096BB1">
        <w:rPr>
          <w:rFonts w:cs="Arial"/>
        </w:rPr>
        <w:instrText xml:space="preserve"> REF _Caption5990 </w:instrText>
      </w:r>
      <w:r w:rsidR="00096BB1">
        <w:rPr>
          <w:rFonts w:cs="Arial"/>
        </w:rPr>
        <w:fldChar w:fldCharType="separate"/>
      </w:r>
      <w:r w:rsidR="00304215">
        <w:rPr>
          <w:noProof/>
        </w:rPr>
        <w:t>4</w:t>
      </w:r>
      <w:r w:rsidR="00304215" w:rsidRPr="00695C93">
        <w:rPr>
          <w:noProof/>
        </w:rPr>
        <w:t>.</w:t>
      </w:r>
      <w:r w:rsidR="00304215">
        <w:rPr>
          <w:noProof/>
        </w:rPr>
        <w:t>12</w:t>
      </w:r>
      <w:r w:rsidR="00096BB1">
        <w:rPr>
          <w:rFonts w:cs="Arial"/>
        </w:rPr>
        <w:fldChar w:fldCharType="end"/>
      </w:r>
      <w:r>
        <w:rPr>
          <w:rFonts w:cs="Arial"/>
        </w:rPr>
        <w:t>).</w:t>
      </w:r>
    </w:p>
    <w:p w:rsidR="00392639" w:rsidRPr="00695C93" w:rsidRDefault="00392639" w:rsidP="00392639">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w:instrText>
      </w:r>
      <w:fldSimple w:instr=" STYLEREF &quot;Heading 1&quot; \l \n ">
        <w:r w:rsidR="00304215">
          <w:rPr>
            <w:noProof/>
          </w:rPr>
          <w:instrText>4</w:instrText>
        </w:r>
      </w:fldSimple>
      <w:r w:rsidRPr="00695C93">
        <w:instrText xml:space="preserve">." </w:instrText>
      </w:r>
      <w:r w:rsidRPr="00695C93">
        <w:fldChar w:fldCharType="separate"/>
      </w:r>
      <w:r w:rsidR="00304215">
        <w:rPr>
          <w:noProof/>
        </w:rPr>
        <w:instrText>4</w:instrText>
      </w:r>
      <w:r w:rsidR="00304215" w:rsidRPr="00695C93">
        <w:rPr>
          <w:noProof/>
        </w:rPr>
        <w:instrText>.</w:instrText>
      </w:r>
      <w:r w:rsidRPr="00695C93">
        <w:fldChar w:fldCharType="end"/>
      </w:r>
      <w:r w:rsidRPr="00695C93">
        <w:instrText>" "</w:instrText>
      </w:r>
      <w:fldSimple w:instr=" STYLEREF &quot;Heading 6&quot; \l \n ">
        <w:r>
          <w:rPr>
            <w:noProof/>
          </w:rPr>
          <w:instrText>A</w:instrText>
        </w:r>
      </w:fldSimple>
      <w:r w:rsidRPr="00695C93">
        <w:instrText xml:space="preserve">." </w:instrText>
      </w:r>
      <w:r w:rsidRPr="00695C93">
        <w:fldChar w:fldCharType="separate"/>
      </w:r>
      <w:r w:rsidR="00584F9A">
        <w:rPr>
          <w:noProof/>
        </w:rPr>
        <w:instrText>4</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12</w:instrText>
      </w:r>
      <w:r w:rsidRPr="00695C93">
        <w:fldChar w:fldCharType="end"/>
      </w:r>
      <w:r w:rsidRPr="00695C93">
        <w:instrText xml:space="preserve">" "" </w:instrText>
      </w:r>
      <w:r w:rsidRPr="00695C93">
        <w:fldChar w:fldCharType="separate"/>
      </w:r>
      <w:bookmarkStart w:id="899" w:name="_Caption8890"/>
      <w:bookmarkStart w:id="900" w:name="_Caption6627"/>
      <w:bookmarkStart w:id="901" w:name="_Caption1973"/>
      <w:bookmarkStart w:id="902" w:name="_Caption9384"/>
      <w:bookmarkStart w:id="903" w:name="_Caption8502"/>
      <w:bookmarkStart w:id="904" w:name="_Caption8056"/>
      <w:bookmarkStart w:id="905" w:name="_Caption4736"/>
      <w:bookmarkStart w:id="906" w:name="_Caption5990"/>
      <w:bookmarkStart w:id="907" w:name="_Caption9014"/>
      <w:bookmarkStart w:id="908" w:name="_Caption5016"/>
      <w:bookmarkStart w:id="909" w:name="_Caption0179"/>
      <w:bookmarkStart w:id="910" w:name="_Caption8700"/>
      <w:bookmarkStart w:id="911" w:name="_Caption8302"/>
      <w:bookmarkStart w:id="912" w:name="_Caption2933"/>
      <w:bookmarkStart w:id="913" w:name="_Caption3026"/>
      <w:bookmarkStart w:id="914" w:name="_Caption0632"/>
      <w:bookmarkStart w:id="915" w:name="_Caption3716"/>
      <w:bookmarkStart w:id="916" w:name="_Caption6974"/>
      <w:bookmarkStart w:id="917" w:name="_Caption4396"/>
      <w:bookmarkStart w:id="918" w:name="_Caption3179"/>
      <w:bookmarkStart w:id="919" w:name="_Caption4788"/>
      <w:bookmarkStart w:id="920" w:name="_Caption3987"/>
      <w:bookmarkStart w:id="921" w:name="_Caption7598"/>
      <w:bookmarkStart w:id="922" w:name="_Caption0693"/>
      <w:bookmarkStart w:id="923" w:name="_Toc391972963"/>
      <w:r w:rsidR="00584F9A">
        <w:rPr>
          <w:noProof/>
        </w:rPr>
        <w:t>4</w:t>
      </w:r>
      <w:r w:rsidR="00584F9A" w:rsidRPr="00695C93">
        <w:rPr>
          <w:noProof/>
        </w:rPr>
        <w:t>.</w:t>
      </w:r>
      <w:r w:rsidR="00584F9A">
        <w:rPr>
          <w:noProof/>
        </w:rPr>
        <w:t>12</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sidRPr="00695C93">
        <w:fldChar w:fldCharType="end"/>
      </w:r>
      <w:r w:rsidRPr="00695C93">
        <w:tab/>
      </w:r>
      <w:r>
        <w:t>Number of people (aged 18 years and over) with a mobile only</w:t>
      </w:r>
      <w:bookmarkEnd w:id="923"/>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392639" w:rsidTr="00B01898">
        <w:trPr>
          <w:cantSplit/>
          <w:tblHeader/>
        </w:trPr>
        <w:tc>
          <w:tcPr>
            <w:tcW w:w="7938" w:type="dxa"/>
            <w:shd w:val="clear" w:color="auto" w:fill="E9E8E5" w:themeFill="background2"/>
          </w:tcPr>
          <w:p w:rsidR="00392639" w:rsidRDefault="00392639" w:rsidP="005C7B71">
            <w:pPr>
              <w:pStyle w:val="Chart"/>
              <w:jc w:val="center"/>
            </w:pPr>
            <w:r>
              <w:rPr>
                <w:noProof/>
                <w:lang w:eastAsia="en-AU"/>
              </w:rPr>
              <w:drawing>
                <wp:inline distT="0" distB="0" distL="0" distR="0" wp14:anchorId="4AEA0487" wp14:editId="0EBC94F3">
                  <wp:extent cx="4866005" cy="2377440"/>
                  <wp:effectExtent l="0" t="0" r="0" b="0"/>
                  <wp:docPr id="20" name="Picture 20" descr="Line Graph outlining the number of people in Australia (aged 18 years and over) with a mobile phon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66005" cy="2377440"/>
                          </a:xfrm>
                          <a:prstGeom prst="rect">
                            <a:avLst/>
                          </a:prstGeom>
                          <a:noFill/>
                          <a:ln>
                            <a:noFill/>
                          </a:ln>
                        </pic:spPr>
                      </pic:pic>
                    </a:graphicData>
                  </a:graphic>
                </wp:inline>
              </w:drawing>
            </w:r>
          </w:p>
        </w:tc>
      </w:tr>
    </w:tbl>
    <w:p w:rsidR="00392639" w:rsidRDefault="00392639" w:rsidP="00392639">
      <w:pPr>
        <w:pStyle w:val="Source"/>
      </w:pPr>
      <w:r>
        <w:rPr>
          <w:i/>
        </w:rPr>
        <w:t>Data source</w:t>
      </w:r>
      <w:r w:rsidRPr="00A67576">
        <w:rPr>
          <w:i/>
        </w:rPr>
        <w:t>:</w:t>
      </w:r>
      <w:r>
        <w:t xml:space="preserve"> ACMA Communications report 2012</w:t>
      </w:r>
      <w:r>
        <w:noBreakHyphen/>
        <w:t>13 (Roy Morgan Single Source)</w:t>
      </w:r>
    </w:p>
    <w:p w:rsidR="00392639" w:rsidRDefault="00392639" w:rsidP="00392639">
      <w:pPr>
        <w:pStyle w:val="BodyText"/>
      </w:pPr>
      <w:r>
        <w:t>Over recent years, there has been a decline in the overall number of voice call minutes, as well as a significant shift in the composition. In 2007/08, voice call minutes originating from a fixed lines was more than 2.5 time higher than voice call minutes originating from mobiles. By 2011/12, the number of voice call minutes originating from mobiles exceeded those originating from fixed lines for the first time (chart </w:t>
      </w:r>
      <w:fldSimple w:instr=" REF _Caption7193 ">
        <w:r w:rsidR="00304215">
          <w:rPr>
            <w:noProof/>
          </w:rPr>
          <w:t>4</w:t>
        </w:r>
        <w:r w:rsidR="00304215" w:rsidRPr="00695C93">
          <w:rPr>
            <w:noProof/>
          </w:rPr>
          <w:t>.</w:t>
        </w:r>
        <w:r w:rsidR="00304215">
          <w:rPr>
            <w:noProof/>
          </w:rPr>
          <w:t>6</w:t>
        </w:r>
      </w:fldSimple>
      <w:r>
        <w:t>).</w:t>
      </w:r>
      <w:r w:rsidR="00096BB1">
        <w:t xml:space="preserve"> </w:t>
      </w:r>
      <w:proofErr w:type="gramStart"/>
      <w:r w:rsidR="00096BB1">
        <w:t>This also suggest</w:t>
      </w:r>
      <w:proofErr w:type="gramEnd"/>
      <w:r w:rsidR="00096BB1">
        <w:t xml:space="preserve"> stronger competition between mobile and voice services than considered by the ACCC. </w:t>
      </w:r>
    </w:p>
    <w:p w:rsidR="00392639" w:rsidRPr="00695C93" w:rsidRDefault="00392639" w:rsidP="00392639">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w:instrText>
      </w:r>
      <w:fldSimple w:instr=" STYLEREF &quot;Heading 1&quot; \l \n ">
        <w:r w:rsidR="00304215">
          <w:rPr>
            <w:noProof/>
          </w:rPr>
          <w:instrText>4</w:instrText>
        </w:r>
      </w:fldSimple>
      <w:r w:rsidRPr="00695C93">
        <w:instrText xml:space="preserve">." </w:instrText>
      </w:r>
      <w:r w:rsidRPr="00695C93">
        <w:fldChar w:fldCharType="separate"/>
      </w:r>
      <w:r w:rsidR="00304215">
        <w:rPr>
          <w:noProof/>
        </w:rPr>
        <w:instrText>4</w:instrText>
      </w:r>
      <w:r w:rsidR="00304215" w:rsidRPr="00695C93">
        <w:rPr>
          <w:noProof/>
        </w:rPr>
        <w:instrText>.</w:instrText>
      </w:r>
      <w:r w:rsidRPr="00695C93">
        <w:fldChar w:fldCharType="end"/>
      </w:r>
      <w:r w:rsidRPr="00695C93">
        <w:instrText>" "</w:instrText>
      </w:r>
      <w:fldSimple w:instr=" STYLEREF &quot;Heading 6&quot; \l \n ">
        <w:r>
          <w:rPr>
            <w:noProof/>
          </w:rPr>
          <w:instrText>A</w:instrText>
        </w:r>
      </w:fldSimple>
      <w:r w:rsidRPr="00695C93">
        <w:instrText xml:space="preserve">." </w:instrText>
      </w:r>
      <w:r w:rsidRPr="00695C93">
        <w:fldChar w:fldCharType="separate"/>
      </w:r>
      <w:r w:rsidR="00584F9A">
        <w:rPr>
          <w:noProof/>
        </w:rPr>
        <w:instrText>4</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13</w:instrText>
      </w:r>
      <w:r w:rsidRPr="00695C93">
        <w:fldChar w:fldCharType="end"/>
      </w:r>
      <w:r w:rsidRPr="00695C93">
        <w:instrText xml:space="preserve">" "" </w:instrText>
      </w:r>
      <w:r w:rsidRPr="00695C93">
        <w:fldChar w:fldCharType="separate"/>
      </w:r>
      <w:bookmarkStart w:id="924" w:name="_Caption1734"/>
      <w:bookmarkStart w:id="925" w:name="_Caption7507"/>
      <w:bookmarkStart w:id="926" w:name="_Caption5686"/>
      <w:bookmarkStart w:id="927" w:name="_Caption7528"/>
      <w:bookmarkStart w:id="928" w:name="_Caption9382"/>
      <w:bookmarkStart w:id="929" w:name="_Caption1512"/>
      <w:bookmarkStart w:id="930" w:name="_Caption2279"/>
      <w:bookmarkStart w:id="931" w:name="_Caption3305"/>
      <w:bookmarkStart w:id="932" w:name="_Caption3327"/>
      <w:bookmarkStart w:id="933" w:name="_Caption6312"/>
      <w:bookmarkStart w:id="934" w:name="_Caption3891"/>
      <w:bookmarkStart w:id="935" w:name="_Caption9061"/>
      <w:bookmarkStart w:id="936" w:name="_Caption6272"/>
      <w:bookmarkStart w:id="937" w:name="_Caption0130"/>
      <w:bookmarkStart w:id="938" w:name="_Caption0824"/>
      <w:bookmarkStart w:id="939" w:name="_Caption7321"/>
      <w:bookmarkStart w:id="940" w:name="_Caption0150"/>
      <w:bookmarkStart w:id="941" w:name="_Caption6580"/>
      <w:bookmarkStart w:id="942" w:name="_Caption1823"/>
      <w:bookmarkStart w:id="943" w:name="_Caption9473"/>
      <w:bookmarkStart w:id="944" w:name="_Caption9121"/>
      <w:bookmarkStart w:id="945" w:name="_Caption0468"/>
      <w:bookmarkStart w:id="946" w:name="_Caption4814"/>
      <w:bookmarkStart w:id="947" w:name="_Caption7939"/>
      <w:bookmarkStart w:id="948" w:name="_Caption6770"/>
      <w:bookmarkStart w:id="949" w:name="_Caption1227"/>
      <w:bookmarkStart w:id="950" w:name="_Toc391972964"/>
      <w:r w:rsidR="00584F9A">
        <w:rPr>
          <w:noProof/>
        </w:rPr>
        <w:t>4</w:t>
      </w:r>
      <w:r w:rsidR="00584F9A" w:rsidRPr="00695C93">
        <w:rPr>
          <w:noProof/>
        </w:rPr>
        <w:t>.</w:t>
      </w:r>
      <w:r w:rsidR="00584F9A">
        <w:rPr>
          <w:noProof/>
        </w:rPr>
        <w:t>13</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rsidRPr="00695C93">
        <w:fldChar w:fldCharType="end"/>
      </w:r>
      <w:r w:rsidRPr="00695C93">
        <w:tab/>
      </w:r>
      <w:r>
        <w:t>Voice call minutes</w:t>
      </w:r>
      <w:bookmarkEnd w:id="950"/>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392639" w:rsidTr="00B01898">
        <w:trPr>
          <w:cantSplit/>
          <w:tblHeader/>
        </w:trPr>
        <w:tc>
          <w:tcPr>
            <w:tcW w:w="7938" w:type="dxa"/>
            <w:shd w:val="clear" w:color="auto" w:fill="E9E8E5" w:themeFill="background2"/>
          </w:tcPr>
          <w:p w:rsidR="00392639" w:rsidRDefault="00392639" w:rsidP="005C7B71">
            <w:pPr>
              <w:pStyle w:val="Chart"/>
              <w:jc w:val="center"/>
            </w:pPr>
            <w:r>
              <w:rPr>
                <w:noProof/>
                <w:lang w:eastAsia="en-AU"/>
              </w:rPr>
              <w:drawing>
                <wp:inline distT="0" distB="0" distL="0" distR="0" wp14:anchorId="6810E8A8" wp14:editId="6BBA6FB0">
                  <wp:extent cx="4858385" cy="2377440"/>
                  <wp:effectExtent l="0" t="0" r="0" b="0"/>
                  <wp:docPr id="5" name="Picture 5" descr="Bar Graph outlining voice call minuttes for fixed line and mobile telephon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58385" cy="2377440"/>
                          </a:xfrm>
                          <a:prstGeom prst="rect">
                            <a:avLst/>
                          </a:prstGeom>
                          <a:noFill/>
                          <a:ln>
                            <a:noFill/>
                          </a:ln>
                        </pic:spPr>
                      </pic:pic>
                    </a:graphicData>
                  </a:graphic>
                </wp:inline>
              </w:drawing>
            </w:r>
          </w:p>
        </w:tc>
      </w:tr>
    </w:tbl>
    <w:p w:rsidR="00392639" w:rsidRDefault="00392639" w:rsidP="00392639">
      <w:pPr>
        <w:pStyle w:val="Source"/>
      </w:pPr>
      <w:r>
        <w:rPr>
          <w:i/>
        </w:rPr>
        <w:t>Data source</w:t>
      </w:r>
      <w:r w:rsidRPr="00A67576">
        <w:rPr>
          <w:i/>
        </w:rPr>
        <w:t>:</w:t>
      </w:r>
      <w:r>
        <w:t xml:space="preserve"> ACCC, Telecommunications reports 2011</w:t>
      </w:r>
      <w:r>
        <w:noBreakHyphen/>
        <w:t>12, p. 13.</w:t>
      </w:r>
    </w:p>
    <w:p w:rsidR="00392639" w:rsidRDefault="00392639" w:rsidP="00392639">
      <w:pPr>
        <w:pStyle w:val="BodyText"/>
        <w:rPr>
          <w:lang w:eastAsia="en-US"/>
        </w:rPr>
      </w:pPr>
      <w:r>
        <w:rPr>
          <w:lang w:eastAsia="en-US"/>
        </w:rPr>
        <w:t>The ACMA Communications report also shows that mobiles were the most used communication service in Australia. While the home fixed line phone still plays a role in making calls, it is less significant than it was</w:t>
      </w:r>
      <w:r w:rsidR="00096BB1">
        <w:rPr>
          <w:lang w:eastAsia="en-US"/>
        </w:rPr>
        <w:t>, decreasing by 6 percentage points</w:t>
      </w:r>
      <w:r>
        <w:rPr>
          <w:lang w:eastAsia="en-US"/>
        </w:rPr>
        <w:t xml:space="preserve"> from 2012 to 2013. </w:t>
      </w:r>
    </w:p>
    <w:p w:rsidR="00392639" w:rsidRDefault="00392639" w:rsidP="00392639">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w:instrText>
      </w:r>
      <w:fldSimple w:instr=" STYLEREF &quot;Heading 1&quot; \l \n ">
        <w:r w:rsidR="00304215">
          <w:rPr>
            <w:noProof/>
          </w:rPr>
          <w:instrText>4</w:instrText>
        </w:r>
      </w:fldSimple>
      <w:r w:rsidRPr="00695C93">
        <w:instrText xml:space="preserve">." </w:instrText>
      </w:r>
      <w:r w:rsidRPr="00695C93">
        <w:fldChar w:fldCharType="separate"/>
      </w:r>
      <w:r w:rsidR="00304215">
        <w:rPr>
          <w:noProof/>
        </w:rPr>
        <w:instrText>4</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4</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14</w:instrText>
      </w:r>
      <w:r w:rsidRPr="00695C93">
        <w:fldChar w:fldCharType="end"/>
      </w:r>
      <w:r w:rsidRPr="00695C93">
        <w:instrText xml:space="preserve">" "" </w:instrText>
      </w:r>
      <w:r w:rsidRPr="00695C93">
        <w:fldChar w:fldCharType="separate"/>
      </w:r>
      <w:bookmarkStart w:id="951" w:name="_Caption5236"/>
      <w:bookmarkStart w:id="952" w:name="_Caption7522"/>
      <w:bookmarkStart w:id="953" w:name="_Caption8356"/>
      <w:bookmarkStart w:id="954" w:name="_Caption3096"/>
      <w:bookmarkStart w:id="955" w:name="_Caption9353"/>
      <w:bookmarkStart w:id="956" w:name="_Caption2392"/>
      <w:bookmarkStart w:id="957" w:name="_Caption7617"/>
      <w:bookmarkStart w:id="958" w:name="_Caption9993"/>
      <w:bookmarkStart w:id="959" w:name="_Caption5869"/>
      <w:bookmarkStart w:id="960" w:name="_Caption1800"/>
      <w:bookmarkStart w:id="961" w:name="_Caption6562"/>
      <w:bookmarkStart w:id="962" w:name="_Caption9910"/>
      <w:bookmarkStart w:id="963" w:name="_Caption3502"/>
      <w:bookmarkStart w:id="964" w:name="_Caption7714"/>
      <w:bookmarkStart w:id="965" w:name="_Caption7952"/>
      <w:bookmarkStart w:id="966" w:name="_Caption2698"/>
      <w:bookmarkStart w:id="967" w:name="_Caption4314"/>
      <w:bookmarkStart w:id="968" w:name="_Toc391972965"/>
      <w:r w:rsidR="00584F9A">
        <w:rPr>
          <w:noProof/>
        </w:rPr>
        <w:t>4</w:t>
      </w:r>
      <w:r w:rsidR="00584F9A" w:rsidRPr="00695C93">
        <w:rPr>
          <w:noProof/>
        </w:rPr>
        <w:t>.</w:t>
      </w:r>
      <w:r w:rsidR="00584F9A">
        <w:rPr>
          <w:noProof/>
        </w:rPr>
        <w:t>14</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695C93">
        <w:fldChar w:fldCharType="end"/>
      </w:r>
      <w:r w:rsidRPr="00695C93">
        <w:tab/>
      </w:r>
      <w:r>
        <w:t>Most used communication service — share of population</w:t>
      </w:r>
      <w:bookmarkEnd w:id="968"/>
    </w:p>
    <w:tbl>
      <w:tblPr>
        <w:tblW w:w="0" w:type="auto"/>
        <w:tblInd w:w="57" w:type="dxa"/>
        <w:tblLayout w:type="fixed"/>
        <w:tblLook w:val="0000" w:firstRow="0" w:lastRow="0" w:firstColumn="0" w:lastColumn="0" w:noHBand="0" w:noVBand="0"/>
      </w:tblPr>
      <w:tblGrid>
        <w:gridCol w:w="2268"/>
        <w:gridCol w:w="1700"/>
        <w:gridCol w:w="1984"/>
        <w:gridCol w:w="1985"/>
      </w:tblGrid>
      <w:tr w:rsidR="00392639" w:rsidTr="00F55EB5">
        <w:tc>
          <w:tcPr>
            <w:tcW w:w="2268" w:type="dxa"/>
            <w:shd w:val="clear" w:color="auto" w:fill="6F6652"/>
            <w:tcMar>
              <w:left w:w="57" w:type="dxa"/>
              <w:right w:w="57" w:type="dxa"/>
            </w:tcMar>
          </w:tcPr>
          <w:p w:rsidR="00392639" w:rsidRDefault="00392639" w:rsidP="00F55EB5">
            <w:pPr>
              <w:pStyle w:val="TableDataColumnHeading"/>
              <w:jc w:val="left"/>
            </w:pPr>
          </w:p>
        </w:tc>
        <w:tc>
          <w:tcPr>
            <w:tcW w:w="1700" w:type="dxa"/>
            <w:shd w:val="clear" w:color="auto" w:fill="6F6652"/>
            <w:tcMar>
              <w:left w:w="57" w:type="dxa"/>
              <w:right w:w="57" w:type="dxa"/>
            </w:tcMar>
          </w:tcPr>
          <w:p w:rsidR="00392639" w:rsidRDefault="00392639" w:rsidP="00F55EB5">
            <w:pPr>
              <w:pStyle w:val="TableDataColumnHeading"/>
            </w:pPr>
            <w:r>
              <w:t>May 2012</w:t>
            </w:r>
          </w:p>
        </w:tc>
        <w:tc>
          <w:tcPr>
            <w:tcW w:w="1984" w:type="dxa"/>
            <w:shd w:val="clear" w:color="auto" w:fill="6F6652"/>
            <w:tcMar>
              <w:left w:w="57" w:type="dxa"/>
              <w:right w:w="57" w:type="dxa"/>
            </w:tcMar>
          </w:tcPr>
          <w:p w:rsidR="00392639" w:rsidRDefault="00392639" w:rsidP="00F55EB5">
            <w:pPr>
              <w:pStyle w:val="TableDataColumnHeading"/>
            </w:pPr>
            <w:r>
              <w:t>May 2013</w:t>
            </w:r>
          </w:p>
        </w:tc>
        <w:tc>
          <w:tcPr>
            <w:tcW w:w="1985" w:type="dxa"/>
            <w:shd w:val="clear" w:color="auto" w:fill="6F6652"/>
            <w:tcMar>
              <w:left w:w="57" w:type="dxa"/>
              <w:right w:w="57" w:type="dxa"/>
            </w:tcMar>
          </w:tcPr>
          <w:p w:rsidR="00392639" w:rsidRDefault="00392639" w:rsidP="00F55EB5">
            <w:pPr>
              <w:pStyle w:val="TableDataColumnHeading"/>
            </w:pPr>
            <w:r>
              <w:t>Percentage point change</w:t>
            </w:r>
          </w:p>
        </w:tc>
      </w:tr>
      <w:tr w:rsidR="00392639" w:rsidTr="00F55EB5">
        <w:tc>
          <w:tcPr>
            <w:tcW w:w="2268" w:type="dxa"/>
            <w:tcBorders>
              <w:bottom w:val="single" w:sz="8" w:space="0" w:color="FFFFFF" w:themeColor="background1"/>
            </w:tcBorders>
            <w:shd w:val="clear" w:color="auto" w:fill="auto"/>
            <w:tcMar>
              <w:left w:w="57" w:type="dxa"/>
              <w:right w:w="57" w:type="dxa"/>
            </w:tcMar>
          </w:tcPr>
          <w:p w:rsidR="00392639" w:rsidRDefault="00392639" w:rsidP="005C7B71">
            <w:pPr>
              <w:pStyle w:val="TableDataEntries"/>
            </w:pPr>
          </w:p>
        </w:tc>
        <w:tc>
          <w:tcPr>
            <w:tcW w:w="1700" w:type="dxa"/>
            <w:tcBorders>
              <w:bottom w:val="single" w:sz="8" w:space="0" w:color="FFFFFF" w:themeColor="background1"/>
            </w:tcBorders>
            <w:shd w:val="clear" w:color="auto" w:fill="auto"/>
            <w:tcMar>
              <w:left w:w="57" w:type="dxa"/>
              <w:right w:w="57" w:type="dxa"/>
            </w:tcMar>
          </w:tcPr>
          <w:p w:rsidR="00392639" w:rsidRDefault="00392639" w:rsidP="005C7B71">
            <w:pPr>
              <w:pStyle w:val="TableDataEntries"/>
            </w:pPr>
            <w:r>
              <w:t>Per cent</w:t>
            </w:r>
          </w:p>
        </w:tc>
        <w:tc>
          <w:tcPr>
            <w:tcW w:w="1984" w:type="dxa"/>
            <w:tcBorders>
              <w:bottom w:val="single" w:sz="8" w:space="0" w:color="FFFFFF" w:themeColor="background1"/>
            </w:tcBorders>
            <w:shd w:val="clear" w:color="auto" w:fill="auto"/>
            <w:tcMar>
              <w:left w:w="57" w:type="dxa"/>
              <w:right w:w="57" w:type="dxa"/>
            </w:tcMar>
          </w:tcPr>
          <w:p w:rsidR="00392639" w:rsidRDefault="00392639" w:rsidP="005C7B71">
            <w:pPr>
              <w:pStyle w:val="TableDataEntries"/>
            </w:pPr>
            <w:r>
              <w:t>Per cent</w:t>
            </w:r>
          </w:p>
        </w:tc>
        <w:tc>
          <w:tcPr>
            <w:tcW w:w="1985" w:type="dxa"/>
            <w:tcBorders>
              <w:bottom w:val="single" w:sz="8" w:space="0" w:color="FFFFFF" w:themeColor="background1"/>
            </w:tcBorders>
            <w:shd w:val="clear" w:color="auto" w:fill="auto"/>
            <w:tcMar>
              <w:left w:w="57" w:type="dxa"/>
              <w:right w:w="57" w:type="dxa"/>
            </w:tcMar>
          </w:tcPr>
          <w:p w:rsidR="00392639" w:rsidRDefault="00392639" w:rsidP="005C7B71">
            <w:pPr>
              <w:pStyle w:val="TableDataEntries"/>
            </w:pPr>
            <w:r>
              <w:t>Percentage point</w:t>
            </w:r>
          </w:p>
        </w:tc>
      </w:tr>
      <w:tr w:rsidR="00392639" w:rsidTr="00F55EB5">
        <w:tc>
          <w:tcPr>
            <w:tcW w:w="22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jc w:val="left"/>
            </w:pPr>
            <w:r>
              <w:t>Mobile phone voice calls</w:t>
            </w:r>
          </w:p>
        </w:tc>
        <w:tc>
          <w:tcPr>
            <w:tcW w:w="170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26</w:t>
            </w:r>
          </w:p>
        </w:tc>
        <w:tc>
          <w:tcPr>
            <w:tcW w:w="198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26</w:t>
            </w:r>
          </w:p>
        </w:tc>
        <w:tc>
          <w:tcPr>
            <w:tcW w:w="198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+3</w:t>
            </w:r>
          </w:p>
        </w:tc>
      </w:tr>
      <w:tr w:rsidR="00392639" w:rsidTr="00F55EB5">
        <w:tc>
          <w:tcPr>
            <w:tcW w:w="22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jc w:val="left"/>
            </w:pPr>
            <w:r>
              <w:t>Texting from a mobile phone</w:t>
            </w:r>
          </w:p>
        </w:tc>
        <w:tc>
          <w:tcPr>
            <w:tcW w:w="170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22</w:t>
            </w:r>
          </w:p>
        </w:tc>
        <w:tc>
          <w:tcPr>
            <w:tcW w:w="198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24</w:t>
            </w:r>
          </w:p>
        </w:tc>
        <w:tc>
          <w:tcPr>
            <w:tcW w:w="198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DataEntries"/>
            </w:pPr>
            <w:r>
              <w:t>+2</w:t>
            </w:r>
          </w:p>
        </w:tc>
      </w:tr>
      <w:tr w:rsidR="00392639" w:rsidTr="00F55EB5">
        <w:tc>
          <w:tcPr>
            <w:tcW w:w="2268"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Default="00392639" w:rsidP="00F55EB5">
            <w:pPr>
              <w:pStyle w:val="TableDataEntries"/>
              <w:jc w:val="left"/>
            </w:pPr>
            <w:r>
              <w:t>Home fixed-line telephone</w:t>
            </w:r>
          </w:p>
        </w:tc>
        <w:tc>
          <w:tcPr>
            <w:tcW w:w="1700"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Default="00392639" w:rsidP="00F55EB5">
            <w:pPr>
              <w:pStyle w:val="TableDataEntries"/>
            </w:pPr>
            <w:r>
              <w:t>22</w:t>
            </w:r>
          </w:p>
        </w:tc>
        <w:tc>
          <w:tcPr>
            <w:tcW w:w="1984"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Default="00392639" w:rsidP="00F55EB5">
            <w:pPr>
              <w:pStyle w:val="TableDataEntries"/>
            </w:pPr>
            <w:r>
              <w:t>16</w:t>
            </w:r>
          </w:p>
        </w:tc>
        <w:tc>
          <w:tcPr>
            <w:tcW w:w="1985"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Default="00392639" w:rsidP="00F55EB5">
            <w:pPr>
              <w:pStyle w:val="TableDataEntries"/>
            </w:pPr>
            <w:r>
              <w:t>-6</w:t>
            </w:r>
          </w:p>
        </w:tc>
      </w:tr>
    </w:tbl>
    <w:p w:rsidR="00392639" w:rsidRDefault="00392639" w:rsidP="00392639">
      <w:pPr>
        <w:pStyle w:val="Source"/>
      </w:pPr>
      <w:r>
        <w:rPr>
          <w:i/>
        </w:rPr>
        <w:t>Source</w:t>
      </w:r>
      <w:r w:rsidRPr="00E4232C">
        <w:rPr>
          <w:i/>
        </w:rPr>
        <w:t>:</w:t>
      </w:r>
      <w:r>
        <w:t xml:space="preserve"> ACMA Communications report 2012-13</w:t>
      </w:r>
    </w:p>
    <w:p w:rsidR="00392639" w:rsidRPr="00B457E0" w:rsidRDefault="00392639" w:rsidP="00392639">
      <w:pPr>
        <w:pStyle w:val="Heading3"/>
      </w:pPr>
      <w:r>
        <w:t xml:space="preserve">Competition from </w:t>
      </w:r>
      <w:r w:rsidRPr="00B457E0">
        <w:t>Voice over Internet Protocol</w:t>
      </w:r>
      <w:r>
        <w:t xml:space="preserve"> (VoIP)</w:t>
      </w:r>
      <w:r w:rsidRPr="00B457E0">
        <w:t xml:space="preserve"> </w:t>
      </w:r>
      <w:r>
        <w:t>using broadband</w:t>
      </w:r>
    </w:p>
    <w:p w:rsidR="00392639" w:rsidRDefault="00392639" w:rsidP="00392639">
      <w:pPr>
        <w:pStyle w:val="BodyText"/>
      </w:pPr>
      <w:r>
        <w:t xml:space="preserve">Voice over Internet Protocol (VoIP) is a data based product that requires a broadband speed service to operate. The use of (VoIP) is a </w:t>
      </w:r>
      <w:r w:rsidR="00096BB1">
        <w:t>potential</w:t>
      </w:r>
      <w:r>
        <w:t xml:space="preserve"> substitute for fixed line voice services. The main ways to access a VoIP service are </w:t>
      </w:r>
      <w:proofErr w:type="gramStart"/>
      <w:r>
        <w:t>via</w:t>
      </w:r>
      <w:proofErr w:type="gramEnd"/>
      <w:r>
        <w:t>:</w:t>
      </w:r>
    </w:p>
    <w:p w:rsidR="00392639" w:rsidRDefault="00392639" w:rsidP="00392639">
      <w:pPr>
        <w:pStyle w:val="ListBullet"/>
      </w:pPr>
      <w:r>
        <w:t>an internet phone</w:t>
      </w:r>
    </w:p>
    <w:p w:rsidR="00392639" w:rsidRDefault="00096BB1" w:rsidP="00392639">
      <w:pPr>
        <w:pStyle w:val="ListBullet"/>
      </w:pPr>
      <w:r>
        <w:t>c</w:t>
      </w:r>
      <w:r w:rsidR="00392639">
        <w:t>omputer or laptop</w:t>
      </w:r>
    </w:p>
    <w:p w:rsidR="00392639" w:rsidRDefault="00096BB1" w:rsidP="00392639">
      <w:pPr>
        <w:pStyle w:val="ListBullet"/>
      </w:pPr>
      <w:r>
        <w:t>m</w:t>
      </w:r>
      <w:r w:rsidR="00392639">
        <w:t>obile handset</w:t>
      </w:r>
    </w:p>
    <w:p w:rsidR="00392639" w:rsidRDefault="00096BB1" w:rsidP="00392639">
      <w:pPr>
        <w:pStyle w:val="ListBullet"/>
      </w:pPr>
      <w:proofErr w:type="gramStart"/>
      <w:r>
        <w:t>o</w:t>
      </w:r>
      <w:r w:rsidR="00392639">
        <w:t>ther</w:t>
      </w:r>
      <w:proofErr w:type="gramEnd"/>
      <w:r w:rsidR="00392639">
        <w:t xml:space="preserve"> mobile devices such as tablets.</w:t>
      </w:r>
    </w:p>
    <w:p w:rsidR="00392639" w:rsidRDefault="00392639" w:rsidP="00392639">
      <w:pPr>
        <w:pStyle w:val="BodyText"/>
      </w:pPr>
      <w:r>
        <w:t xml:space="preserve">VoIP services have grown significantly over recent years, suggesting increasing competition for fixed line voice services. The ways in which VoIP services </w:t>
      </w:r>
      <w:proofErr w:type="gramStart"/>
      <w:r>
        <w:t>are accessed</w:t>
      </w:r>
      <w:proofErr w:type="gramEnd"/>
      <w:r>
        <w:t xml:space="preserve"> is also changing. The use of an internet phone or voice box, which could be viewed as the most direct VoIP substitute to traditional voice line services, has reduced over the past year, while the VoIP over mobile networks via handsets and tablets has grown (chart </w:t>
      </w:r>
      <w:fldSimple w:instr=" REF _Caption1964 ">
        <w:r w:rsidR="00304215">
          <w:rPr>
            <w:noProof/>
          </w:rPr>
          <w:t>4</w:t>
        </w:r>
        <w:r w:rsidR="00304215" w:rsidRPr="00695C93">
          <w:rPr>
            <w:noProof/>
          </w:rPr>
          <w:t>.</w:t>
        </w:r>
        <w:r w:rsidR="00304215">
          <w:rPr>
            <w:noProof/>
          </w:rPr>
          <w:t>15</w:t>
        </w:r>
      </w:fldSimple>
      <w:r>
        <w:t>).</w:t>
      </w:r>
    </w:p>
    <w:p w:rsidR="00392639" w:rsidRPr="00695C93" w:rsidRDefault="00392639" w:rsidP="00392639">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w:instrText>
      </w:r>
      <w:fldSimple w:instr=" STYLEREF &quot;Heading 1&quot; \l \n ">
        <w:r w:rsidR="00304215">
          <w:rPr>
            <w:noProof/>
          </w:rPr>
          <w:instrText>4</w:instrText>
        </w:r>
      </w:fldSimple>
      <w:r w:rsidRPr="00695C93">
        <w:instrText xml:space="preserve">." </w:instrText>
      </w:r>
      <w:r w:rsidRPr="00695C93">
        <w:fldChar w:fldCharType="separate"/>
      </w:r>
      <w:r w:rsidR="00304215">
        <w:rPr>
          <w:noProof/>
        </w:rPr>
        <w:instrText>4</w:instrText>
      </w:r>
      <w:r w:rsidR="00304215" w:rsidRPr="00695C93">
        <w:rPr>
          <w:noProof/>
        </w:rPr>
        <w:instrText>.</w:instrText>
      </w:r>
      <w:r w:rsidRPr="00695C93">
        <w:fldChar w:fldCharType="end"/>
      </w:r>
      <w:r w:rsidRPr="00695C93">
        <w:instrText>" "</w:instrText>
      </w:r>
      <w:fldSimple w:instr=" STYLEREF &quot;Heading 6&quot; \l \n ">
        <w:r>
          <w:rPr>
            <w:noProof/>
          </w:rPr>
          <w:instrText>A</w:instrText>
        </w:r>
      </w:fldSimple>
      <w:r w:rsidRPr="00695C93">
        <w:instrText xml:space="preserve">." </w:instrText>
      </w:r>
      <w:r w:rsidRPr="00695C93">
        <w:fldChar w:fldCharType="separate"/>
      </w:r>
      <w:r w:rsidR="00584F9A">
        <w:rPr>
          <w:noProof/>
        </w:rPr>
        <w:instrText>4</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15</w:instrText>
      </w:r>
      <w:r w:rsidRPr="00695C93">
        <w:fldChar w:fldCharType="end"/>
      </w:r>
      <w:r w:rsidRPr="00695C93">
        <w:instrText xml:space="preserve">" "" </w:instrText>
      </w:r>
      <w:r w:rsidRPr="00695C93">
        <w:fldChar w:fldCharType="separate"/>
      </w:r>
      <w:bookmarkStart w:id="969" w:name="_Caption5516"/>
      <w:bookmarkStart w:id="970" w:name="_Caption4822"/>
      <w:bookmarkStart w:id="971" w:name="_Caption5657"/>
      <w:bookmarkStart w:id="972" w:name="_Caption1078"/>
      <w:bookmarkStart w:id="973" w:name="_Caption1353"/>
      <w:bookmarkStart w:id="974" w:name="_Caption0374"/>
      <w:bookmarkStart w:id="975" w:name="_Caption8162"/>
      <w:bookmarkStart w:id="976" w:name="_Caption9304"/>
      <w:bookmarkStart w:id="977" w:name="_Caption3390"/>
      <w:bookmarkStart w:id="978" w:name="_Caption3333"/>
      <w:bookmarkStart w:id="979" w:name="_Caption7927"/>
      <w:bookmarkStart w:id="980" w:name="_Caption2754"/>
      <w:bookmarkStart w:id="981" w:name="_Caption8683"/>
      <w:bookmarkStart w:id="982" w:name="_Caption1964"/>
      <w:bookmarkStart w:id="983" w:name="_Caption4358"/>
      <w:bookmarkStart w:id="984" w:name="_Caption2347"/>
      <w:bookmarkStart w:id="985" w:name="_Caption7173"/>
      <w:bookmarkStart w:id="986" w:name="_Caption0291"/>
      <w:bookmarkStart w:id="987" w:name="_Caption7763"/>
      <w:bookmarkStart w:id="988" w:name="_Caption8763"/>
      <w:bookmarkStart w:id="989" w:name="_Caption4573"/>
      <w:bookmarkStart w:id="990" w:name="_Caption5554"/>
      <w:bookmarkStart w:id="991" w:name="_Caption7273"/>
      <w:bookmarkStart w:id="992" w:name="_Caption1153"/>
      <w:bookmarkStart w:id="993" w:name="_Toc391972966"/>
      <w:r w:rsidR="00584F9A">
        <w:rPr>
          <w:noProof/>
        </w:rPr>
        <w:t>4</w:t>
      </w:r>
      <w:r w:rsidR="00584F9A" w:rsidRPr="00695C93">
        <w:rPr>
          <w:noProof/>
        </w:rPr>
        <w:t>.</w:t>
      </w:r>
      <w:r w:rsidR="00584F9A">
        <w:rPr>
          <w:noProof/>
        </w:rPr>
        <w:t>15</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r w:rsidRPr="00695C93">
        <w:fldChar w:fldCharType="end"/>
      </w:r>
      <w:r w:rsidRPr="00695C93">
        <w:tab/>
      </w:r>
      <w:r>
        <w:t>Take-up of VoIP services by household consumers</w:t>
      </w:r>
      <w:bookmarkEnd w:id="993"/>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Look w:val="04A0" w:firstRow="1" w:lastRow="0" w:firstColumn="1" w:lastColumn="0" w:noHBand="0" w:noVBand="1"/>
      </w:tblPr>
      <w:tblGrid>
        <w:gridCol w:w="7938"/>
      </w:tblGrid>
      <w:tr w:rsidR="00392639" w:rsidTr="00B01898">
        <w:trPr>
          <w:cantSplit/>
          <w:tblHeader/>
        </w:trPr>
        <w:tc>
          <w:tcPr>
            <w:tcW w:w="7938" w:type="dxa"/>
            <w:shd w:val="clear" w:color="auto" w:fill="E9E8E5" w:themeFill="background2"/>
          </w:tcPr>
          <w:p w:rsidR="00392639" w:rsidRDefault="00392639" w:rsidP="005C7B71">
            <w:pPr>
              <w:pStyle w:val="Chart"/>
              <w:jc w:val="center"/>
            </w:pPr>
            <w:r>
              <w:rPr>
                <w:noProof/>
                <w:lang w:eastAsia="en-AU"/>
              </w:rPr>
              <w:drawing>
                <wp:inline distT="0" distB="0" distL="0" distR="0" wp14:anchorId="18CD36C5" wp14:editId="13BAE761">
                  <wp:extent cx="4861980" cy="2391300"/>
                  <wp:effectExtent l="0" t="0" r="0" b="0"/>
                  <wp:docPr id="21" name="Chart 21" descr="Line Graph outlining the take up of voice over internet protocol (VoIP) services by household consum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bl>
    <w:p w:rsidR="00392639" w:rsidRDefault="00392639" w:rsidP="00392639">
      <w:pPr>
        <w:pStyle w:val="Source"/>
      </w:pPr>
      <w:proofErr w:type="gramStart"/>
      <w:r>
        <w:rPr>
          <w:i/>
        </w:rPr>
        <w:t>Data source</w:t>
      </w:r>
      <w:r w:rsidRPr="00A67576">
        <w:rPr>
          <w:i/>
        </w:rPr>
        <w:t>:</w:t>
      </w:r>
      <w:r>
        <w:t xml:space="preserve"> ACMA Communications Report 2012</w:t>
      </w:r>
      <w:r>
        <w:noBreakHyphen/>
        <w:t>13 (Roy Morgan Single Source).</w:t>
      </w:r>
      <w:proofErr w:type="gramEnd"/>
    </w:p>
    <w:p w:rsidR="00392639" w:rsidRDefault="00392639" w:rsidP="00392639">
      <w:pPr>
        <w:pStyle w:val="BodyText"/>
      </w:pPr>
      <w:r>
        <w:t xml:space="preserve">For households who purchase a </w:t>
      </w:r>
      <w:r w:rsidRPr="005B3E14">
        <w:t>naked DSL</w:t>
      </w:r>
      <w:r>
        <w:t xml:space="preserve"> product, access to VoIP via an internet phone or a computer/laptop device, will be a substitute for PSTN voice services, otherwise a bundle including fixed and data services would have been purchased. The </w:t>
      </w:r>
      <w:r>
        <w:lastRenderedPageBreak/>
        <w:t>question is how closely the two services are substitutable (see table </w:t>
      </w:r>
      <w:fldSimple w:instr=" REF _Caption8766 ">
        <w:r w:rsidR="00304215">
          <w:rPr>
            <w:noProof/>
          </w:rPr>
          <w:t>4</w:t>
        </w:r>
        <w:r w:rsidR="00304215" w:rsidRPr="00695C93">
          <w:rPr>
            <w:noProof/>
          </w:rPr>
          <w:t>.</w:t>
        </w:r>
        <w:r w:rsidR="00304215">
          <w:rPr>
            <w:noProof/>
          </w:rPr>
          <w:t>16</w:t>
        </w:r>
      </w:fldSimple>
      <w:r>
        <w:t xml:space="preserve"> for a summary of the characteristics of VoIP services).</w:t>
      </w:r>
    </w:p>
    <w:p w:rsidR="00392639" w:rsidRDefault="00392639" w:rsidP="00392639">
      <w:pPr>
        <w:pStyle w:val="BodyText"/>
      </w:pPr>
      <w:r>
        <w:t>The ACCC argues that because of the low quality offered by application layer VoIP</w:t>
      </w:r>
      <w:r w:rsidR="00096BB1">
        <w:t>, it</w:t>
      </w:r>
      <w:r>
        <w:t xml:space="preserve"> is a weak substitute for fixed line voice services.</w:t>
      </w:r>
      <w:r w:rsidR="00096BB1">
        <w:rPr>
          <w:rStyle w:val="FootnoteReference"/>
        </w:rPr>
        <w:footnoteReference w:id="27"/>
      </w:r>
      <w:r>
        <w:t xml:space="preserve"> Nevertheless, the increasing use of VoIP is likely to limit the ability of Telstra to increase the price of fixed line voice services to some extent.</w:t>
      </w:r>
    </w:p>
    <w:p w:rsidR="00392639" w:rsidRDefault="00392639" w:rsidP="00392639">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w:instrText>
      </w:r>
      <w:fldSimple w:instr=" STYLEREF &quot;Heading 1&quot; \l \n ">
        <w:r w:rsidR="00304215">
          <w:rPr>
            <w:noProof/>
          </w:rPr>
          <w:instrText>4</w:instrText>
        </w:r>
      </w:fldSimple>
      <w:r w:rsidRPr="00695C93">
        <w:instrText xml:space="preserve">." </w:instrText>
      </w:r>
      <w:r w:rsidRPr="00695C93">
        <w:fldChar w:fldCharType="separate"/>
      </w:r>
      <w:r w:rsidR="00304215">
        <w:rPr>
          <w:noProof/>
        </w:rPr>
        <w:instrText>4</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4</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4</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16</w:instrText>
      </w:r>
      <w:r w:rsidRPr="00695C93">
        <w:fldChar w:fldCharType="end"/>
      </w:r>
      <w:r w:rsidRPr="00695C93">
        <w:instrText xml:space="preserve">" "" </w:instrText>
      </w:r>
      <w:r w:rsidRPr="00695C93">
        <w:fldChar w:fldCharType="separate"/>
      </w:r>
      <w:bookmarkStart w:id="994" w:name="_Caption4128"/>
      <w:bookmarkStart w:id="995" w:name="_Caption9412"/>
      <w:bookmarkStart w:id="996" w:name="_Caption0313"/>
      <w:bookmarkStart w:id="997" w:name="_Caption3067"/>
      <w:bookmarkStart w:id="998" w:name="_Caption3943"/>
      <w:bookmarkStart w:id="999" w:name="_Caption9707"/>
      <w:bookmarkStart w:id="1000" w:name="_Caption2460"/>
      <w:bookmarkStart w:id="1001" w:name="_Caption0749"/>
      <w:bookmarkStart w:id="1002" w:name="_Caption2861"/>
      <w:bookmarkStart w:id="1003" w:name="_Caption3347"/>
      <w:bookmarkStart w:id="1004" w:name="_Caption1960"/>
      <w:bookmarkStart w:id="1005" w:name="_Caption8766"/>
      <w:bookmarkStart w:id="1006" w:name="_Toc391972967"/>
      <w:r w:rsidR="00584F9A">
        <w:rPr>
          <w:noProof/>
        </w:rPr>
        <w:t>4</w:t>
      </w:r>
      <w:r w:rsidR="00584F9A" w:rsidRPr="00695C93">
        <w:rPr>
          <w:noProof/>
        </w:rPr>
        <w:t>.</w:t>
      </w:r>
      <w:r w:rsidR="00584F9A">
        <w:rPr>
          <w:noProof/>
        </w:rPr>
        <w:t>16</w:t>
      </w:r>
      <w:bookmarkEnd w:id="994"/>
      <w:bookmarkEnd w:id="995"/>
      <w:bookmarkEnd w:id="996"/>
      <w:bookmarkEnd w:id="997"/>
      <w:bookmarkEnd w:id="998"/>
      <w:bookmarkEnd w:id="999"/>
      <w:bookmarkEnd w:id="1000"/>
      <w:bookmarkEnd w:id="1001"/>
      <w:bookmarkEnd w:id="1002"/>
      <w:bookmarkEnd w:id="1003"/>
      <w:bookmarkEnd w:id="1004"/>
      <w:bookmarkEnd w:id="1005"/>
      <w:r w:rsidRPr="00695C93">
        <w:fldChar w:fldCharType="end"/>
      </w:r>
      <w:r w:rsidRPr="00695C93">
        <w:tab/>
      </w:r>
      <w:r>
        <w:t>Characteristics of Voice over Internet Protocol services</w:t>
      </w:r>
      <w:bookmarkEnd w:id="1006"/>
    </w:p>
    <w:tbl>
      <w:tblPr>
        <w:tblW w:w="0" w:type="auto"/>
        <w:tblInd w:w="57" w:type="dxa"/>
        <w:tblLayout w:type="fixed"/>
        <w:tblLook w:val="0000" w:firstRow="0" w:lastRow="0" w:firstColumn="0" w:lastColumn="0" w:noHBand="0" w:noVBand="0"/>
      </w:tblPr>
      <w:tblGrid>
        <w:gridCol w:w="1701"/>
        <w:gridCol w:w="6236"/>
      </w:tblGrid>
      <w:tr w:rsidR="00392639" w:rsidTr="00F55EB5">
        <w:tc>
          <w:tcPr>
            <w:tcW w:w="1701" w:type="dxa"/>
            <w:tcBorders>
              <w:bottom w:val="single" w:sz="8" w:space="0" w:color="FFFFFF" w:themeColor="background1"/>
            </w:tcBorders>
            <w:shd w:val="clear" w:color="auto" w:fill="6F6652"/>
            <w:tcMar>
              <w:left w:w="57" w:type="dxa"/>
              <w:right w:w="57" w:type="dxa"/>
            </w:tcMar>
          </w:tcPr>
          <w:p w:rsidR="00392639" w:rsidRDefault="00392639" w:rsidP="00F55EB5">
            <w:pPr>
              <w:pStyle w:val="TableTextColumnHeading"/>
            </w:pPr>
            <w:r>
              <w:t>Element</w:t>
            </w:r>
          </w:p>
        </w:tc>
        <w:tc>
          <w:tcPr>
            <w:tcW w:w="6236" w:type="dxa"/>
            <w:tcBorders>
              <w:bottom w:val="single" w:sz="8" w:space="0" w:color="FFFFFF" w:themeColor="background1"/>
            </w:tcBorders>
            <w:shd w:val="clear" w:color="auto" w:fill="6F6652"/>
            <w:tcMar>
              <w:left w:w="57" w:type="dxa"/>
              <w:right w:w="57" w:type="dxa"/>
            </w:tcMar>
          </w:tcPr>
          <w:p w:rsidR="00392639" w:rsidRDefault="00392639" w:rsidP="00F55EB5">
            <w:pPr>
              <w:pStyle w:val="TableTextColumnHeading"/>
            </w:pPr>
            <w:r>
              <w:t>Comments</w:t>
            </w:r>
          </w:p>
        </w:tc>
      </w:tr>
      <w:tr w:rsidR="00392639" w:rsidTr="00F55EB5">
        <w:tc>
          <w:tcPr>
            <w:tcW w:w="170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TextEntries"/>
            </w:pPr>
            <w:r>
              <w:t>Equipment</w:t>
            </w:r>
          </w:p>
        </w:tc>
        <w:tc>
          <w:tcPr>
            <w:tcW w:w="623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Pr="000456CE" w:rsidRDefault="00392639" w:rsidP="00F55EB5">
            <w:pPr>
              <w:pStyle w:val="TableTextEntries"/>
            </w:pPr>
            <w:r w:rsidRPr="00685C3E">
              <w:t xml:space="preserve">VoIP </w:t>
            </w:r>
            <w:proofErr w:type="gramStart"/>
            <w:r w:rsidRPr="00685C3E">
              <w:t>can be accessed</w:t>
            </w:r>
            <w:proofErr w:type="gramEnd"/>
            <w:r w:rsidRPr="00685C3E">
              <w:t xml:space="preserve"> through a number of electronic devices that provide access to the internet and a speaker. VoIP phones allow customers are akin to a traditional fixed line phone, depending on the set up means there is now little difference between using the traditional fixed line phone and VoIP for the retail customer</w:t>
            </w:r>
          </w:p>
        </w:tc>
      </w:tr>
      <w:tr w:rsidR="00392639" w:rsidTr="00F55EB5">
        <w:tc>
          <w:tcPr>
            <w:tcW w:w="170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Pr="008C4D8C" w:rsidRDefault="00392639" w:rsidP="00F55EB5">
            <w:pPr>
              <w:pStyle w:val="TableTextEntries"/>
            </w:pPr>
            <w:r>
              <w:t>Charge for</w:t>
            </w:r>
            <w:r w:rsidRPr="008C4D8C">
              <w:t xml:space="preserve"> calls </w:t>
            </w:r>
          </w:p>
        </w:tc>
        <w:tc>
          <w:tcPr>
            <w:tcW w:w="623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Pr="000456CE" w:rsidRDefault="00392639" w:rsidP="00F55EB5">
            <w:pPr>
              <w:pStyle w:val="TableTextEntries"/>
            </w:pPr>
            <w:r w:rsidRPr="000456CE">
              <w:t xml:space="preserve">Calls can be completely free if calling another online VoIP user </w:t>
            </w:r>
          </w:p>
          <w:p w:rsidR="00392639" w:rsidRPr="000456CE" w:rsidRDefault="00392639" w:rsidP="00F55EB5">
            <w:pPr>
              <w:pStyle w:val="TableTextEntries"/>
            </w:pPr>
            <w:r w:rsidRPr="000456CE">
              <w:t xml:space="preserve">Charge for calls to mobiles and fixed line phones </w:t>
            </w:r>
          </w:p>
        </w:tc>
      </w:tr>
      <w:tr w:rsidR="00392639" w:rsidTr="00F55EB5">
        <w:tc>
          <w:tcPr>
            <w:tcW w:w="170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Pr="008C4D8C" w:rsidRDefault="00392639" w:rsidP="00F55EB5">
            <w:pPr>
              <w:pStyle w:val="TableTextEntries"/>
            </w:pPr>
            <w:r w:rsidRPr="008C4D8C">
              <w:t>Call quality</w:t>
            </w:r>
          </w:p>
        </w:tc>
        <w:tc>
          <w:tcPr>
            <w:tcW w:w="623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Pr="00685C3E" w:rsidRDefault="00392639" w:rsidP="00F55EB5">
            <w:pPr>
              <w:pStyle w:val="TableTextEntries"/>
            </w:pPr>
            <w:r w:rsidRPr="00685C3E">
              <w:t>VoIP services have developed from a best effort service to an availability of services that have quality of service assurances</w:t>
            </w:r>
            <w:r>
              <w:t>. (ACCC Dec 2013 report)</w:t>
            </w:r>
            <w:r w:rsidRPr="00685C3E">
              <w:t>.</w:t>
            </w:r>
          </w:p>
        </w:tc>
      </w:tr>
      <w:tr w:rsidR="00392639" w:rsidTr="00F55EB5">
        <w:tc>
          <w:tcPr>
            <w:tcW w:w="170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Default="00392639" w:rsidP="00F55EB5">
            <w:pPr>
              <w:pStyle w:val="TableTextEntries"/>
            </w:pPr>
            <w:r>
              <w:t xml:space="preserve">Issues </w:t>
            </w:r>
          </w:p>
        </w:tc>
        <w:tc>
          <w:tcPr>
            <w:tcW w:w="623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392639" w:rsidRPr="00ED44FE" w:rsidRDefault="00392639" w:rsidP="00F55EB5">
            <w:pPr>
              <w:pStyle w:val="TableTextEntries"/>
            </w:pPr>
            <w:r w:rsidRPr="00ED44FE">
              <w:t xml:space="preserve">VoIP services using certain computers are not available during power outages. </w:t>
            </w:r>
          </w:p>
          <w:p w:rsidR="00392639" w:rsidRPr="00ED44FE" w:rsidRDefault="00392639" w:rsidP="00F55EB5">
            <w:pPr>
              <w:pStyle w:val="TableTextEntries"/>
            </w:pPr>
            <w:r w:rsidRPr="00ED44FE">
              <w:t>There are also limitations on calling emergency services</w:t>
            </w:r>
            <w:r w:rsidRPr="00ED44FE">
              <w:rPr>
                <w:rStyle w:val="FootnoteReference"/>
                <w:rFonts w:ascii="Franklin Gothic Book" w:hAnsi="Franklin Gothic Book"/>
                <w:position w:val="0"/>
                <w:sz w:val="16"/>
                <w:szCs w:val="18"/>
              </w:rPr>
              <w:footnoteReference w:id="28"/>
            </w:r>
            <w:r w:rsidRPr="00ED44FE">
              <w:t xml:space="preserve">. </w:t>
            </w:r>
          </w:p>
        </w:tc>
      </w:tr>
      <w:tr w:rsidR="00392639" w:rsidTr="00F55EB5">
        <w:tc>
          <w:tcPr>
            <w:tcW w:w="1701"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Default="00392639" w:rsidP="00F55EB5">
            <w:pPr>
              <w:pStyle w:val="TableTextEntries"/>
            </w:pPr>
            <w:r>
              <w:t>ACCC draft finding</w:t>
            </w:r>
          </w:p>
        </w:tc>
        <w:tc>
          <w:tcPr>
            <w:tcW w:w="6236" w:type="dxa"/>
            <w:tcBorders>
              <w:top w:val="single" w:sz="8" w:space="0" w:color="FFFFFF" w:themeColor="background1"/>
              <w:bottom w:val="single" w:sz="6" w:space="0" w:color="6F6652"/>
            </w:tcBorders>
            <w:shd w:val="clear" w:color="auto" w:fill="E9E8E5" w:themeFill="background2"/>
            <w:tcMar>
              <w:left w:w="57" w:type="dxa"/>
              <w:right w:w="57" w:type="dxa"/>
            </w:tcMar>
          </w:tcPr>
          <w:p w:rsidR="00392639" w:rsidRPr="00ED44FE" w:rsidRDefault="00392639" w:rsidP="00F55EB5">
            <w:pPr>
              <w:pStyle w:val="TableTextEntries"/>
            </w:pPr>
            <w:r w:rsidRPr="00ED44FE">
              <w:t xml:space="preserve">VoIP services are currently not a substitute for traditional fixed line voice calls, given the costs associated with and technological requirements to operate a VoIP service. It was noted that for high volume users there </w:t>
            </w:r>
            <w:proofErr w:type="gramStart"/>
            <w:r w:rsidRPr="00ED44FE">
              <w:t>may</w:t>
            </w:r>
            <w:proofErr w:type="gramEnd"/>
            <w:r w:rsidRPr="00ED44FE">
              <w:t xml:space="preserve"> be a cost advantage to using a VoIP service. </w:t>
            </w:r>
          </w:p>
          <w:p w:rsidR="00392639" w:rsidRPr="00ED44FE" w:rsidRDefault="00392639" w:rsidP="00F55EB5">
            <w:pPr>
              <w:pStyle w:val="TableTextEntries"/>
            </w:pPr>
            <w:r w:rsidRPr="00ED44FE">
              <w:t xml:space="preserve">The ACCC concluded that carrier-grade VoIP services are likely to be substitutable for traditional voice- only services for consumers that have high call volumes, due to the cost of broadband.  </w:t>
            </w:r>
          </w:p>
        </w:tc>
      </w:tr>
    </w:tbl>
    <w:p w:rsidR="00392639" w:rsidRDefault="00392639" w:rsidP="00392639">
      <w:pPr>
        <w:pStyle w:val="Source"/>
      </w:pPr>
      <w:proofErr w:type="gramStart"/>
      <w:r>
        <w:rPr>
          <w:i/>
        </w:rPr>
        <w:t>Source</w:t>
      </w:r>
      <w:r w:rsidRPr="00E4232C">
        <w:rPr>
          <w:i/>
        </w:rPr>
        <w:t>:</w:t>
      </w:r>
      <w:r>
        <w:t xml:space="preserve"> The CIE.</w:t>
      </w:r>
      <w:proofErr w:type="gramEnd"/>
    </w:p>
    <w:p w:rsidR="00392639" w:rsidRPr="00780612" w:rsidRDefault="00392639" w:rsidP="00392639">
      <w:pPr>
        <w:pStyle w:val="Heading4"/>
      </w:pPr>
      <w:r w:rsidRPr="00780612">
        <w:t>VoIP over the fibre network</w:t>
      </w:r>
    </w:p>
    <w:p w:rsidR="00392639" w:rsidRDefault="00392639" w:rsidP="00392639">
      <w:pPr>
        <w:pStyle w:val="BodyText"/>
      </w:pPr>
      <w:r>
        <w:t xml:space="preserve">More recently, VoIP services using a fibre network (National Broadband network or others such as </w:t>
      </w:r>
      <w:proofErr w:type="spellStart"/>
      <w:r>
        <w:t>TransAct</w:t>
      </w:r>
      <w:proofErr w:type="spellEnd"/>
      <w:r>
        <w:t xml:space="preserve"> in the ACT) </w:t>
      </w:r>
      <w:proofErr w:type="gramStart"/>
      <w:r>
        <w:t>have been introduced</w:t>
      </w:r>
      <w:proofErr w:type="gramEnd"/>
      <w:r>
        <w:t xml:space="preserve">. Phone calls </w:t>
      </w:r>
      <w:proofErr w:type="gramStart"/>
      <w:r>
        <w:t>are claimed</w:t>
      </w:r>
      <w:proofErr w:type="gramEnd"/>
      <w:r>
        <w:t xml:space="preserve"> to be as high quality as the current PSTN calls but with lower prices including untimed calls to all fixed line</w:t>
      </w:r>
      <w:r w:rsidR="00096BB1">
        <w:t>s</w:t>
      </w:r>
      <w:r>
        <w:t xml:space="preserve"> in Australia</w:t>
      </w:r>
      <w:r w:rsidRPr="00CA1A6D">
        <w:rPr>
          <w:vertAlign w:val="superscript"/>
        </w:rPr>
        <w:footnoteReference w:id="29"/>
      </w:r>
      <w:r>
        <w:t>.  The customers uses a</w:t>
      </w:r>
      <w:r w:rsidRPr="00CA1A6D">
        <w:t xml:space="preserve"> Fibre Phone (UNI-V) port on t</w:t>
      </w:r>
      <w:r>
        <w:t xml:space="preserve">he NBN Network Termination Unit, which is a </w:t>
      </w:r>
      <w:r w:rsidRPr="00CA1A6D">
        <w:t xml:space="preserve">built-in </w:t>
      </w:r>
      <w:proofErr w:type="spellStart"/>
      <w:r w:rsidRPr="00CA1A6D">
        <w:t>analog</w:t>
      </w:r>
      <w:proofErr w:type="spellEnd"/>
      <w:r w:rsidRPr="00CA1A6D">
        <w:t xml:space="preserve"> telephone adapter, with battery backup, to allow the delivery of traditional PSTN-type phone services after the copper line telephone network is decommissioned</w:t>
      </w:r>
      <w:r>
        <w:rPr>
          <w:rStyle w:val="FootnoteReference"/>
        </w:rPr>
        <w:footnoteReference w:id="30"/>
      </w:r>
      <w:r w:rsidRPr="00CA1A6D">
        <w:t xml:space="preserve">. </w:t>
      </w:r>
    </w:p>
    <w:p w:rsidR="00392639" w:rsidRDefault="00392639" w:rsidP="00392639">
      <w:pPr>
        <w:pStyle w:val="Heading2"/>
      </w:pPr>
      <w:bookmarkStart w:id="1007" w:name="_Toc388269635"/>
      <w:bookmarkEnd w:id="652"/>
      <w:bookmarkEnd w:id="653"/>
      <w:r>
        <w:lastRenderedPageBreak/>
        <w:t>Does Telstra have market power</w:t>
      </w:r>
      <w:r w:rsidR="00293297">
        <w:t xml:space="preserve"> in the retail component of delivery of fixed line voice services</w:t>
      </w:r>
      <w:r>
        <w:t>?</w:t>
      </w:r>
      <w:bookmarkEnd w:id="1007"/>
    </w:p>
    <w:p w:rsidR="00392639" w:rsidRDefault="00392639" w:rsidP="00392639">
      <w:pPr>
        <w:pStyle w:val="BodyText"/>
      </w:pPr>
      <w:r>
        <w:t>The key question when considering the need to continue retail price controls is whether Telstra has market power</w:t>
      </w:r>
      <w:r w:rsidR="00096BB1">
        <w:t xml:space="preserve"> in retail markets</w:t>
      </w:r>
      <w:r>
        <w:t xml:space="preserve">. When considering the state of competition in relevant markets in its recent Declaration Inquiry into fixed line services, the ACCC’s approach </w:t>
      </w:r>
      <w:proofErr w:type="gramStart"/>
      <w:r>
        <w:t>was based</w:t>
      </w:r>
      <w:proofErr w:type="gramEnd"/>
      <w:r>
        <w:t xml:space="preserve"> on the concept of effective competition. According to the ACCC, effective competition:</w:t>
      </w:r>
    </w:p>
    <w:p w:rsidR="00392639" w:rsidRDefault="00392639" w:rsidP="00392639">
      <w:pPr>
        <w:pStyle w:val="ListBullet"/>
      </w:pPr>
      <w:r>
        <w:t>is more than the mere threat of competition — it requires competitors to be active in the market, holding a reasonably sustained market position</w:t>
      </w:r>
      <w:r w:rsidR="00096BB1">
        <w:t>;</w:t>
      </w:r>
    </w:p>
    <w:p w:rsidR="00392639" w:rsidRDefault="00392639" w:rsidP="00392639">
      <w:pPr>
        <w:pStyle w:val="ListBullet"/>
      </w:pPr>
      <w:r>
        <w:t>requires that, over the long run, prices are determined by underlying costs rather than the existence of market power</w:t>
      </w:r>
      <w:r w:rsidR="00096BB1">
        <w:t>;</w:t>
      </w:r>
    </w:p>
    <w:p w:rsidR="00392639" w:rsidRDefault="00392639" w:rsidP="00392639">
      <w:pPr>
        <w:pStyle w:val="ListBullet"/>
      </w:pPr>
      <w:r>
        <w:t>requires that barriers to entry are sufficiently low and that any degree of market power will be competed away in the long</w:t>
      </w:r>
      <w:r>
        <w:noBreakHyphen/>
        <w:t>run, so that that any degree of market power is only transitory</w:t>
      </w:r>
      <w:r w:rsidR="00096BB1">
        <w:t>;</w:t>
      </w:r>
    </w:p>
    <w:p w:rsidR="00392639" w:rsidRDefault="00392639" w:rsidP="00392639">
      <w:pPr>
        <w:pStyle w:val="ListBullet"/>
      </w:pPr>
      <w:r>
        <w:t>requires that there be independent rivalry in all dimensions of price, product and service</w:t>
      </w:r>
      <w:r w:rsidR="00096BB1">
        <w:t>; and</w:t>
      </w:r>
    </w:p>
    <w:p w:rsidR="00392639" w:rsidRDefault="00392639" w:rsidP="00392639">
      <w:pPr>
        <w:pStyle w:val="ListBullet"/>
      </w:pPr>
      <w:r>
        <w:t>does not preclude on party holding a degree of market power from time to time, but that power should pose no significant risk to present and future competition.</w:t>
      </w:r>
      <w:r>
        <w:rPr>
          <w:rStyle w:val="FootnoteReference"/>
        </w:rPr>
        <w:footnoteReference w:id="31"/>
      </w:r>
    </w:p>
    <w:p w:rsidR="00392639" w:rsidRDefault="00392639" w:rsidP="00392639">
      <w:pPr>
        <w:pStyle w:val="BodyText"/>
      </w:pPr>
      <w:r>
        <w:t xml:space="preserve">This provides a useful framework for considering whether Telstra has market power in the relevant markets. As discussed above, we consider </w:t>
      </w:r>
      <w:proofErr w:type="gramStart"/>
      <w:r>
        <w:t>metropolitan and regional</w:t>
      </w:r>
      <w:proofErr w:type="gramEnd"/>
      <w:r>
        <w:t xml:space="preserve"> and rural markets separately even though the ACCC considered these markets as a national market. Part of the ACCC’s rationale was that Telstra and other telecommunication companies charged a uniform national price. However, we consider it possible, albeit unlikely, that Telstra could charge a different price in regional and rural areas in the absence of the price controls.</w:t>
      </w:r>
    </w:p>
    <w:p w:rsidR="00392639" w:rsidRDefault="00392639" w:rsidP="00392639">
      <w:pPr>
        <w:pStyle w:val="Heading3"/>
      </w:pPr>
      <w:r>
        <w:t>Metropolitan markets</w:t>
      </w:r>
    </w:p>
    <w:p w:rsidR="00392639" w:rsidRDefault="00392639" w:rsidP="00392639">
      <w:pPr>
        <w:pStyle w:val="BodyText"/>
      </w:pPr>
      <w:r>
        <w:t xml:space="preserve">While Telstra maintains significant market share in metropolitan markets, there are nevertheless significant levels of competition in metropolitan areas. Effective regulation at the wholesale level gives potential entrants access to these services at a fair price. Competition from existing competitors, as well as the threat from potential new entrants means that the scope for Telstra to raise its retail prices in metropolitan areas is limited. Increasing competition from close substitutes such as mobile and to a lesser extent VoIP services in metropolitan areas further limits Telstra’s ability to raise the retail price for fixed voice services. One indicator that Telstra does not have significant market power to raise prices to a level that would allow it to earn above-normal profits is the fact that the prices it charges are below the </w:t>
      </w:r>
      <w:r w:rsidR="00850F5A">
        <w:t xml:space="preserve">retail </w:t>
      </w:r>
      <w:r>
        <w:t>price cap</w:t>
      </w:r>
      <w:r w:rsidR="00850F5A">
        <w:t>s</w:t>
      </w:r>
      <w:r>
        <w:t>.</w:t>
      </w:r>
    </w:p>
    <w:p w:rsidR="00C21F44" w:rsidRPr="00C21F44" w:rsidRDefault="00850F5A" w:rsidP="00392639">
      <w:pPr>
        <w:pStyle w:val="BodyText"/>
      </w:pPr>
      <w:r w:rsidRPr="00C21F44">
        <w:t>T</w:t>
      </w:r>
      <w:r w:rsidR="00392639" w:rsidRPr="00C21F44">
        <w:t>he ACCC argues that there are barriers to effective competition in the retail market for fixed voice services.</w:t>
      </w:r>
      <w:r w:rsidR="00392639" w:rsidRPr="00C21F44">
        <w:rPr>
          <w:rStyle w:val="FootnoteReference"/>
        </w:rPr>
        <w:footnoteReference w:id="32"/>
      </w:r>
      <w:r w:rsidR="00392639" w:rsidRPr="00C21F44">
        <w:t xml:space="preserve"> According to the ACCC, these barriers </w:t>
      </w:r>
      <w:proofErr w:type="gramStart"/>
      <w:r w:rsidR="00392639" w:rsidRPr="00C21F44">
        <w:t>include:</w:t>
      </w:r>
      <w:proofErr w:type="gramEnd"/>
      <w:r w:rsidR="00392639" w:rsidRPr="00C21F44">
        <w:t xml:space="preserve"> the costs to </w:t>
      </w:r>
      <w:r w:rsidR="00392639" w:rsidRPr="00C21F44">
        <w:lastRenderedPageBreak/>
        <w:t>end</w:t>
      </w:r>
      <w:r w:rsidR="00392639" w:rsidRPr="00C21F44">
        <w:noBreakHyphen/>
        <w:t xml:space="preserve">users of switching between retail suppliers and information asymmetries about the range and prices of competitors products. </w:t>
      </w:r>
      <w:r w:rsidR="00420A76">
        <w:t xml:space="preserve">These failures are evident in many markets and do not necessarily justify regulation. </w:t>
      </w:r>
      <w:r w:rsidR="00392639" w:rsidRPr="00C21F44">
        <w:t xml:space="preserve">In addition, the ACCC argues that economies of scale and scope also give Telstra a competitive advantage over competitors. </w:t>
      </w:r>
    </w:p>
    <w:p w:rsidR="00850F5A" w:rsidRPr="00C21F44" w:rsidRDefault="006B319C" w:rsidP="00392639">
      <w:pPr>
        <w:pStyle w:val="BodyText"/>
      </w:pPr>
      <w:r>
        <w:t xml:space="preserve">The economies of scale and scope are </w:t>
      </w:r>
      <w:proofErr w:type="gramStart"/>
      <w:r>
        <w:t>a significant</w:t>
      </w:r>
      <w:proofErr w:type="gramEnd"/>
      <w:r>
        <w:t xml:space="preserve"> issues in the provision of fixed line voice services. This supports the view that there is a rationale for regulation of wholesale markets. Once wholesale regulation is in place, </w:t>
      </w:r>
      <w:r w:rsidR="00C21F44" w:rsidRPr="00C21F44">
        <w:t>the ACCC has previously considered that there is not sufficient justification for retaining price controls for Basket 1 and Basket 4 services.</w:t>
      </w:r>
      <w:r w:rsidR="00C21F44" w:rsidRPr="00C21F44">
        <w:rPr>
          <w:rStyle w:val="FootnoteReference"/>
        </w:rPr>
        <w:footnoteReference w:id="33"/>
      </w:r>
    </w:p>
    <w:p w:rsidR="00392639" w:rsidRPr="00C21F44" w:rsidRDefault="00392639" w:rsidP="00392639">
      <w:pPr>
        <w:pStyle w:val="Heading3"/>
      </w:pPr>
      <w:r w:rsidRPr="00C21F44">
        <w:t>Regional and rural markets</w:t>
      </w:r>
    </w:p>
    <w:p w:rsidR="00392639" w:rsidRDefault="00850F5A" w:rsidP="00392639">
      <w:pPr>
        <w:pStyle w:val="BodyText"/>
      </w:pPr>
      <w:r>
        <w:t>There</w:t>
      </w:r>
      <w:r w:rsidR="00392639">
        <w:t xml:space="preserve"> is less retail competition in the market for fixed line voice services in regional and rural areas. Furthermore, broadband services and mobile access can be patchy in some areas</w:t>
      </w:r>
      <w:r>
        <w:t xml:space="preserve"> and Telstra has a higher share of the mobile market</w:t>
      </w:r>
      <w:r w:rsidR="00392639">
        <w:t xml:space="preserve">, which means that the scope for consumers to substitute away from fixed line voice services to alternative services </w:t>
      </w:r>
      <w:r>
        <w:t xml:space="preserve">not provided by Telstra </w:t>
      </w:r>
      <w:r w:rsidR="00392639">
        <w:t xml:space="preserve">may be limited. This means that it is </w:t>
      </w:r>
      <w:r w:rsidR="00EF466B">
        <w:t>possible</w:t>
      </w:r>
      <w:r w:rsidR="00392639">
        <w:t xml:space="preserve"> that Telstra </w:t>
      </w:r>
      <w:r>
        <w:t>could increase prices in regional areas and that this would increase profitability</w:t>
      </w:r>
      <w:r w:rsidR="00392639">
        <w:t>.</w:t>
      </w:r>
    </w:p>
    <w:p w:rsidR="00850F5A" w:rsidRDefault="00850F5A" w:rsidP="00392639">
      <w:pPr>
        <w:pStyle w:val="BodyText"/>
      </w:pPr>
      <w:r>
        <w:t xml:space="preserve">It is not clear that the ability to increase prices in regional areas is an issue of market power. As set out in Attachment B, the costs of providing services are likely to be substantially higher in regional areas. </w:t>
      </w:r>
      <w:proofErr w:type="gramStart"/>
      <w:r>
        <w:t>Hence</w:t>
      </w:r>
      <w:proofErr w:type="gramEnd"/>
      <w:r>
        <w:t xml:space="preserve"> we would anticipate that there would be little competition from other providers if retail prices are the same across all areas. To take a simple example, suppose that </w:t>
      </w:r>
      <w:proofErr w:type="gramStart"/>
      <w:r>
        <w:t xml:space="preserve">wholesale </w:t>
      </w:r>
      <w:r w:rsidR="002E5C43">
        <w:t>regulated</w:t>
      </w:r>
      <w:proofErr w:type="gramEnd"/>
      <w:r w:rsidR="002E5C43">
        <w:t xml:space="preserve"> </w:t>
      </w:r>
      <w:r>
        <w:t>costs are the same for two areas at $20 per month and retail</w:t>
      </w:r>
      <w:r w:rsidR="002E5C43">
        <w:t>/other</w:t>
      </w:r>
      <w:r>
        <w:t xml:space="preserve"> costs are $10 in one area and $20 in a second area.</w:t>
      </w:r>
      <w:r w:rsidR="002E5C43">
        <w:rPr>
          <w:rStyle w:val="FootnoteReference"/>
        </w:rPr>
        <w:footnoteReference w:id="34"/>
      </w:r>
      <w:r>
        <w:t xml:space="preserve"> If a single price of $35 </w:t>
      </w:r>
      <w:proofErr w:type="gramStart"/>
      <w:r>
        <w:t>is</w:t>
      </w:r>
      <w:proofErr w:type="gramEnd"/>
      <w:r>
        <w:t xml:space="preserve"> set by/for Telstra then other companies would find it profitable to operate in the first area but not in the second.</w:t>
      </w:r>
      <w:r w:rsidR="0087161D">
        <w:t xml:space="preserve"> This is a standard problem with postage stamp pricing.</w:t>
      </w:r>
    </w:p>
    <w:p w:rsidR="00850F5A" w:rsidRDefault="00850F5A" w:rsidP="00392639">
      <w:pPr>
        <w:pStyle w:val="BodyText"/>
      </w:pPr>
      <w:r>
        <w:t xml:space="preserve">As set out in chapter 3, a nationally consistent price is in our view likely regardless of the presence of retail price controls. This likelihood </w:t>
      </w:r>
      <w:proofErr w:type="gramStart"/>
      <w:r>
        <w:t>is strengthened</w:t>
      </w:r>
      <w:proofErr w:type="gramEnd"/>
      <w:r>
        <w:t xml:space="preserve"> by uniform pricing at the wholesale level. </w:t>
      </w:r>
      <w:r w:rsidR="0087161D">
        <w:t>R</w:t>
      </w:r>
      <w:r>
        <w:t xml:space="preserve">egardless of whether a nationally consistent price </w:t>
      </w:r>
      <w:proofErr w:type="gramStart"/>
      <w:r>
        <w:t>is set</w:t>
      </w:r>
      <w:proofErr w:type="gramEnd"/>
      <w:r>
        <w:t xml:space="preserve"> by Telstra or by retail price controls</w:t>
      </w:r>
      <w:r w:rsidRPr="00850F5A">
        <w:rPr>
          <w:rStyle w:val="FootnoteReference"/>
        </w:rPr>
        <w:footnoteReference w:id="35"/>
      </w:r>
      <w:r>
        <w:t xml:space="preserve">, the outcome would be the same — a higher level of entry and </w:t>
      </w:r>
      <w:r>
        <w:lastRenderedPageBreak/>
        <w:t>competition would be anticipated in low cost metropolitan areas versus higher cost regional areas.</w:t>
      </w:r>
    </w:p>
    <w:p w:rsidR="00850F5A" w:rsidRDefault="007E1C3F" w:rsidP="00392639">
      <w:pPr>
        <w:pStyle w:val="BodyText"/>
      </w:pPr>
      <w:r>
        <w:t xml:space="preserve">If prices </w:t>
      </w:r>
      <w:proofErr w:type="gramStart"/>
      <w:r>
        <w:t>were increased</w:t>
      </w:r>
      <w:proofErr w:type="gramEnd"/>
      <w:r>
        <w:t xml:space="preserve"> to a level consistent with costs then entry </w:t>
      </w:r>
      <w:r w:rsidR="0087161D">
        <w:t>c</w:t>
      </w:r>
      <w:r>
        <w:t xml:space="preserve">ould occur at the wholesale access level. As long as this mechanism is effective, this </w:t>
      </w:r>
      <w:r w:rsidR="0087161D">
        <w:t xml:space="preserve">would somewhat </w:t>
      </w:r>
      <w:r>
        <w:t>constrain Telstra from charging above costs.</w:t>
      </w:r>
      <w:r w:rsidR="0087161D">
        <w:t xml:space="preserve"> There would be less of a constraint from mobile services in regional areas</w:t>
      </w:r>
      <w:r w:rsidR="00851870">
        <w:t xml:space="preserve">, although, as previously noted, regional customers </w:t>
      </w:r>
      <w:r w:rsidR="006B319C">
        <w:t xml:space="preserve">are likely to </w:t>
      </w:r>
      <w:r w:rsidR="00851870">
        <w:t>benefit from de facto competition in regional areas as a result of uniform national pricing</w:t>
      </w:r>
      <w:r w:rsidR="0087161D">
        <w:t>.</w:t>
      </w:r>
      <w:r w:rsidR="006B319C">
        <w:t xml:space="preserve"> Alternatively, there may be mechanisms for targeting discounts or offers at areas where costs are lower within a national pricing framework</w:t>
      </w:r>
      <w:proofErr w:type="gramStart"/>
      <w:r w:rsidR="006B319C">
        <w:t>.</w:t>
      </w:r>
      <w:r w:rsidR="006B319C">
        <w:rPr>
          <w:rStyle w:val="FootnoteReference"/>
        </w:rPr>
        <w:footnoteReference w:id="36"/>
      </w:r>
      <w:r w:rsidR="006B319C">
        <w:t>,</w:t>
      </w:r>
      <w:proofErr w:type="gramEnd"/>
      <w:r w:rsidR="006B319C">
        <w:t xml:space="preserve"> </w:t>
      </w:r>
    </w:p>
    <w:p w:rsidR="0087161D" w:rsidRDefault="0087161D" w:rsidP="00392639">
      <w:pPr>
        <w:pStyle w:val="BodyText"/>
      </w:pPr>
      <w:proofErr w:type="gramStart"/>
      <w:r>
        <w:t>Hence</w:t>
      </w:r>
      <w:proofErr w:type="gramEnd"/>
      <w:r>
        <w:t xml:space="preserve"> there are therefore a number of different possibilities for pricing outcomes in the absence of retail price controls.</w:t>
      </w:r>
    </w:p>
    <w:p w:rsidR="0087161D" w:rsidRDefault="0087161D" w:rsidP="0087161D">
      <w:pPr>
        <w:pStyle w:val="ListBullet"/>
      </w:pPr>
      <w:r>
        <w:t>Telstra may maintain nationally consistent pricing</w:t>
      </w:r>
      <w:r w:rsidR="00710816">
        <w:t>; or</w:t>
      </w:r>
    </w:p>
    <w:p w:rsidR="0087161D" w:rsidRDefault="0087161D" w:rsidP="0087161D">
      <w:pPr>
        <w:pStyle w:val="ListBullet"/>
      </w:pPr>
      <w:r>
        <w:t>Telstra may seek to increase prices to match costs in higher cost areas. Potentially, at least in the short term it might seek to raise prices above costs because of insufficient competition from mobile services and/or a lack of entry into wholesale markets.</w:t>
      </w:r>
      <w:r>
        <w:rPr>
          <w:rStyle w:val="FootnoteReference"/>
        </w:rPr>
        <w:footnoteReference w:id="37"/>
      </w:r>
    </w:p>
    <w:p w:rsidR="0087161D" w:rsidRDefault="0087161D" w:rsidP="0087161D">
      <w:pPr>
        <w:pStyle w:val="BodyText"/>
      </w:pPr>
      <w:r>
        <w:t xml:space="preserve">Of these, we consider that the first is most likely, given the evidence presented in chapter 3, but that the second </w:t>
      </w:r>
      <w:proofErr w:type="gramStart"/>
      <w:r>
        <w:t>cannot be discounted</w:t>
      </w:r>
      <w:proofErr w:type="gramEnd"/>
      <w:r>
        <w:t xml:space="preserve"> entirely. In terms of economic costs, the second outcome may lead to improved economic outcomes if it more closely aligns prices to costs but may lead to poorer economic outcomes if prices </w:t>
      </w:r>
      <w:proofErr w:type="gramStart"/>
      <w:r>
        <w:t>are pushed</w:t>
      </w:r>
      <w:proofErr w:type="gramEnd"/>
      <w:r>
        <w:t xml:space="preserve"> above costs.  </w:t>
      </w:r>
    </w:p>
    <w:p w:rsidR="008513AE" w:rsidRDefault="008513AE" w:rsidP="008513AE">
      <w:pPr>
        <w:pStyle w:val="Heading2"/>
      </w:pPr>
      <w:bookmarkStart w:id="1008" w:name="_Toc388269636"/>
      <w:r>
        <w:t>Key points</w:t>
      </w:r>
      <w:bookmarkEnd w:id="1008"/>
    </w:p>
    <w:p w:rsidR="00DA1484" w:rsidRDefault="008513AE" w:rsidP="00DA1484">
      <w:pPr>
        <w:pStyle w:val="KeyPoint"/>
      </w:pPr>
      <w:r>
        <w:t>The competitive constraints around Telstra have led to price controls being redundant over the past two years</w:t>
      </w:r>
      <w:r w:rsidR="00DA1484">
        <w:t>, as competition has pushed prices down below the maximum prices allowed.</w:t>
      </w:r>
    </w:p>
    <w:p w:rsidR="00DA1484" w:rsidRDefault="00DA1484" w:rsidP="00DA1484">
      <w:pPr>
        <w:pStyle w:val="KeyPoint"/>
      </w:pPr>
      <w:r>
        <w:t>Competitive constraints on Telstra’s fixed line voice services include competitors accessing infrastructure owned by Telstra through wholesale regulatory arrangements, mobile voice services and services offered through Voice over Internet Protocol. These constraints are becoming more effective over time —</w:t>
      </w:r>
      <w:r w:rsidR="00E44475">
        <w:t xml:space="preserve"> for example, </w:t>
      </w:r>
      <w:r>
        <w:t>mobile telephony is now a larger part of the voice services market than fixed line services (based on voice minutes).</w:t>
      </w:r>
    </w:p>
    <w:p w:rsidR="00E44475" w:rsidRDefault="00E44475" w:rsidP="00DA1484">
      <w:pPr>
        <w:pStyle w:val="KeyPoint"/>
      </w:pPr>
      <w:r>
        <w:t xml:space="preserve">There are less competitive constraints on Telstra in regional markets. However, it is likely that the market is a national market and Telstra would maintain a single set of prices across Australia. If this is not the case, price increases in regional areas may actually lead to prices better reflecting costs. There would be no reason why the Government </w:t>
      </w:r>
      <w:proofErr w:type="gramStart"/>
      <w:r>
        <w:t>couldn’t</w:t>
      </w:r>
      <w:proofErr w:type="gramEnd"/>
      <w:r>
        <w:t xml:space="preserve"> reintroduce more limited price controls if prices in regional areas diverged from those in metropolitan areas and this was considered to be an undesirable outcome.</w:t>
      </w:r>
    </w:p>
    <w:p w:rsidR="008513AE" w:rsidRDefault="00DA1484" w:rsidP="00DA1484">
      <w:pPr>
        <w:pStyle w:val="KeyPoint"/>
      </w:pPr>
      <w:r>
        <w:lastRenderedPageBreak/>
        <w:t xml:space="preserve">There are sufficient competitive constraints around Telstra’s future retail pricing such that there is no rationale for the government to maintain retail price controls. </w:t>
      </w:r>
    </w:p>
    <w:p w:rsidR="00DB0E84" w:rsidRPr="00F51AF6" w:rsidRDefault="00DB0E84" w:rsidP="00DB0E84">
      <w:pPr>
        <w:pStyle w:val="Heading1"/>
      </w:pPr>
      <w:bookmarkStart w:id="1009" w:name="_Toc388269637"/>
      <w:r>
        <w:lastRenderedPageBreak/>
        <w:t>Future regulatory options to meet objectives</w:t>
      </w:r>
      <w:bookmarkEnd w:id="1009"/>
    </w:p>
    <w:p w:rsidR="00DB0E84" w:rsidRDefault="00DB0E84" w:rsidP="00DB0E84">
      <w:pPr>
        <w:pStyle w:val="Heading2"/>
      </w:pPr>
      <w:bookmarkStart w:id="1010" w:name="_Toc381784751"/>
      <w:bookmarkStart w:id="1011" w:name="_Toc388269638"/>
      <w:r>
        <w:t>Rationale for Government intervention</w:t>
      </w:r>
      <w:bookmarkEnd w:id="1010"/>
      <w:bookmarkEnd w:id="1011"/>
    </w:p>
    <w:p w:rsidR="00DB0E84" w:rsidRPr="00E85854" w:rsidRDefault="00DB0E84" w:rsidP="00DB0E84">
      <w:pPr>
        <w:pStyle w:val="BodyText"/>
      </w:pPr>
      <w:r>
        <w:t xml:space="preserve">Regulation </w:t>
      </w:r>
      <w:proofErr w:type="gramStart"/>
      <w:r>
        <w:t>should be based</w:t>
      </w:r>
      <w:proofErr w:type="gramEnd"/>
      <w:r>
        <w:t xml:space="preserve"> around identification of a problem that would occur in the absence of government intervention. The OBPR notes that such problems could include: </w:t>
      </w:r>
    </w:p>
    <w:p w:rsidR="00DB0E84" w:rsidRPr="00B64FD0" w:rsidRDefault="00DB0E84" w:rsidP="00B64FD0">
      <w:pPr>
        <w:pStyle w:val="ListBullet"/>
      </w:pPr>
      <w:r w:rsidRPr="00B64FD0">
        <w:t>market failure (such as a lack of or misleading information, presence of externalities or public goods, or use of excessive market power)</w:t>
      </w:r>
    </w:p>
    <w:p w:rsidR="00DB0E84" w:rsidRPr="00B64FD0" w:rsidRDefault="00DB0E84" w:rsidP="00B64FD0">
      <w:pPr>
        <w:pStyle w:val="ListBullet"/>
      </w:pPr>
      <w:proofErr w:type="gramStart"/>
      <w:r w:rsidRPr="00B64FD0">
        <w:t>social</w:t>
      </w:r>
      <w:proofErr w:type="gramEnd"/>
      <w:r w:rsidRPr="00B64FD0">
        <w:t xml:space="preserve"> goals or equity issues (such as individuals or groups being unable to access available market information, goods or services).</w:t>
      </w:r>
      <w:r w:rsidRPr="009C2DB1">
        <w:rPr>
          <w:rStyle w:val="FootnoteReference"/>
        </w:rPr>
        <w:footnoteReference w:id="38"/>
      </w:r>
    </w:p>
    <w:p w:rsidR="00DB0E84" w:rsidRDefault="00DB0E84" w:rsidP="00DB0E84">
      <w:pPr>
        <w:pStyle w:val="Heading3"/>
      </w:pPr>
      <w:r>
        <w:t>Market failures in the provision of services</w:t>
      </w:r>
    </w:p>
    <w:p w:rsidR="00DB0E84" w:rsidRDefault="00DB0E84" w:rsidP="00DB0E84">
      <w:pPr>
        <w:pStyle w:val="BodyText"/>
      </w:pPr>
      <w:r>
        <w:t xml:space="preserve">The primary rationale for Government intervention in telecommunications would be that there is some form of ‘market failure’. </w:t>
      </w:r>
    </w:p>
    <w:p w:rsidR="00DB0E84" w:rsidRDefault="00DB0E84" w:rsidP="00DB0E84">
      <w:pPr>
        <w:pStyle w:val="Quote"/>
        <w:rPr>
          <w:shd w:val="clear" w:color="auto" w:fill="FFFFFF"/>
        </w:rPr>
      </w:pPr>
      <w:r>
        <w:rPr>
          <w:shd w:val="clear" w:color="auto" w:fill="FFFFFF"/>
        </w:rPr>
        <w:t>Market failure refers to certain situations in which markets may fail to allocate resources efficiently and can provide a strong rationale for government intervention.</w:t>
      </w:r>
      <w:r>
        <w:rPr>
          <w:rStyle w:val="FootnoteReference"/>
          <w:rFonts w:cs="Helvetica"/>
          <w:shd w:val="clear" w:color="auto" w:fill="FFFFFF"/>
        </w:rPr>
        <w:footnoteReference w:id="39"/>
      </w:r>
    </w:p>
    <w:p w:rsidR="00DB0E84" w:rsidRDefault="00DB0E84" w:rsidP="00DB0E84">
      <w:pPr>
        <w:pStyle w:val="BodyText"/>
      </w:pPr>
      <w:r>
        <w:t xml:space="preserve">Market failures that could be relevant for voice services include the presence and use of market power and externalities. If Telstra had market power then it would be able to charge a price higher than the competitive price. This would lead to less use of voice services than would be efficient. There may also be a market failure in telecommunications because of network externalities — the value of accessing the network depends on the number of others also accessing the service. </w:t>
      </w:r>
      <w:r w:rsidR="009C2DB1">
        <w:t xml:space="preserve">This </w:t>
      </w:r>
      <w:proofErr w:type="gramStart"/>
      <w:r w:rsidR="009C2DB1">
        <w:t>is not considered</w:t>
      </w:r>
      <w:proofErr w:type="gramEnd"/>
      <w:r w:rsidR="009C2DB1">
        <w:t xml:space="preserve"> further as there is ubiquitous access to telecommunications networks for Australian households and businesses, even if this is not always through fixed line voice services</w:t>
      </w:r>
      <w:r>
        <w:t>.</w:t>
      </w:r>
    </w:p>
    <w:p w:rsidR="00DB0E84" w:rsidRDefault="005E3B73" w:rsidP="00DB0E84">
      <w:pPr>
        <w:pStyle w:val="BodyText"/>
      </w:pPr>
      <w:r w:rsidRPr="003A33E9">
        <w:t>Based on our findings in chapter 4,</w:t>
      </w:r>
      <w:r w:rsidR="003A33E9" w:rsidRPr="003A33E9">
        <w:t xml:space="preserve"> Telstra would likely be able to raise prices in regional areas. It is not clear that this is an issue of market failure but rather of prices moving </w:t>
      </w:r>
      <w:proofErr w:type="gramStart"/>
      <w:r w:rsidR="003A33E9" w:rsidRPr="003A33E9">
        <w:t>to better reflect</w:t>
      </w:r>
      <w:proofErr w:type="gramEnd"/>
      <w:r w:rsidR="003A33E9" w:rsidRPr="003A33E9">
        <w:t xml:space="preserve"> costs</w:t>
      </w:r>
      <w:r w:rsidRPr="003A33E9">
        <w:t>.</w:t>
      </w:r>
      <w:r w:rsidR="003A33E9" w:rsidRPr="003A33E9">
        <w:t xml:space="preserve"> </w:t>
      </w:r>
      <w:r w:rsidR="002E5C43">
        <w:t xml:space="preserve">It is not likely that </w:t>
      </w:r>
      <w:r w:rsidR="003A33E9" w:rsidRPr="003A33E9">
        <w:t>this outcome would eventuate, given Australian and international ev</w:t>
      </w:r>
      <w:r w:rsidR="003A33E9">
        <w:t>idence for consistent national pricing of telecommunications services.</w:t>
      </w:r>
      <w:r>
        <w:t xml:space="preserve"> </w:t>
      </w:r>
    </w:p>
    <w:p w:rsidR="00E44475" w:rsidRDefault="00E44475" w:rsidP="00E44475">
      <w:pPr>
        <w:pStyle w:val="KeyPoint"/>
      </w:pPr>
      <w:r>
        <w:t xml:space="preserve">There are sufficient competitive constraints around Telstra’s future retail pricing such that there is no rationale for the government to maintain retail price controls. </w:t>
      </w:r>
    </w:p>
    <w:p w:rsidR="00DB0E84" w:rsidRDefault="00DB0E84" w:rsidP="00DB0E84">
      <w:pPr>
        <w:pStyle w:val="Heading3"/>
      </w:pPr>
      <w:r>
        <w:lastRenderedPageBreak/>
        <w:t>Other objectives of regulation</w:t>
      </w:r>
    </w:p>
    <w:p w:rsidR="00DB0E84" w:rsidRDefault="00DB0E84" w:rsidP="00DB0E84">
      <w:pPr>
        <w:pStyle w:val="BodyText"/>
      </w:pPr>
      <w:r>
        <w:t xml:space="preserve">Another potential reason for Government intervention in the telecommunications market would be the pursuit of a social goal or addressing an equity issue. A potential social goal in relation to the provision of telephone services is to ensure all members of the community, wherever they are located and whatever their income level, have affordable access to </w:t>
      </w:r>
      <w:r w:rsidR="009C2DB1">
        <w:t>telecommunications services</w:t>
      </w:r>
      <w:r>
        <w:t xml:space="preserve">. </w:t>
      </w:r>
    </w:p>
    <w:p w:rsidR="00DB0E84" w:rsidRDefault="00DB0E84" w:rsidP="00DB0E84">
      <w:pPr>
        <w:pStyle w:val="BodyText"/>
      </w:pPr>
      <w:r>
        <w:t xml:space="preserve">This goal may reflect the belief that </w:t>
      </w:r>
      <w:r w:rsidR="009C2DB1">
        <w:t>telecommunications service</w:t>
      </w:r>
      <w:r>
        <w:t xml:space="preserve"> is an essential service that promotes social inclusion.</w:t>
      </w:r>
    </w:p>
    <w:p w:rsidR="00DB0E84" w:rsidRPr="004A0DAB" w:rsidRDefault="00DB0E84" w:rsidP="00DB0E84">
      <w:pPr>
        <w:pStyle w:val="BodyText"/>
      </w:pPr>
      <w:r w:rsidRPr="004A0DAB">
        <w:t xml:space="preserve">In the absence of </w:t>
      </w:r>
      <w:r>
        <w:t xml:space="preserve">government </w:t>
      </w:r>
      <w:r w:rsidRPr="004A0DAB">
        <w:t xml:space="preserve">regulation, </w:t>
      </w:r>
      <w:r>
        <w:t xml:space="preserve">some members of the community may not have access or be able to afford </w:t>
      </w:r>
      <w:r w:rsidR="003D0CBD">
        <w:t>a telecommunications service</w:t>
      </w:r>
      <w:r>
        <w:t>. In particular, t</w:t>
      </w:r>
      <w:r w:rsidRPr="004A0DAB">
        <w:t>elephone service carriers may:</w:t>
      </w:r>
    </w:p>
    <w:p w:rsidR="00DB0E84" w:rsidRPr="00B64FD0" w:rsidRDefault="00DB0E84" w:rsidP="00B64FD0">
      <w:pPr>
        <w:pStyle w:val="ListBullet"/>
      </w:pPr>
      <w:r w:rsidRPr="00B64FD0">
        <w:t xml:space="preserve">not have an economic incentive to provide </w:t>
      </w:r>
      <w:r w:rsidR="003D0CBD">
        <w:t>a</w:t>
      </w:r>
      <w:r w:rsidRPr="00B64FD0">
        <w:t xml:space="preserve"> services to all members of the community, particularly those that live in remote areas</w:t>
      </w:r>
    </w:p>
    <w:p w:rsidR="00DB0E84" w:rsidRPr="00B64FD0" w:rsidRDefault="003D0CBD" w:rsidP="00B64FD0">
      <w:pPr>
        <w:pStyle w:val="ListBullet"/>
      </w:pPr>
      <w:r>
        <w:t>supply</w:t>
      </w:r>
      <w:r w:rsidR="00DB0E84" w:rsidRPr="00B64FD0">
        <w:t xml:space="preserve"> services to </w:t>
      </w:r>
      <w:r>
        <w:t xml:space="preserve">some areas but at a price </w:t>
      </w:r>
      <w:r w:rsidR="00DB0E84" w:rsidRPr="00B64FD0">
        <w:t xml:space="preserve">that is unaffordable to some households </w:t>
      </w:r>
    </w:p>
    <w:p w:rsidR="00DB0E84" w:rsidRPr="00B64FD0" w:rsidRDefault="00DB0E84" w:rsidP="00B64FD0">
      <w:pPr>
        <w:pStyle w:val="ListBullet"/>
      </w:pPr>
      <w:proofErr w:type="gramStart"/>
      <w:r w:rsidRPr="00B64FD0">
        <w:t>charge</w:t>
      </w:r>
      <w:proofErr w:type="gramEnd"/>
      <w:r w:rsidRPr="00B64FD0">
        <w:t xml:space="preserve"> a price for telephone services that is not be affordable to some low-income households. </w:t>
      </w:r>
    </w:p>
    <w:p w:rsidR="00DB0E84" w:rsidRDefault="003D0CBD" w:rsidP="00DB0E84">
      <w:pPr>
        <w:pStyle w:val="BodyText"/>
      </w:pPr>
      <w:r>
        <w:t xml:space="preserve">It is important </w:t>
      </w:r>
      <w:proofErr w:type="gramStart"/>
      <w:r>
        <w:t>to closely define</w:t>
      </w:r>
      <w:proofErr w:type="gramEnd"/>
      <w:r>
        <w:t xml:space="preserve"> the concept of social equity so that it cannot encompass any form of policy intervention. Our preferred definition is that social equity would be achieved </w:t>
      </w:r>
      <w:proofErr w:type="gramStart"/>
      <w:r>
        <w:t>in so</w:t>
      </w:r>
      <w:proofErr w:type="gramEnd"/>
      <w:r>
        <w:t xml:space="preserve"> far as the cost of telecommunications services required to achieve social inclusion did not take any household below an acceptable minimum standard of living. This can be broken into a number of parts.</w:t>
      </w:r>
    </w:p>
    <w:p w:rsidR="003D0CBD" w:rsidRDefault="003D0CBD" w:rsidP="004660B8">
      <w:pPr>
        <w:pStyle w:val="ListNumber"/>
        <w:numPr>
          <w:ilvl w:val="0"/>
          <w:numId w:val="42"/>
        </w:numPr>
      </w:pPr>
      <w:r>
        <w:t>Does the required consumption of telecommunications services differ across households to achieve social inclusion?</w:t>
      </w:r>
    </w:p>
    <w:p w:rsidR="003D0CBD" w:rsidRDefault="003D0CBD" w:rsidP="004660B8">
      <w:pPr>
        <w:pStyle w:val="ListNumber"/>
        <w:numPr>
          <w:ilvl w:val="0"/>
          <w:numId w:val="42"/>
        </w:numPr>
      </w:pPr>
      <w:r>
        <w:t>Are there differences in costs of telecommunications services across households?</w:t>
      </w:r>
    </w:p>
    <w:p w:rsidR="003D0CBD" w:rsidRDefault="003D0CBD" w:rsidP="004660B8">
      <w:pPr>
        <w:pStyle w:val="ListNumber"/>
        <w:numPr>
          <w:ilvl w:val="0"/>
          <w:numId w:val="42"/>
        </w:numPr>
      </w:pPr>
      <w:r>
        <w:t>Which households would be likely to move below an acceptable standard of living because of the higher level of consumption required and/or because of the higher prices for services?</w:t>
      </w:r>
    </w:p>
    <w:p w:rsidR="003D0CBD" w:rsidRDefault="003D0CBD" w:rsidP="003D0CBD">
      <w:pPr>
        <w:pStyle w:val="BodyText"/>
      </w:pPr>
      <w:r>
        <w:t>The implications of this definition are that:</w:t>
      </w:r>
    </w:p>
    <w:p w:rsidR="003D0CBD" w:rsidRDefault="003D0CBD" w:rsidP="003D0CBD">
      <w:pPr>
        <w:pStyle w:val="ListBullet"/>
      </w:pPr>
      <w:r>
        <w:t>social equity objectives would only ever require targeted assistance to specific households, rather than overarching price caps</w:t>
      </w:r>
      <w:r w:rsidR="004660B8">
        <w:t xml:space="preserve"> or requirements for uniform national pricing — as shown in table </w:t>
      </w:r>
      <w:fldSimple w:instr=" REF _Caption9181 ">
        <w:r w:rsidR="00304215">
          <w:rPr>
            <w:noProof/>
          </w:rPr>
          <w:t>5</w:t>
        </w:r>
        <w:r w:rsidR="00304215" w:rsidRPr="00695C93">
          <w:rPr>
            <w:noProof/>
          </w:rPr>
          <w:t>.</w:t>
        </w:r>
        <w:r w:rsidR="00304215">
          <w:rPr>
            <w:noProof/>
          </w:rPr>
          <w:t>1</w:t>
        </w:r>
      </w:fldSimple>
      <w:r w:rsidR="00F55EB5">
        <w:rPr>
          <w:noProof/>
        </w:rPr>
        <w:t xml:space="preserve"> and </w:t>
      </w:r>
      <w:r w:rsidR="00F55EB5">
        <w:rPr>
          <w:noProof/>
        </w:rPr>
        <w:fldChar w:fldCharType="begin"/>
      </w:r>
      <w:r w:rsidR="00F55EB5">
        <w:rPr>
          <w:noProof/>
        </w:rPr>
        <w:instrText xml:space="preserve"> REF _Caption7539 </w:instrText>
      </w:r>
      <w:r w:rsidR="00F55EB5">
        <w:rPr>
          <w:noProof/>
        </w:rPr>
        <w:fldChar w:fldCharType="separate"/>
      </w:r>
      <w:r w:rsidR="00304215">
        <w:rPr>
          <w:noProof/>
        </w:rPr>
        <w:t>5</w:t>
      </w:r>
      <w:r w:rsidR="00304215" w:rsidRPr="00695C93">
        <w:rPr>
          <w:noProof/>
        </w:rPr>
        <w:t>.</w:t>
      </w:r>
      <w:r w:rsidR="00304215">
        <w:rPr>
          <w:noProof/>
        </w:rPr>
        <w:t>2</w:t>
      </w:r>
      <w:r w:rsidR="00F55EB5">
        <w:rPr>
          <w:noProof/>
        </w:rPr>
        <w:fldChar w:fldCharType="end"/>
      </w:r>
      <w:r w:rsidR="004660B8">
        <w:t>, prices for other essential goods and services vary systematically across geographic areas;</w:t>
      </w:r>
    </w:p>
    <w:p w:rsidR="003D0CBD" w:rsidRDefault="003D0CBD" w:rsidP="003D0CBD">
      <w:pPr>
        <w:pStyle w:val="ListBullet"/>
      </w:pPr>
      <w:r>
        <w:t>there is no requirement that telecommunications services be provided over a fixed line or by Telstra — mobile telephony could be an alternative to achieving this objective</w:t>
      </w:r>
      <w:r w:rsidR="004660B8">
        <w:t>; and</w:t>
      </w:r>
    </w:p>
    <w:p w:rsidR="003D0CBD" w:rsidRDefault="004660B8" w:rsidP="003D0CBD">
      <w:pPr>
        <w:pStyle w:val="ListBullet"/>
      </w:pPr>
      <w:proofErr w:type="gramStart"/>
      <w:r>
        <w:t>nationally</w:t>
      </w:r>
      <w:proofErr w:type="gramEnd"/>
      <w:r>
        <w:t xml:space="preserve"> consistent pricing would imply that point 2 above is largely irrelevant.</w:t>
      </w:r>
    </w:p>
    <w:p w:rsidR="004660B8" w:rsidRDefault="004660B8" w:rsidP="009B61C3">
      <w:pPr>
        <w:pStyle w:val="BodyText"/>
      </w:pPr>
      <w:r w:rsidRPr="009B61C3">
        <w:t xml:space="preserve">In terms of understanding variation in household telecommunications consumption required in order to be included in society, this would likely mean that remote households would have a higher level of required consumption than households in towns or </w:t>
      </w:r>
      <w:proofErr w:type="gramStart"/>
      <w:r w:rsidRPr="009B61C3">
        <w:t>cities</w:t>
      </w:r>
      <w:proofErr w:type="gramEnd"/>
      <w:r w:rsidRPr="009B61C3">
        <w:t xml:space="preserve">. </w:t>
      </w:r>
      <w:r w:rsidR="009B61C3" w:rsidRPr="009B61C3">
        <w:t xml:space="preserve">However, very few remote households would face a standard of living below acceptable levels because of their telecommunications requirements. </w:t>
      </w:r>
    </w:p>
    <w:p w:rsidR="009B61C3" w:rsidRPr="009B61C3" w:rsidRDefault="009B61C3" w:rsidP="009B61C3">
      <w:pPr>
        <w:pStyle w:val="BodyText"/>
      </w:pPr>
      <w:r>
        <w:lastRenderedPageBreak/>
        <w:t xml:space="preserve">The acceptable minimum standard of living is best considered as what the welfare system would deliver, as the </w:t>
      </w:r>
      <w:proofErr w:type="gramStart"/>
      <w:r>
        <w:t>welfare</w:t>
      </w:r>
      <w:proofErr w:type="gramEnd"/>
      <w:r>
        <w:t xml:space="preserve"> system is the main feature of ensuring social equity in Australia. An alternative, which may differ from the welfare system, would be to use budget standards — these could allow for greater differentiation of costs of goods and services than reflected in welfare </w:t>
      </w:r>
      <w:r w:rsidRPr="009B61C3">
        <w:t>payments.</w:t>
      </w:r>
      <w:r w:rsidRPr="009B61C3">
        <w:rPr>
          <w:rStyle w:val="FootnoteReference"/>
        </w:rPr>
        <w:t xml:space="preserve"> </w:t>
      </w:r>
      <w:r w:rsidRPr="009B61C3">
        <w:rPr>
          <w:rStyle w:val="FootnoteReference"/>
        </w:rPr>
        <w:footnoteReference w:id="40"/>
      </w:r>
    </w:p>
    <w:p w:rsidR="004660B8" w:rsidRDefault="004660B8" w:rsidP="004660B8">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5</w:instrText>
        </w:r>
      </w:fldSimple>
      <w:r w:rsidRPr="00695C93">
        <w:instrText xml:space="preserve"> = 0 "" "</w:instrText>
      </w:r>
      <w:fldSimple w:instr=" STYLEREF &quot;Heading 1&quot; \l \n ">
        <w:r w:rsidR="00304215">
          <w:rPr>
            <w:noProof/>
          </w:rPr>
          <w:instrText>5</w:instrText>
        </w:r>
      </w:fldSimple>
      <w:r w:rsidRPr="00695C93">
        <w:instrText xml:space="preserve">." </w:instrText>
      </w:r>
      <w:r w:rsidRPr="00695C93">
        <w:fldChar w:fldCharType="separate"/>
      </w:r>
      <w:r w:rsidR="00304215">
        <w:rPr>
          <w:noProof/>
        </w:rPr>
        <w:instrText>5</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5</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5</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1</w:instrText>
      </w:r>
      <w:r w:rsidRPr="00695C93">
        <w:fldChar w:fldCharType="end"/>
      </w:r>
      <w:r w:rsidRPr="00695C93">
        <w:instrText xml:space="preserve">" "" </w:instrText>
      </w:r>
      <w:r w:rsidRPr="00695C93">
        <w:fldChar w:fldCharType="separate"/>
      </w:r>
      <w:bookmarkStart w:id="1012" w:name="_Caption4400"/>
      <w:bookmarkStart w:id="1013" w:name="_Caption7578"/>
      <w:bookmarkStart w:id="1014" w:name="_Caption0870"/>
      <w:bookmarkStart w:id="1015" w:name="_Caption0379"/>
      <w:bookmarkStart w:id="1016" w:name="_Caption6798"/>
      <w:bookmarkStart w:id="1017" w:name="_Caption4363"/>
      <w:bookmarkStart w:id="1018" w:name="_Caption2844"/>
      <w:bookmarkStart w:id="1019" w:name="_Caption2808"/>
      <w:bookmarkStart w:id="1020" w:name="_Caption8187"/>
      <w:bookmarkStart w:id="1021" w:name="_Caption4550"/>
      <w:bookmarkStart w:id="1022" w:name="_Caption5930"/>
      <w:bookmarkStart w:id="1023" w:name="_Caption9181"/>
      <w:bookmarkStart w:id="1024" w:name="_Toc391972968"/>
      <w:r w:rsidR="00584F9A">
        <w:rPr>
          <w:noProof/>
        </w:rPr>
        <w:t>5</w:t>
      </w:r>
      <w:r w:rsidR="00584F9A" w:rsidRPr="00695C93">
        <w:rPr>
          <w:noProof/>
        </w:rPr>
        <w:t>.</w:t>
      </w:r>
      <w:r w:rsidR="00584F9A">
        <w:rPr>
          <w:noProof/>
        </w:rPr>
        <w:t>1</w:t>
      </w:r>
      <w:bookmarkEnd w:id="1012"/>
      <w:bookmarkEnd w:id="1013"/>
      <w:bookmarkEnd w:id="1014"/>
      <w:bookmarkEnd w:id="1015"/>
      <w:bookmarkEnd w:id="1016"/>
      <w:bookmarkEnd w:id="1017"/>
      <w:bookmarkEnd w:id="1018"/>
      <w:bookmarkEnd w:id="1019"/>
      <w:bookmarkEnd w:id="1020"/>
      <w:bookmarkEnd w:id="1021"/>
      <w:bookmarkEnd w:id="1022"/>
      <w:bookmarkEnd w:id="1023"/>
      <w:r w:rsidRPr="00695C93">
        <w:fldChar w:fldCharType="end"/>
      </w:r>
      <w:r w:rsidRPr="00695C93">
        <w:tab/>
      </w:r>
      <w:r>
        <w:t>Remoteness adjustments for budgets</w:t>
      </w:r>
      <w:bookmarkEnd w:id="1024"/>
    </w:p>
    <w:tbl>
      <w:tblPr>
        <w:tblW w:w="7938" w:type="dxa"/>
        <w:tblInd w:w="57" w:type="dxa"/>
        <w:tblLook w:val="04A0" w:firstRow="1" w:lastRow="0" w:firstColumn="1" w:lastColumn="0" w:noHBand="0" w:noVBand="1"/>
      </w:tblPr>
      <w:tblGrid>
        <w:gridCol w:w="1042"/>
        <w:gridCol w:w="663"/>
        <w:gridCol w:w="718"/>
        <w:gridCol w:w="772"/>
        <w:gridCol w:w="756"/>
        <w:gridCol w:w="758"/>
        <w:gridCol w:w="663"/>
        <w:gridCol w:w="871"/>
        <w:gridCol w:w="943"/>
        <w:gridCol w:w="808"/>
      </w:tblGrid>
      <w:tr w:rsidR="004660B8" w:rsidTr="005C7B71">
        <w:trPr>
          <w:trHeight w:val="300"/>
        </w:trPr>
        <w:tc>
          <w:tcPr>
            <w:tcW w:w="1135" w:type="dxa"/>
            <w:tcBorders>
              <w:bottom w:val="single" w:sz="8" w:space="0" w:color="FFFFFF" w:themeColor="background1"/>
            </w:tcBorders>
            <w:shd w:val="clear" w:color="auto" w:fill="6F6652"/>
            <w:noWrap/>
            <w:tcMar>
              <w:left w:w="57" w:type="dxa"/>
              <w:right w:w="57" w:type="dxa"/>
            </w:tcMar>
            <w:hideMark/>
          </w:tcPr>
          <w:p w:rsidR="004660B8" w:rsidRDefault="004660B8" w:rsidP="004660B8">
            <w:pPr>
              <w:pStyle w:val="TableDataColumnHeading"/>
              <w:jc w:val="left"/>
            </w:pPr>
            <w:r>
              <w:t>Remoteness</w:t>
            </w:r>
          </w:p>
        </w:tc>
        <w:tc>
          <w:tcPr>
            <w:tcW w:w="718" w:type="dxa"/>
            <w:tcBorders>
              <w:bottom w:val="single" w:sz="8" w:space="0" w:color="FFFFFF" w:themeColor="background1"/>
            </w:tcBorders>
            <w:shd w:val="clear" w:color="auto" w:fill="6F6652"/>
            <w:noWrap/>
            <w:tcMar>
              <w:left w:w="57" w:type="dxa"/>
              <w:right w:w="57" w:type="dxa"/>
            </w:tcMar>
            <w:hideMark/>
          </w:tcPr>
          <w:p w:rsidR="004660B8" w:rsidRDefault="004660B8" w:rsidP="004660B8">
            <w:pPr>
              <w:pStyle w:val="TableDataColumnHeading"/>
            </w:pPr>
            <w:r>
              <w:t>Food</w:t>
            </w:r>
          </w:p>
        </w:tc>
        <w:tc>
          <w:tcPr>
            <w:tcW w:w="779" w:type="dxa"/>
            <w:tcBorders>
              <w:bottom w:val="single" w:sz="8" w:space="0" w:color="FFFFFF" w:themeColor="background1"/>
            </w:tcBorders>
            <w:shd w:val="clear" w:color="auto" w:fill="6F6652"/>
            <w:noWrap/>
            <w:tcMar>
              <w:left w:w="57" w:type="dxa"/>
              <w:right w:w="57" w:type="dxa"/>
            </w:tcMar>
            <w:hideMark/>
          </w:tcPr>
          <w:p w:rsidR="004660B8" w:rsidRDefault="004660B8" w:rsidP="004660B8">
            <w:pPr>
              <w:pStyle w:val="TableDataColumnHeading"/>
            </w:pPr>
            <w:r>
              <w:t>Alcohol</w:t>
            </w:r>
          </w:p>
        </w:tc>
        <w:tc>
          <w:tcPr>
            <w:tcW w:w="838" w:type="dxa"/>
            <w:tcBorders>
              <w:bottom w:val="single" w:sz="8" w:space="0" w:color="FFFFFF" w:themeColor="background1"/>
            </w:tcBorders>
            <w:shd w:val="clear" w:color="auto" w:fill="6F6652"/>
            <w:noWrap/>
            <w:tcMar>
              <w:left w:w="57" w:type="dxa"/>
              <w:right w:w="57" w:type="dxa"/>
            </w:tcMar>
            <w:hideMark/>
          </w:tcPr>
          <w:p w:rsidR="004660B8" w:rsidRDefault="004660B8" w:rsidP="004660B8">
            <w:pPr>
              <w:pStyle w:val="TableDataColumnHeading"/>
            </w:pPr>
            <w:r>
              <w:t>Clothing</w:t>
            </w:r>
          </w:p>
        </w:tc>
        <w:tc>
          <w:tcPr>
            <w:tcW w:w="821" w:type="dxa"/>
            <w:tcBorders>
              <w:bottom w:val="single" w:sz="8" w:space="0" w:color="FFFFFF" w:themeColor="background1"/>
            </w:tcBorders>
            <w:shd w:val="clear" w:color="auto" w:fill="6F6652"/>
            <w:noWrap/>
            <w:tcMar>
              <w:left w:w="57" w:type="dxa"/>
              <w:right w:w="57" w:type="dxa"/>
            </w:tcMar>
            <w:hideMark/>
          </w:tcPr>
          <w:p w:rsidR="004660B8" w:rsidRDefault="004660B8" w:rsidP="004660B8">
            <w:pPr>
              <w:pStyle w:val="TableDataColumnHeading"/>
            </w:pPr>
            <w:r>
              <w:t>Housing</w:t>
            </w:r>
          </w:p>
        </w:tc>
        <w:tc>
          <w:tcPr>
            <w:tcW w:w="823" w:type="dxa"/>
            <w:tcBorders>
              <w:bottom w:val="single" w:sz="8" w:space="0" w:color="FFFFFF" w:themeColor="background1"/>
            </w:tcBorders>
            <w:shd w:val="clear" w:color="auto" w:fill="6F6652"/>
            <w:noWrap/>
            <w:tcMar>
              <w:left w:w="57" w:type="dxa"/>
              <w:right w:w="57" w:type="dxa"/>
            </w:tcMar>
            <w:hideMark/>
          </w:tcPr>
          <w:p w:rsidR="004660B8" w:rsidRDefault="004660B8" w:rsidP="004660B8">
            <w:pPr>
              <w:pStyle w:val="TableDataColumnHeading"/>
            </w:pPr>
            <w:r>
              <w:t>Services</w:t>
            </w:r>
          </w:p>
        </w:tc>
        <w:tc>
          <w:tcPr>
            <w:tcW w:w="718" w:type="dxa"/>
            <w:tcBorders>
              <w:bottom w:val="single" w:sz="8" w:space="0" w:color="FFFFFF" w:themeColor="background1"/>
            </w:tcBorders>
            <w:shd w:val="clear" w:color="auto" w:fill="6F6652"/>
            <w:noWrap/>
            <w:tcMar>
              <w:left w:w="57" w:type="dxa"/>
              <w:right w:w="57" w:type="dxa"/>
            </w:tcMar>
            <w:hideMark/>
          </w:tcPr>
          <w:p w:rsidR="004660B8" w:rsidRDefault="004660B8" w:rsidP="004660B8">
            <w:pPr>
              <w:pStyle w:val="TableDataColumnHeading"/>
            </w:pPr>
            <w:r>
              <w:t>Health</w:t>
            </w:r>
          </w:p>
        </w:tc>
        <w:tc>
          <w:tcPr>
            <w:tcW w:w="947" w:type="dxa"/>
            <w:tcBorders>
              <w:bottom w:val="single" w:sz="8" w:space="0" w:color="FFFFFF" w:themeColor="background1"/>
            </w:tcBorders>
            <w:shd w:val="clear" w:color="auto" w:fill="6F6652"/>
            <w:noWrap/>
            <w:tcMar>
              <w:left w:w="57" w:type="dxa"/>
              <w:right w:w="57" w:type="dxa"/>
            </w:tcMar>
            <w:hideMark/>
          </w:tcPr>
          <w:p w:rsidR="004660B8" w:rsidRDefault="004660B8" w:rsidP="004660B8">
            <w:pPr>
              <w:pStyle w:val="TableDataColumnHeading"/>
            </w:pPr>
            <w:r>
              <w:t>Transport</w:t>
            </w:r>
          </w:p>
        </w:tc>
        <w:tc>
          <w:tcPr>
            <w:tcW w:w="1027" w:type="dxa"/>
            <w:tcBorders>
              <w:bottom w:val="single" w:sz="8" w:space="0" w:color="FFFFFF" w:themeColor="background1"/>
            </w:tcBorders>
            <w:shd w:val="clear" w:color="auto" w:fill="6F6652"/>
            <w:noWrap/>
            <w:tcMar>
              <w:left w:w="57" w:type="dxa"/>
              <w:right w:w="57" w:type="dxa"/>
            </w:tcMar>
            <w:hideMark/>
          </w:tcPr>
          <w:p w:rsidR="004660B8" w:rsidRDefault="004660B8" w:rsidP="004660B8">
            <w:pPr>
              <w:pStyle w:val="TableDataColumnHeading"/>
            </w:pPr>
            <w:r>
              <w:t>Recreation</w:t>
            </w:r>
          </w:p>
        </w:tc>
        <w:tc>
          <w:tcPr>
            <w:tcW w:w="878" w:type="dxa"/>
            <w:tcBorders>
              <w:bottom w:val="single" w:sz="8" w:space="0" w:color="FFFFFF" w:themeColor="background1"/>
            </w:tcBorders>
            <w:shd w:val="clear" w:color="auto" w:fill="6F6652"/>
            <w:noWrap/>
            <w:tcMar>
              <w:left w:w="57" w:type="dxa"/>
              <w:right w:w="57" w:type="dxa"/>
            </w:tcMar>
            <w:hideMark/>
          </w:tcPr>
          <w:p w:rsidR="004660B8" w:rsidRDefault="004660B8" w:rsidP="004660B8">
            <w:pPr>
              <w:pStyle w:val="TableDataColumnHeading"/>
            </w:pPr>
            <w:r>
              <w:t>Financial</w:t>
            </w:r>
          </w:p>
        </w:tc>
      </w:tr>
      <w:tr w:rsidR="004660B8" w:rsidTr="005C7B71">
        <w:trPr>
          <w:trHeight w:val="300"/>
        </w:trPr>
        <w:tc>
          <w:tcPr>
            <w:tcW w:w="11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jc w:val="left"/>
            </w:pPr>
            <w:r>
              <w:t>Major urban</w:t>
            </w:r>
          </w:p>
        </w:tc>
        <w:tc>
          <w:tcPr>
            <w:tcW w:w="71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100.0</w:t>
            </w:r>
          </w:p>
        </w:tc>
        <w:tc>
          <w:tcPr>
            <w:tcW w:w="77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100.0</w:t>
            </w:r>
          </w:p>
        </w:tc>
        <w:tc>
          <w:tcPr>
            <w:tcW w:w="83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100.0</w:t>
            </w:r>
          </w:p>
        </w:tc>
        <w:tc>
          <w:tcPr>
            <w:tcW w:w="82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100.0</w:t>
            </w:r>
          </w:p>
        </w:tc>
        <w:tc>
          <w:tcPr>
            <w:tcW w:w="82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100.0</w:t>
            </w:r>
          </w:p>
        </w:tc>
        <w:tc>
          <w:tcPr>
            <w:tcW w:w="71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100.0</w:t>
            </w:r>
          </w:p>
        </w:tc>
        <w:tc>
          <w:tcPr>
            <w:tcW w:w="94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100.0</w:t>
            </w:r>
          </w:p>
        </w:tc>
        <w:tc>
          <w:tcPr>
            <w:tcW w:w="102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100.0</w:t>
            </w:r>
          </w:p>
        </w:tc>
        <w:tc>
          <w:tcPr>
            <w:tcW w:w="87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100.0</w:t>
            </w:r>
          </w:p>
        </w:tc>
      </w:tr>
      <w:tr w:rsidR="004660B8" w:rsidTr="005C7B71">
        <w:trPr>
          <w:trHeight w:val="300"/>
        </w:trPr>
        <w:tc>
          <w:tcPr>
            <w:tcW w:w="11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jc w:val="left"/>
            </w:pPr>
            <w:r>
              <w:t>Inner regional</w:t>
            </w:r>
          </w:p>
        </w:tc>
        <w:tc>
          <w:tcPr>
            <w:tcW w:w="71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106.0</w:t>
            </w:r>
          </w:p>
        </w:tc>
        <w:tc>
          <w:tcPr>
            <w:tcW w:w="77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99.0</w:t>
            </w:r>
          </w:p>
        </w:tc>
        <w:tc>
          <w:tcPr>
            <w:tcW w:w="83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98.0</w:t>
            </w:r>
          </w:p>
        </w:tc>
        <w:tc>
          <w:tcPr>
            <w:tcW w:w="82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87.0</w:t>
            </w:r>
          </w:p>
        </w:tc>
        <w:tc>
          <w:tcPr>
            <w:tcW w:w="82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98.0</w:t>
            </w:r>
          </w:p>
        </w:tc>
        <w:tc>
          <w:tcPr>
            <w:tcW w:w="71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100.0</w:t>
            </w:r>
          </w:p>
        </w:tc>
        <w:tc>
          <w:tcPr>
            <w:tcW w:w="94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98.0</w:t>
            </w:r>
          </w:p>
        </w:tc>
        <w:tc>
          <w:tcPr>
            <w:tcW w:w="102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99.0</w:t>
            </w:r>
          </w:p>
        </w:tc>
        <w:tc>
          <w:tcPr>
            <w:tcW w:w="87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96.0</w:t>
            </w:r>
          </w:p>
        </w:tc>
      </w:tr>
      <w:tr w:rsidR="004660B8" w:rsidTr="005C7B71">
        <w:trPr>
          <w:trHeight w:val="300"/>
        </w:trPr>
        <w:tc>
          <w:tcPr>
            <w:tcW w:w="11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jc w:val="left"/>
            </w:pPr>
            <w:r>
              <w:t>Outer regional</w:t>
            </w:r>
          </w:p>
        </w:tc>
        <w:tc>
          <w:tcPr>
            <w:tcW w:w="71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104.0</w:t>
            </w:r>
          </w:p>
        </w:tc>
        <w:tc>
          <w:tcPr>
            <w:tcW w:w="77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100.0</w:t>
            </w:r>
          </w:p>
        </w:tc>
        <w:tc>
          <w:tcPr>
            <w:tcW w:w="83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100.0</w:t>
            </w:r>
          </w:p>
        </w:tc>
        <w:tc>
          <w:tcPr>
            <w:tcW w:w="82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100.0</w:t>
            </w:r>
          </w:p>
        </w:tc>
        <w:tc>
          <w:tcPr>
            <w:tcW w:w="82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99.0</w:t>
            </w:r>
          </w:p>
        </w:tc>
        <w:tc>
          <w:tcPr>
            <w:tcW w:w="71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101.0</w:t>
            </w:r>
          </w:p>
        </w:tc>
        <w:tc>
          <w:tcPr>
            <w:tcW w:w="94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99.0</w:t>
            </w:r>
          </w:p>
        </w:tc>
        <w:tc>
          <w:tcPr>
            <w:tcW w:w="102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101.0</w:t>
            </w:r>
          </w:p>
        </w:tc>
        <w:tc>
          <w:tcPr>
            <w:tcW w:w="87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98.0</w:t>
            </w:r>
          </w:p>
        </w:tc>
      </w:tr>
      <w:tr w:rsidR="004660B8" w:rsidTr="005C7B71">
        <w:trPr>
          <w:trHeight w:val="300"/>
        </w:trPr>
        <w:tc>
          <w:tcPr>
            <w:tcW w:w="11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jc w:val="left"/>
            </w:pPr>
            <w:r>
              <w:t>Remote</w:t>
            </w:r>
          </w:p>
        </w:tc>
        <w:tc>
          <w:tcPr>
            <w:tcW w:w="71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106.2</w:t>
            </w:r>
          </w:p>
        </w:tc>
        <w:tc>
          <w:tcPr>
            <w:tcW w:w="77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103.7</w:t>
            </w:r>
          </w:p>
        </w:tc>
        <w:tc>
          <w:tcPr>
            <w:tcW w:w="83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88.8</w:t>
            </w:r>
          </w:p>
        </w:tc>
        <w:tc>
          <w:tcPr>
            <w:tcW w:w="82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97.3</w:t>
            </w:r>
          </w:p>
        </w:tc>
        <w:tc>
          <w:tcPr>
            <w:tcW w:w="82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102.8</w:t>
            </w:r>
          </w:p>
        </w:tc>
        <w:tc>
          <w:tcPr>
            <w:tcW w:w="71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102.1</w:t>
            </w:r>
          </w:p>
        </w:tc>
        <w:tc>
          <w:tcPr>
            <w:tcW w:w="94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104.4</w:t>
            </w:r>
          </w:p>
        </w:tc>
        <w:tc>
          <w:tcPr>
            <w:tcW w:w="102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107.4</w:t>
            </w:r>
          </w:p>
        </w:tc>
        <w:tc>
          <w:tcPr>
            <w:tcW w:w="87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4660B8" w:rsidRDefault="004660B8" w:rsidP="005C7B71">
            <w:pPr>
              <w:pStyle w:val="TableUnit"/>
            </w:pPr>
            <w:r>
              <w:t>96.2</w:t>
            </w:r>
          </w:p>
        </w:tc>
      </w:tr>
      <w:tr w:rsidR="004660B8" w:rsidTr="005C7B71">
        <w:trPr>
          <w:trHeight w:val="300"/>
        </w:trPr>
        <w:tc>
          <w:tcPr>
            <w:tcW w:w="1135"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4660B8" w:rsidRDefault="004660B8" w:rsidP="005C7B71">
            <w:pPr>
              <w:pStyle w:val="TableUnit"/>
              <w:jc w:val="left"/>
            </w:pPr>
            <w:r>
              <w:t>Very remote</w:t>
            </w:r>
          </w:p>
        </w:tc>
        <w:tc>
          <w:tcPr>
            <w:tcW w:w="718"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4660B8" w:rsidRDefault="004660B8" w:rsidP="005C7B71">
            <w:pPr>
              <w:pStyle w:val="TableUnit"/>
            </w:pPr>
            <w:r>
              <w:t>106.0</w:t>
            </w:r>
          </w:p>
        </w:tc>
        <w:tc>
          <w:tcPr>
            <w:tcW w:w="779"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4660B8" w:rsidRDefault="004660B8" w:rsidP="005C7B71">
            <w:pPr>
              <w:pStyle w:val="TableUnit"/>
            </w:pPr>
            <w:r>
              <w:t>104.0</w:t>
            </w:r>
          </w:p>
        </w:tc>
        <w:tc>
          <w:tcPr>
            <w:tcW w:w="838"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4660B8" w:rsidRDefault="004660B8" w:rsidP="005C7B71">
            <w:pPr>
              <w:pStyle w:val="TableUnit"/>
            </w:pPr>
            <w:r>
              <w:t>114.0</w:t>
            </w:r>
          </w:p>
        </w:tc>
        <w:tc>
          <w:tcPr>
            <w:tcW w:w="821"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4660B8" w:rsidRDefault="004660B8" w:rsidP="005C7B71">
            <w:pPr>
              <w:pStyle w:val="TableUnit"/>
            </w:pPr>
            <w:r>
              <w:t>63.0</w:t>
            </w:r>
          </w:p>
        </w:tc>
        <w:tc>
          <w:tcPr>
            <w:tcW w:w="823"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4660B8" w:rsidRDefault="004660B8" w:rsidP="005C7B71">
            <w:pPr>
              <w:pStyle w:val="TableUnit"/>
            </w:pPr>
            <w:r>
              <w:t>107.0</w:t>
            </w:r>
          </w:p>
        </w:tc>
        <w:tc>
          <w:tcPr>
            <w:tcW w:w="718"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4660B8" w:rsidRDefault="004660B8" w:rsidP="005C7B71">
            <w:pPr>
              <w:pStyle w:val="TableUnit"/>
            </w:pPr>
            <w:r>
              <w:t>102.0</w:t>
            </w:r>
          </w:p>
        </w:tc>
        <w:tc>
          <w:tcPr>
            <w:tcW w:w="947"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4660B8" w:rsidRDefault="004660B8" w:rsidP="005C7B71">
            <w:pPr>
              <w:pStyle w:val="TableUnit"/>
            </w:pPr>
            <w:r>
              <w:t>107.0</w:t>
            </w:r>
          </w:p>
        </w:tc>
        <w:tc>
          <w:tcPr>
            <w:tcW w:w="1027"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4660B8" w:rsidRDefault="004660B8" w:rsidP="005C7B71">
            <w:pPr>
              <w:pStyle w:val="TableUnit"/>
            </w:pPr>
            <w:r>
              <w:t>102.0</w:t>
            </w:r>
          </w:p>
        </w:tc>
        <w:tc>
          <w:tcPr>
            <w:tcW w:w="878"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4660B8" w:rsidRDefault="004660B8" w:rsidP="005C7B71">
            <w:pPr>
              <w:pStyle w:val="TableUnit"/>
            </w:pPr>
            <w:r>
              <w:t>97.0</w:t>
            </w:r>
          </w:p>
        </w:tc>
      </w:tr>
    </w:tbl>
    <w:p w:rsidR="004660B8" w:rsidRDefault="004660B8" w:rsidP="004660B8">
      <w:pPr>
        <w:pStyle w:val="Source"/>
      </w:pPr>
      <w:r>
        <w:rPr>
          <w:i/>
        </w:rPr>
        <w:t>Source</w:t>
      </w:r>
      <w:r w:rsidRPr="00E4232C">
        <w:rPr>
          <w:i/>
        </w:rPr>
        <w:t>:</w:t>
      </w:r>
      <w:r>
        <w:t xml:space="preserve"> </w:t>
      </w:r>
      <w:r w:rsidR="009B61C3">
        <w:t xml:space="preserve">Reported in </w:t>
      </w:r>
      <w:r w:rsidRPr="004660B8">
        <w:t xml:space="preserve">Waite G., P. </w:t>
      </w:r>
      <w:proofErr w:type="spellStart"/>
      <w:r w:rsidRPr="004660B8">
        <w:t>Henman</w:t>
      </w:r>
      <w:proofErr w:type="spellEnd"/>
      <w:r w:rsidRPr="004660B8">
        <w:t xml:space="preserve">, C. Banks and C. Curtis 2010, </w:t>
      </w:r>
      <w:proofErr w:type="gramStart"/>
      <w:r w:rsidRPr="004660B8">
        <w:t>The</w:t>
      </w:r>
      <w:proofErr w:type="gramEnd"/>
      <w:r w:rsidRPr="004660B8">
        <w:t xml:space="preserve"> dynamics of financial hardship and housing need: A longitudinal analysis using budget standards, presented at the 4th Australasian Housing Researchers Conference</w:t>
      </w:r>
      <w:r>
        <w:t>.</w:t>
      </w:r>
    </w:p>
    <w:p w:rsidR="00360713" w:rsidRDefault="00360713" w:rsidP="00360713">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5</w:instrText>
        </w:r>
      </w:fldSimple>
      <w:r w:rsidRPr="00695C93">
        <w:instrText xml:space="preserve"> = 0 "" "</w:instrText>
      </w:r>
      <w:fldSimple w:instr=" STYLEREF &quot;Heading 1&quot; \l \n ">
        <w:r w:rsidR="00304215">
          <w:rPr>
            <w:noProof/>
          </w:rPr>
          <w:instrText>5</w:instrText>
        </w:r>
      </w:fldSimple>
      <w:r w:rsidRPr="00695C93">
        <w:instrText xml:space="preserve">." </w:instrText>
      </w:r>
      <w:r w:rsidRPr="00695C93">
        <w:fldChar w:fldCharType="separate"/>
      </w:r>
      <w:r w:rsidR="00304215">
        <w:rPr>
          <w:noProof/>
        </w:rPr>
        <w:instrText>5</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5</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5</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2</w:instrText>
      </w:r>
      <w:r w:rsidRPr="00695C93">
        <w:fldChar w:fldCharType="end"/>
      </w:r>
      <w:r w:rsidRPr="00695C93">
        <w:instrText xml:space="preserve">" "" </w:instrText>
      </w:r>
      <w:r w:rsidRPr="00695C93">
        <w:fldChar w:fldCharType="separate"/>
      </w:r>
      <w:bookmarkStart w:id="1025" w:name="_Caption1307"/>
      <w:bookmarkStart w:id="1026" w:name="_Caption5572"/>
      <w:bookmarkStart w:id="1027" w:name="_Caption6381"/>
      <w:bookmarkStart w:id="1028" w:name="_Caption8904"/>
      <w:bookmarkStart w:id="1029" w:name="_Caption7447"/>
      <w:bookmarkStart w:id="1030" w:name="_Caption7576"/>
      <w:bookmarkStart w:id="1031" w:name="_Caption6218"/>
      <w:bookmarkStart w:id="1032" w:name="_Caption5252"/>
      <w:bookmarkStart w:id="1033" w:name="_Caption3422"/>
      <w:bookmarkStart w:id="1034" w:name="_Caption6484"/>
      <w:bookmarkStart w:id="1035" w:name="_Caption7539"/>
      <w:bookmarkStart w:id="1036" w:name="_Toc391972969"/>
      <w:r w:rsidR="00584F9A">
        <w:rPr>
          <w:noProof/>
        </w:rPr>
        <w:t>5</w:t>
      </w:r>
      <w:r w:rsidR="00584F9A" w:rsidRPr="00695C93">
        <w:rPr>
          <w:noProof/>
        </w:rPr>
        <w:t>.</w:t>
      </w:r>
      <w:r w:rsidR="00584F9A">
        <w:rPr>
          <w:noProof/>
        </w:rPr>
        <w:t>2</w:t>
      </w:r>
      <w:bookmarkEnd w:id="1025"/>
      <w:bookmarkEnd w:id="1026"/>
      <w:bookmarkEnd w:id="1027"/>
      <w:bookmarkEnd w:id="1028"/>
      <w:bookmarkEnd w:id="1029"/>
      <w:bookmarkEnd w:id="1030"/>
      <w:bookmarkEnd w:id="1031"/>
      <w:bookmarkEnd w:id="1032"/>
      <w:bookmarkEnd w:id="1033"/>
      <w:bookmarkEnd w:id="1034"/>
      <w:bookmarkEnd w:id="1035"/>
      <w:r w:rsidRPr="00695C93">
        <w:fldChar w:fldCharType="end"/>
      </w:r>
      <w:r w:rsidRPr="00695C93">
        <w:tab/>
      </w:r>
      <w:r>
        <w:t xml:space="preserve">Housing costs by remoteness class </w:t>
      </w:r>
      <w:r w:rsidR="00F55EB5">
        <w:t>2006</w:t>
      </w:r>
      <w:bookmarkEnd w:id="1036"/>
    </w:p>
    <w:tbl>
      <w:tblPr>
        <w:tblW w:w="7938" w:type="dxa"/>
        <w:tblInd w:w="57" w:type="dxa"/>
        <w:tblLayout w:type="fixed"/>
        <w:tblLook w:val="0000" w:firstRow="0" w:lastRow="0" w:firstColumn="0" w:lastColumn="0" w:noHBand="0" w:noVBand="0"/>
      </w:tblPr>
      <w:tblGrid>
        <w:gridCol w:w="2214"/>
        <w:gridCol w:w="3381"/>
        <w:gridCol w:w="2343"/>
      </w:tblGrid>
      <w:tr w:rsidR="00F55EB5" w:rsidTr="005C7B71">
        <w:tc>
          <w:tcPr>
            <w:tcW w:w="2410" w:type="dxa"/>
            <w:shd w:val="clear" w:color="auto" w:fill="6F6652"/>
            <w:tcMar>
              <w:left w:w="57" w:type="dxa"/>
              <w:right w:w="57" w:type="dxa"/>
            </w:tcMar>
          </w:tcPr>
          <w:p w:rsidR="00F55EB5" w:rsidRDefault="00F55EB5" w:rsidP="00360713">
            <w:pPr>
              <w:pStyle w:val="TableDataColumnHeading"/>
              <w:jc w:val="left"/>
            </w:pPr>
          </w:p>
        </w:tc>
        <w:tc>
          <w:tcPr>
            <w:tcW w:w="3686" w:type="dxa"/>
            <w:shd w:val="clear" w:color="auto" w:fill="6F6652"/>
            <w:tcMar>
              <w:left w:w="57" w:type="dxa"/>
              <w:right w:w="57" w:type="dxa"/>
            </w:tcMar>
          </w:tcPr>
          <w:p w:rsidR="00F55EB5" w:rsidRDefault="00F55EB5" w:rsidP="00360713">
            <w:pPr>
              <w:pStyle w:val="TableDataColumnHeading"/>
            </w:pPr>
            <w:r>
              <w:t>Mean weekly mortgage repayments</w:t>
            </w:r>
          </w:p>
        </w:tc>
        <w:tc>
          <w:tcPr>
            <w:tcW w:w="2551" w:type="dxa"/>
            <w:shd w:val="clear" w:color="auto" w:fill="6F6652"/>
            <w:tcMar>
              <w:left w:w="57" w:type="dxa"/>
              <w:right w:w="57" w:type="dxa"/>
            </w:tcMar>
          </w:tcPr>
          <w:p w:rsidR="00F55EB5" w:rsidRDefault="00F55EB5" w:rsidP="00360713">
            <w:pPr>
              <w:pStyle w:val="TableDataColumnHeading"/>
            </w:pPr>
            <w:r>
              <w:t>Mean weekly rents</w:t>
            </w:r>
          </w:p>
        </w:tc>
      </w:tr>
      <w:tr w:rsidR="00F55EB5" w:rsidTr="005C7B71">
        <w:tc>
          <w:tcPr>
            <w:tcW w:w="2410" w:type="dxa"/>
            <w:tcBorders>
              <w:bottom w:val="single" w:sz="8" w:space="0" w:color="FFFFFF" w:themeColor="background1"/>
            </w:tcBorders>
            <w:shd w:val="clear" w:color="auto" w:fill="auto"/>
            <w:tcMar>
              <w:left w:w="57" w:type="dxa"/>
              <w:right w:w="57" w:type="dxa"/>
            </w:tcMar>
          </w:tcPr>
          <w:p w:rsidR="00F55EB5" w:rsidRDefault="00F55EB5" w:rsidP="005C7B71">
            <w:pPr>
              <w:pStyle w:val="TableDataEntries"/>
            </w:pPr>
          </w:p>
        </w:tc>
        <w:tc>
          <w:tcPr>
            <w:tcW w:w="3686" w:type="dxa"/>
            <w:tcBorders>
              <w:bottom w:val="single" w:sz="8" w:space="0" w:color="FFFFFF" w:themeColor="background1"/>
            </w:tcBorders>
            <w:shd w:val="clear" w:color="auto" w:fill="auto"/>
            <w:tcMar>
              <w:left w:w="57" w:type="dxa"/>
              <w:right w:w="57" w:type="dxa"/>
            </w:tcMar>
          </w:tcPr>
          <w:p w:rsidR="00F55EB5" w:rsidRDefault="00F55EB5" w:rsidP="005C7B71">
            <w:pPr>
              <w:pStyle w:val="TableDataEntries"/>
            </w:pPr>
            <w:r>
              <w:t>$/week</w:t>
            </w:r>
          </w:p>
        </w:tc>
        <w:tc>
          <w:tcPr>
            <w:tcW w:w="2551" w:type="dxa"/>
            <w:tcBorders>
              <w:bottom w:val="single" w:sz="8" w:space="0" w:color="FFFFFF" w:themeColor="background1"/>
            </w:tcBorders>
            <w:shd w:val="clear" w:color="auto" w:fill="auto"/>
            <w:tcMar>
              <w:left w:w="57" w:type="dxa"/>
              <w:right w:w="57" w:type="dxa"/>
            </w:tcMar>
          </w:tcPr>
          <w:p w:rsidR="00F55EB5" w:rsidRDefault="00F55EB5" w:rsidP="005C7B71">
            <w:pPr>
              <w:pStyle w:val="TableDataEntries"/>
            </w:pPr>
            <w:r>
              <w:t>$/week</w:t>
            </w:r>
          </w:p>
        </w:tc>
      </w:tr>
      <w:tr w:rsidR="00F55EB5" w:rsidTr="005C7B71">
        <w:tc>
          <w:tcPr>
            <w:tcW w:w="24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55EB5" w:rsidRDefault="00F55EB5" w:rsidP="00360713">
            <w:pPr>
              <w:pStyle w:val="TableDataEntries"/>
              <w:jc w:val="left"/>
            </w:pPr>
            <w:r>
              <w:t>Major cities</w:t>
            </w:r>
          </w:p>
        </w:tc>
        <w:tc>
          <w:tcPr>
            <w:tcW w:w="368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55EB5" w:rsidRDefault="00F55EB5" w:rsidP="00360713">
            <w:pPr>
              <w:pStyle w:val="TableDataEntries"/>
            </w:pPr>
            <w:r>
              <w:t>375</w:t>
            </w:r>
          </w:p>
        </w:tc>
        <w:tc>
          <w:tcPr>
            <w:tcW w:w="25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55EB5" w:rsidRDefault="00F55EB5" w:rsidP="00360713">
            <w:pPr>
              <w:pStyle w:val="TableDataEntries"/>
            </w:pPr>
            <w:r>
              <w:t>256</w:t>
            </w:r>
          </w:p>
        </w:tc>
      </w:tr>
      <w:tr w:rsidR="00F55EB5" w:rsidTr="005C7B71">
        <w:tc>
          <w:tcPr>
            <w:tcW w:w="24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55EB5" w:rsidRDefault="00F55EB5" w:rsidP="00360713">
            <w:pPr>
              <w:pStyle w:val="TableDataEntries"/>
              <w:jc w:val="left"/>
            </w:pPr>
            <w:r>
              <w:t>Inner regional</w:t>
            </w:r>
          </w:p>
        </w:tc>
        <w:tc>
          <w:tcPr>
            <w:tcW w:w="368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55EB5" w:rsidRDefault="00F55EB5" w:rsidP="00360713">
            <w:pPr>
              <w:pStyle w:val="TableDataEntries"/>
            </w:pPr>
            <w:r>
              <w:t>290</w:t>
            </w:r>
          </w:p>
        </w:tc>
        <w:tc>
          <w:tcPr>
            <w:tcW w:w="25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55EB5" w:rsidRDefault="00F55EB5" w:rsidP="00360713">
            <w:pPr>
              <w:pStyle w:val="TableDataEntries"/>
            </w:pPr>
            <w:r>
              <w:t>193</w:t>
            </w:r>
          </w:p>
        </w:tc>
      </w:tr>
      <w:tr w:rsidR="00F55EB5" w:rsidTr="005C7B71">
        <w:tc>
          <w:tcPr>
            <w:tcW w:w="24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55EB5" w:rsidRDefault="00F55EB5" w:rsidP="00360713">
            <w:pPr>
              <w:pStyle w:val="TableDataEntries"/>
              <w:jc w:val="left"/>
            </w:pPr>
            <w:r>
              <w:t>Outer regional</w:t>
            </w:r>
          </w:p>
        </w:tc>
        <w:tc>
          <w:tcPr>
            <w:tcW w:w="368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55EB5" w:rsidRDefault="00F55EB5" w:rsidP="00360713">
            <w:pPr>
              <w:pStyle w:val="TableDataEntries"/>
            </w:pPr>
            <w:r>
              <w:t>263</w:t>
            </w:r>
          </w:p>
        </w:tc>
        <w:tc>
          <w:tcPr>
            <w:tcW w:w="25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55EB5" w:rsidRDefault="00F55EB5" w:rsidP="00360713">
            <w:pPr>
              <w:pStyle w:val="TableDataEntries"/>
            </w:pPr>
            <w:r>
              <w:t>185</w:t>
            </w:r>
          </w:p>
        </w:tc>
      </w:tr>
      <w:tr w:rsidR="00F55EB5" w:rsidTr="005C7B71">
        <w:tc>
          <w:tcPr>
            <w:tcW w:w="24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55EB5" w:rsidRDefault="00F55EB5" w:rsidP="00360713">
            <w:pPr>
              <w:pStyle w:val="TableDataEntries"/>
              <w:jc w:val="left"/>
            </w:pPr>
            <w:r>
              <w:t>Remote</w:t>
            </w:r>
          </w:p>
        </w:tc>
        <w:tc>
          <w:tcPr>
            <w:tcW w:w="368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55EB5" w:rsidRDefault="00F55EB5" w:rsidP="00360713">
            <w:pPr>
              <w:pStyle w:val="TableDataEntries"/>
            </w:pPr>
            <w:r>
              <w:t>274</w:t>
            </w:r>
          </w:p>
        </w:tc>
        <w:tc>
          <w:tcPr>
            <w:tcW w:w="25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55EB5" w:rsidRDefault="00F55EB5" w:rsidP="00360713">
            <w:pPr>
              <w:pStyle w:val="TableDataEntries"/>
            </w:pPr>
            <w:r>
              <w:t>168</w:t>
            </w:r>
          </w:p>
        </w:tc>
      </w:tr>
      <w:tr w:rsidR="00F55EB5" w:rsidTr="005C7B71">
        <w:tc>
          <w:tcPr>
            <w:tcW w:w="241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55EB5" w:rsidRDefault="00F55EB5" w:rsidP="00360713">
            <w:pPr>
              <w:pStyle w:val="TableDataEntries"/>
              <w:jc w:val="left"/>
            </w:pPr>
            <w:r>
              <w:t>Very remote</w:t>
            </w:r>
          </w:p>
        </w:tc>
        <w:tc>
          <w:tcPr>
            <w:tcW w:w="368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55EB5" w:rsidRDefault="00F55EB5" w:rsidP="00360713">
            <w:pPr>
              <w:pStyle w:val="TableDataEntries"/>
            </w:pPr>
            <w:r>
              <w:t>232</w:t>
            </w:r>
          </w:p>
        </w:tc>
        <w:tc>
          <w:tcPr>
            <w:tcW w:w="25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55EB5" w:rsidRDefault="00F55EB5" w:rsidP="00360713">
            <w:pPr>
              <w:pStyle w:val="TableDataEntries"/>
            </w:pPr>
            <w:r>
              <w:t>102</w:t>
            </w:r>
          </w:p>
        </w:tc>
      </w:tr>
      <w:tr w:rsidR="00F55EB5" w:rsidTr="005C7B71">
        <w:tc>
          <w:tcPr>
            <w:tcW w:w="2410" w:type="dxa"/>
            <w:tcBorders>
              <w:top w:val="single" w:sz="8" w:space="0" w:color="FFFFFF" w:themeColor="background1"/>
              <w:bottom w:val="single" w:sz="6" w:space="0" w:color="6F6652"/>
            </w:tcBorders>
            <w:shd w:val="clear" w:color="auto" w:fill="E9E8E5" w:themeFill="background2"/>
            <w:tcMar>
              <w:left w:w="57" w:type="dxa"/>
              <w:right w:w="57" w:type="dxa"/>
            </w:tcMar>
          </w:tcPr>
          <w:p w:rsidR="00F55EB5" w:rsidRDefault="00F55EB5" w:rsidP="00360713">
            <w:pPr>
              <w:pStyle w:val="TableDataEntries"/>
              <w:jc w:val="left"/>
            </w:pPr>
            <w:r>
              <w:t>Australia</w:t>
            </w:r>
          </w:p>
        </w:tc>
        <w:tc>
          <w:tcPr>
            <w:tcW w:w="3686" w:type="dxa"/>
            <w:tcBorders>
              <w:top w:val="single" w:sz="8" w:space="0" w:color="FFFFFF" w:themeColor="background1"/>
              <w:bottom w:val="single" w:sz="6" w:space="0" w:color="6F6652"/>
            </w:tcBorders>
            <w:shd w:val="clear" w:color="auto" w:fill="E9E8E5" w:themeFill="background2"/>
            <w:tcMar>
              <w:left w:w="57" w:type="dxa"/>
              <w:right w:w="57" w:type="dxa"/>
            </w:tcMar>
          </w:tcPr>
          <w:p w:rsidR="00F55EB5" w:rsidRDefault="00F55EB5" w:rsidP="00360713">
            <w:pPr>
              <w:pStyle w:val="TableDataEntries"/>
            </w:pPr>
            <w:r>
              <w:t>348</w:t>
            </w:r>
          </w:p>
        </w:tc>
        <w:tc>
          <w:tcPr>
            <w:tcW w:w="2551" w:type="dxa"/>
            <w:tcBorders>
              <w:top w:val="single" w:sz="8" w:space="0" w:color="FFFFFF" w:themeColor="background1"/>
              <w:bottom w:val="single" w:sz="6" w:space="0" w:color="6F6652"/>
            </w:tcBorders>
            <w:shd w:val="clear" w:color="auto" w:fill="E9E8E5" w:themeFill="background2"/>
            <w:tcMar>
              <w:left w:w="57" w:type="dxa"/>
              <w:right w:w="57" w:type="dxa"/>
            </w:tcMar>
          </w:tcPr>
          <w:p w:rsidR="00F55EB5" w:rsidRDefault="00F55EB5" w:rsidP="00360713">
            <w:pPr>
              <w:pStyle w:val="TableDataEntries"/>
            </w:pPr>
            <w:r>
              <w:t>236</w:t>
            </w:r>
          </w:p>
        </w:tc>
      </w:tr>
    </w:tbl>
    <w:p w:rsidR="00360713" w:rsidRDefault="00360713" w:rsidP="00360713">
      <w:pPr>
        <w:pStyle w:val="Source"/>
      </w:pPr>
      <w:proofErr w:type="gramStart"/>
      <w:r>
        <w:rPr>
          <w:i/>
        </w:rPr>
        <w:t>Source</w:t>
      </w:r>
      <w:r w:rsidRPr="00E4232C">
        <w:rPr>
          <w:i/>
        </w:rPr>
        <w:t>:</w:t>
      </w:r>
      <w:r>
        <w:t xml:space="preserve"> </w:t>
      </w:r>
      <w:r w:rsidR="00F55EB5">
        <w:t>ABS Census of Population and Housing 2006.</w:t>
      </w:r>
      <w:proofErr w:type="gramEnd"/>
    </w:p>
    <w:p w:rsidR="00DB0E84" w:rsidRPr="00516C2E" w:rsidRDefault="00DB0E84" w:rsidP="00DB0E84">
      <w:pPr>
        <w:pStyle w:val="Heading3"/>
      </w:pPr>
      <w:r>
        <w:t>Government failure versus market failure</w:t>
      </w:r>
    </w:p>
    <w:p w:rsidR="00DB0E84" w:rsidRDefault="00DB0E84" w:rsidP="00DB0E84">
      <w:pPr>
        <w:pStyle w:val="BodyText"/>
      </w:pPr>
      <w:r>
        <w:t>The presence of market failures or desirable social equity objectives is a necessary condition for consideration of Government intervention. However, it is not a sufficient condition — even where there are market failures it is possible that Government intervention will have net costs. This reflects Government failure — intervention may lead to a less efficient outcome even though the outcome without regulation was not itself efficient. This can occur because of the costs of developi</w:t>
      </w:r>
      <w:r w:rsidR="005E3B73">
        <w:t xml:space="preserve">ng and administering regulation, constraints on the </w:t>
      </w:r>
      <w:r>
        <w:t xml:space="preserve">information </w:t>
      </w:r>
      <w:r w:rsidR="005E3B73">
        <w:t>available to regulators</w:t>
      </w:r>
      <w:r>
        <w:t xml:space="preserve"> </w:t>
      </w:r>
      <w:r w:rsidR="005E3B73">
        <w:t>and difficulties</w:t>
      </w:r>
      <w:r>
        <w:t xml:space="preserve"> structuring regulation to obtain an efficient outcome.</w:t>
      </w:r>
    </w:p>
    <w:p w:rsidR="00DB0E84" w:rsidRDefault="002525CE" w:rsidP="00DB0E84">
      <w:pPr>
        <w:pStyle w:val="BodyText"/>
      </w:pPr>
      <w:r>
        <w:t xml:space="preserve">The cost of government failure can be high, particularly where the regulator sets the regulated price for the relevant services at a level below the cost of supply. This would </w:t>
      </w:r>
      <w:r>
        <w:lastRenderedPageBreak/>
        <w:t>result in inefficient cross</w:t>
      </w:r>
      <w:r>
        <w:noBreakHyphen/>
        <w:t>subsidies from users of non</w:t>
      </w:r>
      <w:r>
        <w:noBreakHyphen/>
        <w:t>regulated services. In extreme circumstances, regulated prices that are lower than the cost of supply could cause the retailer to become insolvent. This has the potential to be highly disruptive and therefore costly to suppliers, customers, shareholders and the government, as was the case during the Californian electricity crisis (see box </w:t>
      </w:r>
      <w:fldSimple w:instr=" REF _Caption5517 ">
        <w:r w:rsidR="00304215">
          <w:rPr>
            <w:noProof/>
          </w:rPr>
          <w:t>2</w:t>
        </w:r>
        <w:r w:rsidR="00304215" w:rsidRPr="00E05C8C">
          <w:rPr>
            <w:noProof/>
          </w:rPr>
          <w:t>.</w:t>
        </w:r>
        <w:r w:rsidR="00304215">
          <w:rPr>
            <w:noProof/>
          </w:rPr>
          <w:t>6</w:t>
        </w:r>
      </w:fldSimple>
      <w:r>
        <w:t xml:space="preserve"> for details).</w:t>
      </w:r>
    </w:p>
    <w:p w:rsidR="002525CE" w:rsidRDefault="002525CE" w:rsidP="00DB0E84">
      <w:pPr>
        <w:pStyle w:val="BodyText"/>
      </w:pPr>
      <w:r>
        <w:t xml:space="preserve">While the Telstra retail price controls have not </w:t>
      </w:r>
      <w:r w:rsidR="0028390C">
        <w:t>imposed significant costs on the community to date, there nevertheless remains a risk that they could do so in the future. This risk is higher given the methodology currently used to set the regulated priced does not involve a detailed analysis of the costs of supply.</w:t>
      </w:r>
    </w:p>
    <w:p w:rsidR="00DB0E84" w:rsidRDefault="00DB0E84" w:rsidP="00DB0E84">
      <w:pPr>
        <w:pStyle w:val="Heading2"/>
      </w:pPr>
      <w:bookmarkStart w:id="1037" w:name="_Toc381784752"/>
      <w:bookmarkStart w:id="1038" w:name="_Toc388269639"/>
      <w:r>
        <w:t>Defining objectives of Government intervention in telecommunications prices</w:t>
      </w:r>
      <w:bookmarkEnd w:id="1037"/>
      <w:bookmarkEnd w:id="1038"/>
    </w:p>
    <w:p w:rsidR="00DB0E84" w:rsidRDefault="006B5AF3" w:rsidP="00DB0E84">
      <w:pPr>
        <w:pStyle w:val="BodyText"/>
      </w:pPr>
      <w:r>
        <w:t>Based on the above rationale outlined above, the objectives</w:t>
      </w:r>
      <w:r w:rsidR="00D70D7B">
        <w:t xml:space="preserve"> of government intervention are as follows.</w:t>
      </w:r>
    </w:p>
    <w:p w:rsidR="006B5AF3" w:rsidRPr="009B61C3" w:rsidRDefault="00D70D7B" w:rsidP="006B5AF3">
      <w:pPr>
        <w:pStyle w:val="ListBullet"/>
      </w:pPr>
      <w:r>
        <w:t>T</w:t>
      </w:r>
      <w:r w:rsidR="006B5AF3">
        <w:t xml:space="preserve">o prevent Telstra from exploiting any market power that it </w:t>
      </w:r>
      <w:proofErr w:type="gramStart"/>
      <w:r w:rsidR="006B5AF3">
        <w:t xml:space="preserve">may have in relation to </w:t>
      </w:r>
      <w:r w:rsidR="005E3B73">
        <w:t xml:space="preserve">retail </w:t>
      </w:r>
      <w:r w:rsidR="009B61C3">
        <w:t>fixed</w:t>
      </w:r>
      <w:proofErr w:type="gramEnd"/>
      <w:r w:rsidR="009B61C3">
        <w:t xml:space="preserve"> line </w:t>
      </w:r>
      <w:r>
        <w:t>voice services.</w:t>
      </w:r>
    </w:p>
    <w:p w:rsidR="006B5AF3" w:rsidRPr="009B61C3" w:rsidRDefault="00D70D7B" w:rsidP="006B5AF3">
      <w:pPr>
        <w:pStyle w:val="ListBullet"/>
      </w:pPr>
      <w:r>
        <w:t>T</w:t>
      </w:r>
      <w:r w:rsidR="006B5AF3" w:rsidRPr="009B61C3">
        <w:t>o ensure that all Australians are reasonably able to access telecommunications services they required to be socia</w:t>
      </w:r>
      <w:r w:rsidR="0026687E">
        <w:t>l</w:t>
      </w:r>
      <w:r w:rsidR="006B5AF3" w:rsidRPr="009B61C3">
        <w:t>l</w:t>
      </w:r>
      <w:r w:rsidR="0026687E">
        <w:t>y</w:t>
      </w:r>
      <w:r w:rsidR="006B5AF3" w:rsidRPr="009B61C3">
        <w:t xml:space="preserve"> included, while maintaining a minimum standard of living. </w:t>
      </w:r>
    </w:p>
    <w:p w:rsidR="00DB0E84" w:rsidRDefault="00DB0E84" w:rsidP="00DB0E84">
      <w:pPr>
        <w:pStyle w:val="Heading2"/>
      </w:pPr>
      <w:bookmarkStart w:id="1039" w:name="_Toc381784753"/>
      <w:bookmarkStart w:id="1040" w:name="_Toc388269640"/>
      <w:r>
        <w:t>Options for meeting objectives</w:t>
      </w:r>
      <w:bookmarkEnd w:id="1039"/>
      <w:bookmarkEnd w:id="1040"/>
    </w:p>
    <w:p w:rsidR="00DB0E84" w:rsidRDefault="006B5AF3" w:rsidP="00DB0E84">
      <w:pPr>
        <w:pStyle w:val="BodyText"/>
      </w:pPr>
      <w:r>
        <w:t>A key element of the regulatory impact assessment process is to consider a range of options for achieving the Government’s objectives. Here we consider the options for achieving each of the objectives above separately.</w:t>
      </w:r>
    </w:p>
    <w:p w:rsidR="00DB0E84" w:rsidRDefault="00DB0E84" w:rsidP="00716AA5">
      <w:pPr>
        <w:pStyle w:val="Heading3"/>
        <w:spacing w:before="240"/>
      </w:pPr>
      <w:r>
        <w:t>Market power</w:t>
      </w:r>
    </w:p>
    <w:p w:rsidR="0026687E" w:rsidRDefault="0026687E" w:rsidP="00DB0E84">
      <w:pPr>
        <w:pStyle w:val="BodyText"/>
      </w:pPr>
      <w:r>
        <w:t xml:space="preserve">The analysis in chapter 4 suggests that the likelihood that Telstra holds market power in retail voice services is low in metropolitan areas but </w:t>
      </w:r>
      <w:proofErr w:type="gramStart"/>
      <w:r>
        <w:t>cannot be dismissed</w:t>
      </w:r>
      <w:proofErr w:type="gramEnd"/>
      <w:r w:rsidR="00D70D7B">
        <w:t xml:space="preserve"> entirely</w:t>
      </w:r>
      <w:r>
        <w:t xml:space="preserve"> in regional areas.</w:t>
      </w:r>
    </w:p>
    <w:p w:rsidR="0026687E" w:rsidRDefault="0026687E" w:rsidP="00DB0E84">
      <w:pPr>
        <w:pStyle w:val="BodyText"/>
      </w:pPr>
      <w:r>
        <w:t>Options</w:t>
      </w:r>
      <w:r w:rsidR="00D70D7B">
        <w:t xml:space="preserve"> for addressing market power could</w:t>
      </w:r>
      <w:r>
        <w:t xml:space="preserve"> include:</w:t>
      </w:r>
    </w:p>
    <w:p w:rsidR="0026687E" w:rsidRPr="00716AA5" w:rsidRDefault="0026687E" w:rsidP="0026687E">
      <w:pPr>
        <w:pStyle w:val="ListBullet"/>
      </w:pPr>
      <w:r>
        <w:t>maintenance of wholesale regulation</w:t>
      </w:r>
      <w:r w:rsidR="00D70D7B">
        <w:t xml:space="preserve"> and cessation of retail price controls</w:t>
      </w:r>
      <w:r>
        <w:t>;</w:t>
      </w:r>
    </w:p>
    <w:p w:rsidR="00DB0E84" w:rsidRPr="00716AA5" w:rsidRDefault="00DB0E84" w:rsidP="00716AA5">
      <w:pPr>
        <w:pStyle w:val="ListBullet"/>
      </w:pPr>
      <w:r w:rsidRPr="00716AA5">
        <w:t>retaining retail price controls in the current form (i.e. maintaining the status quo)</w:t>
      </w:r>
      <w:r w:rsidR="0026687E">
        <w:t>;</w:t>
      </w:r>
    </w:p>
    <w:p w:rsidR="00DB0E84" w:rsidRPr="00716AA5" w:rsidRDefault="00DB0E84" w:rsidP="00716AA5">
      <w:pPr>
        <w:pStyle w:val="ListBullet"/>
      </w:pPr>
      <w:r w:rsidRPr="00716AA5">
        <w:t>different level of retail price controls or mechanisms for determination</w:t>
      </w:r>
      <w:r w:rsidR="0026687E">
        <w:t>; or</w:t>
      </w:r>
    </w:p>
    <w:p w:rsidR="00DB0E84" w:rsidRPr="00716AA5" w:rsidRDefault="00DB0E84" w:rsidP="00716AA5">
      <w:pPr>
        <w:pStyle w:val="ListBullet"/>
      </w:pPr>
      <w:proofErr w:type="gramStart"/>
      <w:r w:rsidRPr="00716AA5">
        <w:t>price</w:t>
      </w:r>
      <w:proofErr w:type="gramEnd"/>
      <w:r w:rsidRPr="00716AA5">
        <w:t xml:space="preserve"> monitoring and ex-post remedy</w:t>
      </w:r>
      <w:r w:rsidR="0026687E">
        <w:t>.</w:t>
      </w:r>
    </w:p>
    <w:p w:rsidR="00DB0E84" w:rsidRDefault="00DB0E84" w:rsidP="00716AA5">
      <w:pPr>
        <w:pStyle w:val="Heading3"/>
        <w:spacing w:before="360"/>
      </w:pPr>
      <w:r>
        <w:t>Social equity</w:t>
      </w:r>
    </w:p>
    <w:p w:rsidR="00DB0E84" w:rsidRDefault="0026687E" w:rsidP="00DB0E84">
      <w:pPr>
        <w:pStyle w:val="BodyText"/>
      </w:pPr>
      <w:r>
        <w:t>Options to address social equity could include:</w:t>
      </w:r>
    </w:p>
    <w:p w:rsidR="0026687E" w:rsidRDefault="0026687E" w:rsidP="00716AA5">
      <w:pPr>
        <w:pStyle w:val="ListBullet"/>
      </w:pPr>
      <w:r>
        <w:t>the use of the general welfare system</w:t>
      </w:r>
      <w:r w:rsidR="00D70D7B">
        <w:t xml:space="preserve"> and cessation of retail price controls and</w:t>
      </w:r>
      <w:r>
        <w:t>;</w:t>
      </w:r>
    </w:p>
    <w:p w:rsidR="0026687E" w:rsidRDefault="0026687E" w:rsidP="00716AA5">
      <w:pPr>
        <w:pStyle w:val="ListBullet"/>
      </w:pPr>
      <w:r>
        <w:lastRenderedPageBreak/>
        <w:t>continuing retail price controls;</w:t>
      </w:r>
    </w:p>
    <w:p w:rsidR="004F65EB" w:rsidRPr="00E44475" w:rsidRDefault="00DB0E84" w:rsidP="00716AA5">
      <w:pPr>
        <w:pStyle w:val="ListBullet"/>
      </w:pPr>
      <w:r w:rsidRPr="00716AA5">
        <w:t xml:space="preserve">amending the Principal Determination to establish a 5-year requirement for pricing parity between metro and </w:t>
      </w:r>
      <w:r w:rsidRPr="00E44475">
        <w:t>regional areas;</w:t>
      </w:r>
      <w:r w:rsidR="00CF51D4" w:rsidRPr="00E44475">
        <w:t xml:space="preserve"> </w:t>
      </w:r>
    </w:p>
    <w:p w:rsidR="00DB0E84" w:rsidRPr="00E44475" w:rsidRDefault="00127C93" w:rsidP="00716AA5">
      <w:pPr>
        <w:pStyle w:val="ListBullet"/>
      </w:pPr>
      <w:r>
        <w:t xml:space="preserve">using </w:t>
      </w:r>
      <w:r w:rsidR="004F65EB" w:rsidRPr="00E44475">
        <w:t>contractual arrangements through the Telecommunications Universal Service Management Agency (TUSMA)</w:t>
      </w:r>
      <w:r w:rsidR="00E44475" w:rsidRPr="00E44475">
        <w:t xml:space="preserve"> to achieve particular social equity objectives</w:t>
      </w:r>
      <w:r w:rsidR="004F65EB" w:rsidRPr="00E44475">
        <w:t xml:space="preserve">; </w:t>
      </w:r>
      <w:r w:rsidR="00CF51D4" w:rsidRPr="00E44475">
        <w:t>and</w:t>
      </w:r>
    </w:p>
    <w:p w:rsidR="00DB0E84" w:rsidRPr="00716AA5" w:rsidRDefault="0026687E" w:rsidP="00716AA5">
      <w:pPr>
        <w:pStyle w:val="ListBullet"/>
      </w:pPr>
      <w:proofErr w:type="gramStart"/>
      <w:r w:rsidRPr="00E44475">
        <w:t>targeted</w:t>
      </w:r>
      <w:proofErr w:type="gramEnd"/>
      <w:r w:rsidRPr="00E44475">
        <w:t xml:space="preserve"> subsidies for customers,</w:t>
      </w:r>
      <w:r>
        <w:t xml:space="preserve"> such as vouchers or rebates.</w:t>
      </w:r>
    </w:p>
    <w:p w:rsidR="00FF21CA" w:rsidRDefault="00FF21CA" w:rsidP="00FF21CA">
      <w:pPr>
        <w:pStyle w:val="Heading1"/>
      </w:pPr>
      <w:bookmarkStart w:id="1041" w:name="_Toc384653322"/>
      <w:bookmarkStart w:id="1042" w:name="_Toc388269641"/>
      <w:r>
        <w:lastRenderedPageBreak/>
        <w:t>Assessment of future regulatory options against objectives</w:t>
      </w:r>
      <w:bookmarkEnd w:id="1041"/>
      <w:bookmarkEnd w:id="1042"/>
    </w:p>
    <w:p w:rsidR="00FF21CA" w:rsidRDefault="00FF21CA" w:rsidP="00FF21CA">
      <w:pPr>
        <w:pStyle w:val="Heading2"/>
      </w:pPr>
      <w:bookmarkStart w:id="1043" w:name="_Toc388269642"/>
      <w:r>
        <w:t>Market power</w:t>
      </w:r>
      <w:bookmarkEnd w:id="1043"/>
    </w:p>
    <w:p w:rsidR="00FF21CA" w:rsidRDefault="00FF21CA" w:rsidP="00FF21CA">
      <w:pPr>
        <w:pStyle w:val="BodyText"/>
      </w:pPr>
      <w:r>
        <w:t xml:space="preserve">One objective that the Government could have is to limit the use of market power held by Telstra in providing telecommunications services. The achievement of this objective </w:t>
      </w:r>
      <w:proofErr w:type="gramStart"/>
      <w:r>
        <w:t>would be expected</w:t>
      </w:r>
      <w:proofErr w:type="gramEnd"/>
      <w:r>
        <w:t xml:space="preserve"> to lead to prices that are more closely aligned to costs. Note that intervention to achieve this objective would likely not have a major impact on efficiency, as Telstra has sufficient incentives to be more efficient in any case. It may lead to efficiency gains </w:t>
      </w:r>
      <w:proofErr w:type="gramStart"/>
      <w:r>
        <w:t>being passed</w:t>
      </w:r>
      <w:proofErr w:type="gramEnd"/>
      <w:r>
        <w:t xml:space="preserve"> on to consumers more than would otherwise be the case.</w:t>
      </w:r>
    </w:p>
    <w:p w:rsidR="00FF21CA" w:rsidRDefault="00FF21CA" w:rsidP="00FF21CA">
      <w:pPr>
        <w:pStyle w:val="BodyText"/>
      </w:pPr>
      <w:r>
        <w:t>The key basis of market power for Telstra rests on its control of infrastructure and particularly the last mile copper between the exchange and households/businesses.</w:t>
      </w:r>
    </w:p>
    <w:p w:rsidR="00FF21CA" w:rsidRDefault="00FF21CA" w:rsidP="00FF21CA">
      <w:pPr>
        <w:pStyle w:val="BodyText"/>
      </w:pPr>
      <w:r>
        <w:t>An assessment of the alternative options against limiting the use of market power objective is set out in table </w:t>
      </w:r>
      <w:fldSimple w:instr=" REF _Caption7744 ">
        <w:r w:rsidR="00304215">
          <w:rPr>
            <w:noProof/>
          </w:rPr>
          <w:t>6</w:t>
        </w:r>
        <w:r w:rsidR="00304215" w:rsidRPr="00695C93">
          <w:rPr>
            <w:noProof/>
          </w:rPr>
          <w:t>.</w:t>
        </w:r>
        <w:r w:rsidR="00304215">
          <w:rPr>
            <w:noProof/>
          </w:rPr>
          <w:t>1</w:t>
        </w:r>
      </w:fldSimple>
      <w:r>
        <w:t xml:space="preserve">. </w:t>
      </w:r>
    </w:p>
    <w:p w:rsidR="00FF21CA" w:rsidRPr="002166AA" w:rsidRDefault="00FF21CA" w:rsidP="002166AA">
      <w:pPr>
        <w:pStyle w:val="ListBullet"/>
      </w:pPr>
      <w:r w:rsidRPr="002166AA">
        <w:t xml:space="preserve">Wholesale regulation is the key government intervention required to limit the use of market power. This is because the significant barrier to entry into providing telecommunications voice services is infrastructure-related. Once access is gained at the wholesale level of natural monopoly infrastructure then </w:t>
      </w:r>
      <w:proofErr w:type="gramStart"/>
      <w:r w:rsidRPr="002166AA">
        <w:t>there</w:t>
      </w:r>
      <w:proofErr w:type="gramEnd"/>
      <w:r w:rsidRPr="002166AA">
        <w:t xml:space="preserve"> barriers to entry are low.</w:t>
      </w:r>
    </w:p>
    <w:p w:rsidR="00FF21CA" w:rsidRPr="002166AA" w:rsidRDefault="00FF21CA" w:rsidP="002166AA">
      <w:pPr>
        <w:pStyle w:val="ListBullet"/>
      </w:pPr>
      <w:r w:rsidRPr="002166AA">
        <w:t xml:space="preserve">Retail regulation can provide limits on market power </w:t>
      </w:r>
      <w:proofErr w:type="gramStart"/>
      <w:r w:rsidRPr="002166AA">
        <w:t>above and beyond</w:t>
      </w:r>
      <w:proofErr w:type="gramEnd"/>
      <w:r w:rsidRPr="002166AA">
        <w:t xml:space="preserve"> wholesale only if wholesale regulation is ineffective or there is market power for providing the retail component of services. There are no natural monopoly features to provision of the retail component. (In other similar Australian markets, retail prices </w:t>
      </w:r>
      <w:proofErr w:type="gramStart"/>
      <w:r w:rsidRPr="002166AA">
        <w:t>are typically deregulated</w:t>
      </w:r>
      <w:proofErr w:type="gramEnd"/>
      <w:r w:rsidRPr="002166AA">
        <w:t xml:space="preserve"> while regulation is maintained for network infrastructure.)</w:t>
      </w:r>
      <w:r w:rsidRPr="002166AA">
        <w:rPr>
          <w:rStyle w:val="FootnoteReference"/>
          <w:rFonts w:asciiTheme="minorHAnsi" w:hAnsiTheme="minorHAnsi"/>
          <w:position w:val="0"/>
          <w:sz w:val="21"/>
        </w:rPr>
        <w:footnoteReference w:id="41"/>
      </w:r>
      <w:r w:rsidRPr="002166AA">
        <w:t xml:space="preserve">  </w:t>
      </w:r>
    </w:p>
    <w:p w:rsidR="00FF21CA" w:rsidRDefault="00FF21CA" w:rsidP="00FF21CA">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6</w:instrText>
        </w:r>
      </w:fldSimple>
      <w:r w:rsidRPr="00695C93">
        <w:instrText xml:space="preserve"> = 0 "" "</w:instrText>
      </w:r>
      <w:fldSimple w:instr=" STYLEREF &quot;Heading 1&quot; \l \n ">
        <w:r w:rsidR="00304215">
          <w:rPr>
            <w:noProof/>
          </w:rPr>
          <w:instrText>6</w:instrText>
        </w:r>
      </w:fldSimple>
      <w:r w:rsidRPr="00695C93">
        <w:instrText xml:space="preserve">." </w:instrText>
      </w:r>
      <w:r w:rsidRPr="00695C93">
        <w:fldChar w:fldCharType="separate"/>
      </w:r>
      <w:r w:rsidR="00304215">
        <w:rPr>
          <w:noProof/>
        </w:rPr>
        <w:instrText>6</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6</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6</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1</w:instrText>
      </w:r>
      <w:r w:rsidRPr="00695C93">
        <w:fldChar w:fldCharType="end"/>
      </w:r>
      <w:r w:rsidRPr="00695C93">
        <w:instrText xml:space="preserve">" "" </w:instrText>
      </w:r>
      <w:r w:rsidRPr="00695C93">
        <w:fldChar w:fldCharType="separate"/>
      </w:r>
      <w:bookmarkStart w:id="1044" w:name="_Caption8685"/>
      <w:bookmarkStart w:id="1045" w:name="_Caption3071"/>
      <w:bookmarkStart w:id="1046" w:name="_Caption4374"/>
      <w:bookmarkStart w:id="1047" w:name="_Caption7070"/>
      <w:bookmarkStart w:id="1048" w:name="_Caption3304"/>
      <w:bookmarkStart w:id="1049" w:name="_Caption3710"/>
      <w:bookmarkStart w:id="1050" w:name="_Caption6628"/>
      <w:bookmarkStart w:id="1051" w:name="_Caption2829"/>
      <w:bookmarkStart w:id="1052" w:name="_Caption8697"/>
      <w:bookmarkStart w:id="1053" w:name="_Caption0585"/>
      <w:bookmarkStart w:id="1054" w:name="_Caption8974"/>
      <w:bookmarkStart w:id="1055" w:name="_Caption3260"/>
      <w:bookmarkStart w:id="1056" w:name="_Caption1635"/>
      <w:bookmarkStart w:id="1057" w:name="_Caption7162"/>
      <w:bookmarkStart w:id="1058" w:name="_Caption7179"/>
      <w:bookmarkStart w:id="1059" w:name="_Caption2193"/>
      <w:bookmarkStart w:id="1060" w:name="_Caption5568"/>
      <w:bookmarkStart w:id="1061" w:name="_Caption3514"/>
      <w:bookmarkStart w:id="1062" w:name="_Caption5558"/>
      <w:bookmarkStart w:id="1063" w:name="_Caption3841"/>
      <w:bookmarkStart w:id="1064" w:name="_Caption8440"/>
      <w:bookmarkStart w:id="1065" w:name="_Caption2866"/>
      <w:bookmarkStart w:id="1066" w:name="_Caption9735"/>
      <w:bookmarkStart w:id="1067" w:name="_Caption9680"/>
      <w:bookmarkStart w:id="1068" w:name="_Caption6979"/>
      <w:bookmarkStart w:id="1069" w:name="_Caption0419"/>
      <w:bookmarkStart w:id="1070" w:name="_Caption1616"/>
      <w:bookmarkStart w:id="1071" w:name="_Caption2547"/>
      <w:bookmarkStart w:id="1072" w:name="_Caption9969"/>
      <w:bookmarkStart w:id="1073" w:name="_Caption4854"/>
      <w:bookmarkStart w:id="1074" w:name="_Caption1262"/>
      <w:bookmarkStart w:id="1075" w:name="_Caption0773"/>
      <w:bookmarkStart w:id="1076" w:name="_Caption7744"/>
      <w:bookmarkStart w:id="1077" w:name="_Caption3588"/>
      <w:bookmarkStart w:id="1078" w:name="_Caption4561"/>
      <w:bookmarkStart w:id="1079" w:name="_Toc391972970"/>
      <w:r w:rsidR="00584F9A">
        <w:rPr>
          <w:noProof/>
        </w:rPr>
        <w:t>6</w:t>
      </w:r>
      <w:r w:rsidR="00584F9A" w:rsidRPr="00695C93">
        <w:rPr>
          <w:noProof/>
        </w:rPr>
        <w:t>.</w:t>
      </w:r>
      <w:r w:rsidR="00584F9A">
        <w:rPr>
          <w:noProof/>
        </w:rPr>
        <w:t>1</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r w:rsidRPr="00695C93">
        <w:fldChar w:fldCharType="end"/>
      </w:r>
      <w:r w:rsidRPr="00695C93">
        <w:tab/>
      </w:r>
      <w:r>
        <w:t>Assessment of options in limiting use of market power</w:t>
      </w:r>
      <w:bookmarkEnd w:id="1079"/>
    </w:p>
    <w:tbl>
      <w:tblPr>
        <w:tblW w:w="0" w:type="auto"/>
        <w:tblInd w:w="57" w:type="dxa"/>
        <w:tblLayout w:type="fixed"/>
        <w:tblLook w:val="0000" w:firstRow="0" w:lastRow="0" w:firstColumn="0" w:lastColumn="0" w:noHBand="0" w:noVBand="0"/>
      </w:tblPr>
      <w:tblGrid>
        <w:gridCol w:w="3968"/>
        <w:gridCol w:w="3969"/>
      </w:tblGrid>
      <w:tr w:rsidR="00FF21CA" w:rsidTr="005C7B71">
        <w:trPr>
          <w:tblHeader/>
        </w:trPr>
        <w:tc>
          <w:tcPr>
            <w:tcW w:w="3968" w:type="dxa"/>
            <w:tcBorders>
              <w:bottom w:val="single" w:sz="8" w:space="0" w:color="FFFFFF" w:themeColor="background1"/>
            </w:tcBorders>
            <w:shd w:val="clear" w:color="auto" w:fill="6F6652"/>
            <w:tcMar>
              <w:left w:w="57" w:type="dxa"/>
              <w:right w:w="57" w:type="dxa"/>
            </w:tcMar>
          </w:tcPr>
          <w:p w:rsidR="00FF21CA" w:rsidRDefault="00FF21CA" w:rsidP="00F376BC">
            <w:pPr>
              <w:pStyle w:val="TableTextColumnHeading"/>
            </w:pPr>
            <w:r>
              <w:t>Option</w:t>
            </w:r>
          </w:p>
        </w:tc>
        <w:tc>
          <w:tcPr>
            <w:tcW w:w="3969" w:type="dxa"/>
            <w:tcBorders>
              <w:bottom w:val="single" w:sz="8" w:space="0" w:color="FFFFFF" w:themeColor="background1"/>
            </w:tcBorders>
            <w:shd w:val="clear" w:color="auto" w:fill="6F6652"/>
            <w:tcMar>
              <w:left w:w="57" w:type="dxa"/>
              <w:right w:w="57" w:type="dxa"/>
            </w:tcMar>
          </w:tcPr>
          <w:p w:rsidR="00FF21CA" w:rsidRDefault="00FF21CA" w:rsidP="00F376BC">
            <w:pPr>
              <w:pStyle w:val="TableTextColumnHeading"/>
            </w:pPr>
            <w:r>
              <w:t>Achievement of objective</w:t>
            </w:r>
          </w:p>
        </w:tc>
      </w:tr>
      <w:tr w:rsidR="00FF21CA" w:rsidTr="005C7B71">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Cease retail price controls (and maintain wholesale regulation)</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Addresses market power issues at the relevant barrier to entry by providing access to natural monopoly infrastructure.</w:t>
            </w:r>
          </w:p>
        </w:tc>
      </w:tr>
      <w:tr w:rsidR="00FF21CA" w:rsidTr="005C7B71">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Retain retail price controls in current format (and maintain wholesale regulation)</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 xml:space="preserve">In addition to first option, may provide a limit on the use of retail market power </w:t>
            </w:r>
          </w:p>
        </w:tc>
      </w:tr>
      <w:tr w:rsidR="00FF21CA" w:rsidTr="005C7B71">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Revise retail price controls (and maintain wholesale regulation)</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In addition to first option, may provide a limit on the use of retail market power</w:t>
            </w:r>
          </w:p>
        </w:tc>
      </w:tr>
      <w:tr w:rsidR="00FF21CA" w:rsidTr="005C7B71">
        <w:tc>
          <w:tcPr>
            <w:tcW w:w="3968" w:type="dxa"/>
            <w:tcBorders>
              <w:top w:val="single" w:sz="8" w:space="0" w:color="FFFFFF" w:themeColor="background1"/>
              <w:bottom w:val="single" w:sz="6" w:space="0" w:color="6F6652"/>
            </w:tcBorders>
            <w:shd w:val="clear" w:color="auto" w:fill="E9E8E5" w:themeFill="background2"/>
            <w:tcMar>
              <w:left w:w="57" w:type="dxa"/>
              <w:right w:w="57" w:type="dxa"/>
            </w:tcMar>
          </w:tcPr>
          <w:p w:rsidR="00FF21CA" w:rsidRDefault="00FF21CA" w:rsidP="00F376BC">
            <w:pPr>
              <w:pStyle w:val="TableTextEntries"/>
            </w:pPr>
            <w:r>
              <w:lastRenderedPageBreak/>
              <w:t>Monitoring of retail prices with potential remedy for abuse of market power (and maintain wholesale regulation)</w:t>
            </w:r>
          </w:p>
        </w:tc>
        <w:tc>
          <w:tcPr>
            <w:tcW w:w="3969" w:type="dxa"/>
            <w:tcBorders>
              <w:top w:val="single" w:sz="8" w:space="0" w:color="FFFFFF" w:themeColor="background1"/>
              <w:bottom w:val="single" w:sz="6" w:space="0" w:color="6F6652"/>
            </w:tcBorders>
            <w:shd w:val="clear" w:color="auto" w:fill="E9E8E5" w:themeFill="background2"/>
            <w:tcMar>
              <w:left w:w="57" w:type="dxa"/>
              <w:right w:w="57" w:type="dxa"/>
            </w:tcMar>
          </w:tcPr>
          <w:p w:rsidR="00FF21CA" w:rsidRDefault="00FF21CA" w:rsidP="00F376BC">
            <w:pPr>
              <w:pStyle w:val="TableTextEntries"/>
            </w:pPr>
            <w:r>
              <w:t>Similar to first option — the presence of price monitoring is unlikely to provide any significant additional deterrent to the use of market power, as discussed further in chapter 7.</w:t>
            </w:r>
          </w:p>
        </w:tc>
      </w:tr>
    </w:tbl>
    <w:p w:rsidR="00FF21CA" w:rsidRDefault="00FF21CA" w:rsidP="00FF21CA">
      <w:pPr>
        <w:pStyle w:val="Source"/>
      </w:pPr>
      <w:proofErr w:type="gramStart"/>
      <w:r>
        <w:rPr>
          <w:i/>
        </w:rPr>
        <w:t>Source</w:t>
      </w:r>
      <w:r w:rsidRPr="00E4232C">
        <w:rPr>
          <w:i/>
        </w:rPr>
        <w:t>:</w:t>
      </w:r>
      <w:r>
        <w:t xml:space="preserve"> The CIE.</w:t>
      </w:r>
      <w:proofErr w:type="gramEnd"/>
    </w:p>
    <w:p w:rsidR="00FF21CA" w:rsidRPr="003161D7" w:rsidRDefault="00FF21CA" w:rsidP="00FF21CA">
      <w:pPr>
        <w:pStyle w:val="Heading2"/>
      </w:pPr>
      <w:bookmarkStart w:id="1080" w:name="_Toc384653323"/>
      <w:bookmarkStart w:id="1081" w:name="_Toc388269643"/>
      <w:r w:rsidRPr="003161D7">
        <w:t>Social equity</w:t>
      </w:r>
      <w:bookmarkEnd w:id="1080"/>
      <w:bookmarkEnd w:id="1081"/>
    </w:p>
    <w:p w:rsidR="00FF21CA" w:rsidRPr="003161D7" w:rsidRDefault="00FF21CA" w:rsidP="00FF21CA">
      <w:pPr>
        <w:pStyle w:val="BodyText"/>
      </w:pPr>
      <w:r w:rsidRPr="003161D7">
        <w:t xml:space="preserve">The </w:t>
      </w:r>
      <w:r>
        <w:t xml:space="preserve">social equity </w:t>
      </w:r>
      <w:r w:rsidRPr="003161D7">
        <w:t xml:space="preserve">policy objective that is most relevant to price controls is: </w:t>
      </w:r>
    </w:p>
    <w:p w:rsidR="00FF21CA" w:rsidRDefault="00FF21CA" w:rsidP="00FF21CA">
      <w:pPr>
        <w:pStyle w:val="Quote"/>
        <w:spacing w:before="140"/>
      </w:pPr>
      <w:r w:rsidRPr="003161D7">
        <w:t xml:space="preserve">Ensuring that people are reasonably able to afford the fixed line telecommunications services </w:t>
      </w:r>
      <w:r>
        <w:t xml:space="preserve">that </w:t>
      </w:r>
      <w:r w:rsidRPr="003161D7">
        <w:t>they need to be social</w:t>
      </w:r>
      <w:r>
        <w:t>ly</w:t>
      </w:r>
      <w:r w:rsidRPr="003161D7">
        <w:t xml:space="preserve"> included, while maintaining a minimum standard of living. </w:t>
      </w:r>
    </w:p>
    <w:p w:rsidR="00FF21CA" w:rsidRPr="008262DF" w:rsidRDefault="00FF21CA" w:rsidP="00FF21CA">
      <w:pPr>
        <w:pStyle w:val="BodyText"/>
      </w:pPr>
      <w:r>
        <w:t>An assessment of the options identified against this objective is set out in table </w:t>
      </w:r>
      <w:fldSimple w:instr=" REF _Caption0268 ">
        <w:r w:rsidR="00304215">
          <w:rPr>
            <w:noProof/>
          </w:rPr>
          <w:t>6</w:t>
        </w:r>
        <w:r w:rsidR="00304215" w:rsidRPr="00695C93">
          <w:rPr>
            <w:noProof/>
          </w:rPr>
          <w:t>.</w:t>
        </w:r>
        <w:r w:rsidR="00304215">
          <w:rPr>
            <w:noProof/>
          </w:rPr>
          <w:t>2</w:t>
        </w:r>
      </w:fldSimple>
      <w:r>
        <w:t>.</w:t>
      </w:r>
    </w:p>
    <w:p w:rsidR="00FF21CA" w:rsidRDefault="00FF21CA" w:rsidP="00FF21CA">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6</w:instrText>
        </w:r>
      </w:fldSimple>
      <w:r w:rsidRPr="00695C93">
        <w:instrText xml:space="preserve"> = 0 "" "</w:instrText>
      </w:r>
      <w:fldSimple w:instr=" STYLEREF &quot;Heading 1&quot; \l \n ">
        <w:r w:rsidR="00304215">
          <w:rPr>
            <w:noProof/>
          </w:rPr>
          <w:instrText>6</w:instrText>
        </w:r>
      </w:fldSimple>
      <w:r w:rsidRPr="00695C93">
        <w:instrText xml:space="preserve">." </w:instrText>
      </w:r>
      <w:r w:rsidRPr="00695C93">
        <w:fldChar w:fldCharType="separate"/>
      </w:r>
      <w:r w:rsidR="00304215">
        <w:rPr>
          <w:noProof/>
        </w:rPr>
        <w:instrText>6</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6</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6</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2</w:instrText>
      </w:r>
      <w:r w:rsidRPr="00695C93">
        <w:fldChar w:fldCharType="end"/>
      </w:r>
      <w:r w:rsidRPr="00695C93">
        <w:instrText xml:space="preserve">" "" </w:instrText>
      </w:r>
      <w:r w:rsidRPr="00695C93">
        <w:fldChar w:fldCharType="separate"/>
      </w:r>
      <w:bookmarkStart w:id="1082" w:name="_Caption1289"/>
      <w:bookmarkStart w:id="1083" w:name="_Caption0799"/>
      <w:bookmarkStart w:id="1084" w:name="_Caption7575"/>
      <w:bookmarkStart w:id="1085" w:name="_Caption4440"/>
      <w:bookmarkStart w:id="1086" w:name="_Caption2914"/>
      <w:bookmarkStart w:id="1087" w:name="_Caption8424"/>
      <w:bookmarkStart w:id="1088" w:name="_Caption2002"/>
      <w:bookmarkStart w:id="1089" w:name="_Caption5964"/>
      <w:bookmarkStart w:id="1090" w:name="_Caption9519"/>
      <w:bookmarkStart w:id="1091" w:name="_Caption2644"/>
      <w:bookmarkStart w:id="1092" w:name="_Caption8896"/>
      <w:bookmarkStart w:id="1093" w:name="_Caption8541"/>
      <w:bookmarkStart w:id="1094" w:name="_Caption0298"/>
      <w:bookmarkStart w:id="1095" w:name="_Caption7453"/>
      <w:bookmarkStart w:id="1096" w:name="_Caption1293"/>
      <w:bookmarkStart w:id="1097" w:name="_Caption9228"/>
      <w:bookmarkStart w:id="1098" w:name="_Caption6852"/>
      <w:bookmarkStart w:id="1099" w:name="_Caption3702"/>
      <w:bookmarkStart w:id="1100" w:name="_Caption9894"/>
      <w:bookmarkStart w:id="1101" w:name="_Caption3521"/>
      <w:bookmarkStart w:id="1102" w:name="_Caption6633"/>
      <w:bookmarkStart w:id="1103" w:name="_Caption9060"/>
      <w:bookmarkStart w:id="1104" w:name="_Caption9761"/>
      <w:bookmarkStart w:id="1105" w:name="_Caption5687"/>
      <w:bookmarkStart w:id="1106" w:name="_Caption9385"/>
      <w:bookmarkStart w:id="1107" w:name="_Caption9071"/>
      <w:bookmarkStart w:id="1108" w:name="_Caption8201"/>
      <w:bookmarkStart w:id="1109" w:name="_Caption1106"/>
      <w:bookmarkStart w:id="1110" w:name="_Caption6392"/>
      <w:bookmarkStart w:id="1111" w:name="_Caption6594"/>
      <w:bookmarkStart w:id="1112" w:name="_Caption8977"/>
      <w:bookmarkStart w:id="1113" w:name="_Caption0268"/>
      <w:bookmarkStart w:id="1114" w:name="_Caption5485"/>
      <w:bookmarkStart w:id="1115" w:name="_Caption5059"/>
      <w:bookmarkStart w:id="1116" w:name="_Toc391972971"/>
      <w:r w:rsidR="00584F9A">
        <w:rPr>
          <w:noProof/>
        </w:rPr>
        <w:t>6</w:t>
      </w:r>
      <w:r w:rsidR="00584F9A" w:rsidRPr="00695C93">
        <w:rPr>
          <w:noProof/>
        </w:rPr>
        <w:t>.</w:t>
      </w:r>
      <w:r w:rsidR="00584F9A">
        <w:rPr>
          <w:noProof/>
        </w:rPr>
        <w:t>2</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r w:rsidRPr="00695C93">
        <w:fldChar w:fldCharType="end"/>
      </w:r>
      <w:r w:rsidRPr="00695C93">
        <w:tab/>
      </w:r>
      <w:r>
        <w:t>Assessment of options in meeting social equity objectives</w:t>
      </w:r>
      <w:bookmarkEnd w:id="1116"/>
    </w:p>
    <w:tbl>
      <w:tblPr>
        <w:tblW w:w="0" w:type="auto"/>
        <w:tblInd w:w="57" w:type="dxa"/>
        <w:tblLayout w:type="fixed"/>
        <w:tblLook w:val="0000" w:firstRow="0" w:lastRow="0" w:firstColumn="0" w:lastColumn="0" w:noHBand="0" w:noVBand="0"/>
      </w:tblPr>
      <w:tblGrid>
        <w:gridCol w:w="3968"/>
        <w:gridCol w:w="3969"/>
      </w:tblGrid>
      <w:tr w:rsidR="00FF21CA" w:rsidTr="001C172D">
        <w:trPr>
          <w:tblHeader/>
        </w:trPr>
        <w:tc>
          <w:tcPr>
            <w:tcW w:w="3968" w:type="dxa"/>
            <w:tcBorders>
              <w:bottom w:val="single" w:sz="8" w:space="0" w:color="FFFFFF" w:themeColor="background1"/>
            </w:tcBorders>
            <w:shd w:val="clear" w:color="auto" w:fill="6F6652"/>
            <w:tcMar>
              <w:left w:w="57" w:type="dxa"/>
              <w:right w:w="57" w:type="dxa"/>
            </w:tcMar>
          </w:tcPr>
          <w:p w:rsidR="00FF21CA" w:rsidRDefault="00FF21CA" w:rsidP="00F376BC">
            <w:pPr>
              <w:pStyle w:val="TableTextColumnHeading"/>
            </w:pPr>
            <w:r>
              <w:t>Option</w:t>
            </w:r>
          </w:p>
        </w:tc>
        <w:tc>
          <w:tcPr>
            <w:tcW w:w="3969" w:type="dxa"/>
            <w:tcBorders>
              <w:bottom w:val="single" w:sz="8" w:space="0" w:color="FFFFFF" w:themeColor="background1"/>
            </w:tcBorders>
            <w:shd w:val="clear" w:color="auto" w:fill="6F6652"/>
            <w:tcMar>
              <w:left w:w="57" w:type="dxa"/>
              <w:right w:w="57" w:type="dxa"/>
            </w:tcMar>
          </w:tcPr>
          <w:p w:rsidR="00FF21CA" w:rsidRDefault="00FF21CA" w:rsidP="00F376BC">
            <w:pPr>
              <w:pStyle w:val="TableTextColumnHeading"/>
            </w:pPr>
            <w:r>
              <w:t>Achievement of objective</w:t>
            </w:r>
          </w:p>
        </w:tc>
      </w:tr>
      <w:tr w:rsidR="00FF21CA" w:rsidTr="005C7B71">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Cease retail price controls (and use general welfare system)</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proofErr w:type="gramStart"/>
            <w:r>
              <w:t>Achieves social equity objective if prices for fixed line services remain nationally consistent in the absence of price controls.</w:t>
            </w:r>
            <w:proofErr w:type="gramEnd"/>
          </w:p>
          <w:p w:rsidR="00FF21CA" w:rsidRDefault="00FF21CA" w:rsidP="00F376BC">
            <w:pPr>
              <w:pStyle w:val="TableTextEntries"/>
            </w:pPr>
            <w:r>
              <w:t xml:space="preserve">There may be some differences in social equity because mobile services, which are preferred by some low income households, are not available in all locations </w:t>
            </w:r>
          </w:p>
        </w:tc>
      </w:tr>
      <w:tr w:rsidR="00106A9E" w:rsidTr="005C7B71">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106A9E" w:rsidRDefault="00106A9E" w:rsidP="00F376BC">
            <w:pPr>
              <w:pStyle w:val="TableTextEntries"/>
            </w:pPr>
            <w:r>
              <w:t>Continue retail price controls in their current form</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106A9E" w:rsidRDefault="00106A9E" w:rsidP="00F376BC">
            <w:pPr>
              <w:pStyle w:val="TableTextEntries"/>
            </w:pPr>
            <w:r>
              <w:t>Regulatory intervention extends well beyond achieving social equity objectives. For example, it may entail cross-subsidies from low-income metropolitan households to high-income regional households.</w:t>
            </w:r>
          </w:p>
          <w:p w:rsidR="00106A9E" w:rsidRDefault="00106A9E" w:rsidP="00F376BC">
            <w:pPr>
              <w:pStyle w:val="TableTextEntries"/>
            </w:pPr>
            <w:r>
              <w:t>This option may restrict competition if prices for fixed line services would not remain nationally consistent in the absence of price controls or if prices are generally constrained by retail price controls.</w:t>
            </w:r>
          </w:p>
        </w:tc>
      </w:tr>
      <w:tr w:rsidR="00FF21CA" w:rsidTr="005C7B71">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5-year requirement for pricing parity between metro and regional areas</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106A9E" w:rsidRDefault="00106A9E" w:rsidP="00106A9E">
            <w:pPr>
              <w:pStyle w:val="TableTextEntries"/>
            </w:pPr>
            <w:r>
              <w:t>Regulatory intervention extends well beyond achieving social equity objectives. For example, it may entail cross-subsidies from low-income metropolitan households to high-income regional households.</w:t>
            </w:r>
          </w:p>
          <w:p w:rsidR="00FF21CA" w:rsidRDefault="00FF21CA" w:rsidP="00F376BC">
            <w:pPr>
              <w:pStyle w:val="TableTextEntries"/>
            </w:pPr>
            <w:r>
              <w:t>This option may restrict competition if prices for fixed line services would not remain nationally consistent in the absence of price controls</w:t>
            </w:r>
          </w:p>
        </w:tc>
      </w:tr>
      <w:tr w:rsidR="00E44475" w:rsidTr="005C7B71">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E44475" w:rsidRDefault="00E44475" w:rsidP="00F376BC">
            <w:pPr>
              <w:pStyle w:val="TableTextEntries"/>
            </w:pPr>
            <w:r>
              <w:t>Contractual arrangements through TUSMA</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B319C" w:rsidRDefault="00E44475" w:rsidP="00E44475">
            <w:pPr>
              <w:pStyle w:val="TableTextEntries"/>
            </w:pPr>
            <w:r>
              <w:t>TUSMA currently maintains contracts with Telstra to provide payphone services (</w:t>
            </w:r>
            <w:r w:rsidR="00A70328">
              <w:t xml:space="preserve">approx. </w:t>
            </w:r>
            <w:r>
              <w:t>$44 million/year</w:t>
            </w:r>
            <w:r w:rsidR="00A70328">
              <w:t>, GST inclusive</w:t>
            </w:r>
            <w:r>
              <w:t>), to provide standard telephone services (</w:t>
            </w:r>
            <w:r w:rsidR="00A70328">
              <w:t xml:space="preserve">approx. </w:t>
            </w:r>
            <w:r>
              <w:t>$253 million/year</w:t>
            </w:r>
            <w:r w:rsidR="00A70328">
              <w:t xml:space="preserve"> GST –inclusive</w:t>
            </w:r>
            <w:r>
              <w:t>) and to provide untimed local calls in the extended zone (</w:t>
            </w:r>
            <w:r w:rsidR="00A70328">
              <w:t xml:space="preserve">approx. </w:t>
            </w:r>
            <w:r>
              <w:t>$1.7 million/year</w:t>
            </w:r>
            <w:r w:rsidR="00A70328">
              <w:t xml:space="preserve"> GST inclusive</w:t>
            </w:r>
            <w:r>
              <w:t xml:space="preserve">). </w:t>
            </w:r>
          </w:p>
          <w:p w:rsidR="006B319C" w:rsidRDefault="00E44475" w:rsidP="006B319C">
            <w:pPr>
              <w:pStyle w:val="TableTextEntries"/>
            </w:pPr>
            <w:r>
              <w:t>The</w:t>
            </w:r>
            <w:r w:rsidR="006B319C">
              <w:t xml:space="preserve"> contractual </w:t>
            </w:r>
            <w:r>
              <w:t>arrangements do not include</w:t>
            </w:r>
            <w:r w:rsidR="000B4602">
              <w:t xml:space="preserve"> explicit</w:t>
            </w:r>
            <w:r>
              <w:t xml:space="preserve"> prices of services offered. The contractual arrangements </w:t>
            </w:r>
            <w:proofErr w:type="gramStart"/>
            <w:r>
              <w:t>could be extended</w:t>
            </w:r>
            <w:proofErr w:type="gramEnd"/>
            <w:r>
              <w:t xml:space="preserve"> to cover </w:t>
            </w:r>
            <w:r w:rsidR="006B319C">
              <w:t>prices, in addition to their current focus on accessibility</w:t>
            </w:r>
            <w:r>
              <w:t>.</w:t>
            </w:r>
            <w:r w:rsidR="006B319C">
              <w:t xml:space="preserve"> </w:t>
            </w:r>
            <w:r>
              <w:t xml:space="preserve">This would be a more transparent mechanism to achieve social equity objectives. </w:t>
            </w:r>
          </w:p>
          <w:p w:rsidR="00E44475" w:rsidRDefault="006B319C" w:rsidP="006B319C">
            <w:pPr>
              <w:pStyle w:val="TableTextEntries"/>
            </w:pPr>
            <w:r>
              <w:t>However, i</w:t>
            </w:r>
            <w:r w:rsidR="00E44475">
              <w:t xml:space="preserve">t is not clear that there would be a need to extend arrangements to cover pricing. This reflects that </w:t>
            </w:r>
            <w:r w:rsidR="00E44475">
              <w:lastRenderedPageBreak/>
              <w:t xml:space="preserve">Telstra would be unlikely to change its existing pricing of payphones or local calls in extended zones. </w:t>
            </w:r>
          </w:p>
        </w:tc>
      </w:tr>
      <w:tr w:rsidR="00FF21CA" w:rsidTr="005C7B71">
        <w:tc>
          <w:tcPr>
            <w:tcW w:w="3968" w:type="dxa"/>
            <w:tcBorders>
              <w:top w:val="single" w:sz="8" w:space="0" w:color="FFFFFF" w:themeColor="background1"/>
              <w:bottom w:val="single" w:sz="6" w:space="0" w:color="6F6652"/>
            </w:tcBorders>
            <w:shd w:val="clear" w:color="auto" w:fill="E9E8E5" w:themeFill="background2"/>
            <w:tcMar>
              <w:left w:w="57" w:type="dxa"/>
              <w:right w:w="57" w:type="dxa"/>
            </w:tcMar>
          </w:tcPr>
          <w:p w:rsidR="00FF21CA" w:rsidRDefault="00FF21CA" w:rsidP="00F376BC">
            <w:pPr>
              <w:pStyle w:val="TableTextEntries"/>
            </w:pPr>
            <w:r>
              <w:lastRenderedPageBreak/>
              <w:t>Targeted assistance such as vouchers or rebates, directly funded by Government</w:t>
            </w:r>
          </w:p>
        </w:tc>
        <w:tc>
          <w:tcPr>
            <w:tcW w:w="3969" w:type="dxa"/>
            <w:tcBorders>
              <w:top w:val="single" w:sz="8" w:space="0" w:color="FFFFFF" w:themeColor="background1"/>
              <w:bottom w:val="single" w:sz="6" w:space="0" w:color="6F6652"/>
            </w:tcBorders>
            <w:shd w:val="clear" w:color="auto" w:fill="E9E8E5" w:themeFill="background2"/>
            <w:tcMar>
              <w:left w:w="57" w:type="dxa"/>
              <w:right w:w="57" w:type="dxa"/>
            </w:tcMar>
          </w:tcPr>
          <w:p w:rsidR="00FF21CA" w:rsidRDefault="00FF21CA" w:rsidP="00F376BC">
            <w:pPr>
              <w:pStyle w:val="TableTextEntries"/>
            </w:pPr>
            <w:r>
              <w:t>This may achieve social equity objectives at lower cost and is a more transparent mechanism for achieving objectives than requiring implicit subsidies between different customer types</w:t>
            </w:r>
            <w:r w:rsidR="00106A9E">
              <w:t>.</w:t>
            </w:r>
          </w:p>
          <w:p w:rsidR="00106A9E" w:rsidRDefault="00106A9E" w:rsidP="006B319C">
            <w:pPr>
              <w:pStyle w:val="TableTextEntries"/>
            </w:pPr>
            <w:r>
              <w:t xml:space="preserve">This may enable social equity obligations to be fulfilled using </w:t>
            </w:r>
            <w:r w:rsidR="006B319C">
              <w:t>whichever options are most suited to customer’s needs and could include m</w:t>
            </w:r>
            <w:r>
              <w:t>obile telephony</w:t>
            </w:r>
            <w:r w:rsidR="006B319C">
              <w:t>, for example</w:t>
            </w:r>
            <w:r>
              <w:t>.</w:t>
            </w:r>
          </w:p>
        </w:tc>
      </w:tr>
    </w:tbl>
    <w:p w:rsidR="00FF21CA" w:rsidRDefault="00FF21CA" w:rsidP="00FF21CA">
      <w:pPr>
        <w:pStyle w:val="Source"/>
      </w:pPr>
      <w:proofErr w:type="gramStart"/>
      <w:r>
        <w:rPr>
          <w:i/>
        </w:rPr>
        <w:t>Source</w:t>
      </w:r>
      <w:r w:rsidRPr="00E4232C">
        <w:rPr>
          <w:i/>
        </w:rPr>
        <w:t>:</w:t>
      </w:r>
      <w:r>
        <w:t xml:space="preserve"> The CIE.</w:t>
      </w:r>
      <w:proofErr w:type="gramEnd"/>
    </w:p>
    <w:p w:rsidR="00FF21CA" w:rsidRPr="008262DF" w:rsidRDefault="00FF21CA" w:rsidP="00FF21CA">
      <w:pPr>
        <w:pStyle w:val="BodyText"/>
      </w:pPr>
      <w:r>
        <w:t xml:space="preserve">In the sections </w:t>
      </w:r>
      <w:proofErr w:type="gramStart"/>
      <w:r>
        <w:t>below</w:t>
      </w:r>
      <w:proofErr w:type="gramEnd"/>
      <w:r>
        <w:t xml:space="preserve"> we </w:t>
      </w:r>
      <w:r w:rsidRPr="008262DF">
        <w:t>evaluate the policy options identified in the previous chapter in detail against three criteria.</w:t>
      </w:r>
    </w:p>
    <w:p w:rsidR="00FF21CA" w:rsidRPr="008262DF" w:rsidRDefault="00FF21CA" w:rsidP="009C1B85">
      <w:pPr>
        <w:pStyle w:val="ListNumber"/>
        <w:numPr>
          <w:ilvl w:val="0"/>
          <w:numId w:val="36"/>
        </w:numPr>
      </w:pPr>
      <w:r w:rsidRPr="008262DF">
        <w:t>Does the policy measure achieve the objective above?</w:t>
      </w:r>
    </w:p>
    <w:p w:rsidR="00FF21CA" w:rsidRPr="008262DF" w:rsidRDefault="00FF21CA" w:rsidP="009C1B85">
      <w:pPr>
        <w:pStyle w:val="ListNumber"/>
        <w:numPr>
          <w:ilvl w:val="0"/>
          <w:numId w:val="36"/>
        </w:numPr>
      </w:pPr>
      <w:r w:rsidRPr="008262DF">
        <w:t>Does the policy measure achieve the objective without compromising other objectives (e.g. efficiency, market competition, safety etc.)?</w:t>
      </w:r>
    </w:p>
    <w:p w:rsidR="00FF21CA" w:rsidRPr="008262DF" w:rsidRDefault="00FF21CA" w:rsidP="009C1B85">
      <w:pPr>
        <w:pStyle w:val="ListNumber"/>
        <w:numPr>
          <w:ilvl w:val="0"/>
          <w:numId w:val="36"/>
        </w:numPr>
      </w:pPr>
      <w:r w:rsidRPr="008262DF">
        <w:t xml:space="preserve">Does the policy measure achieve the objective </w:t>
      </w:r>
      <w:r>
        <w:t xml:space="preserve">at least cost </w:t>
      </w:r>
      <w:r w:rsidRPr="008262DF">
        <w:t>by specifically targeting the needs of individuals and households that are not able to achieve the fixed line services they require to be socially included?</w:t>
      </w:r>
    </w:p>
    <w:p w:rsidR="00FF21CA" w:rsidRPr="008262DF" w:rsidRDefault="00FF21CA" w:rsidP="00FF21CA">
      <w:pPr>
        <w:pStyle w:val="BodyText"/>
      </w:pPr>
      <w:proofErr w:type="gramStart"/>
      <w:r w:rsidRPr="008262DF">
        <w:t>But</w:t>
      </w:r>
      <w:proofErr w:type="gramEnd"/>
      <w:r w:rsidRPr="008262DF">
        <w:t xml:space="preserve"> before this, there is one key issue that will determine the impact of alternative options — would prices for fixed line services be nationally consistent in the absence of retail price controls?</w:t>
      </w:r>
    </w:p>
    <w:p w:rsidR="00FF21CA" w:rsidRPr="008262DF" w:rsidRDefault="00FF21CA" w:rsidP="00FF21CA">
      <w:pPr>
        <w:pStyle w:val="BodyText"/>
      </w:pPr>
      <w:r w:rsidRPr="008262DF">
        <w:t>As discussed in detail in previous chapters, there is strong evidence that the costs of providing services differ substantially across different regions. Regulated arrangements at the wholesale level also differ regionally, although less so than for costs.</w:t>
      </w:r>
      <w:r>
        <w:rPr>
          <w:rStyle w:val="FootnoteReference"/>
        </w:rPr>
        <w:footnoteReference w:id="42"/>
      </w:r>
      <w:r w:rsidRPr="008262DF">
        <w:t xml:space="preserve"> It </w:t>
      </w:r>
      <w:proofErr w:type="gramStart"/>
      <w:r w:rsidRPr="008262DF">
        <w:t>would then be anticipated</w:t>
      </w:r>
      <w:proofErr w:type="gramEnd"/>
      <w:r w:rsidRPr="008262DF">
        <w:t xml:space="preserve"> that there would be an economic justification for charging differential prices across regions, as occurs for other essential services such as electricity, gas and water.</w:t>
      </w:r>
      <w:r>
        <w:t xml:space="preserve"> We would not consider that this outcome is a negative outcome from an economic perspective.</w:t>
      </w:r>
    </w:p>
    <w:p w:rsidR="00FF21CA" w:rsidRPr="008262DF" w:rsidRDefault="00FF21CA" w:rsidP="00FF21CA">
      <w:pPr>
        <w:pStyle w:val="BodyText"/>
      </w:pPr>
      <w:r w:rsidRPr="008262DF">
        <w:t xml:space="preserve">However, </w:t>
      </w:r>
      <w:r>
        <w:t xml:space="preserve">we do not consider that it is likely that Telstra will seek to charge regionally different prices for fixed line voice services. To reiterate from previous chapters, Australian telecommunications providers and overseas telecommunications providers generally maintain the same prices across all areas that they service, even when this is not required.   </w:t>
      </w:r>
    </w:p>
    <w:p w:rsidR="00FF21CA" w:rsidRDefault="00FF21CA" w:rsidP="00FF21CA">
      <w:pPr>
        <w:pStyle w:val="Heading3"/>
      </w:pPr>
      <w:r>
        <w:t>Cessation of retail price controls</w:t>
      </w:r>
    </w:p>
    <w:p w:rsidR="00FF21CA" w:rsidRPr="00D129D4" w:rsidRDefault="00FF21CA" w:rsidP="00FF21CA">
      <w:pPr>
        <w:pStyle w:val="BodyText"/>
      </w:pPr>
      <w:r w:rsidRPr="00D129D4">
        <w:t xml:space="preserve">If retail price controls are not continued, then there may be social equity concerns for low-income households affording a minimum level of telecommunications services. </w:t>
      </w:r>
    </w:p>
    <w:p w:rsidR="00FF21CA" w:rsidRDefault="00FF21CA" w:rsidP="00FF21CA">
      <w:pPr>
        <w:pStyle w:val="BodyText"/>
      </w:pPr>
      <w:r w:rsidRPr="00D129D4">
        <w:t xml:space="preserve">Currently, low-income households (those on social security) receive a Telephone Allowance to assist in covering the costs of maintaining a home telephone line through </w:t>
      </w:r>
      <w:r w:rsidRPr="00D129D4">
        <w:lastRenderedPageBreak/>
        <w:t>the Department of Human Services.</w:t>
      </w:r>
      <w:r w:rsidRPr="00D129D4">
        <w:rPr>
          <w:rStyle w:val="FootnoteReference"/>
        </w:rPr>
        <w:footnoteReference w:id="43"/>
      </w:r>
      <w:r w:rsidRPr="00D129D4">
        <w:t xml:space="preserve"> This allowance is outside the scope of this review.</w:t>
      </w:r>
      <w:r>
        <w:t xml:space="preserve"> </w:t>
      </w:r>
      <w:r w:rsidRPr="00392160">
        <w:t>The Australian Government</w:t>
      </w:r>
      <w:r>
        <w:t xml:space="preserve"> also</w:t>
      </w:r>
      <w:r w:rsidRPr="00392160">
        <w:t xml:space="preserve"> requires Telstra to have a package of products and arrangements for low-income consumers</w:t>
      </w:r>
      <w:r>
        <w:t xml:space="preserve"> as part of its Carrier’s licence conditions (box </w:t>
      </w:r>
      <w:fldSimple w:instr=" REF _Caption7986 ">
        <w:r w:rsidR="00304215">
          <w:rPr>
            <w:noProof/>
          </w:rPr>
          <w:t>6</w:t>
        </w:r>
        <w:r w:rsidR="00304215" w:rsidRPr="00E05C8C">
          <w:rPr>
            <w:noProof/>
          </w:rPr>
          <w:t>.</w:t>
        </w:r>
        <w:r w:rsidR="00304215">
          <w:rPr>
            <w:noProof/>
          </w:rPr>
          <w:t>3</w:t>
        </w:r>
      </w:fldSimple>
      <w:r>
        <w:t>)</w:t>
      </w:r>
      <w:r w:rsidRPr="00392160">
        <w:t>.</w:t>
      </w:r>
      <w:r>
        <w:t xml:space="preserve"> This is also outside the scope of this review.</w:t>
      </w:r>
    </w:p>
    <w:p w:rsidR="00FF21CA" w:rsidRDefault="00FF21CA" w:rsidP="00FF21CA">
      <w:pPr>
        <w:pStyle w:val="Invisiblepara"/>
      </w:pPr>
    </w:p>
    <w:tbl>
      <w:tblPr>
        <w:tblW w:w="7938" w:type="dxa"/>
        <w:tblInd w:w="142" w:type="dxa"/>
        <w:tblBorders>
          <w:top w:val="single" w:sz="2" w:space="0" w:color="auto"/>
          <w:left w:val="single" w:sz="2" w:space="0" w:color="auto"/>
          <w:bottom w:val="single" w:sz="2" w:space="0" w:color="auto"/>
          <w:right w:val="single" w:sz="2" w:space="0" w:color="auto"/>
        </w:tblBorders>
        <w:tblLayout w:type="fixed"/>
        <w:tblCellMar>
          <w:left w:w="142" w:type="dxa"/>
          <w:right w:w="142" w:type="dxa"/>
        </w:tblCellMar>
        <w:tblLook w:val="0000" w:firstRow="0" w:lastRow="0" w:firstColumn="0" w:lastColumn="0" w:noHBand="0" w:noVBand="0"/>
      </w:tblPr>
      <w:tblGrid>
        <w:gridCol w:w="7938"/>
      </w:tblGrid>
      <w:tr w:rsidR="00FF21CA" w:rsidRPr="00E05C8C" w:rsidTr="00F376BC">
        <w:trPr>
          <w:cantSplit/>
        </w:trPr>
        <w:tc>
          <w:tcPr>
            <w:tcW w:w="7938" w:type="dxa"/>
            <w:tcBorders>
              <w:top w:val="nil"/>
              <w:left w:val="nil"/>
              <w:bottom w:val="nil"/>
              <w:right w:val="nil"/>
            </w:tcBorders>
            <w:shd w:val="clear" w:color="auto" w:fill="C6BFAB" w:themeFill="accent3"/>
          </w:tcPr>
          <w:p w:rsidR="00FF21CA" w:rsidRPr="00E05C8C" w:rsidRDefault="00FF21CA" w:rsidP="009C1B85">
            <w:pPr>
              <w:pStyle w:val="Caption"/>
              <w:numPr>
                <w:ilvl w:val="0"/>
                <w:numId w:val="15"/>
              </w:numPr>
              <w:spacing w:before="120" w:after="100"/>
            </w:pPr>
            <w:r w:rsidRPr="00E05C8C">
              <w:fldChar w:fldCharType="begin"/>
            </w:r>
            <w:r w:rsidRPr="00E05C8C">
              <w:instrText xml:space="preserve"> IF 1 = 1 "</w:instrText>
            </w:r>
            <w:r w:rsidRPr="00E05C8C">
              <w:fldChar w:fldCharType="begin"/>
            </w:r>
            <w:r w:rsidRPr="00E05C8C">
              <w:instrText xml:space="preserve"> IF </w:instrText>
            </w:r>
            <w:fldSimple w:instr=" STYLEREF &quot;Heading 6&quot; \l \n ">
              <w:r w:rsidR="00304215">
                <w:rPr>
                  <w:noProof/>
                </w:rPr>
                <w:instrText>0</w:instrText>
              </w:r>
            </w:fldSimple>
            <w:r w:rsidRPr="00E05C8C">
              <w:instrText xml:space="preserve"> = 0 "</w:instrText>
            </w:r>
            <w:r w:rsidRPr="00E05C8C">
              <w:fldChar w:fldCharType="begin"/>
            </w:r>
            <w:r w:rsidRPr="00E05C8C">
              <w:instrText xml:space="preserve"> IF </w:instrText>
            </w:r>
            <w:fldSimple w:instr=" STYLEREF &quot;Heading 1&quot; \l \n ">
              <w:r w:rsidR="00304215">
                <w:rPr>
                  <w:noProof/>
                </w:rPr>
                <w:instrText>6</w:instrText>
              </w:r>
            </w:fldSimple>
            <w:r w:rsidRPr="00E05C8C">
              <w:instrText xml:space="preserve"> = 0 "" "</w:instrText>
            </w:r>
            <w:fldSimple w:instr=" STYLEREF &quot;Heading 1&quot; \l \n ">
              <w:r w:rsidR="00304215">
                <w:rPr>
                  <w:noProof/>
                </w:rPr>
                <w:instrText>6</w:instrText>
              </w:r>
            </w:fldSimple>
            <w:r w:rsidRPr="00E05C8C">
              <w:instrText xml:space="preserve">." </w:instrText>
            </w:r>
            <w:r w:rsidRPr="00E05C8C">
              <w:fldChar w:fldCharType="separate"/>
            </w:r>
            <w:r w:rsidR="00304215">
              <w:rPr>
                <w:noProof/>
              </w:rPr>
              <w:instrText>6</w:instrText>
            </w:r>
            <w:r w:rsidR="00304215" w:rsidRPr="00E05C8C">
              <w:rPr>
                <w:noProof/>
              </w:rPr>
              <w:instrText>.</w:instrText>
            </w:r>
            <w:r w:rsidRPr="00E05C8C">
              <w:fldChar w:fldCharType="end"/>
            </w:r>
            <w:r w:rsidRPr="00E05C8C">
              <w:instrText>" "</w:instrText>
            </w:r>
            <w:fldSimple w:instr=" STYLEREF &quot;Heading 6&quot; \l \n ">
              <w:r w:rsidRPr="00E05C8C">
                <w:instrText>B</w:instrText>
              </w:r>
            </w:fldSimple>
            <w:r w:rsidRPr="00E05C8C">
              <w:instrText xml:space="preserve">." </w:instrText>
            </w:r>
            <w:r w:rsidRPr="00E05C8C">
              <w:fldChar w:fldCharType="separate"/>
            </w:r>
            <w:r w:rsidR="00584F9A">
              <w:rPr>
                <w:noProof/>
              </w:rPr>
              <w:instrText>6</w:instrText>
            </w:r>
            <w:r w:rsidR="00584F9A" w:rsidRPr="00E05C8C">
              <w:rPr>
                <w:noProof/>
              </w:rPr>
              <w:instrText>.</w:instrText>
            </w:r>
            <w:r w:rsidRPr="00E05C8C">
              <w:fldChar w:fldCharType="end"/>
            </w:r>
            <w:r w:rsidRPr="00E05C8C">
              <w:fldChar w:fldCharType="begin"/>
            </w:r>
            <w:r w:rsidRPr="00E05C8C">
              <w:instrText xml:space="preserve"> SEQ Item \* ARABIC \s </w:instrText>
            </w:r>
            <w:r w:rsidRPr="00E05C8C">
              <w:fldChar w:fldCharType="begin"/>
            </w:r>
            <w:r w:rsidRPr="00E05C8C">
              <w:instrText xml:space="preserve"> IF </w:instrText>
            </w:r>
            <w:fldSimple w:instr=" STYLEREF &quot;Heading 6&quot; \l \n ">
              <w:r w:rsidR="00304215">
                <w:rPr>
                  <w:noProof/>
                </w:rPr>
                <w:instrText>0</w:instrText>
              </w:r>
            </w:fldSimple>
            <w:r w:rsidRPr="00E05C8C">
              <w:instrText xml:space="preserve"> = 0 "</w:instrText>
            </w:r>
            <w:r w:rsidRPr="00E05C8C">
              <w:fldChar w:fldCharType="begin"/>
            </w:r>
            <w:r w:rsidRPr="00E05C8C">
              <w:instrText xml:space="preserve"> IF </w:instrText>
            </w:r>
            <w:fldSimple w:instr=" STYLEREF &quot;Heading 1&quot; \l \n ">
              <w:r w:rsidR="00304215">
                <w:rPr>
                  <w:noProof/>
                </w:rPr>
                <w:instrText>6</w:instrText>
              </w:r>
            </w:fldSimple>
            <w:r w:rsidRPr="00E05C8C">
              <w:instrText xml:space="preserve"> = 0 "" "1" </w:instrText>
            </w:r>
            <w:r w:rsidRPr="00E05C8C">
              <w:fldChar w:fldCharType="separate"/>
            </w:r>
            <w:r w:rsidR="00584F9A" w:rsidRPr="00E05C8C">
              <w:rPr>
                <w:noProof/>
              </w:rPr>
              <w:instrText>1</w:instrText>
            </w:r>
            <w:r w:rsidRPr="00E05C8C">
              <w:fldChar w:fldCharType="end"/>
            </w:r>
            <w:r w:rsidRPr="00E05C8C">
              <w:instrText xml:space="preserve">" "6" </w:instrText>
            </w:r>
            <w:r w:rsidRPr="00E05C8C">
              <w:fldChar w:fldCharType="separate"/>
            </w:r>
            <w:r w:rsidR="00584F9A" w:rsidRPr="00E05C8C">
              <w:rPr>
                <w:noProof/>
              </w:rPr>
              <w:instrText>1</w:instrText>
            </w:r>
            <w:r w:rsidRPr="00E05C8C">
              <w:fldChar w:fldCharType="end"/>
            </w:r>
            <w:r w:rsidRPr="00E05C8C">
              <w:instrText xml:space="preserve"> </w:instrText>
            </w:r>
            <w:r w:rsidRPr="00E05C8C">
              <w:fldChar w:fldCharType="separate"/>
            </w:r>
            <w:r w:rsidR="00304215">
              <w:rPr>
                <w:noProof/>
              </w:rPr>
              <w:instrText>3</w:instrText>
            </w:r>
            <w:r w:rsidRPr="00E05C8C">
              <w:fldChar w:fldCharType="end"/>
            </w:r>
            <w:r w:rsidRPr="00E05C8C">
              <w:instrText xml:space="preserve">" "" </w:instrText>
            </w:r>
            <w:r w:rsidRPr="00E05C8C">
              <w:fldChar w:fldCharType="separate"/>
            </w:r>
            <w:bookmarkStart w:id="1117" w:name="_Caption8636"/>
            <w:bookmarkStart w:id="1118" w:name="_Caption8862"/>
            <w:bookmarkStart w:id="1119" w:name="_Caption6946"/>
            <w:bookmarkStart w:id="1120" w:name="_Caption4986"/>
            <w:bookmarkStart w:id="1121" w:name="_Caption3393"/>
            <w:bookmarkStart w:id="1122" w:name="_Caption8970"/>
            <w:bookmarkStart w:id="1123" w:name="_Caption8102"/>
            <w:bookmarkStart w:id="1124" w:name="_Caption6464"/>
            <w:bookmarkStart w:id="1125" w:name="_Caption4234"/>
            <w:bookmarkStart w:id="1126" w:name="_Caption1157"/>
            <w:bookmarkStart w:id="1127" w:name="_Caption5227"/>
            <w:bookmarkStart w:id="1128" w:name="_Caption5853"/>
            <w:bookmarkStart w:id="1129" w:name="_Caption1030"/>
            <w:bookmarkStart w:id="1130" w:name="_Caption3137"/>
            <w:bookmarkStart w:id="1131" w:name="_Caption7542"/>
            <w:bookmarkStart w:id="1132" w:name="_Caption7959"/>
            <w:bookmarkStart w:id="1133" w:name="_Caption6616"/>
            <w:bookmarkStart w:id="1134" w:name="_Caption4385"/>
            <w:bookmarkStart w:id="1135" w:name="_Caption2794"/>
            <w:bookmarkStart w:id="1136" w:name="_Caption6841"/>
            <w:bookmarkStart w:id="1137" w:name="_Caption9130"/>
            <w:bookmarkStart w:id="1138" w:name="_Caption2198"/>
            <w:bookmarkStart w:id="1139" w:name="_Caption6433"/>
            <w:bookmarkStart w:id="1140" w:name="_Caption5603"/>
            <w:bookmarkStart w:id="1141" w:name="_Caption9199"/>
            <w:bookmarkStart w:id="1142" w:name="_Caption3887"/>
            <w:bookmarkStart w:id="1143" w:name="_Caption7986"/>
            <w:bookmarkStart w:id="1144" w:name="_Caption5729"/>
            <w:bookmarkStart w:id="1145" w:name="_Caption3563"/>
            <w:bookmarkStart w:id="1146" w:name="_Toc391972972"/>
            <w:r w:rsidR="00584F9A">
              <w:rPr>
                <w:noProof/>
              </w:rPr>
              <w:t>6</w:t>
            </w:r>
            <w:r w:rsidR="00584F9A" w:rsidRPr="00E05C8C">
              <w:rPr>
                <w:noProof/>
              </w:rPr>
              <w:t>.</w:t>
            </w:r>
            <w:r w:rsidR="00584F9A">
              <w:rPr>
                <w:noProof/>
              </w:rPr>
              <w:t>3</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sidRPr="00E05C8C">
              <w:fldChar w:fldCharType="end"/>
            </w:r>
            <w:r w:rsidRPr="00E05C8C">
              <w:tab/>
            </w:r>
            <w:r>
              <w:t>Telstra’s carrier conditions</w:t>
            </w:r>
            <w:bookmarkEnd w:id="1146"/>
          </w:p>
        </w:tc>
      </w:tr>
      <w:tr w:rsidR="00FF21CA" w:rsidTr="00F376BC">
        <w:tblPrEx>
          <w:tblBorders>
            <w:top w:val="none" w:sz="0" w:space="0" w:color="auto"/>
            <w:left w:val="none" w:sz="0" w:space="0" w:color="auto"/>
            <w:bottom w:val="none" w:sz="0" w:space="0" w:color="auto"/>
            <w:right w:val="none" w:sz="0" w:space="0" w:color="auto"/>
          </w:tblBorders>
          <w:shd w:val="clear" w:color="6F6652" w:fill="F1EFEA"/>
        </w:tblPrEx>
        <w:trPr>
          <w:cantSplit/>
        </w:trPr>
        <w:tc>
          <w:tcPr>
            <w:tcW w:w="7938" w:type="dxa"/>
            <w:shd w:val="clear" w:color="auto" w:fill="E9E8E5" w:themeFill="background2"/>
          </w:tcPr>
          <w:p w:rsidR="00FF21CA" w:rsidRPr="0084285F" w:rsidRDefault="00FF21CA" w:rsidP="00F376BC">
            <w:pPr>
              <w:pStyle w:val="BodyText"/>
            </w:pPr>
            <w:r w:rsidRPr="0084285F">
              <w:t xml:space="preserve">Telstra’s carrier conditions specify that a range of assistance measures need to </w:t>
            </w:r>
            <w:proofErr w:type="gramStart"/>
            <w:r w:rsidRPr="0084285F">
              <w:t>be provided</w:t>
            </w:r>
            <w:proofErr w:type="gramEnd"/>
            <w:r w:rsidRPr="0084285F">
              <w:t xml:space="preserve"> to low income and disadvantaged households to improve the affordability of telecommunication services. Examples of the assistance measures included in the </w:t>
            </w:r>
            <w:r w:rsidRPr="0084285F">
              <w:rPr>
                <w:i/>
              </w:rPr>
              <w:t>Access for Everyone</w:t>
            </w:r>
            <w:r w:rsidRPr="0084285F">
              <w:t xml:space="preserve"> program </w:t>
            </w:r>
            <w:proofErr w:type="gramStart"/>
            <w:r w:rsidRPr="0084285F">
              <w:t>are shown</w:t>
            </w:r>
            <w:proofErr w:type="gramEnd"/>
            <w:r w:rsidRPr="0084285F">
              <w:t xml:space="preserve"> below. </w:t>
            </w:r>
          </w:p>
          <w:p w:rsidR="00FF21CA" w:rsidRPr="005C7B71" w:rsidRDefault="00FF21CA" w:rsidP="005C7B71">
            <w:pPr>
              <w:pStyle w:val="Heading4"/>
              <w:spacing w:before="240"/>
              <w:rPr>
                <w:color w:val="000000" w:themeColor="text1"/>
              </w:rPr>
            </w:pPr>
            <w:r w:rsidRPr="005C7B71">
              <w:rPr>
                <w:color w:val="000000" w:themeColor="text1"/>
              </w:rPr>
              <w:t xml:space="preserve">Telstra Bill Assistance Program </w:t>
            </w:r>
          </w:p>
          <w:p w:rsidR="00FF21CA" w:rsidRPr="0084285F" w:rsidRDefault="00FF21CA" w:rsidP="00F376BC">
            <w:pPr>
              <w:pStyle w:val="BodyText"/>
              <w:spacing w:before="70"/>
            </w:pPr>
            <w:r w:rsidRPr="0084285F">
              <w:t xml:space="preserve">The Telstra Bill Assistance Program </w:t>
            </w:r>
            <w:proofErr w:type="gramStart"/>
            <w:r w:rsidRPr="0084285F">
              <w:t>is aimed</w:t>
            </w:r>
            <w:proofErr w:type="gramEnd"/>
            <w:r w:rsidRPr="0084285F">
              <w:t xml:space="preserve"> at assisting people who are experiencing financial difficulty and are having a problem paying their Telstra bill. Households in this position may be able to receive Telstra Bill Assistance Certificates from community agencies such as the Salvation Army, The Smith Family, </w:t>
            </w:r>
            <w:proofErr w:type="spellStart"/>
            <w:r w:rsidRPr="0084285F">
              <w:t>Anglicare</w:t>
            </w:r>
            <w:proofErr w:type="spellEnd"/>
            <w:r w:rsidRPr="0084285F">
              <w:t xml:space="preserve"> and St Vincent de Paul Society. </w:t>
            </w:r>
          </w:p>
          <w:p w:rsidR="00FF21CA" w:rsidRPr="005C7B71" w:rsidRDefault="00FF21CA" w:rsidP="005C7B71">
            <w:pPr>
              <w:pStyle w:val="Heading4"/>
              <w:spacing w:before="240"/>
              <w:rPr>
                <w:color w:val="000000" w:themeColor="text1"/>
              </w:rPr>
            </w:pPr>
            <w:proofErr w:type="spellStart"/>
            <w:r w:rsidRPr="005C7B71">
              <w:rPr>
                <w:color w:val="000000" w:themeColor="text1"/>
              </w:rPr>
              <w:t>InContact</w:t>
            </w:r>
            <w:proofErr w:type="spellEnd"/>
            <w:r w:rsidRPr="005C7B71">
              <w:rPr>
                <w:color w:val="000000" w:themeColor="text1"/>
              </w:rPr>
              <w:t xml:space="preserve"> Service</w:t>
            </w:r>
          </w:p>
          <w:p w:rsidR="00FF21CA" w:rsidRPr="0084285F" w:rsidRDefault="00FF21CA" w:rsidP="00F376BC">
            <w:pPr>
              <w:pStyle w:val="BodyText"/>
              <w:spacing w:before="70"/>
            </w:pPr>
            <w:r w:rsidRPr="0084285F">
              <w:t xml:space="preserve">The </w:t>
            </w:r>
            <w:proofErr w:type="spellStart"/>
            <w:r w:rsidRPr="0084285F">
              <w:t>InContact</w:t>
            </w:r>
            <w:proofErr w:type="spellEnd"/>
            <w:r w:rsidRPr="0084285F">
              <w:t xml:space="preserve"> Service allows eligible customers to receive all incoming calls and limit calls that </w:t>
            </w:r>
            <w:proofErr w:type="gramStart"/>
            <w:r w:rsidRPr="0084285F">
              <w:t>can be made</w:t>
            </w:r>
            <w:proofErr w:type="gramEnd"/>
            <w:r w:rsidRPr="0084285F">
              <w:t>.</w:t>
            </w:r>
          </w:p>
          <w:p w:rsidR="00FF21CA" w:rsidRPr="005C7B71" w:rsidRDefault="00FF21CA" w:rsidP="005C7B71">
            <w:pPr>
              <w:pStyle w:val="Heading4"/>
              <w:spacing w:before="240"/>
              <w:rPr>
                <w:color w:val="000000" w:themeColor="text1"/>
              </w:rPr>
            </w:pPr>
            <w:r w:rsidRPr="005C7B71">
              <w:rPr>
                <w:color w:val="000000" w:themeColor="text1"/>
              </w:rPr>
              <w:t xml:space="preserve">Financial Hardship Policy </w:t>
            </w:r>
          </w:p>
          <w:p w:rsidR="00FF21CA" w:rsidRPr="0084285F" w:rsidRDefault="00FF21CA" w:rsidP="00F376BC">
            <w:pPr>
              <w:pStyle w:val="BodyText"/>
              <w:spacing w:before="70"/>
              <w:rPr>
                <w:lang w:val="en"/>
              </w:rPr>
            </w:pPr>
            <w:r w:rsidRPr="0084285F">
              <w:rPr>
                <w:lang w:val="en"/>
              </w:rPr>
              <w:t xml:space="preserve">Telstra has a Financial Hardship Policy to assist individuals and households that face extenuating circumstances that impact their ability to meet their financial commitments. </w:t>
            </w:r>
          </w:p>
          <w:p w:rsidR="00FF21CA" w:rsidRPr="005C7B71" w:rsidRDefault="00FF21CA" w:rsidP="005C7B71">
            <w:pPr>
              <w:pStyle w:val="Heading4"/>
              <w:spacing w:before="240"/>
              <w:rPr>
                <w:color w:val="000000" w:themeColor="text1"/>
              </w:rPr>
            </w:pPr>
            <w:r w:rsidRPr="005C7B71">
              <w:rPr>
                <w:color w:val="000000" w:themeColor="text1"/>
              </w:rPr>
              <w:t xml:space="preserve">Pensioner Discount </w:t>
            </w:r>
          </w:p>
          <w:p w:rsidR="00FF21CA" w:rsidRPr="0084285F" w:rsidRDefault="00FF21CA" w:rsidP="00F376BC">
            <w:pPr>
              <w:pStyle w:val="BodyText"/>
              <w:spacing w:before="70"/>
              <w:rPr>
                <w:lang w:val="en"/>
              </w:rPr>
            </w:pPr>
            <w:r w:rsidRPr="0084285F">
              <w:rPr>
                <w:lang w:val="en"/>
              </w:rPr>
              <w:t>The Telstra Pensioner Discount provides a discount on the price of phone calls for eligible pensioner customers, free access to Call Control</w:t>
            </w:r>
            <w:r w:rsidRPr="0084285F">
              <w:rPr>
                <w:rStyle w:val="FootnoteReference"/>
                <w:lang w:val="en"/>
              </w:rPr>
              <w:footnoteReference w:id="44"/>
            </w:r>
            <w:r w:rsidRPr="0084285F">
              <w:rPr>
                <w:lang w:val="en"/>
              </w:rPr>
              <w:t xml:space="preserve"> and a discount on connection charges for a new home telephone service.</w:t>
            </w:r>
          </w:p>
          <w:p w:rsidR="00FF21CA" w:rsidRPr="005C7B71" w:rsidRDefault="00FF21CA" w:rsidP="005C7B71">
            <w:pPr>
              <w:pStyle w:val="Heading4"/>
              <w:spacing w:before="240"/>
              <w:rPr>
                <w:color w:val="000000" w:themeColor="text1"/>
                <w:lang w:val="en"/>
              </w:rPr>
            </w:pPr>
            <w:r w:rsidRPr="005C7B71">
              <w:rPr>
                <w:color w:val="000000" w:themeColor="text1"/>
                <w:lang w:val="en"/>
              </w:rPr>
              <w:t xml:space="preserve">Centre Pay  </w:t>
            </w:r>
          </w:p>
          <w:p w:rsidR="00FF21CA" w:rsidRPr="00BF2F67" w:rsidRDefault="00FF21CA" w:rsidP="00F376BC">
            <w:pPr>
              <w:pStyle w:val="BodyText"/>
            </w:pPr>
            <w:r w:rsidRPr="0084285F">
              <w:rPr>
                <w:lang w:val="en"/>
              </w:rPr>
              <w:t xml:space="preserve">Eligible customers can nominate an amount to be regularly deducted from their </w:t>
            </w:r>
            <w:proofErr w:type="spellStart"/>
            <w:r w:rsidRPr="0084285F">
              <w:rPr>
                <w:lang w:val="en"/>
              </w:rPr>
              <w:t>Centrelink</w:t>
            </w:r>
            <w:proofErr w:type="spellEnd"/>
            <w:r w:rsidRPr="0084285F">
              <w:rPr>
                <w:lang w:val="en"/>
              </w:rPr>
              <w:t xml:space="preserve"> payment (minimum $10 a fortnight) to go towards the cost of telecommunications services.</w:t>
            </w:r>
          </w:p>
        </w:tc>
      </w:tr>
      <w:tr w:rsidR="00FF21CA" w:rsidTr="00F376BC">
        <w:tblPrEx>
          <w:tblBorders>
            <w:top w:val="none" w:sz="0" w:space="0" w:color="auto"/>
            <w:left w:val="none" w:sz="0" w:space="0" w:color="auto"/>
            <w:bottom w:val="none" w:sz="0" w:space="0" w:color="auto"/>
            <w:right w:val="none" w:sz="0" w:space="0" w:color="auto"/>
          </w:tblBorders>
          <w:shd w:val="clear" w:color="6F6652" w:fill="F1EFEA"/>
        </w:tblPrEx>
        <w:trPr>
          <w:cantSplit/>
          <w:trHeight w:hRule="exact" w:val="142"/>
        </w:trPr>
        <w:tc>
          <w:tcPr>
            <w:tcW w:w="7938" w:type="dxa"/>
            <w:tcBorders>
              <w:bottom w:val="single" w:sz="6" w:space="0" w:color="9B917E" w:themeColor="accent4"/>
            </w:tcBorders>
            <w:shd w:val="clear" w:color="auto" w:fill="E9E8E5" w:themeFill="background2"/>
          </w:tcPr>
          <w:p w:rsidR="00FF21CA" w:rsidRDefault="00FF21CA" w:rsidP="00F376BC"/>
        </w:tc>
      </w:tr>
      <w:tr w:rsidR="00FF21CA" w:rsidTr="00F376BC">
        <w:tblPrEx>
          <w:tblBorders>
            <w:top w:val="none" w:sz="0" w:space="0" w:color="auto"/>
            <w:left w:val="none" w:sz="0" w:space="0" w:color="auto"/>
            <w:bottom w:val="none" w:sz="0" w:space="0" w:color="auto"/>
            <w:right w:val="none" w:sz="0" w:space="0" w:color="auto"/>
          </w:tblBorders>
          <w:shd w:val="clear" w:color="6F6652" w:fill="F1EFEA"/>
        </w:tblPrEx>
        <w:trPr>
          <w:cantSplit/>
          <w:trHeight w:hRule="exact" w:val="198"/>
        </w:trPr>
        <w:tc>
          <w:tcPr>
            <w:tcW w:w="7938" w:type="dxa"/>
            <w:tcBorders>
              <w:top w:val="single" w:sz="6" w:space="0" w:color="9B917E" w:themeColor="accent4"/>
            </w:tcBorders>
            <w:shd w:val="clear" w:color="6F6652" w:fill="auto"/>
          </w:tcPr>
          <w:p w:rsidR="00FF21CA" w:rsidRDefault="00FF21CA" w:rsidP="00F376BC"/>
        </w:tc>
      </w:tr>
    </w:tbl>
    <w:p w:rsidR="00FF21CA" w:rsidRPr="00D129D4" w:rsidRDefault="00FF21CA" w:rsidP="00FF21CA">
      <w:pPr>
        <w:pStyle w:val="BodyText"/>
      </w:pPr>
      <w:r>
        <w:lastRenderedPageBreak/>
        <w:t xml:space="preserve">We consider that there is no need </w:t>
      </w:r>
      <w:proofErr w:type="gramStart"/>
      <w:r w:rsidRPr="00D129D4">
        <w:t>to specifically subsidise</w:t>
      </w:r>
      <w:proofErr w:type="gramEnd"/>
      <w:r w:rsidRPr="00D129D4">
        <w:t xml:space="preserve"> low-income households for telecommunications services outside of the broader welfare system, if costs are similar across all low-income households. Costs could be different if low-income households in different areas have access to different prices for telecommunications services — in this case social security payments would not lead to the same minimum standard of living</w:t>
      </w:r>
      <w:r>
        <w:t xml:space="preserve"> and there might be a rationale for differentiated assistance</w:t>
      </w:r>
      <w:r w:rsidRPr="00D129D4">
        <w:t>.</w:t>
      </w:r>
    </w:p>
    <w:p w:rsidR="00FF21CA" w:rsidRDefault="00FF21CA" w:rsidP="00FF21CA">
      <w:pPr>
        <w:pStyle w:val="BodyText"/>
      </w:pPr>
      <w:r w:rsidRPr="00D129D4">
        <w:t xml:space="preserve">As discussed above, we do not anticipate that prices for Telstra’s services would likely differ across Australia. </w:t>
      </w:r>
      <w:r>
        <w:t>If regional pricing did eventuate, then the Government could respond with targeted subsidies to low-income households in regional areas where prices were high.</w:t>
      </w:r>
    </w:p>
    <w:p w:rsidR="00FF21CA" w:rsidRDefault="00FF21CA" w:rsidP="00FF21CA">
      <w:pPr>
        <w:pStyle w:val="BodyText"/>
      </w:pPr>
      <w:r>
        <w:t>T</w:t>
      </w:r>
      <w:r w:rsidRPr="00D129D4">
        <w:t xml:space="preserve">here may be some differences for low-income </w:t>
      </w:r>
      <w:proofErr w:type="gramStart"/>
      <w:r w:rsidRPr="00D129D4">
        <w:t>households</w:t>
      </w:r>
      <w:proofErr w:type="gramEnd"/>
      <w:r w:rsidRPr="00D129D4">
        <w:t xml:space="preserve"> </w:t>
      </w:r>
      <w:r>
        <w:t xml:space="preserve">telecommunications prices </w:t>
      </w:r>
      <w:r w:rsidRPr="00D129D4">
        <w:t xml:space="preserve">because of the ability to substitute to mobile. Consultations have suggested that </w:t>
      </w:r>
      <w:r>
        <w:t>some</w:t>
      </w:r>
      <w:r w:rsidRPr="00D129D4">
        <w:t xml:space="preserve"> mobile only customers are low-income households — mobile offers a cheaper option for some households (particularly in receiving calls) and </w:t>
      </w:r>
      <w:proofErr w:type="gramStart"/>
      <w:r w:rsidRPr="00D129D4">
        <w:t>can be combined</w:t>
      </w:r>
      <w:proofErr w:type="gramEnd"/>
      <w:r w:rsidRPr="00D129D4">
        <w:t xml:space="preserve"> with pay-as-you-go to control expenditure. </w:t>
      </w:r>
      <w:r>
        <w:t xml:space="preserve">The mobile only impact is likely to be limited and expenditure data suggests that fixed line use is more similar across </w:t>
      </w:r>
      <w:proofErr w:type="gramStart"/>
      <w:r>
        <w:t>households</w:t>
      </w:r>
      <w:proofErr w:type="gramEnd"/>
      <w:r>
        <w:t xml:space="preserve"> income levels than is mobile use (table </w:t>
      </w:r>
      <w:fldSimple w:instr=" REF _Caption8048 ">
        <w:r w:rsidR="00304215">
          <w:rPr>
            <w:noProof/>
          </w:rPr>
          <w:t>6</w:t>
        </w:r>
        <w:r w:rsidR="00304215" w:rsidRPr="00237123">
          <w:rPr>
            <w:noProof/>
          </w:rPr>
          <w:t>.</w:t>
        </w:r>
        <w:r w:rsidR="00304215">
          <w:rPr>
            <w:noProof/>
          </w:rPr>
          <w:t>4</w:t>
        </w:r>
      </w:fldSimple>
      <w:r>
        <w:t>).</w:t>
      </w:r>
    </w:p>
    <w:p w:rsidR="00FF21CA" w:rsidRPr="00237123" w:rsidRDefault="00FF21CA" w:rsidP="00FF21CA">
      <w:pPr>
        <w:pStyle w:val="Caption"/>
      </w:pPr>
      <w:r w:rsidRPr="00237123">
        <w:fldChar w:fldCharType="begin"/>
      </w:r>
      <w:r w:rsidRPr="00237123">
        <w:instrText xml:space="preserve"> IF 1 = 1 "</w:instrText>
      </w:r>
      <w:r w:rsidRPr="00237123">
        <w:fldChar w:fldCharType="begin"/>
      </w:r>
      <w:r w:rsidRPr="00237123">
        <w:instrText xml:space="preserve"> IF </w:instrText>
      </w:r>
      <w:fldSimple w:instr=" STYLEREF &quot;Heading 6&quot; \l \n ">
        <w:r w:rsidR="00304215">
          <w:rPr>
            <w:noProof/>
          </w:rPr>
          <w:instrText>0</w:instrText>
        </w:r>
      </w:fldSimple>
      <w:r w:rsidRPr="00237123">
        <w:instrText xml:space="preserve"> = 0 "</w:instrText>
      </w:r>
      <w:r w:rsidRPr="00237123">
        <w:fldChar w:fldCharType="begin"/>
      </w:r>
      <w:r w:rsidRPr="00237123">
        <w:instrText xml:space="preserve"> IF </w:instrText>
      </w:r>
      <w:fldSimple w:instr=" STYLEREF &quot;Heading 1&quot; \l \n ">
        <w:r w:rsidR="00304215">
          <w:rPr>
            <w:noProof/>
          </w:rPr>
          <w:instrText>6</w:instrText>
        </w:r>
      </w:fldSimple>
      <w:r w:rsidRPr="00237123">
        <w:instrText xml:space="preserve"> = 0 "" "</w:instrText>
      </w:r>
      <w:fldSimple w:instr=" STYLEREF &quot;Heading 1&quot; \l \n ">
        <w:r w:rsidR="00304215">
          <w:rPr>
            <w:noProof/>
          </w:rPr>
          <w:instrText>6</w:instrText>
        </w:r>
      </w:fldSimple>
      <w:r w:rsidRPr="00237123">
        <w:instrText xml:space="preserve">." </w:instrText>
      </w:r>
      <w:r w:rsidRPr="00237123">
        <w:fldChar w:fldCharType="separate"/>
      </w:r>
      <w:r w:rsidR="00304215">
        <w:rPr>
          <w:noProof/>
        </w:rPr>
        <w:instrText>6</w:instrText>
      </w:r>
      <w:r w:rsidR="00304215" w:rsidRPr="00237123">
        <w:rPr>
          <w:noProof/>
        </w:rPr>
        <w:instrText>.</w:instrText>
      </w:r>
      <w:r w:rsidRPr="00237123">
        <w:fldChar w:fldCharType="end"/>
      </w:r>
      <w:r w:rsidRPr="00237123">
        <w:instrText>" "</w:instrText>
      </w:r>
      <w:fldSimple w:instr=" STYLEREF &quot;Heading 6&quot; \l \n ">
        <w:r w:rsidRPr="00237123">
          <w:instrText>B</w:instrText>
        </w:r>
      </w:fldSimple>
      <w:r w:rsidRPr="00237123">
        <w:instrText xml:space="preserve">." </w:instrText>
      </w:r>
      <w:r w:rsidRPr="00237123">
        <w:fldChar w:fldCharType="separate"/>
      </w:r>
      <w:r w:rsidR="00584F9A">
        <w:rPr>
          <w:noProof/>
        </w:rPr>
        <w:instrText>6</w:instrText>
      </w:r>
      <w:r w:rsidR="00584F9A" w:rsidRPr="00237123">
        <w:rPr>
          <w:noProof/>
        </w:rPr>
        <w:instrText>.</w:instrText>
      </w:r>
      <w:r w:rsidRPr="00237123">
        <w:fldChar w:fldCharType="end"/>
      </w:r>
      <w:r w:rsidRPr="00237123">
        <w:fldChar w:fldCharType="begin"/>
      </w:r>
      <w:r w:rsidRPr="00237123">
        <w:instrText xml:space="preserve"> SEQ Item \* ARABIC \s </w:instrText>
      </w:r>
      <w:r w:rsidRPr="00237123">
        <w:fldChar w:fldCharType="begin"/>
      </w:r>
      <w:r w:rsidRPr="00237123">
        <w:instrText xml:space="preserve"> IF </w:instrText>
      </w:r>
      <w:fldSimple w:instr=" STYLEREF &quot;Heading 6&quot; \l \n ">
        <w:r w:rsidR="00304215">
          <w:rPr>
            <w:noProof/>
          </w:rPr>
          <w:instrText>0</w:instrText>
        </w:r>
      </w:fldSimple>
      <w:r w:rsidRPr="00237123">
        <w:instrText xml:space="preserve"> = 0 "</w:instrText>
      </w:r>
      <w:r w:rsidRPr="00237123">
        <w:fldChar w:fldCharType="begin"/>
      </w:r>
      <w:r w:rsidRPr="00237123">
        <w:instrText xml:space="preserve"> IF </w:instrText>
      </w:r>
      <w:fldSimple w:instr=" STYLEREF &quot;Heading 1&quot; \l \n ">
        <w:r w:rsidR="00304215">
          <w:rPr>
            <w:noProof/>
          </w:rPr>
          <w:instrText>6</w:instrText>
        </w:r>
      </w:fldSimple>
      <w:r w:rsidRPr="00237123">
        <w:instrText xml:space="preserve"> = 0 "" "1" </w:instrText>
      </w:r>
      <w:r w:rsidRPr="00237123">
        <w:fldChar w:fldCharType="separate"/>
      </w:r>
      <w:r w:rsidR="00584F9A" w:rsidRPr="00237123">
        <w:rPr>
          <w:noProof/>
        </w:rPr>
        <w:instrText>1</w:instrText>
      </w:r>
      <w:r w:rsidRPr="00237123">
        <w:fldChar w:fldCharType="end"/>
      </w:r>
      <w:r w:rsidRPr="00237123">
        <w:instrText xml:space="preserve">" "6" </w:instrText>
      </w:r>
      <w:r w:rsidRPr="00237123">
        <w:fldChar w:fldCharType="separate"/>
      </w:r>
      <w:r w:rsidR="00584F9A" w:rsidRPr="00237123">
        <w:rPr>
          <w:noProof/>
        </w:rPr>
        <w:instrText>1</w:instrText>
      </w:r>
      <w:r w:rsidRPr="00237123">
        <w:fldChar w:fldCharType="end"/>
      </w:r>
      <w:r w:rsidRPr="00237123">
        <w:instrText xml:space="preserve"> </w:instrText>
      </w:r>
      <w:r w:rsidRPr="00237123">
        <w:fldChar w:fldCharType="separate"/>
      </w:r>
      <w:r w:rsidR="00304215">
        <w:rPr>
          <w:noProof/>
        </w:rPr>
        <w:instrText>4</w:instrText>
      </w:r>
      <w:r w:rsidRPr="00237123">
        <w:fldChar w:fldCharType="end"/>
      </w:r>
      <w:r w:rsidRPr="00237123">
        <w:instrText xml:space="preserve">" "" </w:instrText>
      </w:r>
      <w:r w:rsidRPr="00237123">
        <w:fldChar w:fldCharType="separate"/>
      </w:r>
      <w:bookmarkStart w:id="1147" w:name="_Caption8329"/>
      <w:bookmarkStart w:id="1148" w:name="_Caption3264"/>
      <w:bookmarkStart w:id="1149" w:name="_Caption7664"/>
      <w:bookmarkStart w:id="1150" w:name="_Caption1940"/>
      <w:bookmarkStart w:id="1151" w:name="_Caption5139"/>
      <w:bookmarkStart w:id="1152" w:name="_Caption8580"/>
      <w:bookmarkStart w:id="1153" w:name="_Caption8393"/>
      <w:bookmarkStart w:id="1154" w:name="_Caption1685"/>
      <w:bookmarkStart w:id="1155" w:name="_Caption7045"/>
      <w:bookmarkStart w:id="1156" w:name="_Caption0144"/>
      <w:bookmarkStart w:id="1157" w:name="_Caption2332"/>
      <w:bookmarkStart w:id="1158" w:name="_Caption6573"/>
      <w:bookmarkStart w:id="1159" w:name="_Caption7129"/>
      <w:bookmarkStart w:id="1160" w:name="_Caption8578"/>
      <w:bookmarkStart w:id="1161" w:name="_Caption8469"/>
      <w:bookmarkStart w:id="1162" w:name="_Caption2062"/>
      <w:bookmarkStart w:id="1163" w:name="_Caption5417"/>
      <w:bookmarkStart w:id="1164" w:name="_Caption9976"/>
      <w:bookmarkStart w:id="1165" w:name="_Caption4390"/>
      <w:bookmarkStart w:id="1166" w:name="_Caption0221"/>
      <w:bookmarkStart w:id="1167" w:name="_Caption9692"/>
      <w:bookmarkStart w:id="1168" w:name="_Caption3406"/>
      <w:bookmarkStart w:id="1169" w:name="_Caption3923"/>
      <w:bookmarkStart w:id="1170" w:name="_Caption9047"/>
      <w:bookmarkStart w:id="1171" w:name="_Caption3924"/>
      <w:bookmarkStart w:id="1172" w:name="_Caption2873"/>
      <w:bookmarkStart w:id="1173" w:name="_Caption8236"/>
      <w:bookmarkStart w:id="1174" w:name="_Caption5427"/>
      <w:bookmarkStart w:id="1175" w:name="_Caption8048"/>
      <w:bookmarkStart w:id="1176" w:name="_Caption7512"/>
      <w:bookmarkStart w:id="1177" w:name="_Caption7820"/>
      <w:bookmarkStart w:id="1178" w:name="_Caption7267"/>
      <w:bookmarkStart w:id="1179" w:name="_Caption5494"/>
      <w:bookmarkStart w:id="1180" w:name="_Caption0266"/>
      <w:bookmarkStart w:id="1181" w:name="_Caption2981"/>
      <w:bookmarkStart w:id="1182" w:name="_Caption4444"/>
      <w:bookmarkStart w:id="1183" w:name="_Caption8897"/>
      <w:bookmarkStart w:id="1184" w:name="_Caption6206"/>
      <w:bookmarkStart w:id="1185" w:name="_Caption0257"/>
      <w:bookmarkStart w:id="1186" w:name="_Caption8321"/>
      <w:bookmarkStart w:id="1187" w:name="_Caption1858"/>
      <w:bookmarkStart w:id="1188" w:name="_Caption4080"/>
      <w:bookmarkStart w:id="1189" w:name="_Caption8426"/>
      <w:bookmarkStart w:id="1190" w:name="_Caption7253"/>
      <w:bookmarkStart w:id="1191" w:name="_Caption7651"/>
      <w:bookmarkStart w:id="1192" w:name="_Caption6834"/>
      <w:bookmarkStart w:id="1193" w:name="_Toc383082101"/>
      <w:bookmarkStart w:id="1194" w:name="_Toc384653380"/>
      <w:bookmarkStart w:id="1195" w:name="_Toc391972973"/>
      <w:r w:rsidR="00584F9A">
        <w:rPr>
          <w:noProof/>
        </w:rPr>
        <w:t>6</w:t>
      </w:r>
      <w:r w:rsidR="00584F9A" w:rsidRPr="00237123">
        <w:rPr>
          <w:noProof/>
        </w:rPr>
        <w:t>.</w:t>
      </w:r>
      <w:r w:rsidR="00584F9A">
        <w:rPr>
          <w:noProof/>
        </w:rPr>
        <w:t>4</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r w:rsidRPr="00237123">
        <w:fldChar w:fldCharType="end"/>
      </w:r>
      <w:r w:rsidRPr="00237123">
        <w:tab/>
        <w:t xml:space="preserve">Differences in telecommunication use by </w:t>
      </w:r>
      <w:bookmarkEnd w:id="1193"/>
      <w:bookmarkEnd w:id="1194"/>
      <w:r>
        <w:t>household income</w:t>
      </w:r>
      <w:bookmarkEnd w:id="1195"/>
      <w:r w:rsidRPr="00237123">
        <w:t xml:space="preserve"> </w:t>
      </w:r>
    </w:p>
    <w:tbl>
      <w:tblPr>
        <w:tblW w:w="7938" w:type="dxa"/>
        <w:tblInd w:w="57" w:type="dxa"/>
        <w:tblLayout w:type="fixed"/>
        <w:tblLook w:val="0000" w:firstRow="0" w:lastRow="0" w:firstColumn="0" w:lastColumn="0" w:noHBand="0" w:noVBand="0"/>
      </w:tblPr>
      <w:tblGrid>
        <w:gridCol w:w="2414"/>
        <w:gridCol w:w="918"/>
        <w:gridCol w:w="919"/>
        <w:gridCol w:w="919"/>
        <w:gridCol w:w="919"/>
        <w:gridCol w:w="919"/>
        <w:gridCol w:w="930"/>
      </w:tblGrid>
      <w:tr w:rsidR="00FF21CA" w:rsidRPr="005C7B71" w:rsidTr="001C172D">
        <w:tc>
          <w:tcPr>
            <w:tcW w:w="2694" w:type="dxa"/>
            <w:shd w:val="clear" w:color="auto" w:fill="6F6652" w:themeFill="accent5"/>
            <w:tcMar>
              <w:left w:w="57" w:type="dxa"/>
              <w:right w:w="57" w:type="dxa"/>
            </w:tcMar>
          </w:tcPr>
          <w:p w:rsidR="00FF21CA" w:rsidRPr="005C7B71" w:rsidRDefault="00FF21CA" w:rsidP="005C7B71">
            <w:pPr>
              <w:pStyle w:val="TableDataColumnHeading"/>
              <w:jc w:val="center"/>
              <w:rPr>
                <w:szCs w:val="16"/>
              </w:rPr>
            </w:pPr>
          </w:p>
        </w:tc>
        <w:tc>
          <w:tcPr>
            <w:tcW w:w="6095" w:type="dxa"/>
            <w:gridSpan w:val="6"/>
            <w:shd w:val="clear" w:color="auto" w:fill="6F6652" w:themeFill="accent5"/>
            <w:tcMar>
              <w:left w:w="57" w:type="dxa"/>
              <w:right w:w="57" w:type="dxa"/>
            </w:tcMar>
            <w:vAlign w:val="center"/>
          </w:tcPr>
          <w:p w:rsidR="00FF21CA" w:rsidRPr="005C7B71" w:rsidRDefault="00FF21CA" w:rsidP="005C7B71">
            <w:pPr>
              <w:pStyle w:val="TableDataColumnHeading"/>
              <w:jc w:val="center"/>
              <w:rPr>
                <w:rFonts w:cs="Arial"/>
                <w:bCs/>
                <w:color w:val="FFFFFF" w:themeColor="background1"/>
                <w:szCs w:val="16"/>
              </w:rPr>
            </w:pPr>
            <w:r w:rsidRPr="005C7B71">
              <w:rPr>
                <w:rFonts w:cs="Arial"/>
                <w:bCs/>
                <w:color w:val="FFFFFF" w:themeColor="background1"/>
                <w:szCs w:val="16"/>
              </w:rPr>
              <w:t>Household income quintile</w:t>
            </w:r>
          </w:p>
        </w:tc>
      </w:tr>
      <w:tr w:rsidR="005C7B71" w:rsidRPr="005C7B71" w:rsidTr="001C172D">
        <w:trPr>
          <w:trHeight w:hRule="exact" w:val="340"/>
        </w:trPr>
        <w:tc>
          <w:tcPr>
            <w:tcW w:w="2694" w:type="dxa"/>
            <w:shd w:val="clear" w:color="auto" w:fill="6F6652" w:themeFill="accent5"/>
            <w:tcMar>
              <w:left w:w="57" w:type="dxa"/>
              <w:right w:w="57" w:type="dxa"/>
            </w:tcMar>
            <w:vAlign w:val="center"/>
          </w:tcPr>
          <w:p w:rsidR="00FF21CA" w:rsidRPr="005C7B71" w:rsidRDefault="00FF21CA" w:rsidP="005C7B71">
            <w:pPr>
              <w:pStyle w:val="TableUnit"/>
              <w:rPr>
                <w:color w:val="FFFFFF" w:themeColor="background1"/>
                <w:szCs w:val="16"/>
              </w:rPr>
            </w:pPr>
          </w:p>
        </w:tc>
        <w:tc>
          <w:tcPr>
            <w:tcW w:w="1015" w:type="dxa"/>
            <w:shd w:val="clear" w:color="auto" w:fill="6F6652" w:themeFill="accent5"/>
            <w:tcMar>
              <w:left w:w="57" w:type="dxa"/>
              <w:right w:w="57" w:type="dxa"/>
            </w:tcMar>
            <w:vAlign w:val="center"/>
          </w:tcPr>
          <w:p w:rsidR="00FF21CA" w:rsidRPr="005C7B71" w:rsidRDefault="00FF21CA" w:rsidP="005C7B71">
            <w:pPr>
              <w:pStyle w:val="TableUnit"/>
              <w:rPr>
                <w:bCs/>
                <w:color w:val="FFFFFF" w:themeColor="background1"/>
                <w:szCs w:val="16"/>
              </w:rPr>
            </w:pPr>
            <w:r w:rsidRPr="005C7B71">
              <w:rPr>
                <w:bCs/>
                <w:color w:val="FFFFFF" w:themeColor="background1"/>
                <w:szCs w:val="16"/>
              </w:rPr>
              <w:t>Lowest</w:t>
            </w:r>
          </w:p>
        </w:tc>
        <w:tc>
          <w:tcPr>
            <w:tcW w:w="1016" w:type="dxa"/>
            <w:shd w:val="clear" w:color="auto" w:fill="6F6652" w:themeFill="accent5"/>
            <w:tcMar>
              <w:left w:w="57" w:type="dxa"/>
              <w:right w:w="57" w:type="dxa"/>
            </w:tcMar>
            <w:vAlign w:val="center"/>
          </w:tcPr>
          <w:p w:rsidR="00FF21CA" w:rsidRPr="005C7B71" w:rsidRDefault="00FF21CA" w:rsidP="005C7B71">
            <w:pPr>
              <w:pStyle w:val="TableUnit"/>
              <w:rPr>
                <w:bCs/>
                <w:color w:val="FFFFFF" w:themeColor="background1"/>
                <w:szCs w:val="16"/>
              </w:rPr>
            </w:pPr>
            <w:r w:rsidRPr="005C7B71">
              <w:rPr>
                <w:bCs/>
                <w:color w:val="FFFFFF" w:themeColor="background1"/>
                <w:szCs w:val="16"/>
              </w:rPr>
              <w:t>Second</w:t>
            </w:r>
          </w:p>
        </w:tc>
        <w:tc>
          <w:tcPr>
            <w:tcW w:w="1016" w:type="dxa"/>
            <w:shd w:val="clear" w:color="auto" w:fill="6F6652" w:themeFill="accent5"/>
            <w:tcMar>
              <w:left w:w="57" w:type="dxa"/>
              <w:right w:w="57" w:type="dxa"/>
            </w:tcMar>
            <w:vAlign w:val="center"/>
          </w:tcPr>
          <w:p w:rsidR="00FF21CA" w:rsidRPr="005C7B71" w:rsidRDefault="00FF21CA" w:rsidP="005C7B71">
            <w:pPr>
              <w:pStyle w:val="TableUnit"/>
              <w:rPr>
                <w:bCs/>
                <w:color w:val="FFFFFF" w:themeColor="background1"/>
                <w:szCs w:val="16"/>
              </w:rPr>
            </w:pPr>
            <w:r w:rsidRPr="005C7B71">
              <w:rPr>
                <w:bCs/>
                <w:color w:val="FFFFFF" w:themeColor="background1"/>
                <w:szCs w:val="16"/>
              </w:rPr>
              <w:t>Third</w:t>
            </w:r>
          </w:p>
        </w:tc>
        <w:tc>
          <w:tcPr>
            <w:tcW w:w="1016" w:type="dxa"/>
            <w:shd w:val="clear" w:color="auto" w:fill="6F6652" w:themeFill="accent5"/>
            <w:tcMar>
              <w:left w:w="57" w:type="dxa"/>
              <w:right w:w="57" w:type="dxa"/>
            </w:tcMar>
            <w:vAlign w:val="center"/>
          </w:tcPr>
          <w:p w:rsidR="00FF21CA" w:rsidRPr="005C7B71" w:rsidRDefault="00FF21CA" w:rsidP="005C7B71">
            <w:pPr>
              <w:pStyle w:val="TableUnit"/>
              <w:rPr>
                <w:bCs/>
                <w:color w:val="FFFFFF" w:themeColor="background1"/>
                <w:szCs w:val="16"/>
              </w:rPr>
            </w:pPr>
            <w:r w:rsidRPr="005C7B71">
              <w:rPr>
                <w:bCs/>
                <w:color w:val="FFFFFF" w:themeColor="background1"/>
                <w:szCs w:val="16"/>
              </w:rPr>
              <w:t>Fourth</w:t>
            </w:r>
          </w:p>
        </w:tc>
        <w:tc>
          <w:tcPr>
            <w:tcW w:w="1016" w:type="dxa"/>
            <w:shd w:val="clear" w:color="auto" w:fill="6F6652" w:themeFill="accent5"/>
            <w:tcMar>
              <w:left w:w="57" w:type="dxa"/>
              <w:right w:w="57" w:type="dxa"/>
            </w:tcMar>
            <w:vAlign w:val="center"/>
          </w:tcPr>
          <w:p w:rsidR="00FF21CA" w:rsidRPr="005C7B71" w:rsidRDefault="00FF21CA" w:rsidP="005C7B71">
            <w:pPr>
              <w:pStyle w:val="TableUnit"/>
              <w:rPr>
                <w:bCs/>
                <w:color w:val="FFFFFF" w:themeColor="background1"/>
                <w:szCs w:val="16"/>
              </w:rPr>
            </w:pPr>
            <w:r w:rsidRPr="005C7B71">
              <w:rPr>
                <w:bCs/>
                <w:color w:val="FFFFFF" w:themeColor="background1"/>
                <w:szCs w:val="16"/>
              </w:rPr>
              <w:t>Highest</w:t>
            </w:r>
          </w:p>
        </w:tc>
        <w:tc>
          <w:tcPr>
            <w:tcW w:w="1016" w:type="dxa"/>
            <w:shd w:val="clear" w:color="auto" w:fill="6F6652" w:themeFill="accent5"/>
            <w:vAlign w:val="center"/>
          </w:tcPr>
          <w:p w:rsidR="00FF21CA" w:rsidRPr="005C7B71" w:rsidRDefault="00FF21CA" w:rsidP="005C7B71">
            <w:pPr>
              <w:pStyle w:val="TableUnit"/>
              <w:rPr>
                <w:bCs/>
                <w:color w:val="FFFFFF" w:themeColor="background1"/>
                <w:szCs w:val="16"/>
              </w:rPr>
            </w:pPr>
            <w:r w:rsidRPr="005C7B71">
              <w:rPr>
                <w:bCs/>
                <w:color w:val="FFFFFF" w:themeColor="background1"/>
                <w:szCs w:val="16"/>
              </w:rPr>
              <w:t>All</w:t>
            </w:r>
          </w:p>
        </w:tc>
      </w:tr>
      <w:tr w:rsidR="00FF21CA" w:rsidRPr="005C7B71" w:rsidTr="001C172D">
        <w:trPr>
          <w:trHeight w:hRule="exact" w:val="340"/>
        </w:trPr>
        <w:tc>
          <w:tcPr>
            <w:tcW w:w="2694" w:type="dxa"/>
            <w:tcBorders>
              <w:bottom w:val="single" w:sz="8" w:space="0" w:color="FFFFFF" w:themeColor="background1"/>
            </w:tcBorders>
            <w:shd w:val="clear" w:color="auto" w:fill="auto"/>
            <w:tcMar>
              <w:left w:w="57" w:type="dxa"/>
              <w:right w:w="57" w:type="dxa"/>
            </w:tcMar>
            <w:vAlign w:val="center"/>
          </w:tcPr>
          <w:p w:rsidR="00FF21CA" w:rsidRPr="005C7B71" w:rsidRDefault="00FF21CA" w:rsidP="005C7B71">
            <w:pPr>
              <w:pStyle w:val="TableDataEntries"/>
            </w:pPr>
          </w:p>
        </w:tc>
        <w:tc>
          <w:tcPr>
            <w:tcW w:w="1015" w:type="dxa"/>
            <w:tcBorders>
              <w:bottom w:val="single" w:sz="8" w:space="0" w:color="FFFFFF" w:themeColor="background1"/>
            </w:tcBorders>
            <w:shd w:val="clear" w:color="auto" w:fill="auto"/>
            <w:tcMar>
              <w:left w:w="57" w:type="dxa"/>
              <w:right w:w="57" w:type="dxa"/>
            </w:tcMar>
            <w:vAlign w:val="center"/>
          </w:tcPr>
          <w:p w:rsidR="00FF21CA" w:rsidRPr="005C7B71" w:rsidRDefault="00FF21CA" w:rsidP="005C7B71">
            <w:pPr>
              <w:pStyle w:val="TableDataEntries"/>
            </w:pPr>
            <w:r w:rsidRPr="005C7B71">
              <w:t>$/week</w:t>
            </w:r>
          </w:p>
        </w:tc>
        <w:tc>
          <w:tcPr>
            <w:tcW w:w="1016" w:type="dxa"/>
            <w:tcBorders>
              <w:bottom w:val="single" w:sz="8" w:space="0" w:color="FFFFFF" w:themeColor="background1"/>
            </w:tcBorders>
            <w:shd w:val="clear" w:color="auto" w:fill="auto"/>
            <w:tcMar>
              <w:left w:w="57" w:type="dxa"/>
              <w:right w:w="57" w:type="dxa"/>
            </w:tcMar>
            <w:vAlign w:val="center"/>
          </w:tcPr>
          <w:p w:rsidR="00FF21CA" w:rsidRPr="005C7B71" w:rsidRDefault="00FF21CA" w:rsidP="005C7B71">
            <w:pPr>
              <w:pStyle w:val="TableDataEntries"/>
            </w:pPr>
            <w:r w:rsidRPr="005C7B71">
              <w:t>$/week</w:t>
            </w:r>
          </w:p>
        </w:tc>
        <w:tc>
          <w:tcPr>
            <w:tcW w:w="1016" w:type="dxa"/>
            <w:tcBorders>
              <w:bottom w:val="single" w:sz="8" w:space="0" w:color="FFFFFF" w:themeColor="background1"/>
            </w:tcBorders>
            <w:shd w:val="clear" w:color="auto" w:fill="auto"/>
            <w:tcMar>
              <w:left w:w="57" w:type="dxa"/>
              <w:right w:w="57" w:type="dxa"/>
            </w:tcMar>
            <w:vAlign w:val="center"/>
          </w:tcPr>
          <w:p w:rsidR="00FF21CA" w:rsidRPr="005C7B71" w:rsidRDefault="00FF21CA" w:rsidP="005C7B71">
            <w:pPr>
              <w:pStyle w:val="TableDataEntries"/>
            </w:pPr>
            <w:r w:rsidRPr="005C7B71">
              <w:t>$/week</w:t>
            </w:r>
          </w:p>
        </w:tc>
        <w:tc>
          <w:tcPr>
            <w:tcW w:w="1016" w:type="dxa"/>
            <w:tcBorders>
              <w:bottom w:val="single" w:sz="8" w:space="0" w:color="FFFFFF" w:themeColor="background1"/>
            </w:tcBorders>
            <w:shd w:val="clear" w:color="auto" w:fill="auto"/>
            <w:tcMar>
              <w:left w:w="57" w:type="dxa"/>
              <w:right w:w="57" w:type="dxa"/>
            </w:tcMar>
            <w:vAlign w:val="center"/>
          </w:tcPr>
          <w:p w:rsidR="00FF21CA" w:rsidRPr="005C7B71" w:rsidRDefault="00FF21CA" w:rsidP="005C7B71">
            <w:pPr>
              <w:pStyle w:val="TableDataEntries"/>
            </w:pPr>
            <w:r w:rsidRPr="005C7B71">
              <w:t>$/week</w:t>
            </w:r>
          </w:p>
        </w:tc>
        <w:tc>
          <w:tcPr>
            <w:tcW w:w="1016" w:type="dxa"/>
            <w:tcBorders>
              <w:bottom w:val="single" w:sz="8" w:space="0" w:color="FFFFFF" w:themeColor="background1"/>
            </w:tcBorders>
            <w:shd w:val="clear" w:color="auto" w:fill="auto"/>
            <w:tcMar>
              <w:left w:w="57" w:type="dxa"/>
              <w:right w:w="57" w:type="dxa"/>
            </w:tcMar>
            <w:vAlign w:val="center"/>
          </w:tcPr>
          <w:p w:rsidR="00FF21CA" w:rsidRPr="005C7B71" w:rsidRDefault="00FF21CA" w:rsidP="005C7B71">
            <w:pPr>
              <w:pStyle w:val="TableDataEntries"/>
            </w:pPr>
            <w:r w:rsidRPr="005C7B71">
              <w:t>$/week</w:t>
            </w:r>
          </w:p>
        </w:tc>
        <w:tc>
          <w:tcPr>
            <w:tcW w:w="1016" w:type="dxa"/>
            <w:tcBorders>
              <w:bottom w:val="single" w:sz="8" w:space="0" w:color="FFFFFF" w:themeColor="background1"/>
            </w:tcBorders>
            <w:shd w:val="clear" w:color="auto" w:fill="auto"/>
            <w:vAlign w:val="center"/>
          </w:tcPr>
          <w:p w:rsidR="00FF21CA" w:rsidRPr="005C7B71" w:rsidRDefault="00FF21CA" w:rsidP="005C7B71">
            <w:pPr>
              <w:pStyle w:val="TableDataEntries"/>
            </w:pPr>
            <w:r w:rsidRPr="005C7B71">
              <w:t>$/week</w:t>
            </w:r>
          </w:p>
        </w:tc>
      </w:tr>
      <w:tr w:rsidR="00FF21CA" w:rsidRPr="005C7B71" w:rsidTr="001C172D">
        <w:trPr>
          <w:trHeight w:hRule="exact" w:val="340"/>
        </w:trPr>
        <w:tc>
          <w:tcPr>
            <w:tcW w:w="269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2B2E3B">
            <w:pPr>
              <w:pStyle w:val="TableUnit"/>
              <w:jc w:val="left"/>
              <w:rPr>
                <w:szCs w:val="16"/>
              </w:rPr>
            </w:pPr>
            <w:r w:rsidRPr="005C7B71">
              <w:rPr>
                <w:szCs w:val="16"/>
              </w:rPr>
              <w:t>Fixed telephone account</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13.29</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13.10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14.47</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14.90</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17.58</w:t>
            </w:r>
          </w:p>
        </w:tc>
        <w:tc>
          <w:tcPr>
            <w:tcW w:w="1016" w:type="dxa"/>
            <w:tcBorders>
              <w:top w:val="single" w:sz="8" w:space="0" w:color="FFFFFF" w:themeColor="background1"/>
              <w:bottom w:val="single" w:sz="8" w:space="0" w:color="FFFFFF" w:themeColor="background1"/>
            </w:tcBorders>
            <w:shd w:val="clear" w:color="auto" w:fill="E9E8E5" w:themeFill="background2"/>
            <w:vAlign w:val="bottom"/>
          </w:tcPr>
          <w:p w:rsidR="00FF21CA" w:rsidRPr="005C7B71" w:rsidRDefault="00FF21CA" w:rsidP="005C7B71">
            <w:pPr>
              <w:pStyle w:val="TableUnit"/>
              <w:rPr>
                <w:szCs w:val="16"/>
              </w:rPr>
            </w:pPr>
            <w:r w:rsidRPr="005C7B71">
              <w:rPr>
                <w:szCs w:val="16"/>
              </w:rPr>
              <w:t>14.67</w:t>
            </w:r>
          </w:p>
        </w:tc>
      </w:tr>
      <w:tr w:rsidR="00FF21CA" w:rsidRPr="005C7B71" w:rsidTr="001C172D">
        <w:trPr>
          <w:trHeight w:hRule="exact" w:val="340"/>
        </w:trPr>
        <w:tc>
          <w:tcPr>
            <w:tcW w:w="269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2B2E3B">
            <w:pPr>
              <w:pStyle w:val="TableUnit"/>
              <w:jc w:val="left"/>
              <w:rPr>
                <w:szCs w:val="16"/>
              </w:rPr>
            </w:pPr>
            <w:r w:rsidRPr="005C7B71">
              <w:rPr>
                <w:szCs w:val="16"/>
              </w:rPr>
              <w:t>Mobile telephone account</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4.17</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7.42</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13.23</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16.27</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19.80</w:t>
            </w:r>
          </w:p>
        </w:tc>
        <w:tc>
          <w:tcPr>
            <w:tcW w:w="1016" w:type="dxa"/>
            <w:tcBorders>
              <w:top w:val="single" w:sz="8" w:space="0" w:color="FFFFFF" w:themeColor="background1"/>
              <w:bottom w:val="single" w:sz="8" w:space="0" w:color="FFFFFF" w:themeColor="background1"/>
            </w:tcBorders>
            <w:shd w:val="clear" w:color="auto" w:fill="E9E8E5" w:themeFill="background2"/>
            <w:vAlign w:val="bottom"/>
          </w:tcPr>
          <w:p w:rsidR="00FF21CA" w:rsidRPr="005C7B71" w:rsidRDefault="00FF21CA" w:rsidP="005C7B71">
            <w:pPr>
              <w:pStyle w:val="TableUnit"/>
              <w:rPr>
                <w:szCs w:val="16"/>
              </w:rPr>
            </w:pPr>
            <w:r w:rsidRPr="005C7B71">
              <w:rPr>
                <w:szCs w:val="16"/>
              </w:rPr>
              <w:t>12.17</w:t>
            </w:r>
          </w:p>
        </w:tc>
      </w:tr>
      <w:tr w:rsidR="00FF21CA" w:rsidRPr="005C7B71" w:rsidTr="001C172D">
        <w:trPr>
          <w:trHeight w:hRule="exact" w:val="340"/>
        </w:trPr>
        <w:tc>
          <w:tcPr>
            <w:tcW w:w="269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2B2E3B">
            <w:pPr>
              <w:pStyle w:val="TableUnit"/>
              <w:jc w:val="left"/>
              <w:rPr>
                <w:szCs w:val="16"/>
              </w:rPr>
            </w:pPr>
            <w:r w:rsidRPr="005C7B71">
              <w:rPr>
                <w:szCs w:val="16"/>
              </w:rPr>
              <w:t>Public telephone call (not account)</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0.04</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0.15</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0.16</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0.11</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0.19</w:t>
            </w:r>
          </w:p>
        </w:tc>
        <w:tc>
          <w:tcPr>
            <w:tcW w:w="1016" w:type="dxa"/>
            <w:tcBorders>
              <w:top w:val="single" w:sz="8" w:space="0" w:color="FFFFFF" w:themeColor="background1"/>
              <w:bottom w:val="single" w:sz="8" w:space="0" w:color="FFFFFF" w:themeColor="background1"/>
            </w:tcBorders>
            <w:shd w:val="clear" w:color="auto" w:fill="E9E8E5" w:themeFill="background2"/>
            <w:vAlign w:val="bottom"/>
          </w:tcPr>
          <w:p w:rsidR="00FF21CA" w:rsidRPr="005C7B71" w:rsidRDefault="00FF21CA" w:rsidP="005C7B71">
            <w:pPr>
              <w:pStyle w:val="TableUnit"/>
              <w:rPr>
                <w:szCs w:val="16"/>
              </w:rPr>
            </w:pPr>
            <w:r w:rsidRPr="005C7B71">
              <w:rPr>
                <w:szCs w:val="16"/>
              </w:rPr>
              <w:t>0.13</w:t>
            </w:r>
          </w:p>
        </w:tc>
      </w:tr>
      <w:tr w:rsidR="00FF21CA" w:rsidRPr="005C7B71" w:rsidTr="001C172D">
        <w:trPr>
          <w:trHeight w:hRule="exact" w:val="340"/>
        </w:trPr>
        <w:tc>
          <w:tcPr>
            <w:tcW w:w="269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2B2E3B">
            <w:pPr>
              <w:pStyle w:val="TableUnit"/>
              <w:jc w:val="left"/>
              <w:rPr>
                <w:szCs w:val="16"/>
              </w:rPr>
            </w:pPr>
            <w:r w:rsidRPr="005C7B71">
              <w:rPr>
                <w:szCs w:val="16"/>
              </w:rPr>
              <w:t>Mobile phone charges (not account)</w:t>
            </w:r>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1.74</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3.07</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3.64</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3.76</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3.55</w:t>
            </w:r>
          </w:p>
        </w:tc>
        <w:tc>
          <w:tcPr>
            <w:tcW w:w="1016" w:type="dxa"/>
            <w:tcBorders>
              <w:top w:val="single" w:sz="8" w:space="0" w:color="FFFFFF" w:themeColor="background1"/>
              <w:bottom w:val="single" w:sz="8" w:space="0" w:color="FFFFFF" w:themeColor="background1"/>
            </w:tcBorders>
            <w:shd w:val="clear" w:color="auto" w:fill="E9E8E5" w:themeFill="background2"/>
            <w:vAlign w:val="bottom"/>
          </w:tcPr>
          <w:p w:rsidR="00FF21CA" w:rsidRPr="005C7B71" w:rsidRDefault="00FF21CA" w:rsidP="005C7B71">
            <w:pPr>
              <w:pStyle w:val="TableUnit"/>
              <w:rPr>
                <w:szCs w:val="16"/>
              </w:rPr>
            </w:pPr>
            <w:r w:rsidRPr="005C7B71">
              <w:rPr>
                <w:szCs w:val="16"/>
              </w:rPr>
              <w:t>3.15</w:t>
            </w:r>
          </w:p>
        </w:tc>
      </w:tr>
      <w:tr w:rsidR="00FF21CA" w:rsidRPr="005C7B71" w:rsidTr="001C172D">
        <w:trPr>
          <w:trHeight w:hRule="exact" w:val="340"/>
        </w:trPr>
        <w:tc>
          <w:tcPr>
            <w:tcW w:w="269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2B2E3B">
            <w:pPr>
              <w:pStyle w:val="TableUnit"/>
              <w:jc w:val="left"/>
              <w:rPr>
                <w:szCs w:val="16"/>
              </w:rPr>
            </w:pPr>
            <w:r w:rsidRPr="005C7B71">
              <w:rPr>
                <w:szCs w:val="16"/>
              </w:rPr>
              <w:t xml:space="preserve">Telephone and facsimile charges </w:t>
            </w:r>
            <w:proofErr w:type="spellStart"/>
            <w:r w:rsidRPr="005C7B71">
              <w:rPr>
                <w:szCs w:val="16"/>
              </w:rPr>
              <w:t>nec</w:t>
            </w:r>
            <w:proofErr w:type="spellEnd"/>
          </w:p>
        </w:tc>
        <w:tc>
          <w:tcPr>
            <w:tcW w:w="101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0.06</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0.14</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0.59</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1.96</w:t>
            </w:r>
          </w:p>
        </w:tc>
        <w:tc>
          <w:tcPr>
            <w:tcW w:w="101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F21CA" w:rsidRPr="005C7B71" w:rsidRDefault="00FF21CA" w:rsidP="005C7B71">
            <w:pPr>
              <w:pStyle w:val="TableUnit"/>
              <w:rPr>
                <w:szCs w:val="16"/>
              </w:rPr>
            </w:pPr>
            <w:r w:rsidRPr="005C7B71">
              <w:rPr>
                <w:szCs w:val="16"/>
              </w:rPr>
              <w:t>6.46</w:t>
            </w:r>
          </w:p>
        </w:tc>
        <w:tc>
          <w:tcPr>
            <w:tcW w:w="1016" w:type="dxa"/>
            <w:tcBorders>
              <w:top w:val="single" w:sz="8" w:space="0" w:color="FFFFFF" w:themeColor="background1"/>
              <w:bottom w:val="single" w:sz="8" w:space="0" w:color="FFFFFF" w:themeColor="background1"/>
            </w:tcBorders>
            <w:shd w:val="clear" w:color="auto" w:fill="E9E8E5" w:themeFill="background2"/>
            <w:vAlign w:val="bottom"/>
          </w:tcPr>
          <w:p w:rsidR="00FF21CA" w:rsidRPr="005C7B71" w:rsidRDefault="00FF21CA" w:rsidP="005C7B71">
            <w:pPr>
              <w:pStyle w:val="TableUnit"/>
              <w:rPr>
                <w:szCs w:val="16"/>
              </w:rPr>
            </w:pPr>
            <w:r w:rsidRPr="005C7B71">
              <w:rPr>
                <w:szCs w:val="16"/>
              </w:rPr>
              <w:t>1.84</w:t>
            </w:r>
          </w:p>
        </w:tc>
      </w:tr>
      <w:tr w:rsidR="00FF21CA" w:rsidRPr="002B2E3B" w:rsidTr="001C172D">
        <w:trPr>
          <w:trHeight w:hRule="exact" w:val="309"/>
        </w:trPr>
        <w:tc>
          <w:tcPr>
            <w:tcW w:w="2694" w:type="dxa"/>
            <w:tcBorders>
              <w:top w:val="single" w:sz="8" w:space="0" w:color="FFFFFF" w:themeColor="background1"/>
              <w:bottom w:val="single" w:sz="4" w:space="0" w:color="6F6652" w:themeColor="accent5"/>
            </w:tcBorders>
            <w:shd w:val="clear" w:color="auto" w:fill="C2DADB" w:themeFill="accent6" w:themeFillTint="99"/>
            <w:tcMar>
              <w:left w:w="57" w:type="dxa"/>
              <w:right w:w="57" w:type="dxa"/>
            </w:tcMar>
            <w:vAlign w:val="center"/>
          </w:tcPr>
          <w:p w:rsidR="00FF21CA" w:rsidRPr="002B2E3B" w:rsidRDefault="00FF21CA" w:rsidP="001C172D">
            <w:pPr>
              <w:pStyle w:val="TableUnit"/>
              <w:spacing w:after="120"/>
              <w:jc w:val="left"/>
              <w:rPr>
                <w:rFonts w:ascii="Franklin Gothic Demi" w:hAnsi="Franklin Gothic Demi"/>
                <w:szCs w:val="16"/>
              </w:rPr>
            </w:pPr>
            <w:r w:rsidRPr="002B2E3B">
              <w:rPr>
                <w:rFonts w:ascii="Franklin Gothic Demi" w:hAnsi="Franklin Gothic Demi"/>
                <w:szCs w:val="16"/>
              </w:rPr>
              <w:t>Total</w:t>
            </w:r>
          </w:p>
        </w:tc>
        <w:tc>
          <w:tcPr>
            <w:tcW w:w="1015" w:type="dxa"/>
            <w:tcBorders>
              <w:top w:val="single" w:sz="8" w:space="0" w:color="FFFFFF" w:themeColor="background1"/>
              <w:bottom w:val="single" w:sz="4" w:space="0" w:color="6F6652" w:themeColor="accent5"/>
            </w:tcBorders>
            <w:shd w:val="clear" w:color="auto" w:fill="C2DADB" w:themeFill="accent6" w:themeFillTint="99"/>
            <w:tcMar>
              <w:left w:w="57" w:type="dxa"/>
              <w:right w:w="57" w:type="dxa"/>
            </w:tcMar>
            <w:vAlign w:val="center"/>
          </w:tcPr>
          <w:p w:rsidR="00FF21CA" w:rsidRPr="002B2E3B" w:rsidRDefault="00FF21CA" w:rsidP="001C172D">
            <w:pPr>
              <w:pStyle w:val="TableUnit"/>
              <w:spacing w:after="120"/>
              <w:rPr>
                <w:rFonts w:ascii="Franklin Gothic Demi" w:hAnsi="Franklin Gothic Demi"/>
                <w:szCs w:val="16"/>
              </w:rPr>
            </w:pPr>
            <w:r w:rsidRPr="002B2E3B">
              <w:rPr>
                <w:rFonts w:ascii="Franklin Gothic Demi" w:hAnsi="Franklin Gothic Demi"/>
                <w:szCs w:val="16"/>
              </w:rPr>
              <w:t>19.29</w:t>
            </w:r>
          </w:p>
        </w:tc>
        <w:tc>
          <w:tcPr>
            <w:tcW w:w="1016" w:type="dxa"/>
            <w:tcBorders>
              <w:top w:val="single" w:sz="8" w:space="0" w:color="FFFFFF" w:themeColor="background1"/>
              <w:bottom w:val="single" w:sz="4" w:space="0" w:color="6F6652" w:themeColor="accent5"/>
            </w:tcBorders>
            <w:shd w:val="clear" w:color="auto" w:fill="C2DADB" w:themeFill="accent6" w:themeFillTint="99"/>
            <w:tcMar>
              <w:left w:w="57" w:type="dxa"/>
              <w:right w:w="57" w:type="dxa"/>
            </w:tcMar>
            <w:vAlign w:val="center"/>
          </w:tcPr>
          <w:p w:rsidR="00FF21CA" w:rsidRPr="002B2E3B" w:rsidRDefault="00FF21CA" w:rsidP="001C172D">
            <w:pPr>
              <w:pStyle w:val="TableUnit"/>
              <w:spacing w:after="120"/>
              <w:rPr>
                <w:rFonts w:ascii="Franklin Gothic Demi" w:hAnsi="Franklin Gothic Demi"/>
                <w:szCs w:val="16"/>
              </w:rPr>
            </w:pPr>
            <w:r w:rsidRPr="002B2E3B">
              <w:rPr>
                <w:rFonts w:ascii="Franklin Gothic Demi" w:hAnsi="Franklin Gothic Demi"/>
                <w:szCs w:val="16"/>
              </w:rPr>
              <w:t>23.87</w:t>
            </w:r>
          </w:p>
        </w:tc>
        <w:tc>
          <w:tcPr>
            <w:tcW w:w="1016" w:type="dxa"/>
            <w:tcBorders>
              <w:top w:val="single" w:sz="8" w:space="0" w:color="FFFFFF" w:themeColor="background1"/>
              <w:bottom w:val="single" w:sz="4" w:space="0" w:color="6F6652" w:themeColor="accent5"/>
            </w:tcBorders>
            <w:shd w:val="clear" w:color="auto" w:fill="C2DADB" w:themeFill="accent6" w:themeFillTint="99"/>
            <w:tcMar>
              <w:left w:w="57" w:type="dxa"/>
              <w:right w:w="57" w:type="dxa"/>
            </w:tcMar>
            <w:vAlign w:val="center"/>
          </w:tcPr>
          <w:p w:rsidR="00FF21CA" w:rsidRPr="002B2E3B" w:rsidRDefault="00FF21CA" w:rsidP="001C172D">
            <w:pPr>
              <w:pStyle w:val="TableUnit"/>
              <w:spacing w:after="120"/>
              <w:rPr>
                <w:rFonts w:ascii="Franklin Gothic Demi" w:hAnsi="Franklin Gothic Demi"/>
                <w:szCs w:val="16"/>
              </w:rPr>
            </w:pPr>
            <w:r w:rsidRPr="002B2E3B">
              <w:rPr>
                <w:rFonts w:ascii="Franklin Gothic Demi" w:hAnsi="Franklin Gothic Demi"/>
                <w:szCs w:val="16"/>
              </w:rPr>
              <w:t>32.09</w:t>
            </w:r>
          </w:p>
        </w:tc>
        <w:tc>
          <w:tcPr>
            <w:tcW w:w="1016" w:type="dxa"/>
            <w:tcBorders>
              <w:top w:val="single" w:sz="8" w:space="0" w:color="FFFFFF" w:themeColor="background1"/>
              <w:bottom w:val="single" w:sz="4" w:space="0" w:color="6F6652" w:themeColor="accent5"/>
            </w:tcBorders>
            <w:shd w:val="clear" w:color="auto" w:fill="C2DADB" w:themeFill="accent6" w:themeFillTint="99"/>
            <w:tcMar>
              <w:left w:w="57" w:type="dxa"/>
              <w:right w:w="57" w:type="dxa"/>
            </w:tcMar>
            <w:vAlign w:val="center"/>
          </w:tcPr>
          <w:p w:rsidR="00FF21CA" w:rsidRPr="002B2E3B" w:rsidRDefault="00FF21CA" w:rsidP="001C172D">
            <w:pPr>
              <w:pStyle w:val="TableUnit"/>
              <w:spacing w:after="120"/>
              <w:rPr>
                <w:rFonts w:ascii="Franklin Gothic Demi" w:hAnsi="Franklin Gothic Demi"/>
                <w:szCs w:val="16"/>
              </w:rPr>
            </w:pPr>
            <w:r w:rsidRPr="002B2E3B">
              <w:rPr>
                <w:rFonts w:ascii="Franklin Gothic Demi" w:hAnsi="Franklin Gothic Demi"/>
                <w:szCs w:val="16"/>
              </w:rPr>
              <w:t>37.00</w:t>
            </w:r>
          </w:p>
        </w:tc>
        <w:tc>
          <w:tcPr>
            <w:tcW w:w="1016" w:type="dxa"/>
            <w:tcBorders>
              <w:top w:val="single" w:sz="8" w:space="0" w:color="FFFFFF" w:themeColor="background1"/>
              <w:bottom w:val="single" w:sz="4" w:space="0" w:color="6F6652" w:themeColor="accent5"/>
            </w:tcBorders>
            <w:shd w:val="clear" w:color="auto" w:fill="C2DADB" w:themeFill="accent6" w:themeFillTint="99"/>
            <w:tcMar>
              <w:left w:w="57" w:type="dxa"/>
              <w:right w:w="57" w:type="dxa"/>
            </w:tcMar>
            <w:vAlign w:val="center"/>
          </w:tcPr>
          <w:p w:rsidR="00FF21CA" w:rsidRPr="002B2E3B" w:rsidRDefault="00FF21CA" w:rsidP="001C172D">
            <w:pPr>
              <w:pStyle w:val="TableUnit"/>
              <w:spacing w:after="120"/>
              <w:rPr>
                <w:rFonts w:ascii="Franklin Gothic Demi" w:hAnsi="Franklin Gothic Demi"/>
                <w:szCs w:val="16"/>
              </w:rPr>
            </w:pPr>
            <w:r w:rsidRPr="002B2E3B">
              <w:rPr>
                <w:rFonts w:ascii="Franklin Gothic Demi" w:hAnsi="Franklin Gothic Demi"/>
                <w:szCs w:val="16"/>
              </w:rPr>
              <w:t>47.58</w:t>
            </w:r>
          </w:p>
        </w:tc>
        <w:tc>
          <w:tcPr>
            <w:tcW w:w="1016" w:type="dxa"/>
            <w:tcBorders>
              <w:top w:val="single" w:sz="8" w:space="0" w:color="FFFFFF" w:themeColor="background1"/>
              <w:bottom w:val="single" w:sz="4" w:space="0" w:color="6F6652" w:themeColor="accent5"/>
            </w:tcBorders>
            <w:shd w:val="clear" w:color="auto" w:fill="C2DADB" w:themeFill="accent6" w:themeFillTint="99"/>
            <w:vAlign w:val="center"/>
          </w:tcPr>
          <w:p w:rsidR="00FF21CA" w:rsidRPr="002B2E3B" w:rsidRDefault="00FF21CA" w:rsidP="001C172D">
            <w:pPr>
              <w:pStyle w:val="TableUnit"/>
              <w:spacing w:after="120"/>
              <w:rPr>
                <w:rFonts w:ascii="Franklin Gothic Demi" w:hAnsi="Franklin Gothic Demi"/>
                <w:szCs w:val="16"/>
              </w:rPr>
            </w:pPr>
            <w:r w:rsidRPr="002B2E3B">
              <w:rPr>
                <w:rFonts w:ascii="Franklin Gothic Demi" w:hAnsi="Franklin Gothic Demi"/>
                <w:szCs w:val="16"/>
              </w:rPr>
              <w:t>31.96</w:t>
            </w:r>
          </w:p>
        </w:tc>
      </w:tr>
    </w:tbl>
    <w:p w:rsidR="00FF21CA" w:rsidRPr="00237123" w:rsidRDefault="00FF21CA" w:rsidP="00FF21CA">
      <w:pPr>
        <w:pStyle w:val="Source"/>
      </w:pPr>
      <w:r w:rsidRPr="00237123">
        <w:rPr>
          <w:i/>
        </w:rPr>
        <w:t>Source:</w:t>
      </w:r>
      <w:r w:rsidRPr="00237123">
        <w:t xml:space="preserve"> ABS, </w:t>
      </w:r>
      <w:r w:rsidRPr="00237123">
        <w:rPr>
          <w:i/>
        </w:rPr>
        <w:t>Household Expenditure Survey</w:t>
      </w:r>
      <w:r w:rsidRPr="00237123">
        <w:t>, 2009-10</w:t>
      </w:r>
    </w:p>
    <w:p w:rsidR="00FF21CA" w:rsidRDefault="00FF21CA" w:rsidP="00FF21CA">
      <w:pPr>
        <w:pStyle w:val="BodyText"/>
      </w:pPr>
      <w:r w:rsidRPr="00D129D4">
        <w:t xml:space="preserve">The use of the general welfare system </w:t>
      </w:r>
      <w:r>
        <w:t xml:space="preserve">then </w:t>
      </w:r>
      <w:r w:rsidRPr="00D129D4">
        <w:t>would slightly disadvantage low-income households that could not substitute to mobile only services</w:t>
      </w:r>
      <w:r w:rsidR="00D70D7B">
        <w:t xml:space="preserve"> and low-income households that faced higher than average telecommunications prices</w:t>
      </w:r>
      <w:r w:rsidRPr="00D129D4">
        <w:t>. Otherwise, it would achieve social equity objectives as</w:t>
      </w:r>
      <w:r w:rsidR="00D70D7B">
        <w:t xml:space="preserve"> long as</w:t>
      </w:r>
      <w:r w:rsidRPr="00D129D4">
        <w:t xml:space="preserve"> fixed line</w:t>
      </w:r>
      <w:r w:rsidR="00D70D7B">
        <w:t xml:space="preserve"> services would be accessible at</w:t>
      </w:r>
      <w:r w:rsidRPr="00D129D4">
        <w:t xml:space="preserve"> similar prices across Australia.</w:t>
      </w:r>
    </w:p>
    <w:p w:rsidR="00FF21CA" w:rsidRPr="008262DF" w:rsidRDefault="00FF21CA" w:rsidP="00FF21CA">
      <w:pPr>
        <w:pStyle w:val="Heading3"/>
      </w:pPr>
      <w:r w:rsidRPr="008262DF">
        <w:t>Retail price controls in the</w:t>
      </w:r>
      <w:r w:rsidR="00106A9E">
        <w:t>ir</w:t>
      </w:r>
      <w:r w:rsidRPr="008262DF">
        <w:t xml:space="preserve"> current form </w:t>
      </w:r>
    </w:p>
    <w:p w:rsidR="00FF21CA" w:rsidRPr="00D129D4" w:rsidRDefault="00FF21CA" w:rsidP="00FF21CA">
      <w:pPr>
        <w:pStyle w:val="BodyText"/>
      </w:pPr>
      <w:r w:rsidRPr="00D129D4">
        <w:t xml:space="preserve">The continuation of current </w:t>
      </w:r>
      <w:proofErr w:type="gramStart"/>
      <w:r w:rsidRPr="00D129D4">
        <w:t>retail price control arrangements</w:t>
      </w:r>
      <w:proofErr w:type="gramEnd"/>
      <w:r w:rsidRPr="00D129D4">
        <w:t xml:space="preserve"> would, in terms of social equity entail:</w:t>
      </w:r>
    </w:p>
    <w:p w:rsidR="00FF21CA" w:rsidRPr="002B2E3B" w:rsidRDefault="00FF21CA" w:rsidP="002B2E3B">
      <w:pPr>
        <w:pStyle w:val="ListBullet"/>
      </w:pPr>
      <w:r w:rsidRPr="002B2E3B">
        <w:t xml:space="preserve">a guarantee of regional prices for </w:t>
      </w:r>
      <w:r w:rsidR="00532F23">
        <w:t xml:space="preserve">some </w:t>
      </w:r>
      <w:r w:rsidRPr="002B2E3B">
        <w:t>line rental</w:t>
      </w:r>
      <w:r w:rsidR="00532F23">
        <w:t xml:space="preserve"> products</w:t>
      </w:r>
      <w:r w:rsidR="009A58AA">
        <w:t xml:space="preserve"> (Home-line Budget and Business-line plans)</w:t>
      </w:r>
      <w:r w:rsidRPr="002B2E3B">
        <w:t xml:space="preserve"> and local calls that are equal to or lower in</w:t>
      </w:r>
      <w:r w:rsidR="00532F23">
        <w:t xml:space="preserve"> regional areas versus</w:t>
      </w:r>
      <w:r w:rsidRPr="002B2E3B">
        <w:t xml:space="preserve"> metropolitan areas; and</w:t>
      </w:r>
    </w:p>
    <w:p w:rsidR="00FF21CA" w:rsidRPr="002B2E3B" w:rsidRDefault="00FF21CA" w:rsidP="002B2E3B">
      <w:pPr>
        <w:pStyle w:val="ListBullet"/>
      </w:pPr>
      <w:proofErr w:type="gramStart"/>
      <w:r w:rsidRPr="002B2E3B">
        <w:lastRenderedPageBreak/>
        <w:t>availability</w:t>
      </w:r>
      <w:proofErr w:type="gramEnd"/>
      <w:r w:rsidRPr="002B2E3B">
        <w:t xml:space="preserve"> of a budget line rental product.</w:t>
      </w:r>
      <w:r w:rsidR="00532F23">
        <w:t xml:space="preserve"> (This would be available in any case through the Low Income Program.)</w:t>
      </w:r>
    </w:p>
    <w:p w:rsidR="00FF21CA" w:rsidRPr="00905F8A" w:rsidRDefault="00FF21CA" w:rsidP="00FF21CA">
      <w:pPr>
        <w:pStyle w:val="BodyText"/>
      </w:pPr>
      <w:r w:rsidRPr="00905F8A">
        <w:t>The social equity policy objective does not link closely to providing equal or lower prices in regional areas than in metropolitan areas. As set out in table </w:t>
      </w:r>
      <w:r w:rsidRPr="00905F8A">
        <w:fldChar w:fldCharType="begin"/>
      </w:r>
      <w:r w:rsidRPr="00905F8A">
        <w:instrText xml:space="preserve"> REF _Caption3168 </w:instrText>
      </w:r>
      <w:r>
        <w:instrText xml:space="preserve"> \* MERGEFORMAT </w:instrText>
      </w:r>
      <w:r w:rsidRPr="00905F8A">
        <w:fldChar w:fldCharType="separate"/>
      </w:r>
      <w:r w:rsidR="00304215">
        <w:rPr>
          <w:noProof/>
        </w:rPr>
        <w:t>6</w:t>
      </w:r>
      <w:r w:rsidR="00304215" w:rsidRPr="00D129D4">
        <w:rPr>
          <w:noProof/>
        </w:rPr>
        <w:t>.</w:t>
      </w:r>
      <w:r w:rsidR="00304215">
        <w:rPr>
          <w:noProof/>
        </w:rPr>
        <w:t>5</w:t>
      </w:r>
      <w:r w:rsidRPr="00905F8A">
        <w:fldChar w:fldCharType="end"/>
      </w:r>
      <w:r w:rsidRPr="00905F8A">
        <w:t xml:space="preserve">, there are similar numbers of households that </w:t>
      </w:r>
      <w:proofErr w:type="gramStart"/>
      <w:r w:rsidRPr="00905F8A">
        <w:t>would be considered</w:t>
      </w:r>
      <w:proofErr w:type="gramEnd"/>
      <w:r w:rsidRPr="00905F8A">
        <w:t xml:space="preserve"> as being below or close to minimum standards of living across different regional classifications. Hence, were regional equalisation to have any effect, this would imply subsidies from metropolitan to regional areas rather than subsidies from higher income to lower income groups.</w:t>
      </w:r>
    </w:p>
    <w:p w:rsidR="00FF21CA" w:rsidRPr="00D129D4" w:rsidRDefault="00FF21CA" w:rsidP="00FF21CA">
      <w:pPr>
        <w:pStyle w:val="Caption"/>
      </w:pPr>
      <w:r w:rsidRPr="00D129D4">
        <w:fldChar w:fldCharType="begin"/>
      </w:r>
      <w:r w:rsidRPr="00D129D4">
        <w:instrText xml:space="preserve"> IF 1 = 1 "</w:instrText>
      </w:r>
      <w:r w:rsidRPr="00D129D4">
        <w:fldChar w:fldCharType="begin"/>
      </w:r>
      <w:r w:rsidRPr="00D129D4">
        <w:instrText xml:space="preserve"> IF </w:instrText>
      </w:r>
      <w:fldSimple w:instr=" STYLEREF &quot;Heading 6&quot; \l \n ">
        <w:r w:rsidR="00304215">
          <w:rPr>
            <w:noProof/>
          </w:rPr>
          <w:instrText>0</w:instrText>
        </w:r>
      </w:fldSimple>
      <w:r w:rsidRPr="00D129D4">
        <w:instrText xml:space="preserve"> = 0 "</w:instrText>
      </w:r>
      <w:r w:rsidRPr="00D129D4">
        <w:fldChar w:fldCharType="begin"/>
      </w:r>
      <w:r w:rsidRPr="00D129D4">
        <w:instrText xml:space="preserve"> IF </w:instrText>
      </w:r>
      <w:fldSimple w:instr=" STYLEREF &quot;Heading 1&quot; \l \n ">
        <w:r w:rsidR="00304215">
          <w:rPr>
            <w:noProof/>
          </w:rPr>
          <w:instrText>6</w:instrText>
        </w:r>
      </w:fldSimple>
      <w:r w:rsidRPr="00D129D4">
        <w:instrText xml:space="preserve"> = 0 "" "</w:instrText>
      </w:r>
      <w:fldSimple w:instr=" STYLEREF &quot;Heading 1&quot; \l \n ">
        <w:r w:rsidR="00304215">
          <w:rPr>
            <w:noProof/>
          </w:rPr>
          <w:instrText>6</w:instrText>
        </w:r>
      </w:fldSimple>
      <w:r w:rsidRPr="00D129D4">
        <w:instrText xml:space="preserve">." </w:instrText>
      </w:r>
      <w:r w:rsidRPr="00D129D4">
        <w:fldChar w:fldCharType="separate"/>
      </w:r>
      <w:r w:rsidR="00304215">
        <w:rPr>
          <w:noProof/>
        </w:rPr>
        <w:instrText>6</w:instrText>
      </w:r>
      <w:r w:rsidR="00304215" w:rsidRPr="00D129D4">
        <w:rPr>
          <w:noProof/>
        </w:rPr>
        <w:instrText>.</w:instrText>
      </w:r>
      <w:r w:rsidRPr="00D129D4">
        <w:fldChar w:fldCharType="end"/>
      </w:r>
      <w:r w:rsidRPr="00D129D4">
        <w:instrText>" "</w:instrText>
      </w:r>
      <w:fldSimple w:instr=" STYLEREF &quot;Heading 6&quot; \l \n ">
        <w:r w:rsidRPr="00D129D4">
          <w:instrText>B</w:instrText>
        </w:r>
      </w:fldSimple>
      <w:r w:rsidRPr="00D129D4">
        <w:instrText xml:space="preserve">." </w:instrText>
      </w:r>
      <w:r w:rsidRPr="00D129D4">
        <w:fldChar w:fldCharType="separate"/>
      </w:r>
      <w:r w:rsidR="00584F9A">
        <w:rPr>
          <w:noProof/>
        </w:rPr>
        <w:instrText>6</w:instrText>
      </w:r>
      <w:r w:rsidR="00584F9A" w:rsidRPr="00D129D4">
        <w:rPr>
          <w:noProof/>
        </w:rPr>
        <w:instrText>.</w:instrText>
      </w:r>
      <w:r w:rsidRPr="00D129D4">
        <w:fldChar w:fldCharType="end"/>
      </w:r>
      <w:r w:rsidRPr="00D129D4">
        <w:fldChar w:fldCharType="begin"/>
      </w:r>
      <w:r w:rsidRPr="00D129D4">
        <w:instrText xml:space="preserve"> SEQ Item \* ARABIC \s </w:instrText>
      </w:r>
      <w:r w:rsidRPr="00D129D4">
        <w:fldChar w:fldCharType="begin"/>
      </w:r>
      <w:r w:rsidRPr="00D129D4">
        <w:instrText xml:space="preserve"> IF </w:instrText>
      </w:r>
      <w:fldSimple w:instr=" STYLEREF &quot;Heading 6&quot; \l \n ">
        <w:r w:rsidR="00304215">
          <w:rPr>
            <w:noProof/>
          </w:rPr>
          <w:instrText>0</w:instrText>
        </w:r>
      </w:fldSimple>
      <w:r w:rsidRPr="00D129D4">
        <w:instrText xml:space="preserve"> = 0 "</w:instrText>
      </w:r>
      <w:r w:rsidRPr="00D129D4">
        <w:fldChar w:fldCharType="begin"/>
      </w:r>
      <w:r w:rsidRPr="00D129D4">
        <w:instrText xml:space="preserve"> IF </w:instrText>
      </w:r>
      <w:fldSimple w:instr=" STYLEREF &quot;Heading 1&quot; \l \n ">
        <w:r w:rsidR="00304215">
          <w:rPr>
            <w:noProof/>
          </w:rPr>
          <w:instrText>6</w:instrText>
        </w:r>
      </w:fldSimple>
      <w:r w:rsidRPr="00D129D4">
        <w:instrText xml:space="preserve"> = 0 "" "1" </w:instrText>
      </w:r>
      <w:r w:rsidRPr="00D129D4">
        <w:fldChar w:fldCharType="separate"/>
      </w:r>
      <w:r w:rsidR="00584F9A" w:rsidRPr="00D129D4">
        <w:rPr>
          <w:noProof/>
        </w:rPr>
        <w:instrText>1</w:instrText>
      </w:r>
      <w:r w:rsidRPr="00D129D4">
        <w:fldChar w:fldCharType="end"/>
      </w:r>
      <w:r w:rsidRPr="00D129D4">
        <w:instrText xml:space="preserve">" "6" </w:instrText>
      </w:r>
      <w:r w:rsidRPr="00D129D4">
        <w:fldChar w:fldCharType="separate"/>
      </w:r>
      <w:r w:rsidR="00584F9A" w:rsidRPr="00D129D4">
        <w:rPr>
          <w:noProof/>
        </w:rPr>
        <w:instrText>1</w:instrText>
      </w:r>
      <w:r w:rsidRPr="00D129D4">
        <w:fldChar w:fldCharType="end"/>
      </w:r>
      <w:r w:rsidRPr="00D129D4">
        <w:instrText xml:space="preserve"> </w:instrText>
      </w:r>
      <w:r w:rsidRPr="00D129D4">
        <w:fldChar w:fldCharType="separate"/>
      </w:r>
      <w:r w:rsidR="00304215">
        <w:rPr>
          <w:noProof/>
        </w:rPr>
        <w:instrText>5</w:instrText>
      </w:r>
      <w:r w:rsidRPr="00D129D4">
        <w:fldChar w:fldCharType="end"/>
      </w:r>
      <w:r w:rsidRPr="00D129D4">
        <w:instrText xml:space="preserve">" "" </w:instrText>
      </w:r>
      <w:r w:rsidRPr="00D129D4">
        <w:fldChar w:fldCharType="separate"/>
      </w:r>
      <w:bookmarkStart w:id="1196" w:name="_Caption7813"/>
      <w:bookmarkStart w:id="1197" w:name="_Caption4583"/>
      <w:bookmarkStart w:id="1198" w:name="_Caption5418"/>
      <w:bookmarkStart w:id="1199" w:name="_Caption4979"/>
      <w:bookmarkStart w:id="1200" w:name="_Caption9114"/>
      <w:bookmarkStart w:id="1201" w:name="_Caption6931"/>
      <w:bookmarkStart w:id="1202" w:name="_Caption6733"/>
      <w:bookmarkStart w:id="1203" w:name="_Caption1007"/>
      <w:bookmarkStart w:id="1204" w:name="_Caption3363"/>
      <w:bookmarkStart w:id="1205" w:name="_Caption3835"/>
      <w:bookmarkStart w:id="1206" w:name="_Caption6493"/>
      <w:bookmarkStart w:id="1207" w:name="_Caption3790"/>
      <w:bookmarkStart w:id="1208" w:name="_Caption3623"/>
      <w:bookmarkStart w:id="1209" w:name="_Caption1009"/>
      <w:bookmarkStart w:id="1210" w:name="_Caption0264"/>
      <w:bookmarkStart w:id="1211" w:name="_Caption1787"/>
      <w:bookmarkStart w:id="1212" w:name="_Caption5462"/>
      <w:bookmarkStart w:id="1213" w:name="_Caption7727"/>
      <w:bookmarkStart w:id="1214" w:name="_Caption7449"/>
      <w:bookmarkStart w:id="1215" w:name="_Caption1312"/>
      <w:bookmarkStart w:id="1216" w:name="_Caption7831"/>
      <w:bookmarkStart w:id="1217" w:name="_Caption4382"/>
      <w:bookmarkStart w:id="1218" w:name="_Caption8401"/>
      <w:bookmarkStart w:id="1219" w:name="_Caption1684"/>
      <w:bookmarkStart w:id="1220" w:name="_Caption6227"/>
      <w:bookmarkStart w:id="1221" w:name="_Caption4094"/>
      <w:bookmarkStart w:id="1222" w:name="_Caption9289"/>
      <w:bookmarkStart w:id="1223" w:name="_Caption0757"/>
      <w:bookmarkStart w:id="1224" w:name="_Caption4187"/>
      <w:bookmarkStart w:id="1225" w:name="_Caption3168"/>
      <w:bookmarkStart w:id="1226" w:name="_Caption4096"/>
      <w:bookmarkStart w:id="1227" w:name="_Caption4794"/>
      <w:bookmarkStart w:id="1228" w:name="_Caption8921"/>
      <w:bookmarkStart w:id="1229" w:name="_Caption6195"/>
      <w:bookmarkStart w:id="1230" w:name="_Caption8151"/>
      <w:bookmarkStart w:id="1231" w:name="_Caption4203"/>
      <w:bookmarkStart w:id="1232" w:name="_Caption9348"/>
      <w:bookmarkStart w:id="1233" w:name="_Caption1989"/>
      <w:bookmarkStart w:id="1234" w:name="_Caption3469"/>
      <w:bookmarkStart w:id="1235" w:name="_Caption6606"/>
      <w:bookmarkStart w:id="1236" w:name="_Caption4622"/>
      <w:bookmarkStart w:id="1237" w:name="_Caption7940"/>
      <w:bookmarkStart w:id="1238" w:name="_Caption5693"/>
      <w:bookmarkStart w:id="1239" w:name="_Caption0114"/>
      <w:bookmarkStart w:id="1240" w:name="_Caption6258"/>
      <w:bookmarkStart w:id="1241" w:name="_Caption1914"/>
      <w:bookmarkStart w:id="1242" w:name="_Caption7185"/>
      <w:bookmarkStart w:id="1243" w:name="_Toc383082100"/>
      <w:bookmarkStart w:id="1244" w:name="_Toc384653379"/>
      <w:bookmarkStart w:id="1245" w:name="_Toc391972974"/>
      <w:r w:rsidR="00584F9A">
        <w:rPr>
          <w:noProof/>
        </w:rPr>
        <w:t>6</w:t>
      </w:r>
      <w:r w:rsidR="00584F9A" w:rsidRPr="00D129D4">
        <w:rPr>
          <w:noProof/>
        </w:rPr>
        <w:t>.</w:t>
      </w:r>
      <w:r w:rsidR="00584F9A">
        <w:rPr>
          <w:noProof/>
        </w:rPr>
        <w:t>5</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r w:rsidRPr="00D129D4">
        <w:fldChar w:fldCharType="end"/>
      </w:r>
      <w:r w:rsidRPr="00D129D4">
        <w:tab/>
        <w:t>Differences in welfare by regions of Australia</w:t>
      </w:r>
      <w:bookmarkEnd w:id="1243"/>
      <w:bookmarkEnd w:id="1244"/>
      <w:bookmarkEnd w:id="1245"/>
      <w:r w:rsidRPr="00D129D4">
        <w:t xml:space="preserve"> </w:t>
      </w:r>
    </w:p>
    <w:tbl>
      <w:tblPr>
        <w:tblW w:w="7938" w:type="dxa"/>
        <w:tblInd w:w="57" w:type="dxa"/>
        <w:tblBorders>
          <w:bottom w:val="single" w:sz="4" w:space="0" w:color="auto"/>
          <w:insideH w:val="single" w:sz="8" w:space="0" w:color="FFFFFF" w:themeColor="background1"/>
        </w:tblBorders>
        <w:tblLayout w:type="fixed"/>
        <w:tblLook w:val="0000" w:firstRow="0" w:lastRow="0" w:firstColumn="0" w:lastColumn="0" w:noHBand="0" w:noVBand="0"/>
      </w:tblPr>
      <w:tblGrid>
        <w:gridCol w:w="2849"/>
        <w:gridCol w:w="1043"/>
        <w:gridCol w:w="1173"/>
        <w:gridCol w:w="1172"/>
        <w:gridCol w:w="786"/>
        <w:gridCol w:w="915"/>
      </w:tblGrid>
      <w:tr w:rsidR="00FF21CA" w:rsidRPr="00D129D4" w:rsidTr="002B2E3B">
        <w:tc>
          <w:tcPr>
            <w:tcW w:w="3119" w:type="dxa"/>
            <w:tcBorders>
              <w:bottom w:val="single" w:sz="8" w:space="0" w:color="FFFFFF" w:themeColor="background1"/>
            </w:tcBorders>
            <w:shd w:val="clear" w:color="auto" w:fill="6F6652"/>
            <w:tcMar>
              <w:left w:w="57" w:type="dxa"/>
              <w:right w:w="57" w:type="dxa"/>
            </w:tcMar>
          </w:tcPr>
          <w:p w:rsidR="00FF21CA" w:rsidRPr="00D129D4" w:rsidRDefault="00FF21CA" w:rsidP="00F376BC">
            <w:pPr>
              <w:pStyle w:val="TableDataColumnHeading"/>
              <w:jc w:val="left"/>
            </w:pPr>
          </w:p>
        </w:tc>
        <w:tc>
          <w:tcPr>
            <w:tcW w:w="1134" w:type="dxa"/>
            <w:tcBorders>
              <w:bottom w:val="single" w:sz="8" w:space="0" w:color="FFFFFF" w:themeColor="background1"/>
            </w:tcBorders>
            <w:shd w:val="clear" w:color="auto" w:fill="6F6652"/>
            <w:tcMar>
              <w:left w:w="57" w:type="dxa"/>
              <w:right w:w="57" w:type="dxa"/>
            </w:tcMar>
          </w:tcPr>
          <w:p w:rsidR="00FF21CA" w:rsidRPr="00D129D4" w:rsidRDefault="00FF21CA" w:rsidP="00F376BC">
            <w:pPr>
              <w:pStyle w:val="TableDataColumnHeading"/>
            </w:pPr>
            <w:r w:rsidRPr="00D129D4">
              <w:t>Major cities</w:t>
            </w:r>
          </w:p>
        </w:tc>
        <w:tc>
          <w:tcPr>
            <w:tcW w:w="1276" w:type="dxa"/>
            <w:tcBorders>
              <w:bottom w:val="single" w:sz="8" w:space="0" w:color="FFFFFF" w:themeColor="background1"/>
            </w:tcBorders>
            <w:shd w:val="clear" w:color="auto" w:fill="6F6652"/>
            <w:tcMar>
              <w:left w:w="57" w:type="dxa"/>
              <w:right w:w="57" w:type="dxa"/>
            </w:tcMar>
          </w:tcPr>
          <w:p w:rsidR="00FF21CA" w:rsidRPr="00D129D4" w:rsidRDefault="00FF21CA" w:rsidP="00F376BC">
            <w:pPr>
              <w:pStyle w:val="TableDataColumnHeading"/>
            </w:pPr>
            <w:r w:rsidRPr="00D129D4">
              <w:t>Inner regional</w:t>
            </w:r>
          </w:p>
        </w:tc>
        <w:tc>
          <w:tcPr>
            <w:tcW w:w="1275" w:type="dxa"/>
            <w:tcBorders>
              <w:bottom w:val="single" w:sz="8" w:space="0" w:color="FFFFFF" w:themeColor="background1"/>
            </w:tcBorders>
            <w:shd w:val="clear" w:color="auto" w:fill="6F6652"/>
            <w:tcMar>
              <w:left w:w="57" w:type="dxa"/>
              <w:right w:w="57" w:type="dxa"/>
            </w:tcMar>
          </w:tcPr>
          <w:p w:rsidR="00FF21CA" w:rsidRPr="00D129D4" w:rsidRDefault="00FF21CA" w:rsidP="00F376BC">
            <w:pPr>
              <w:pStyle w:val="TableDataColumnHeading"/>
            </w:pPr>
            <w:r w:rsidRPr="00D129D4">
              <w:t>Outer regional</w:t>
            </w:r>
          </w:p>
        </w:tc>
        <w:tc>
          <w:tcPr>
            <w:tcW w:w="851" w:type="dxa"/>
            <w:tcBorders>
              <w:bottom w:val="single" w:sz="8" w:space="0" w:color="FFFFFF" w:themeColor="background1"/>
            </w:tcBorders>
            <w:shd w:val="clear" w:color="auto" w:fill="6F6652"/>
            <w:tcMar>
              <w:left w:w="57" w:type="dxa"/>
              <w:right w:w="57" w:type="dxa"/>
            </w:tcMar>
          </w:tcPr>
          <w:p w:rsidR="00FF21CA" w:rsidRPr="00D129D4" w:rsidRDefault="00FF21CA" w:rsidP="00F376BC">
            <w:pPr>
              <w:pStyle w:val="TableDataColumnHeading"/>
            </w:pPr>
            <w:r w:rsidRPr="00D129D4">
              <w:t>Remote</w:t>
            </w:r>
          </w:p>
        </w:tc>
        <w:tc>
          <w:tcPr>
            <w:tcW w:w="993" w:type="dxa"/>
            <w:tcBorders>
              <w:bottom w:val="single" w:sz="8" w:space="0" w:color="FFFFFF" w:themeColor="background1"/>
            </w:tcBorders>
            <w:shd w:val="clear" w:color="auto" w:fill="6F6652"/>
            <w:tcMar>
              <w:left w:w="57" w:type="dxa"/>
              <w:right w:w="57" w:type="dxa"/>
            </w:tcMar>
          </w:tcPr>
          <w:p w:rsidR="00FF21CA" w:rsidRPr="00D129D4" w:rsidRDefault="00FF21CA" w:rsidP="00F376BC">
            <w:pPr>
              <w:pStyle w:val="TableDataColumnHeading"/>
            </w:pPr>
            <w:r w:rsidRPr="00D129D4">
              <w:t>Australia</w:t>
            </w:r>
          </w:p>
        </w:tc>
      </w:tr>
      <w:tr w:rsidR="00FF21CA" w:rsidRPr="002B2E3B" w:rsidTr="002B2E3B">
        <w:trPr>
          <w:trHeight w:val="285"/>
        </w:trPr>
        <w:tc>
          <w:tcPr>
            <w:tcW w:w="8648" w:type="dxa"/>
            <w:gridSpan w:val="6"/>
            <w:tcBorders>
              <w:top w:val="single" w:sz="8" w:space="0" w:color="FFFFFF" w:themeColor="background1"/>
              <w:bottom w:val="single" w:sz="8" w:space="0" w:color="FFFFFF" w:themeColor="background1"/>
            </w:tcBorders>
            <w:shd w:val="clear" w:color="auto" w:fill="E4E0DA" w:themeFill="text2" w:themeFillTint="33"/>
            <w:tcMar>
              <w:left w:w="57" w:type="dxa"/>
              <w:right w:w="57" w:type="dxa"/>
            </w:tcMar>
          </w:tcPr>
          <w:p w:rsidR="00FF21CA" w:rsidRPr="002B2E3B" w:rsidRDefault="00FF21CA" w:rsidP="002B2E3B">
            <w:pPr>
              <w:pStyle w:val="TableHeading1"/>
            </w:pPr>
            <w:r w:rsidRPr="002B2E3B">
              <w:t>Given your current needs and financial responsibi</w:t>
            </w:r>
            <w:r w:rsidR="002B2E3B">
              <w:t>lities, you and your family are:</w:t>
            </w:r>
          </w:p>
        </w:tc>
      </w:tr>
      <w:tr w:rsidR="00FF21CA" w:rsidRPr="00D129D4" w:rsidTr="002B2E3B">
        <w:tc>
          <w:tcPr>
            <w:tcW w:w="3119" w:type="dxa"/>
            <w:tcBorders>
              <w:top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jc w:val="left"/>
            </w:pPr>
            <w:r w:rsidRPr="00D129D4">
              <w:t>Prosperous</w:t>
            </w:r>
          </w:p>
        </w:tc>
        <w:tc>
          <w:tcPr>
            <w:tcW w:w="1134" w:type="dxa"/>
            <w:tcBorders>
              <w:top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17</w:t>
            </w:r>
          </w:p>
        </w:tc>
        <w:tc>
          <w:tcPr>
            <w:tcW w:w="1276" w:type="dxa"/>
            <w:tcBorders>
              <w:top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15</w:t>
            </w:r>
          </w:p>
        </w:tc>
        <w:tc>
          <w:tcPr>
            <w:tcW w:w="1275" w:type="dxa"/>
            <w:tcBorders>
              <w:top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14</w:t>
            </w:r>
          </w:p>
        </w:tc>
        <w:tc>
          <w:tcPr>
            <w:tcW w:w="851" w:type="dxa"/>
            <w:tcBorders>
              <w:top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17</w:t>
            </w:r>
          </w:p>
        </w:tc>
        <w:tc>
          <w:tcPr>
            <w:tcW w:w="993" w:type="dxa"/>
            <w:tcBorders>
              <w:top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16</w:t>
            </w:r>
          </w:p>
        </w:tc>
      </w:tr>
      <w:tr w:rsidR="00FF21CA" w:rsidRPr="00D129D4" w:rsidTr="002B2E3B">
        <w:tc>
          <w:tcPr>
            <w:tcW w:w="3119" w:type="dxa"/>
            <w:shd w:val="clear" w:color="auto" w:fill="E9E8E5" w:themeFill="background2"/>
            <w:tcMar>
              <w:left w:w="57" w:type="dxa"/>
              <w:right w:w="57" w:type="dxa"/>
            </w:tcMar>
          </w:tcPr>
          <w:p w:rsidR="00FF21CA" w:rsidRPr="00D129D4" w:rsidRDefault="00FF21CA" w:rsidP="00F376BC">
            <w:pPr>
              <w:pStyle w:val="TableDataEntries"/>
              <w:jc w:val="left"/>
            </w:pPr>
            <w:r w:rsidRPr="00D129D4">
              <w:t>Reasonable comfortable</w:t>
            </w:r>
          </w:p>
        </w:tc>
        <w:tc>
          <w:tcPr>
            <w:tcW w:w="1134" w:type="dxa"/>
            <w:shd w:val="clear" w:color="auto" w:fill="E9E8E5" w:themeFill="background2"/>
            <w:tcMar>
              <w:left w:w="57" w:type="dxa"/>
              <w:right w:w="57" w:type="dxa"/>
            </w:tcMar>
          </w:tcPr>
          <w:p w:rsidR="00FF21CA" w:rsidRPr="00D129D4" w:rsidRDefault="00FF21CA" w:rsidP="00F376BC">
            <w:pPr>
              <w:pStyle w:val="TableDataEntries"/>
            </w:pPr>
            <w:r w:rsidRPr="00D129D4">
              <w:t>53</w:t>
            </w:r>
          </w:p>
        </w:tc>
        <w:tc>
          <w:tcPr>
            <w:tcW w:w="1276" w:type="dxa"/>
            <w:shd w:val="clear" w:color="auto" w:fill="E9E8E5" w:themeFill="background2"/>
            <w:tcMar>
              <w:left w:w="57" w:type="dxa"/>
              <w:right w:w="57" w:type="dxa"/>
            </w:tcMar>
          </w:tcPr>
          <w:p w:rsidR="00FF21CA" w:rsidRPr="00D129D4" w:rsidRDefault="00FF21CA" w:rsidP="00F376BC">
            <w:pPr>
              <w:pStyle w:val="TableDataEntries"/>
            </w:pPr>
            <w:r w:rsidRPr="00D129D4">
              <w:t>53</w:t>
            </w:r>
          </w:p>
        </w:tc>
        <w:tc>
          <w:tcPr>
            <w:tcW w:w="1275" w:type="dxa"/>
            <w:shd w:val="clear" w:color="auto" w:fill="E9E8E5" w:themeFill="background2"/>
            <w:tcMar>
              <w:left w:w="57" w:type="dxa"/>
              <w:right w:w="57" w:type="dxa"/>
            </w:tcMar>
          </w:tcPr>
          <w:p w:rsidR="00FF21CA" w:rsidRPr="00D129D4" w:rsidRDefault="00FF21CA" w:rsidP="00F376BC">
            <w:pPr>
              <w:pStyle w:val="TableDataEntries"/>
            </w:pPr>
            <w:r w:rsidRPr="00D129D4">
              <w:t>50</w:t>
            </w:r>
          </w:p>
        </w:tc>
        <w:tc>
          <w:tcPr>
            <w:tcW w:w="851" w:type="dxa"/>
            <w:shd w:val="clear" w:color="auto" w:fill="E9E8E5" w:themeFill="background2"/>
            <w:tcMar>
              <w:left w:w="57" w:type="dxa"/>
              <w:right w:w="57" w:type="dxa"/>
            </w:tcMar>
          </w:tcPr>
          <w:p w:rsidR="00FF21CA" w:rsidRPr="00D129D4" w:rsidRDefault="00FF21CA" w:rsidP="00F376BC">
            <w:pPr>
              <w:pStyle w:val="TableDataEntries"/>
            </w:pPr>
            <w:r w:rsidRPr="00D129D4">
              <w:t>55</w:t>
            </w:r>
          </w:p>
        </w:tc>
        <w:tc>
          <w:tcPr>
            <w:tcW w:w="993" w:type="dxa"/>
            <w:shd w:val="clear" w:color="auto" w:fill="E9E8E5" w:themeFill="background2"/>
            <w:tcMar>
              <w:left w:w="57" w:type="dxa"/>
              <w:right w:w="57" w:type="dxa"/>
            </w:tcMar>
          </w:tcPr>
          <w:p w:rsidR="00FF21CA" w:rsidRPr="00D129D4" w:rsidRDefault="00FF21CA" w:rsidP="00F376BC">
            <w:pPr>
              <w:pStyle w:val="TableDataEntries"/>
            </w:pPr>
            <w:r w:rsidRPr="00D129D4">
              <w:t>53</w:t>
            </w:r>
          </w:p>
        </w:tc>
      </w:tr>
      <w:tr w:rsidR="00FF21CA" w:rsidRPr="00D129D4" w:rsidTr="002B2E3B">
        <w:tc>
          <w:tcPr>
            <w:tcW w:w="3119" w:type="dxa"/>
            <w:shd w:val="clear" w:color="auto" w:fill="E9E8E5" w:themeFill="background2"/>
            <w:tcMar>
              <w:left w:w="57" w:type="dxa"/>
              <w:right w:w="57" w:type="dxa"/>
            </w:tcMar>
          </w:tcPr>
          <w:p w:rsidR="00FF21CA" w:rsidRPr="00D129D4" w:rsidRDefault="00FF21CA" w:rsidP="00F376BC">
            <w:pPr>
              <w:pStyle w:val="TableDataEntries"/>
              <w:jc w:val="left"/>
            </w:pPr>
            <w:r w:rsidRPr="00D129D4">
              <w:t>Just getting along</w:t>
            </w:r>
          </w:p>
        </w:tc>
        <w:tc>
          <w:tcPr>
            <w:tcW w:w="1134" w:type="dxa"/>
            <w:shd w:val="clear" w:color="auto" w:fill="E9E8E5" w:themeFill="background2"/>
            <w:tcMar>
              <w:left w:w="57" w:type="dxa"/>
              <w:right w:w="57" w:type="dxa"/>
            </w:tcMar>
          </w:tcPr>
          <w:p w:rsidR="00FF21CA" w:rsidRPr="00D129D4" w:rsidRDefault="00FF21CA" w:rsidP="00F376BC">
            <w:pPr>
              <w:pStyle w:val="TableDataEntries"/>
            </w:pPr>
            <w:r w:rsidRPr="00D129D4">
              <w:t>28</w:t>
            </w:r>
          </w:p>
        </w:tc>
        <w:tc>
          <w:tcPr>
            <w:tcW w:w="1276" w:type="dxa"/>
            <w:shd w:val="clear" w:color="auto" w:fill="E9E8E5" w:themeFill="background2"/>
            <w:tcMar>
              <w:left w:w="57" w:type="dxa"/>
              <w:right w:w="57" w:type="dxa"/>
            </w:tcMar>
          </w:tcPr>
          <w:p w:rsidR="00FF21CA" w:rsidRPr="00D129D4" w:rsidRDefault="00FF21CA" w:rsidP="00F376BC">
            <w:pPr>
              <w:pStyle w:val="TableDataEntries"/>
            </w:pPr>
            <w:r w:rsidRPr="00D129D4">
              <w:t>29</w:t>
            </w:r>
          </w:p>
        </w:tc>
        <w:tc>
          <w:tcPr>
            <w:tcW w:w="1275" w:type="dxa"/>
            <w:shd w:val="clear" w:color="auto" w:fill="E9E8E5" w:themeFill="background2"/>
            <w:tcMar>
              <w:left w:w="57" w:type="dxa"/>
              <w:right w:w="57" w:type="dxa"/>
            </w:tcMar>
          </w:tcPr>
          <w:p w:rsidR="00FF21CA" w:rsidRPr="00D129D4" w:rsidRDefault="00FF21CA" w:rsidP="00F376BC">
            <w:pPr>
              <w:pStyle w:val="TableDataEntries"/>
            </w:pPr>
            <w:r w:rsidRPr="00D129D4">
              <w:t>32</w:t>
            </w:r>
          </w:p>
        </w:tc>
        <w:tc>
          <w:tcPr>
            <w:tcW w:w="851" w:type="dxa"/>
            <w:shd w:val="clear" w:color="auto" w:fill="E9E8E5" w:themeFill="background2"/>
            <w:tcMar>
              <w:left w:w="57" w:type="dxa"/>
              <w:right w:w="57" w:type="dxa"/>
            </w:tcMar>
          </w:tcPr>
          <w:p w:rsidR="00FF21CA" w:rsidRPr="00D129D4" w:rsidRDefault="00FF21CA" w:rsidP="00F376BC">
            <w:pPr>
              <w:pStyle w:val="TableDataEntries"/>
            </w:pPr>
            <w:r w:rsidRPr="00D129D4">
              <w:t>25</w:t>
            </w:r>
          </w:p>
        </w:tc>
        <w:tc>
          <w:tcPr>
            <w:tcW w:w="993" w:type="dxa"/>
            <w:shd w:val="clear" w:color="auto" w:fill="E9E8E5" w:themeFill="background2"/>
            <w:tcMar>
              <w:left w:w="57" w:type="dxa"/>
              <w:right w:w="57" w:type="dxa"/>
            </w:tcMar>
          </w:tcPr>
          <w:p w:rsidR="00FF21CA" w:rsidRPr="00D129D4" w:rsidRDefault="00FF21CA" w:rsidP="00F376BC">
            <w:pPr>
              <w:pStyle w:val="TableDataEntries"/>
            </w:pPr>
            <w:r w:rsidRPr="00D129D4">
              <w:t>28</w:t>
            </w:r>
          </w:p>
        </w:tc>
      </w:tr>
      <w:tr w:rsidR="00FF21CA" w:rsidRPr="00D129D4" w:rsidTr="002B2E3B">
        <w:tc>
          <w:tcPr>
            <w:tcW w:w="3119" w:type="dxa"/>
            <w:tcBorders>
              <w:bottom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jc w:val="left"/>
            </w:pPr>
            <w:r w:rsidRPr="00D129D4">
              <w:t>Poor/very poor</w:t>
            </w:r>
          </w:p>
        </w:tc>
        <w:tc>
          <w:tcPr>
            <w:tcW w:w="1134" w:type="dxa"/>
            <w:tcBorders>
              <w:bottom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3</w:t>
            </w:r>
          </w:p>
        </w:tc>
        <w:tc>
          <w:tcPr>
            <w:tcW w:w="1276" w:type="dxa"/>
            <w:tcBorders>
              <w:bottom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3</w:t>
            </w:r>
          </w:p>
        </w:tc>
        <w:tc>
          <w:tcPr>
            <w:tcW w:w="1275" w:type="dxa"/>
            <w:tcBorders>
              <w:bottom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3</w:t>
            </w:r>
          </w:p>
        </w:tc>
        <w:tc>
          <w:tcPr>
            <w:tcW w:w="851" w:type="dxa"/>
            <w:tcBorders>
              <w:bottom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4</w:t>
            </w:r>
          </w:p>
        </w:tc>
        <w:tc>
          <w:tcPr>
            <w:tcW w:w="993" w:type="dxa"/>
            <w:tcBorders>
              <w:bottom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3</w:t>
            </w:r>
          </w:p>
        </w:tc>
      </w:tr>
      <w:tr w:rsidR="00FF21CA" w:rsidRPr="002B2E3B" w:rsidTr="002B2E3B">
        <w:tc>
          <w:tcPr>
            <w:tcW w:w="8648" w:type="dxa"/>
            <w:gridSpan w:val="6"/>
            <w:tcBorders>
              <w:top w:val="single" w:sz="8" w:space="0" w:color="FFFFFF" w:themeColor="background1"/>
              <w:bottom w:val="single" w:sz="8" w:space="0" w:color="FFFFFF" w:themeColor="background1"/>
            </w:tcBorders>
            <w:shd w:val="clear" w:color="auto" w:fill="E4E0DA" w:themeFill="text2" w:themeFillTint="33"/>
            <w:tcMar>
              <w:left w:w="57" w:type="dxa"/>
              <w:right w:w="57" w:type="dxa"/>
            </w:tcMar>
          </w:tcPr>
          <w:p w:rsidR="00FF21CA" w:rsidRPr="002B2E3B" w:rsidRDefault="00FF21CA" w:rsidP="002B2E3B">
            <w:pPr>
              <w:pStyle w:val="TableHeading1"/>
            </w:pPr>
            <w:r w:rsidRPr="002B2E3B">
              <w:t>Due to a sho</w:t>
            </w:r>
            <w:r w:rsidR="002B2E3B">
              <w:t>rtage of money you are recently:</w:t>
            </w:r>
          </w:p>
        </w:tc>
      </w:tr>
      <w:tr w:rsidR="00FF21CA" w:rsidRPr="00D129D4" w:rsidTr="002B2E3B">
        <w:tc>
          <w:tcPr>
            <w:tcW w:w="3119" w:type="dxa"/>
            <w:tcBorders>
              <w:top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jc w:val="left"/>
            </w:pPr>
            <w:r w:rsidRPr="00D129D4">
              <w:t>Asked for financial help from friends/family</w:t>
            </w:r>
          </w:p>
        </w:tc>
        <w:tc>
          <w:tcPr>
            <w:tcW w:w="1134" w:type="dxa"/>
            <w:tcBorders>
              <w:top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11</w:t>
            </w:r>
          </w:p>
        </w:tc>
        <w:tc>
          <w:tcPr>
            <w:tcW w:w="1276" w:type="dxa"/>
            <w:tcBorders>
              <w:top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11</w:t>
            </w:r>
          </w:p>
        </w:tc>
        <w:tc>
          <w:tcPr>
            <w:tcW w:w="1275" w:type="dxa"/>
            <w:tcBorders>
              <w:top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9</w:t>
            </w:r>
          </w:p>
        </w:tc>
        <w:tc>
          <w:tcPr>
            <w:tcW w:w="851" w:type="dxa"/>
            <w:tcBorders>
              <w:top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13</w:t>
            </w:r>
          </w:p>
        </w:tc>
        <w:tc>
          <w:tcPr>
            <w:tcW w:w="993" w:type="dxa"/>
            <w:tcBorders>
              <w:top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11</w:t>
            </w:r>
          </w:p>
        </w:tc>
      </w:tr>
      <w:tr w:rsidR="00FF21CA" w:rsidRPr="00D129D4" w:rsidTr="001C172D">
        <w:tc>
          <w:tcPr>
            <w:tcW w:w="3119" w:type="dxa"/>
            <w:tcBorders>
              <w:bottom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jc w:val="left"/>
            </w:pPr>
            <w:r w:rsidRPr="00D129D4">
              <w:t xml:space="preserve">Asked for help  </w:t>
            </w:r>
          </w:p>
        </w:tc>
        <w:tc>
          <w:tcPr>
            <w:tcW w:w="1134" w:type="dxa"/>
            <w:tcBorders>
              <w:bottom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3</w:t>
            </w:r>
          </w:p>
        </w:tc>
        <w:tc>
          <w:tcPr>
            <w:tcW w:w="1276" w:type="dxa"/>
            <w:tcBorders>
              <w:bottom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3</w:t>
            </w:r>
          </w:p>
        </w:tc>
        <w:tc>
          <w:tcPr>
            <w:tcW w:w="1275" w:type="dxa"/>
            <w:tcBorders>
              <w:bottom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3</w:t>
            </w:r>
          </w:p>
        </w:tc>
        <w:tc>
          <w:tcPr>
            <w:tcW w:w="851" w:type="dxa"/>
            <w:tcBorders>
              <w:bottom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2</w:t>
            </w:r>
          </w:p>
        </w:tc>
        <w:tc>
          <w:tcPr>
            <w:tcW w:w="993" w:type="dxa"/>
            <w:tcBorders>
              <w:bottom w:val="single" w:sz="8" w:space="0" w:color="FFFFFF" w:themeColor="background1"/>
            </w:tcBorders>
            <w:shd w:val="clear" w:color="auto" w:fill="E9E8E5" w:themeFill="background2"/>
            <w:tcMar>
              <w:left w:w="57" w:type="dxa"/>
              <w:right w:w="57" w:type="dxa"/>
            </w:tcMar>
          </w:tcPr>
          <w:p w:rsidR="00FF21CA" w:rsidRPr="00D129D4" w:rsidRDefault="00FF21CA" w:rsidP="00F376BC">
            <w:pPr>
              <w:pStyle w:val="TableDataEntries"/>
            </w:pPr>
            <w:r w:rsidRPr="00D129D4">
              <w:t>3</w:t>
            </w:r>
          </w:p>
        </w:tc>
      </w:tr>
      <w:tr w:rsidR="00FF21CA" w:rsidRPr="00D129D4" w:rsidTr="001C172D">
        <w:tc>
          <w:tcPr>
            <w:tcW w:w="3119" w:type="dxa"/>
            <w:tcBorders>
              <w:top w:val="single" w:sz="8" w:space="0" w:color="FFFFFF" w:themeColor="background1"/>
              <w:bottom w:val="single" w:sz="4" w:space="0" w:color="6F6652" w:themeColor="accent5"/>
            </w:tcBorders>
            <w:shd w:val="clear" w:color="auto" w:fill="E9E8E5" w:themeFill="background2"/>
            <w:tcMar>
              <w:left w:w="57" w:type="dxa"/>
              <w:right w:w="57" w:type="dxa"/>
            </w:tcMar>
          </w:tcPr>
          <w:p w:rsidR="00FF21CA" w:rsidRPr="00D129D4" w:rsidRDefault="00FF21CA" w:rsidP="00F376BC">
            <w:pPr>
              <w:pStyle w:val="TableDataEntries"/>
              <w:jc w:val="left"/>
            </w:pPr>
            <w:r w:rsidRPr="00D129D4">
              <w:t>Went without meals</w:t>
            </w:r>
            <w:r w:rsidRPr="00D129D4">
              <w:rPr>
                <w:b/>
              </w:rPr>
              <w:t xml:space="preserve">  </w:t>
            </w:r>
          </w:p>
        </w:tc>
        <w:tc>
          <w:tcPr>
            <w:tcW w:w="1134" w:type="dxa"/>
            <w:tcBorders>
              <w:top w:val="single" w:sz="8" w:space="0" w:color="FFFFFF" w:themeColor="background1"/>
              <w:bottom w:val="single" w:sz="4" w:space="0" w:color="6F6652" w:themeColor="accent5"/>
            </w:tcBorders>
            <w:shd w:val="clear" w:color="auto" w:fill="E9E8E5" w:themeFill="background2"/>
            <w:tcMar>
              <w:left w:w="57" w:type="dxa"/>
              <w:right w:w="57" w:type="dxa"/>
            </w:tcMar>
          </w:tcPr>
          <w:p w:rsidR="00FF21CA" w:rsidRPr="00D129D4" w:rsidRDefault="00FF21CA" w:rsidP="00F376BC">
            <w:pPr>
              <w:pStyle w:val="TableDataEntries"/>
            </w:pPr>
            <w:r w:rsidRPr="00D129D4">
              <w:t>3</w:t>
            </w:r>
          </w:p>
        </w:tc>
        <w:tc>
          <w:tcPr>
            <w:tcW w:w="1276" w:type="dxa"/>
            <w:tcBorders>
              <w:top w:val="single" w:sz="8" w:space="0" w:color="FFFFFF" w:themeColor="background1"/>
              <w:bottom w:val="single" w:sz="4" w:space="0" w:color="6F6652" w:themeColor="accent5"/>
            </w:tcBorders>
            <w:shd w:val="clear" w:color="auto" w:fill="E9E8E5" w:themeFill="background2"/>
            <w:tcMar>
              <w:left w:w="57" w:type="dxa"/>
              <w:right w:w="57" w:type="dxa"/>
            </w:tcMar>
          </w:tcPr>
          <w:p w:rsidR="00FF21CA" w:rsidRPr="00D129D4" w:rsidRDefault="00FF21CA" w:rsidP="00F376BC">
            <w:pPr>
              <w:pStyle w:val="TableDataEntries"/>
            </w:pPr>
            <w:r w:rsidRPr="00D129D4">
              <w:t>3</w:t>
            </w:r>
          </w:p>
        </w:tc>
        <w:tc>
          <w:tcPr>
            <w:tcW w:w="1275" w:type="dxa"/>
            <w:tcBorders>
              <w:top w:val="single" w:sz="8" w:space="0" w:color="FFFFFF" w:themeColor="background1"/>
              <w:bottom w:val="single" w:sz="4" w:space="0" w:color="6F6652" w:themeColor="accent5"/>
            </w:tcBorders>
            <w:shd w:val="clear" w:color="auto" w:fill="E9E8E5" w:themeFill="background2"/>
            <w:tcMar>
              <w:left w:w="57" w:type="dxa"/>
              <w:right w:w="57" w:type="dxa"/>
            </w:tcMar>
          </w:tcPr>
          <w:p w:rsidR="00FF21CA" w:rsidRPr="00D129D4" w:rsidRDefault="00FF21CA" w:rsidP="00F376BC">
            <w:pPr>
              <w:pStyle w:val="TableDataEntries"/>
            </w:pPr>
            <w:r w:rsidRPr="00D129D4">
              <w:t>3</w:t>
            </w:r>
          </w:p>
        </w:tc>
        <w:tc>
          <w:tcPr>
            <w:tcW w:w="851" w:type="dxa"/>
            <w:tcBorders>
              <w:top w:val="single" w:sz="8" w:space="0" w:color="FFFFFF" w:themeColor="background1"/>
              <w:bottom w:val="single" w:sz="4" w:space="0" w:color="6F6652" w:themeColor="accent5"/>
            </w:tcBorders>
            <w:shd w:val="clear" w:color="auto" w:fill="E9E8E5" w:themeFill="background2"/>
            <w:tcMar>
              <w:left w:w="57" w:type="dxa"/>
              <w:right w:w="57" w:type="dxa"/>
            </w:tcMar>
          </w:tcPr>
          <w:p w:rsidR="00FF21CA" w:rsidRPr="00D129D4" w:rsidRDefault="00FF21CA" w:rsidP="00F376BC">
            <w:pPr>
              <w:pStyle w:val="TableDataEntries"/>
            </w:pPr>
            <w:r w:rsidRPr="00D129D4">
              <w:t>2</w:t>
            </w:r>
          </w:p>
        </w:tc>
        <w:tc>
          <w:tcPr>
            <w:tcW w:w="993" w:type="dxa"/>
            <w:tcBorders>
              <w:top w:val="single" w:sz="8" w:space="0" w:color="FFFFFF" w:themeColor="background1"/>
              <w:bottom w:val="single" w:sz="4" w:space="0" w:color="6F6652" w:themeColor="accent5"/>
            </w:tcBorders>
            <w:shd w:val="clear" w:color="auto" w:fill="E9E8E5" w:themeFill="background2"/>
            <w:tcMar>
              <w:left w:w="57" w:type="dxa"/>
              <w:right w:w="57" w:type="dxa"/>
            </w:tcMar>
          </w:tcPr>
          <w:p w:rsidR="00FF21CA" w:rsidRPr="00D129D4" w:rsidRDefault="00FF21CA" w:rsidP="00F376BC">
            <w:pPr>
              <w:pStyle w:val="TableDataEntries"/>
            </w:pPr>
            <w:r w:rsidRPr="00D129D4">
              <w:t>3</w:t>
            </w:r>
          </w:p>
        </w:tc>
      </w:tr>
    </w:tbl>
    <w:p w:rsidR="00FF21CA" w:rsidRPr="00D129D4" w:rsidRDefault="00FF21CA" w:rsidP="00FF21CA">
      <w:pPr>
        <w:pStyle w:val="Source"/>
      </w:pPr>
      <w:r w:rsidRPr="00D129D4">
        <w:rPr>
          <w:i/>
        </w:rPr>
        <w:t>Source:</w:t>
      </w:r>
      <w:r w:rsidRPr="00D129D4">
        <w:t xml:space="preserve"> Department of Infrastructure, Transport, Regional Development and Local Government, </w:t>
      </w:r>
      <w:r w:rsidRPr="00D129D4">
        <w:rPr>
          <w:i/>
        </w:rPr>
        <w:t>About Australia's Regions</w:t>
      </w:r>
      <w:r w:rsidRPr="00D129D4">
        <w:t>, 2008</w:t>
      </w:r>
    </w:p>
    <w:p w:rsidR="00FF21CA" w:rsidRPr="00905F8A" w:rsidRDefault="00FF21CA" w:rsidP="00FF21CA">
      <w:pPr>
        <w:pStyle w:val="BodyText"/>
      </w:pPr>
      <w:r w:rsidRPr="00905F8A">
        <w:t xml:space="preserve">From a social equity point of view, policy measures should aim </w:t>
      </w:r>
      <w:proofErr w:type="gramStart"/>
      <w:r w:rsidRPr="00905F8A">
        <w:t>to specifically target</w:t>
      </w:r>
      <w:proofErr w:type="gramEnd"/>
      <w:r w:rsidRPr="00905F8A">
        <w:t xml:space="preserve"> households in both metropolitan and non-metropolitan areas that cannot afford telecommunication services as opposed to ensuring price parity. </w:t>
      </w:r>
    </w:p>
    <w:p w:rsidR="00FF21CA" w:rsidRPr="00905F8A" w:rsidRDefault="00FF21CA" w:rsidP="00FF21CA">
      <w:pPr>
        <w:pStyle w:val="BodyText"/>
      </w:pPr>
      <w:r w:rsidRPr="00905F8A">
        <w:t>This assessment is consistent with the Regional Telecommunications Inquiry (</w:t>
      </w:r>
      <w:r w:rsidR="00756197">
        <w:t>2002</w:t>
      </w:r>
      <w:r w:rsidRPr="00905F8A">
        <w:t>)</w:t>
      </w:r>
      <w:r w:rsidR="00756197">
        <w:t xml:space="preserve"> view,</w:t>
      </w:r>
      <w:r w:rsidRPr="00905F8A">
        <w:t xml:space="preserve"> which noted that:</w:t>
      </w:r>
    </w:p>
    <w:p w:rsidR="00FF21CA" w:rsidRPr="00905F8A" w:rsidRDefault="00FF21CA" w:rsidP="00FF21CA">
      <w:pPr>
        <w:pStyle w:val="Quote"/>
      </w:pPr>
      <w:proofErr w:type="gramStart"/>
      <w:r w:rsidRPr="00905F8A">
        <w:t>The reality is that in telecommunications factors such as geographic isolation, the high cost of delivery in some areas, limitations of particular technologies (including where they are affected by climate or topography), and lack of commercial viability in some areas, mean that not all consumers across the country can expect access to exactly the same suite of services, at exactly the same price, and in exactly the same time frames.</w:t>
      </w:r>
      <w:proofErr w:type="gramEnd"/>
      <w:r w:rsidRPr="00905F8A">
        <w:t xml:space="preserve"> </w:t>
      </w:r>
    </w:p>
    <w:p w:rsidR="00FF21CA" w:rsidRPr="00905F8A" w:rsidRDefault="00FF21CA" w:rsidP="00FF21CA">
      <w:pPr>
        <w:pStyle w:val="Quote"/>
      </w:pPr>
      <w:r w:rsidRPr="00905F8A">
        <w:t xml:space="preserve">In the Inquiry’s view, the essential issue is whether all consumers across the country have access to a level of service, and a price of service, across the key service </w:t>
      </w:r>
      <w:proofErr w:type="gramStart"/>
      <w:r w:rsidRPr="00905F8A">
        <w:t>areas that allows</w:t>
      </w:r>
      <w:proofErr w:type="gramEnd"/>
      <w:r w:rsidRPr="00905F8A">
        <w:t xml:space="preserve"> broad take-up, effective use of services and comparable consumer benefits</w:t>
      </w:r>
      <w:r w:rsidR="00756197">
        <w:t>.</w:t>
      </w:r>
      <w:r w:rsidR="00756197">
        <w:rPr>
          <w:rStyle w:val="FootnoteReference"/>
        </w:rPr>
        <w:footnoteReference w:id="45"/>
      </w:r>
    </w:p>
    <w:p w:rsidR="00FF21CA" w:rsidRPr="00905F8A" w:rsidRDefault="00FF21CA" w:rsidP="00FF21CA">
      <w:pPr>
        <w:pStyle w:val="BodyText"/>
      </w:pPr>
      <w:r w:rsidRPr="00905F8A">
        <w:t>Retail price controls implemented to achieve social equity also have the potential to compromise the efficiency of the fixed line telecommunication market to the extent that the price controls are not in line with the market prices that would eventuate in the absence of the controls. For example, if price controls were below cost in some areas then this would act as a barrier to competition.</w:t>
      </w:r>
      <w:r>
        <w:t xml:space="preserve"> As discussed earlier, we do not consider that it </w:t>
      </w:r>
      <w:r>
        <w:lastRenderedPageBreak/>
        <w:t xml:space="preserve">is likely that regionally differentiated pricing would occur in the absence of retail price controls. </w:t>
      </w:r>
    </w:p>
    <w:p w:rsidR="00FF21CA" w:rsidRPr="00925CA6" w:rsidRDefault="00FF21CA" w:rsidP="00FF21CA">
      <w:pPr>
        <w:pStyle w:val="BodyText"/>
      </w:pPr>
      <w:proofErr w:type="gramStart"/>
      <w:r w:rsidRPr="00925CA6">
        <w:t>Hence</w:t>
      </w:r>
      <w:proofErr w:type="gramEnd"/>
      <w:r w:rsidRPr="00925CA6">
        <w:t xml:space="preserve"> we would consider that, if the retail price controls had any impact on social equity through achieving regionally consistent prices, this should be viewed as a negative outcome. It would imply an inefficient subsidisation of households that are not low-income in regional areas. </w:t>
      </w:r>
    </w:p>
    <w:p w:rsidR="00106A9E" w:rsidRPr="006B024C" w:rsidRDefault="00106A9E" w:rsidP="00FF21CA">
      <w:pPr>
        <w:pStyle w:val="Heading3"/>
      </w:pPr>
      <w:r w:rsidRPr="006B024C">
        <w:t>5-year requirement for regional and metropolitan pricing parity</w:t>
      </w:r>
    </w:p>
    <w:p w:rsidR="00106A9E" w:rsidRDefault="00D70D7B" w:rsidP="00D70D7B">
      <w:pPr>
        <w:pStyle w:val="BodyText"/>
      </w:pPr>
      <w:r>
        <w:t xml:space="preserve">It would be possible to remove retail price controls except for specific aspects related to social equity, such as uniform national pricing or low-income measures. One option could be to maintain requirements for regional and metropolitan pricing parity for a </w:t>
      </w:r>
      <w:proofErr w:type="gramStart"/>
      <w:r>
        <w:t>period of time</w:t>
      </w:r>
      <w:proofErr w:type="gramEnd"/>
      <w:r>
        <w:t>, such as five years</w:t>
      </w:r>
      <w:r w:rsidR="00532F23">
        <w:t>, on products where this is currently required (the most basic residential and business line rental products and local calls)</w:t>
      </w:r>
      <w:r>
        <w:t>.</w:t>
      </w:r>
    </w:p>
    <w:p w:rsidR="00D70D7B" w:rsidRDefault="00D70D7B" w:rsidP="00D70D7B">
      <w:pPr>
        <w:pStyle w:val="BodyText"/>
      </w:pPr>
      <w:r>
        <w:t xml:space="preserve">As discussed above, there is a very weak alignment between geographically oriented policies and social equity. Advantaged and disadvantaged households are not concentrated in particular regions. Nor are prices of other essential goods and services such as food, water, housing and electricity constrained to be identical across different geographic areas. </w:t>
      </w:r>
      <w:proofErr w:type="gramStart"/>
      <w:r>
        <w:t>Hence</w:t>
      </w:r>
      <w:proofErr w:type="gramEnd"/>
      <w:r>
        <w:t xml:space="preserve"> we would not anticipate that such a policy would be aligned to the objective of achieving social equity.</w:t>
      </w:r>
    </w:p>
    <w:p w:rsidR="00D70D7B" w:rsidRPr="00971BED" w:rsidRDefault="00D70D7B" w:rsidP="00D70D7B">
      <w:pPr>
        <w:pStyle w:val="BodyText"/>
      </w:pPr>
      <w:r>
        <w:t>This policy may also lead to substantial economic costs should this lead to prices not reflecting costs and then in turn change decisions made by consumers about their telecommunications services and use.</w:t>
      </w:r>
    </w:p>
    <w:p w:rsidR="00A53985" w:rsidRPr="00781BDB" w:rsidRDefault="0044268B" w:rsidP="00A53985">
      <w:pPr>
        <w:pStyle w:val="Heading3"/>
      </w:pPr>
      <w:r w:rsidRPr="00781BDB">
        <w:t xml:space="preserve">Use </w:t>
      </w:r>
      <w:r w:rsidR="00A53985" w:rsidRPr="00781BDB">
        <w:t>TUSMA contractual arrangements</w:t>
      </w:r>
    </w:p>
    <w:p w:rsidR="00A53985" w:rsidRDefault="0044268B" w:rsidP="0044268B">
      <w:pPr>
        <w:pStyle w:val="BodyText"/>
      </w:pPr>
      <w:r>
        <w:t>There are a number of areas where retail price controls overlap with contractual arrangements with TUSMA. In particular, contractual arrangements require availability of payphones</w:t>
      </w:r>
      <w:r w:rsidR="000B4602">
        <w:t>, the standard telephone service</w:t>
      </w:r>
      <w:r>
        <w:t xml:space="preserve"> and availability of untimed </w:t>
      </w:r>
      <w:proofErr w:type="gramStart"/>
      <w:r>
        <w:t>locals</w:t>
      </w:r>
      <w:proofErr w:type="gramEnd"/>
      <w:r>
        <w:t xml:space="preserve"> calls within (and to adjacent) extended zones. The retail price controls determine some aspects of the price of services supported by these contracts. In the absence of retail price controls</w:t>
      </w:r>
      <w:r w:rsidR="00781BDB">
        <w:t xml:space="preserve">, pricing for these services </w:t>
      </w:r>
      <w:proofErr w:type="gramStart"/>
      <w:r w:rsidR="00781BDB">
        <w:t>could instead be incorporated</w:t>
      </w:r>
      <w:proofErr w:type="gramEnd"/>
      <w:r w:rsidR="00781BDB">
        <w:t xml:space="preserve"> into contracts</w:t>
      </w:r>
      <w:r w:rsidR="000B4602">
        <w:t>, although this would require renegotiation between TUSMA and Telstra</w:t>
      </w:r>
      <w:r w:rsidR="00781BDB">
        <w:t>.</w:t>
      </w:r>
    </w:p>
    <w:p w:rsidR="0044268B" w:rsidRDefault="0044268B" w:rsidP="0044268B">
      <w:pPr>
        <w:pStyle w:val="BodyText"/>
      </w:pPr>
      <w:r>
        <w:t xml:space="preserve">There does not appear to be a substantive case for price regulating untimed local calls in extended zones or payphones. </w:t>
      </w:r>
    </w:p>
    <w:p w:rsidR="0044268B" w:rsidRDefault="0044268B" w:rsidP="0044268B">
      <w:pPr>
        <w:pStyle w:val="ListBullet"/>
      </w:pPr>
      <w:r>
        <w:t>For the price controls in extended zones, it is unlikely that Telstra would seek to charge a different amount for these customers than other customers, particularly given the small amount of revenue at stake</w:t>
      </w:r>
      <w:r w:rsidR="000A7A6B">
        <w:t xml:space="preserve"> and that local call arrangements </w:t>
      </w:r>
      <w:proofErr w:type="gramStart"/>
      <w:r w:rsidR="000A7A6B">
        <w:t>are also addressed</w:t>
      </w:r>
      <w:proofErr w:type="gramEnd"/>
      <w:r w:rsidR="000A7A6B">
        <w:t xml:space="preserve"> through contracts with TUSMA</w:t>
      </w:r>
      <w:r>
        <w:t xml:space="preserve">. </w:t>
      </w:r>
      <w:proofErr w:type="gramStart"/>
      <w:r>
        <w:t>Hence</w:t>
      </w:r>
      <w:proofErr w:type="gramEnd"/>
      <w:r>
        <w:t xml:space="preserve"> any price control would likely be redundant.</w:t>
      </w:r>
    </w:p>
    <w:p w:rsidR="0044268B" w:rsidRDefault="0044268B" w:rsidP="0044268B">
      <w:pPr>
        <w:pStyle w:val="ListBullet"/>
      </w:pPr>
      <w:r>
        <w:t xml:space="preserve">For payphones, any price control would at best have no impact and at worst constrain the viability of a service that is likely to be borderline commercially viable. </w:t>
      </w:r>
    </w:p>
    <w:p w:rsidR="0044268B" w:rsidRDefault="00781BDB" w:rsidP="0044268B">
      <w:pPr>
        <w:pStyle w:val="BodyText"/>
      </w:pPr>
      <w:r>
        <w:lastRenderedPageBreak/>
        <w:t xml:space="preserve">We recommend not </w:t>
      </w:r>
      <w:r w:rsidR="00585E48">
        <w:t>putting in place</w:t>
      </w:r>
      <w:r>
        <w:t xml:space="preserve"> </w:t>
      </w:r>
      <w:r w:rsidR="00585E48">
        <w:t xml:space="preserve">price controls for </w:t>
      </w:r>
      <w:r>
        <w:t xml:space="preserve">specific contracted services through </w:t>
      </w:r>
      <w:r w:rsidR="00585E48">
        <w:t xml:space="preserve">TUSMA </w:t>
      </w:r>
      <w:r>
        <w:t>contractual arrangements.</w:t>
      </w:r>
    </w:p>
    <w:p w:rsidR="00FF21CA" w:rsidRPr="00925CA6" w:rsidRDefault="00FF21CA" w:rsidP="00FF21CA">
      <w:pPr>
        <w:pStyle w:val="Heading3"/>
      </w:pPr>
      <w:r w:rsidRPr="00925CA6">
        <w:t xml:space="preserve">Targeted subsidies </w:t>
      </w:r>
    </w:p>
    <w:p w:rsidR="00FF21CA" w:rsidRPr="00971BED" w:rsidRDefault="00FF21CA" w:rsidP="00FF21CA">
      <w:pPr>
        <w:pStyle w:val="BodyText"/>
      </w:pPr>
      <w:r w:rsidRPr="00971BED">
        <w:t>In addition to existing welfare payments, the Government could subsid</w:t>
      </w:r>
      <w:r w:rsidR="002C3738">
        <w:t>is</w:t>
      </w:r>
      <w:r w:rsidRPr="00971BED">
        <w:t>e the use of telecommunication services by low-income households and households that live in rural and remote regions of Australia that may face higher telecommunication prices. This is similar to arrangements used in electricity and water, such as those detailed in box </w:t>
      </w:r>
      <w:r w:rsidRPr="00971BED">
        <w:fldChar w:fldCharType="begin"/>
      </w:r>
      <w:r w:rsidRPr="00971BED">
        <w:instrText xml:space="preserve"> REF _Caption3253 </w:instrText>
      </w:r>
      <w:r w:rsidR="00971BED">
        <w:instrText xml:space="preserve"> \* MERGEFORMAT </w:instrText>
      </w:r>
      <w:r w:rsidRPr="00971BED">
        <w:fldChar w:fldCharType="separate"/>
      </w:r>
      <w:r w:rsidR="00304215">
        <w:rPr>
          <w:noProof/>
        </w:rPr>
        <w:t>6</w:t>
      </w:r>
      <w:r w:rsidR="00304215" w:rsidRPr="00971BED">
        <w:rPr>
          <w:noProof/>
        </w:rPr>
        <w:t>.</w:t>
      </w:r>
      <w:r w:rsidR="00304215">
        <w:rPr>
          <w:noProof/>
        </w:rPr>
        <w:t>6</w:t>
      </w:r>
      <w:r w:rsidRPr="00971BED">
        <w:fldChar w:fldCharType="end"/>
      </w:r>
      <w:r w:rsidR="00EB1B39" w:rsidRPr="00971BED">
        <w:t xml:space="preserve"> for the NSW electricity market</w:t>
      </w:r>
      <w:r w:rsidRPr="00971BED">
        <w:t>.</w:t>
      </w:r>
    </w:p>
    <w:p w:rsidR="00FF21CA" w:rsidRPr="00971BED" w:rsidRDefault="00EB1B39" w:rsidP="00FF21CA">
      <w:pPr>
        <w:pStyle w:val="BodyText"/>
      </w:pPr>
      <w:r w:rsidRPr="00971BED">
        <w:t xml:space="preserve">A targeted scheme </w:t>
      </w:r>
      <w:proofErr w:type="gramStart"/>
      <w:r w:rsidRPr="00971BED">
        <w:t>could potentially be administered</w:t>
      </w:r>
      <w:proofErr w:type="gramEnd"/>
      <w:r w:rsidRPr="00971BED">
        <w:t xml:space="preserve"> through </w:t>
      </w:r>
      <w:proofErr w:type="spellStart"/>
      <w:r w:rsidRPr="00971BED">
        <w:t>Centrelink</w:t>
      </w:r>
      <w:proofErr w:type="spellEnd"/>
      <w:r w:rsidRPr="00971BED">
        <w:t xml:space="preserve"> through adjusting welfare payments for households in high price telecommunications areas, for example.</w:t>
      </w:r>
    </w:p>
    <w:p w:rsidR="00FF21CA" w:rsidRPr="00971BED" w:rsidRDefault="00FF21CA" w:rsidP="00FF21CA">
      <w:pPr>
        <w:pStyle w:val="Invisiblepara"/>
      </w:pPr>
    </w:p>
    <w:tbl>
      <w:tblPr>
        <w:tblW w:w="7938" w:type="dxa"/>
        <w:tblInd w:w="142" w:type="dxa"/>
        <w:tblBorders>
          <w:top w:val="single" w:sz="2" w:space="0" w:color="auto"/>
          <w:left w:val="single" w:sz="2" w:space="0" w:color="auto"/>
          <w:bottom w:val="single" w:sz="2" w:space="0" w:color="auto"/>
          <w:right w:val="single" w:sz="2" w:space="0" w:color="auto"/>
        </w:tblBorders>
        <w:tblLayout w:type="fixed"/>
        <w:tblCellMar>
          <w:left w:w="142" w:type="dxa"/>
          <w:right w:w="142" w:type="dxa"/>
        </w:tblCellMar>
        <w:tblLook w:val="0000" w:firstRow="0" w:lastRow="0" w:firstColumn="0" w:lastColumn="0" w:noHBand="0" w:noVBand="0"/>
      </w:tblPr>
      <w:tblGrid>
        <w:gridCol w:w="7938"/>
      </w:tblGrid>
      <w:tr w:rsidR="00FF21CA" w:rsidRPr="00E05C8C" w:rsidTr="00F376BC">
        <w:trPr>
          <w:cantSplit/>
        </w:trPr>
        <w:tc>
          <w:tcPr>
            <w:tcW w:w="7938" w:type="dxa"/>
            <w:tcBorders>
              <w:top w:val="nil"/>
              <w:left w:val="nil"/>
              <w:bottom w:val="nil"/>
              <w:right w:val="nil"/>
            </w:tcBorders>
            <w:shd w:val="clear" w:color="auto" w:fill="C6BFAB" w:themeFill="accent3"/>
          </w:tcPr>
          <w:p w:rsidR="00FF21CA" w:rsidRPr="00971BED" w:rsidRDefault="00FF21CA" w:rsidP="00EB1B39">
            <w:pPr>
              <w:pStyle w:val="Caption"/>
              <w:numPr>
                <w:ilvl w:val="0"/>
                <w:numId w:val="15"/>
              </w:numPr>
              <w:spacing w:before="120" w:after="100"/>
            </w:pPr>
            <w:r w:rsidRPr="00971BED">
              <w:fldChar w:fldCharType="begin"/>
            </w:r>
            <w:r w:rsidRPr="00971BED">
              <w:instrText xml:space="preserve"> IF 1 = 1 "</w:instrText>
            </w:r>
            <w:r w:rsidRPr="00971BED">
              <w:fldChar w:fldCharType="begin"/>
            </w:r>
            <w:r w:rsidRPr="00971BED">
              <w:instrText xml:space="preserve"> IF </w:instrText>
            </w:r>
            <w:fldSimple w:instr=" STYLEREF &quot;Heading 6&quot; \l \n ">
              <w:r w:rsidR="00304215">
                <w:rPr>
                  <w:noProof/>
                </w:rPr>
                <w:instrText>0</w:instrText>
              </w:r>
            </w:fldSimple>
            <w:r w:rsidRPr="00971BED">
              <w:instrText xml:space="preserve"> = 0 "</w:instrText>
            </w:r>
            <w:r w:rsidRPr="00971BED">
              <w:fldChar w:fldCharType="begin"/>
            </w:r>
            <w:r w:rsidRPr="00971BED">
              <w:instrText xml:space="preserve"> IF </w:instrText>
            </w:r>
            <w:fldSimple w:instr=" STYLEREF &quot;Heading 1&quot; \l \n ">
              <w:r w:rsidR="00304215">
                <w:rPr>
                  <w:noProof/>
                </w:rPr>
                <w:instrText>6</w:instrText>
              </w:r>
            </w:fldSimple>
            <w:r w:rsidRPr="00971BED">
              <w:instrText xml:space="preserve"> = 0 "" "</w:instrText>
            </w:r>
            <w:fldSimple w:instr=" STYLEREF &quot;Heading 1&quot; \l \n ">
              <w:r w:rsidR="00304215">
                <w:rPr>
                  <w:noProof/>
                </w:rPr>
                <w:instrText>6</w:instrText>
              </w:r>
            </w:fldSimple>
            <w:r w:rsidRPr="00971BED">
              <w:instrText xml:space="preserve">." </w:instrText>
            </w:r>
            <w:r w:rsidRPr="00971BED">
              <w:fldChar w:fldCharType="separate"/>
            </w:r>
            <w:r w:rsidR="00304215">
              <w:rPr>
                <w:noProof/>
              </w:rPr>
              <w:instrText>6</w:instrText>
            </w:r>
            <w:r w:rsidR="00304215" w:rsidRPr="00971BED">
              <w:rPr>
                <w:noProof/>
              </w:rPr>
              <w:instrText>.</w:instrText>
            </w:r>
            <w:r w:rsidRPr="00971BED">
              <w:fldChar w:fldCharType="end"/>
            </w:r>
            <w:r w:rsidRPr="00971BED">
              <w:instrText>" "</w:instrText>
            </w:r>
            <w:fldSimple w:instr=" STYLEREF &quot;Heading 6&quot; \l \n ">
              <w:r w:rsidRPr="00971BED">
                <w:instrText>B</w:instrText>
              </w:r>
            </w:fldSimple>
            <w:r w:rsidRPr="00971BED">
              <w:instrText xml:space="preserve">." </w:instrText>
            </w:r>
            <w:r w:rsidRPr="00971BED">
              <w:fldChar w:fldCharType="separate"/>
            </w:r>
            <w:r w:rsidR="00584F9A">
              <w:rPr>
                <w:noProof/>
              </w:rPr>
              <w:instrText>6</w:instrText>
            </w:r>
            <w:r w:rsidR="00584F9A" w:rsidRPr="00971BED">
              <w:rPr>
                <w:noProof/>
              </w:rPr>
              <w:instrText>.</w:instrText>
            </w:r>
            <w:r w:rsidRPr="00971BED">
              <w:fldChar w:fldCharType="end"/>
            </w:r>
            <w:r w:rsidRPr="00971BED">
              <w:fldChar w:fldCharType="begin"/>
            </w:r>
            <w:r w:rsidRPr="00971BED">
              <w:instrText xml:space="preserve"> SEQ Item \* ARABIC \s </w:instrText>
            </w:r>
            <w:r w:rsidRPr="00971BED">
              <w:fldChar w:fldCharType="begin"/>
            </w:r>
            <w:r w:rsidRPr="00971BED">
              <w:instrText xml:space="preserve"> IF </w:instrText>
            </w:r>
            <w:fldSimple w:instr=" STYLEREF &quot;Heading 6&quot; \l \n ">
              <w:r w:rsidR="00304215">
                <w:rPr>
                  <w:noProof/>
                </w:rPr>
                <w:instrText>0</w:instrText>
              </w:r>
            </w:fldSimple>
            <w:r w:rsidRPr="00971BED">
              <w:instrText xml:space="preserve"> = 0 "</w:instrText>
            </w:r>
            <w:r w:rsidRPr="00971BED">
              <w:fldChar w:fldCharType="begin"/>
            </w:r>
            <w:r w:rsidRPr="00971BED">
              <w:instrText xml:space="preserve"> IF </w:instrText>
            </w:r>
            <w:fldSimple w:instr=" STYLEREF &quot;Heading 1&quot; \l \n ">
              <w:r w:rsidR="00304215">
                <w:rPr>
                  <w:noProof/>
                </w:rPr>
                <w:instrText>6</w:instrText>
              </w:r>
            </w:fldSimple>
            <w:r w:rsidRPr="00971BED">
              <w:instrText xml:space="preserve"> = 0 "" "1" </w:instrText>
            </w:r>
            <w:r w:rsidRPr="00971BED">
              <w:fldChar w:fldCharType="separate"/>
            </w:r>
            <w:r w:rsidR="00584F9A" w:rsidRPr="00971BED">
              <w:rPr>
                <w:noProof/>
              </w:rPr>
              <w:instrText>1</w:instrText>
            </w:r>
            <w:r w:rsidRPr="00971BED">
              <w:fldChar w:fldCharType="end"/>
            </w:r>
            <w:r w:rsidRPr="00971BED">
              <w:instrText xml:space="preserve">" "6" </w:instrText>
            </w:r>
            <w:r w:rsidRPr="00971BED">
              <w:fldChar w:fldCharType="separate"/>
            </w:r>
            <w:r w:rsidR="00584F9A" w:rsidRPr="00971BED">
              <w:rPr>
                <w:noProof/>
              </w:rPr>
              <w:instrText>1</w:instrText>
            </w:r>
            <w:r w:rsidRPr="00971BED">
              <w:fldChar w:fldCharType="end"/>
            </w:r>
            <w:r w:rsidRPr="00971BED">
              <w:instrText xml:space="preserve"> </w:instrText>
            </w:r>
            <w:r w:rsidRPr="00971BED">
              <w:fldChar w:fldCharType="separate"/>
            </w:r>
            <w:r w:rsidR="00304215">
              <w:rPr>
                <w:noProof/>
              </w:rPr>
              <w:instrText>6</w:instrText>
            </w:r>
            <w:r w:rsidRPr="00971BED">
              <w:fldChar w:fldCharType="end"/>
            </w:r>
            <w:r w:rsidRPr="00971BED">
              <w:instrText xml:space="preserve">" "" </w:instrText>
            </w:r>
            <w:r w:rsidRPr="00971BED">
              <w:fldChar w:fldCharType="separate"/>
            </w:r>
            <w:bookmarkStart w:id="1246" w:name="_Caption4685"/>
            <w:bookmarkStart w:id="1247" w:name="_Caption0463"/>
            <w:bookmarkStart w:id="1248" w:name="_Caption8759"/>
            <w:bookmarkStart w:id="1249" w:name="_Caption2756"/>
            <w:bookmarkStart w:id="1250" w:name="_Caption2338"/>
            <w:bookmarkStart w:id="1251" w:name="_Caption0305"/>
            <w:bookmarkStart w:id="1252" w:name="_Caption4206"/>
            <w:bookmarkStart w:id="1253" w:name="_Caption0386"/>
            <w:bookmarkStart w:id="1254" w:name="_Caption1426"/>
            <w:bookmarkStart w:id="1255" w:name="_Caption5800"/>
            <w:bookmarkStart w:id="1256" w:name="_Caption7139"/>
            <w:bookmarkStart w:id="1257" w:name="_Caption7258"/>
            <w:bookmarkStart w:id="1258" w:name="_Caption5405"/>
            <w:bookmarkStart w:id="1259" w:name="_Caption5780"/>
            <w:bookmarkStart w:id="1260" w:name="_Caption0763"/>
            <w:bookmarkStart w:id="1261" w:name="_Caption4529"/>
            <w:bookmarkStart w:id="1262" w:name="_Caption8178"/>
            <w:bookmarkStart w:id="1263" w:name="_Caption2146"/>
            <w:bookmarkStart w:id="1264" w:name="_Caption0891"/>
            <w:bookmarkStart w:id="1265" w:name="_Caption2546"/>
            <w:bookmarkStart w:id="1266" w:name="_Caption6036"/>
            <w:bookmarkStart w:id="1267" w:name="_Caption9921"/>
            <w:bookmarkStart w:id="1268" w:name="_Caption1951"/>
            <w:bookmarkStart w:id="1269" w:name="_Caption5586"/>
            <w:bookmarkStart w:id="1270" w:name="_Caption4287"/>
            <w:bookmarkStart w:id="1271" w:name="_Caption9335"/>
            <w:bookmarkStart w:id="1272" w:name="_Caption4099"/>
            <w:bookmarkStart w:id="1273" w:name="_Caption3253"/>
            <w:bookmarkStart w:id="1274" w:name="_Caption3027"/>
            <w:bookmarkStart w:id="1275" w:name="_Caption8818"/>
            <w:bookmarkStart w:id="1276" w:name="_Toc391972975"/>
            <w:r w:rsidR="00584F9A">
              <w:rPr>
                <w:noProof/>
              </w:rPr>
              <w:t>6</w:t>
            </w:r>
            <w:r w:rsidR="00584F9A" w:rsidRPr="00971BED">
              <w:rPr>
                <w:noProof/>
              </w:rPr>
              <w:t>.</w:t>
            </w:r>
            <w:r w:rsidR="00584F9A">
              <w:rPr>
                <w:noProof/>
              </w:rPr>
              <w:t>6</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rsidRPr="00971BED">
              <w:fldChar w:fldCharType="end"/>
            </w:r>
            <w:r w:rsidRPr="00971BED">
              <w:tab/>
              <w:t xml:space="preserve">Targeted arrangements for </w:t>
            </w:r>
            <w:r w:rsidR="00EB1B39" w:rsidRPr="00971BED">
              <w:t>NSW electricity consumers</w:t>
            </w:r>
            <w:r w:rsidR="00EB1B39" w:rsidRPr="00971BED">
              <w:rPr>
                <w:rStyle w:val="FootnoteReference"/>
              </w:rPr>
              <w:footnoteReference w:id="46"/>
            </w:r>
            <w:bookmarkEnd w:id="1276"/>
          </w:p>
        </w:tc>
      </w:tr>
      <w:tr w:rsidR="00FF21CA" w:rsidTr="00F376BC">
        <w:tblPrEx>
          <w:tblBorders>
            <w:top w:val="none" w:sz="0" w:space="0" w:color="auto"/>
            <w:left w:val="none" w:sz="0" w:space="0" w:color="auto"/>
            <w:bottom w:val="none" w:sz="0" w:space="0" w:color="auto"/>
            <w:right w:val="none" w:sz="0" w:space="0" w:color="auto"/>
          </w:tblBorders>
          <w:shd w:val="clear" w:color="6F6652" w:fill="F1EFEA"/>
        </w:tblPrEx>
        <w:trPr>
          <w:cantSplit/>
        </w:trPr>
        <w:tc>
          <w:tcPr>
            <w:tcW w:w="7938" w:type="dxa"/>
            <w:shd w:val="clear" w:color="auto" w:fill="E9E8E5" w:themeFill="background2"/>
          </w:tcPr>
          <w:p w:rsidR="00FF21CA" w:rsidRDefault="00EB1B39" w:rsidP="00F376BC">
            <w:pPr>
              <w:pStyle w:val="BodyText"/>
            </w:pPr>
            <w:r>
              <w:t>One example of arrangements for targeted assistance is for NSW energy customers. Government schemes include:</w:t>
            </w:r>
          </w:p>
          <w:p w:rsidR="00EB1B39" w:rsidRDefault="00EB1B39" w:rsidP="00EB1B39">
            <w:pPr>
              <w:pStyle w:val="ListBullet"/>
            </w:pPr>
            <w:r>
              <w:t>The Low Income Household Rebate — this is a rebate administered through electricity retailers to customers on eligible social security schemes</w:t>
            </w:r>
          </w:p>
          <w:p w:rsidR="00EB1B39" w:rsidRDefault="00EB1B39" w:rsidP="00EB1B39">
            <w:pPr>
              <w:pStyle w:val="ListBullet"/>
            </w:pPr>
            <w:r>
              <w:t>Energy Accounts Payment Assistance Scheme — this is a voucher scheme administered by community welfare organisations. Electricity vouchers are provided by the NSW Government to welfare organisations, who then distribute them according to customers they consider at most financially vulnerable</w:t>
            </w:r>
          </w:p>
          <w:p w:rsidR="00EB1B39" w:rsidRPr="00BF2F67" w:rsidRDefault="00EB1B39" w:rsidP="00EB1B39">
            <w:pPr>
              <w:pStyle w:val="ListBullet"/>
            </w:pPr>
            <w:proofErr w:type="gramStart"/>
            <w:r>
              <w:t>Programs to assist low-income households to minimise their consumption of electricity.</w:t>
            </w:r>
            <w:proofErr w:type="gramEnd"/>
          </w:p>
        </w:tc>
      </w:tr>
      <w:tr w:rsidR="00FF21CA" w:rsidTr="00F376BC">
        <w:tblPrEx>
          <w:tblBorders>
            <w:top w:val="none" w:sz="0" w:space="0" w:color="auto"/>
            <w:left w:val="none" w:sz="0" w:space="0" w:color="auto"/>
            <w:bottom w:val="none" w:sz="0" w:space="0" w:color="auto"/>
            <w:right w:val="none" w:sz="0" w:space="0" w:color="auto"/>
          </w:tblBorders>
          <w:shd w:val="clear" w:color="6F6652" w:fill="F1EFEA"/>
        </w:tblPrEx>
        <w:trPr>
          <w:cantSplit/>
          <w:trHeight w:hRule="exact" w:val="142"/>
        </w:trPr>
        <w:tc>
          <w:tcPr>
            <w:tcW w:w="7938" w:type="dxa"/>
            <w:tcBorders>
              <w:bottom w:val="single" w:sz="6" w:space="0" w:color="9B917E" w:themeColor="accent4"/>
            </w:tcBorders>
            <w:shd w:val="clear" w:color="auto" w:fill="E9E8E5" w:themeFill="background2"/>
          </w:tcPr>
          <w:p w:rsidR="00FF21CA" w:rsidRDefault="00FF21CA" w:rsidP="00F376BC"/>
        </w:tc>
      </w:tr>
      <w:tr w:rsidR="00FF21CA" w:rsidTr="00F376BC">
        <w:tblPrEx>
          <w:tblBorders>
            <w:top w:val="none" w:sz="0" w:space="0" w:color="auto"/>
            <w:left w:val="none" w:sz="0" w:space="0" w:color="auto"/>
            <w:bottom w:val="none" w:sz="0" w:space="0" w:color="auto"/>
            <w:right w:val="none" w:sz="0" w:space="0" w:color="auto"/>
          </w:tblBorders>
          <w:shd w:val="clear" w:color="6F6652" w:fill="F1EFEA"/>
        </w:tblPrEx>
        <w:trPr>
          <w:cantSplit/>
          <w:trHeight w:hRule="exact" w:val="198"/>
        </w:trPr>
        <w:tc>
          <w:tcPr>
            <w:tcW w:w="7938" w:type="dxa"/>
            <w:tcBorders>
              <w:top w:val="single" w:sz="6" w:space="0" w:color="9B917E" w:themeColor="accent4"/>
            </w:tcBorders>
            <w:shd w:val="clear" w:color="6F6652" w:fill="auto"/>
          </w:tcPr>
          <w:p w:rsidR="00FF21CA" w:rsidRDefault="00FF21CA" w:rsidP="00F376BC"/>
        </w:tc>
      </w:tr>
    </w:tbl>
    <w:p w:rsidR="00FF21CA" w:rsidRPr="0084285F" w:rsidRDefault="00FF21CA" w:rsidP="00FF21CA">
      <w:pPr>
        <w:pStyle w:val="BodyText"/>
      </w:pPr>
      <w:r w:rsidRPr="0084285F">
        <w:t>Compared to the use of the general welfare system, targeted subsidies or vouchers offer the following advantages and disadvantages:</w:t>
      </w:r>
    </w:p>
    <w:p w:rsidR="00FF21CA" w:rsidRPr="002B2E3B" w:rsidRDefault="00FF21CA" w:rsidP="002B2E3B">
      <w:pPr>
        <w:pStyle w:val="ListBullet"/>
      </w:pPr>
      <w:r w:rsidRPr="002B2E3B">
        <w:t>subsidies can account for variation in telecommunications prices or needs across households; and</w:t>
      </w:r>
    </w:p>
    <w:p w:rsidR="00FF21CA" w:rsidRPr="002B2E3B" w:rsidRDefault="00FF21CA" w:rsidP="002B2E3B">
      <w:pPr>
        <w:pStyle w:val="ListBullet"/>
      </w:pPr>
      <w:proofErr w:type="gramStart"/>
      <w:r w:rsidRPr="002B2E3B">
        <w:t>subsidies</w:t>
      </w:r>
      <w:proofErr w:type="gramEnd"/>
      <w:r w:rsidRPr="002B2E3B">
        <w:t xml:space="preserve"> are likely to impose additional administrative costs.</w:t>
      </w:r>
    </w:p>
    <w:p w:rsidR="00FF21CA" w:rsidRPr="0084285F" w:rsidRDefault="00FF21CA" w:rsidP="00FF21CA">
      <w:pPr>
        <w:pStyle w:val="BodyText"/>
      </w:pPr>
      <w:r w:rsidRPr="0084285F">
        <w:t xml:space="preserve">Targeted subsidies are consistent with the Productivity Commissions review of the consumer policy framework in which it stated: </w:t>
      </w:r>
    </w:p>
    <w:p w:rsidR="00FF21CA" w:rsidRPr="0084285F" w:rsidRDefault="00FF21CA" w:rsidP="00FF21CA">
      <w:pPr>
        <w:pStyle w:val="Quote"/>
        <w:spacing w:before="140"/>
      </w:pPr>
      <w:r w:rsidRPr="0084285F">
        <w:t xml:space="preserve">Ensuring that disadvantaged consumers continue to have sufficient access to utility services at affordable prices should be pursued through transparent community service obligations, supplier-provided hardship programs, or other targeted mechanisms that </w:t>
      </w:r>
      <w:proofErr w:type="gramStart"/>
      <w:r w:rsidRPr="0084285F">
        <w:t>are monitored</w:t>
      </w:r>
      <w:proofErr w:type="gramEnd"/>
      <w:r w:rsidRPr="0084285F">
        <w:t xml:space="preserve"> regularly for effectiveness.</w:t>
      </w:r>
      <w:r w:rsidRPr="0084285F">
        <w:rPr>
          <w:rStyle w:val="FootnoteReference"/>
        </w:rPr>
        <w:footnoteReference w:id="47"/>
      </w:r>
    </w:p>
    <w:p w:rsidR="00FF21CA" w:rsidRPr="005825B7" w:rsidRDefault="00FF21CA" w:rsidP="00FF21CA">
      <w:pPr>
        <w:pStyle w:val="BodyText"/>
        <w:tabs>
          <w:tab w:val="left" w:pos="3390"/>
        </w:tabs>
      </w:pPr>
      <w:r w:rsidRPr="005825B7">
        <w:lastRenderedPageBreak/>
        <w:t xml:space="preserve">We would consider that targeted assistance could improve social equity outcomes only where significant differences in pricing of telecommunications services emerged across regions, or where significant differences in need </w:t>
      </w:r>
      <w:proofErr w:type="gramStart"/>
      <w:r w:rsidRPr="005825B7">
        <w:t>could be identified</w:t>
      </w:r>
      <w:proofErr w:type="gramEnd"/>
      <w:r w:rsidRPr="005825B7">
        <w:t>. In the future, this is partly dependent on arrangements for the regulation of the NBN. If national pricing of telecommunications services remains the standard practice of industry, there would be limited reason to introduce targeted subsidies.</w:t>
      </w:r>
      <w:r w:rsidR="00D70D7B">
        <w:t xml:space="preserve"> If such a policy were to </w:t>
      </w:r>
      <w:proofErr w:type="gramStart"/>
      <w:r w:rsidR="00D70D7B">
        <w:t>be considered</w:t>
      </w:r>
      <w:proofErr w:type="gramEnd"/>
      <w:r w:rsidR="00D70D7B">
        <w:t>, the differential costs associated with other services (such as housing) across different regional areas should also be taken into account.</w:t>
      </w:r>
    </w:p>
    <w:p w:rsidR="00FF21CA" w:rsidRPr="00781BDB" w:rsidRDefault="00106A9E" w:rsidP="00106A9E">
      <w:pPr>
        <w:pStyle w:val="Heading3"/>
      </w:pPr>
      <w:r w:rsidRPr="00781BDB">
        <w:t>Summary of social equity options</w:t>
      </w:r>
    </w:p>
    <w:p w:rsidR="00D70D7B" w:rsidRDefault="00D70D7B" w:rsidP="00106A9E">
      <w:pPr>
        <w:pStyle w:val="BodyText"/>
      </w:pPr>
      <w:r>
        <w:t xml:space="preserve">Social equity options </w:t>
      </w:r>
      <w:proofErr w:type="gramStart"/>
      <w:r>
        <w:t>have not been considered</w:t>
      </w:r>
      <w:proofErr w:type="gramEnd"/>
      <w:r>
        <w:t xml:space="preserve"> against a cost benefit analysis framework. All of the social equity options would have some level of cost, even if this </w:t>
      </w:r>
      <w:proofErr w:type="gramStart"/>
      <w:r>
        <w:t>was</w:t>
      </w:r>
      <w:proofErr w:type="gramEnd"/>
      <w:r>
        <w:t xml:space="preserve"> only administrative. Social equity does not have a value attached to it in cost benefit analysis. The extent of the costs will depend on the details of the policies. </w:t>
      </w:r>
      <w:r w:rsidR="006B024C">
        <w:t>The cost effectiveness of the options against achieving social equity objectives would be as follows.</w:t>
      </w:r>
    </w:p>
    <w:p w:rsidR="00D70D7B" w:rsidRPr="006B024C" w:rsidRDefault="006B024C" w:rsidP="00137756">
      <w:pPr>
        <w:pStyle w:val="ListNumber"/>
        <w:numPr>
          <w:ilvl w:val="0"/>
          <w:numId w:val="44"/>
        </w:numPr>
      </w:pPr>
      <w:r w:rsidRPr="006B024C">
        <w:t>The use of the general welfare system (without change) to provide appropriate standards of living would be the most cost effective. This would involve no additional administrative costs. It would achieve social equity as long as prices for telecommunications services were relatively similar around Australia</w:t>
      </w:r>
    </w:p>
    <w:p w:rsidR="00781BDB" w:rsidRDefault="00781BDB" w:rsidP="00781BDB">
      <w:pPr>
        <w:pStyle w:val="ListNumber"/>
        <w:numPr>
          <w:ilvl w:val="0"/>
          <w:numId w:val="44"/>
        </w:numPr>
      </w:pPr>
      <w:proofErr w:type="gramStart"/>
      <w:r>
        <w:t>Using TUSMA contracts for specific services such as payphones</w:t>
      </w:r>
      <w:r w:rsidR="000A7A6B">
        <w:t>, the standard telephone service</w:t>
      </w:r>
      <w:r>
        <w:t xml:space="preserve"> or local calls in and between adjacent extended zones.</w:t>
      </w:r>
      <w:proofErr w:type="gramEnd"/>
      <w:r>
        <w:t xml:space="preserve"> This would involve minimal cost (and would likely have minimal impact). At </w:t>
      </w:r>
      <w:proofErr w:type="gramStart"/>
      <w:r>
        <w:t>worst</w:t>
      </w:r>
      <w:proofErr w:type="gramEnd"/>
      <w:r>
        <w:t xml:space="preserve"> it would reduce the commercial viability of payphones.</w:t>
      </w:r>
    </w:p>
    <w:p w:rsidR="006B024C" w:rsidRPr="006B024C" w:rsidRDefault="006B024C" w:rsidP="00137756">
      <w:pPr>
        <w:pStyle w:val="ListNumber"/>
        <w:numPr>
          <w:ilvl w:val="0"/>
          <w:numId w:val="44"/>
        </w:numPr>
      </w:pPr>
      <w:r w:rsidRPr="006B024C">
        <w:t xml:space="preserve">Targeted subsidies would be a relatively cost effective mechanism to achieve social equity. This could better address social equity than the general welfare system if regional differentiation of telecommunications occurred and regional costs of living were systematically different. Such subsidies </w:t>
      </w:r>
      <w:proofErr w:type="gramStart"/>
      <w:r w:rsidRPr="006B024C">
        <w:t>could be directed</w:t>
      </w:r>
      <w:proofErr w:type="gramEnd"/>
      <w:r w:rsidRPr="006B024C">
        <w:t xml:space="preserve"> through the welfare system or through a specific program. The latter option would involve greater cost.</w:t>
      </w:r>
    </w:p>
    <w:p w:rsidR="006B024C" w:rsidRPr="006B024C" w:rsidRDefault="006B024C" w:rsidP="00137756">
      <w:pPr>
        <w:pStyle w:val="ListNumber"/>
        <w:numPr>
          <w:ilvl w:val="0"/>
          <w:numId w:val="44"/>
        </w:numPr>
      </w:pPr>
      <w:proofErr w:type="gramStart"/>
      <w:r w:rsidRPr="006B024C">
        <w:t>Retail price control arrangement</w:t>
      </w:r>
      <w:proofErr w:type="gramEnd"/>
      <w:r w:rsidRPr="006B024C">
        <w:t xml:space="preserve"> to require uniform national pricing would have little relationship to social equity objectives. They would have little cost if Telstra were to maintain nationally consistent prices in any case. However, they could impose substantial costs were they to lead to cross-subsidies between geographic areas.</w:t>
      </w:r>
    </w:p>
    <w:p w:rsidR="006B024C" w:rsidRPr="006B024C" w:rsidRDefault="006B024C" w:rsidP="00137756">
      <w:pPr>
        <w:pStyle w:val="ListNumber"/>
        <w:numPr>
          <w:ilvl w:val="0"/>
          <w:numId w:val="44"/>
        </w:numPr>
      </w:pPr>
      <w:r w:rsidRPr="006B024C">
        <w:t xml:space="preserve">Continuation of current retail price controls has little relationship to social equity objectives. As with the previous option, the costs would depend </w:t>
      </w:r>
      <w:proofErr w:type="gramStart"/>
      <w:r w:rsidRPr="006B024C">
        <w:t>on what would otherwise have occurred and the level of retail price controls</w:t>
      </w:r>
      <w:proofErr w:type="gramEnd"/>
      <w:r w:rsidRPr="006B024C">
        <w:t xml:space="preserve">. This could be small (similar to the net costs of retail price controls from 2012 to 2014) or much larger were retail price controls to distort an otherwise competitive market. </w:t>
      </w:r>
    </w:p>
    <w:p w:rsidR="00FF21CA" w:rsidRDefault="00FF21CA" w:rsidP="00FF21CA">
      <w:pPr>
        <w:pStyle w:val="BodyText"/>
      </w:pPr>
    </w:p>
    <w:p w:rsidR="00FF21CA" w:rsidRPr="00516C2E" w:rsidRDefault="00FF21CA" w:rsidP="00FF21CA">
      <w:pPr>
        <w:pStyle w:val="BodyText"/>
      </w:pPr>
    </w:p>
    <w:p w:rsidR="00FF21CA" w:rsidRDefault="00FF21CA" w:rsidP="00FF21CA">
      <w:pPr>
        <w:pStyle w:val="Heading1"/>
      </w:pPr>
      <w:bookmarkStart w:id="1277" w:name="_Toc384653324"/>
      <w:bookmarkStart w:id="1278" w:name="_Toc388269644"/>
      <w:r>
        <w:lastRenderedPageBreak/>
        <w:t xml:space="preserve">Assessment of costs and benefits of future regulatory options </w:t>
      </w:r>
      <w:r w:rsidR="00106A9E">
        <w:t>for addressing</w:t>
      </w:r>
      <w:r>
        <w:t xml:space="preserve"> market power</w:t>
      </w:r>
      <w:bookmarkEnd w:id="1277"/>
      <w:bookmarkEnd w:id="1278"/>
    </w:p>
    <w:p w:rsidR="00FF21CA" w:rsidRDefault="00FF21CA" w:rsidP="00FF21CA">
      <w:pPr>
        <w:pStyle w:val="BodyText"/>
      </w:pPr>
      <w:r>
        <w:t>The likelihood that Telstra holds market power in providing voice services, in the absence of any form of government involvement, means that there is a case to look at options for the Government to intervene in this market.</w:t>
      </w:r>
    </w:p>
    <w:p w:rsidR="00FF21CA" w:rsidRPr="009E2E4C" w:rsidRDefault="00FF21CA" w:rsidP="00FF21CA">
      <w:pPr>
        <w:pStyle w:val="BodyText"/>
      </w:pPr>
      <w:r>
        <w:t xml:space="preserve">Our conclusion is that market power in providing voice services is a result of Telstra’s ownership of network infrastructure. In this case, the preferred option is effective regulation of natural monopoly infrastructure at the wholesale level. The ACCC regulates wholesale prices for relevant telecommunications services and as </w:t>
      </w:r>
      <w:proofErr w:type="gramStart"/>
      <w:r>
        <w:t>such</w:t>
      </w:r>
      <w:proofErr w:type="gramEnd"/>
      <w:r>
        <w:t xml:space="preserve"> we consider that there are net costs from imposing price controls at the retail level.  </w:t>
      </w:r>
    </w:p>
    <w:p w:rsidR="00FF21CA" w:rsidRDefault="00FF21CA" w:rsidP="00FF21CA">
      <w:pPr>
        <w:pStyle w:val="Heading2"/>
      </w:pPr>
      <w:bookmarkStart w:id="1279" w:name="_Toc384653325"/>
      <w:bookmarkStart w:id="1280" w:name="_Toc388269645"/>
      <w:r>
        <w:t>Options assessed and types of costs and benefits</w:t>
      </w:r>
      <w:bookmarkEnd w:id="1279"/>
      <w:bookmarkEnd w:id="1280"/>
    </w:p>
    <w:p w:rsidR="00FF21CA" w:rsidRDefault="00FF21CA" w:rsidP="00FF21CA">
      <w:pPr>
        <w:pStyle w:val="BodyText"/>
      </w:pPr>
      <w:r>
        <w:t>The Government could intervene to limit market power through:</w:t>
      </w:r>
    </w:p>
    <w:p w:rsidR="00FF21CA" w:rsidRPr="00BE0A38" w:rsidRDefault="00FF21CA" w:rsidP="00BE0A38">
      <w:pPr>
        <w:pStyle w:val="ListBullet"/>
      </w:pPr>
      <w:r w:rsidRPr="00BE0A38">
        <w:t>wholesale regulation of prices, such as wholesale line rental prices determined by the ACCC — this is used as the baseline and implies a cessation of retail price controls</w:t>
      </w:r>
    </w:p>
    <w:p w:rsidR="00FF21CA" w:rsidRPr="00BE0A38" w:rsidRDefault="00FF21CA" w:rsidP="00BE0A38">
      <w:pPr>
        <w:pStyle w:val="ListBullet"/>
      </w:pPr>
      <w:r w:rsidRPr="00BE0A38">
        <w:t>price monitoring (such as used for airport regulation) in addition to wholesale regulation of prices;</w:t>
      </w:r>
    </w:p>
    <w:p w:rsidR="00FF21CA" w:rsidRDefault="00FF21CA" w:rsidP="00BE0A38">
      <w:pPr>
        <w:pStyle w:val="ListBullet"/>
      </w:pPr>
      <w:r w:rsidRPr="00BE0A38">
        <w:t>a form of retail price controls, either similar to a continuation of the current arrangements or a revised set of retail price controls — this would also be in addition to wholesale regulation of prices</w:t>
      </w:r>
      <w:r>
        <w:t>.</w:t>
      </w:r>
    </w:p>
    <w:p w:rsidR="00FF21CA" w:rsidRPr="009E2E4C" w:rsidRDefault="00FF21CA" w:rsidP="00FF21CA">
      <w:pPr>
        <w:pStyle w:val="BodyText"/>
      </w:pPr>
      <w:r>
        <w:t xml:space="preserve">The types of costs and benefits of these options </w:t>
      </w:r>
      <w:proofErr w:type="gramStart"/>
      <w:r>
        <w:t>is</w:t>
      </w:r>
      <w:proofErr w:type="gramEnd"/>
      <w:r>
        <w:t xml:space="preserve"> set out in table </w:t>
      </w:r>
      <w:fldSimple w:instr=" REF _Caption8979 ">
        <w:r w:rsidR="00304215">
          <w:rPr>
            <w:noProof/>
          </w:rPr>
          <w:t>7</w:t>
        </w:r>
        <w:r w:rsidR="00304215" w:rsidRPr="00695C93">
          <w:rPr>
            <w:noProof/>
          </w:rPr>
          <w:t>.</w:t>
        </w:r>
        <w:r w:rsidR="00304215">
          <w:rPr>
            <w:noProof/>
          </w:rPr>
          <w:t>1</w:t>
        </w:r>
      </w:fldSimple>
      <w:r>
        <w:t xml:space="preserve">. Essentially, any form of government involvement would involve additional administrative costs. Then there would be economic costs and benefits from any changes to the prices that would occur in the absence of retail price measures. </w:t>
      </w:r>
    </w:p>
    <w:p w:rsidR="00FF21CA" w:rsidRDefault="00FF21CA" w:rsidP="00FF21CA">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7</w:instrText>
        </w:r>
      </w:fldSimple>
      <w:r w:rsidRPr="00695C93">
        <w:instrText xml:space="preserve"> = 0 "" "</w:instrText>
      </w:r>
      <w:fldSimple w:instr=" STYLEREF &quot;Heading 1&quot; \l \n ">
        <w:r w:rsidR="00304215">
          <w:rPr>
            <w:noProof/>
          </w:rPr>
          <w:instrText>7</w:instrText>
        </w:r>
      </w:fldSimple>
      <w:r w:rsidRPr="00695C93">
        <w:instrText xml:space="preserve">." </w:instrText>
      </w:r>
      <w:r w:rsidRPr="00695C93">
        <w:fldChar w:fldCharType="separate"/>
      </w:r>
      <w:r w:rsidR="00304215">
        <w:rPr>
          <w:noProof/>
        </w:rPr>
        <w:instrText>7</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7</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7</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1</w:instrText>
      </w:r>
      <w:r w:rsidRPr="00695C93">
        <w:fldChar w:fldCharType="end"/>
      </w:r>
      <w:r w:rsidRPr="00695C93">
        <w:instrText xml:space="preserve">" "" </w:instrText>
      </w:r>
      <w:r w:rsidRPr="00695C93">
        <w:fldChar w:fldCharType="separate"/>
      </w:r>
      <w:bookmarkStart w:id="1281" w:name="_Caption3671"/>
      <w:bookmarkStart w:id="1282" w:name="_Caption3907"/>
      <w:bookmarkStart w:id="1283" w:name="_Caption4859"/>
      <w:bookmarkStart w:id="1284" w:name="_Caption1419"/>
      <w:bookmarkStart w:id="1285" w:name="_Caption6073"/>
      <w:bookmarkStart w:id="1286" w:name="_Caption2051"/>
      <w:bookmarkStart w:id="1287" w:name="_Caption6310"/>
      <w:bookmarkStart w:id="1288" w:name="_Caption1953"/>
      <w:bookmarkStart w:id="1289" w:name="_Caption1140"/>
      <w:bookmarkStart w:id="1290" w:name="_Caption4268"/>
      <w:bookmarkStart w:id="1291" w:name="_Caption2523"/>
      <w:bookmarkStart w:id="1292" w:name="_Caption5608"/>
      <w:bookmarkStart w:id="1293" w:name="_Caption8190"/>
      <w:bookmarkStart w:id="1294" w:name="_Caption0843"/>
      <w:bookmarkStart w:id="1295" w:name="_Caption4905"/>
      <w:bookmarkStart w:id="1296" w:name="_Caption9698"/>
      <w:bookmarkStart w:id="1297" w:name="_Caption5179"/>
      <w:bookmarkStart w:id="1298" w:name="_Caption9111"/>
      <w:bookmarkStart w:id="1299" w:name="_Caption0726"/>
      <w:bookmarkStart w:id="1300" w:name="_Caption7343"/>
      <w:bookmarkStart w:id="1301" w:name="_Caption6734"/>
      <w:bookmarkStart w:id="1302" w:name="_Caption8676"/>
      <w:bookmarkStart w:id="1303" w:name="_Caption5730"/>
      <w:bookmarkStart w:id="1304" w:name="_Caption4411"/>
      <w:bookmarkStart w:id="1305" w:name="_Caption4338"/>
      <w:bookmarkStart w:id="1306" w:name="_Caption6531"/>
      <w:bookmarkStart w:id="1307" w:name="_Caption6911"/>
      <w:bookmarkStart w:id="1308" w:name="_Caption0560"/>
      <w:bookmarkStart w:id="1309" w:name="_Caption8525"/>
      <w:bookmarkStart w:id="1310" w:name="_Caption2299"/>
      <w:bookmarkStart w:id="1311" w:name="_Caption8366"/>
      <w:bookmarkStart w:id="1312" w:name="_Caption7327"/>
      <w:bookmarkStart w:id="1313" w:name="_Caption8957"/>
      <w:bookmarkStart w:id="1314" w:name="_Caption8666"/>
      <w:bookmarkStart w:id="1315" w:name="_Caption8913"/>
      <w:bookmarkStart w:id="1316" w:name="_Caption6325"/>
      <w:bookmarkStart w:id="1317" w:name="_Caption8300"/>
      <w:bookmarkStart w:id="1318" w:name="_Caption8979"/>
      <w:bookmarkStart w:id="1319" w:name="_Caption4251"/>
      <w:bookmarkStart w:id="1320" w:name="_Caption2488"/>
      <w:bookmarkStart w:id="1321" w:name="_Caption2458"/>
      <w:bookmarkStart w:id="1322" w:name="_Caption9834"/>
      <w:bookmarkStart w:id="1323" w:name="_Caption3797"/>
      <w:bookmarkStart w:id="1324" w:name="_Caption9570"/>
      <w:bookmarkStart w:id="1325" w:name="_Caption3160"/>
      <w:bookmarkStart w:id="1326" w:name="_Caption7688"/>
      <w:bookmarkStart w:id="1327" w:name="_Toc384653383"/>
      <w:bookmarkStart w:id="1328" w:name="_Toc391972976"/>
      <w:r w:rsidR="00584F9A">
        <w:rPr>
          <w:noProof/>
        </w:rPr>
        <w:t>7</w:t>
      </w:r>
      <w:r w:rsidR="00584F9A" w:rsidRPr="00695C93">
        <w:rPr>
          <w:noProof/>
        </w:rPr>
        <w:t>.</w:t>
      </w:r>
      <w:r w:rsidR="00584F9A">
        <w:rPr>
          <w:noProof/>
        </w:rPr>
        <w:t>1</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r w:rsidRPr="00695C93">
        <w:fldChar w:fldCharType="end"/>
      </w:r>
      <w:r w:rsidRPr="00695C93">
        <w:tab/>
      </w:r>
      <w:r>
        <w:t>Types of costs and benefits</w:t>
      </w:r>
      <w:bookmarkEnd w:id="1327"/>
      <w:bookmarkEnd w:id="1328"/>
    </w:p>
    <w:tbl>
      <w:tblPr>
        <w:tblW w:w="0" w:type="auto"/>
        <w:tblInd w:w="57" w:type="dxa"/>
        <w:tblLayout w:type="fixed"/>
        <w:tblLook w:val="0000" w:firstRow="0" w:lastRow="0" w:firstColumn="0" w:lastColumn="0" w:noHBand="0" w:noVBand="0"/>
      </w:tblPr>
      <w:tblGrid>
        <w:gridCol w:w="2645"/>
        <w:gridCol w:w="2646"/>
        <w:gridCol w:w="2646"/>
      </w:tblGrid>
      <w:tr w:rsidR="00FF21CA" w:rsidTr="002B2E3B">
        <w:trPr>
          <w:tblHeader/>
        </w:trPr>
        <w:tc>
          <w:tcPr>
            <w:tcW w:w="2645" w:type="dxa"/>
            <w:tcBorders>
              <w:bottom w:val="single" w:sz="8" w:space="0" w:color="FFFFFF" w:themeColor="background1"/>
            </w:tcBorders>
            <w:shd w:val="clear" w:color="auto" w:fill="6F6652"/>
            <w:tcMar>
              <w:left w:w="57" w:type="dxa"/>
              <w:right w:w="57" w:type="dxa"/>
            </w:tcMar>
          </w:tcPr>
          <w:p w:rsidR="00FF21CA" w:rsidRDefault="00FF21CA" w:rsidP="00F376BC">
            <w:pPr>
              <w:pStyle w:val="TableTextColumnHeading"/>
            </w:pPr>
            <w:r>
              <w:t>Option</w:t>
            </w:r>
          </w:p>
        </w:tc>
        <w:tc>
          <w:tcPr>
            <w:tcW w:w="2646" w:type="dxa"/>
            <w:tcBorders>
              <w:bottom w:val="single" w:sz="8" w:space="0" w:color="FFFFFF" w:themeColor="background1"/>
            </w:tcBorders>
            <w:shd w:val="clear" w:color="auto" w:fill="6F6652"/>
            <w:tcMar>
              <w:left w:w="57" w:type="dxa"/>
              <w:right w:w="57" w:type="dxa"/>
            </w:tcMar>
          </w:tcPr>
          <w:p w:rsidR="00FF21CA" w:rsidRDefault="00FF21CA" w:rsidP="00F376BC">
            <w:pPr>
              <w:pStyle w:val="TableTextColumnHeading"/>
            </w:pPr>
            <w:r>
              <w:t>Types of costs</w:t>
            </w:r>
          </w:p>
        </w:tc>
        <w:tc>
          <w:tcPr>
            <w:tcW w:w="2646" w:type="dxa"/>
            <w:tcBorders>
              <w:bottom w:val="single" w:sz="8" w:space="0" w:color="FFFFFF" w:themeColor="background1"/>
            </w:tcBorders>
            <w:shd w:val="clear" w:color="auto" w:fill="6F6652"/>
            <w:tcMar>
              <w:left w:w="57" w:type="dxa"/>
              <w:right w:w="57" w:type="dxa"/>
            </w:tcMar>
          </w:tcPr>
          <w:p w:rsidR="00FF21CA" w:rsidRDefault="00FF21CA" w:rsidP="00F376BC">
            <w:pPr>
              <w:pStyle w:val="TableTextColumnHeading"/>
            </w:pPr>
            <w:r>
              <w:t>Types of benefits</w:t>
            </w:r>
          </w:p>
        </w:tc>
      </w:tr>
      <w:tr w:rsidR="00FF21CA" w:rsidTr="002B2E3B">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Cease retail price controls (and maintain wholesale regulation)</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Considered to be the baseline</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p>
        </w:tc>
      </w:tr>
      <w:tr w:rsidR="00FF21CA" w:rsidTr="002B2E3B">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Retain retail price controls in current format (and maintain wholesale regulation)</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Administrative costs for the ACCC and Telstra</w:t>
            </w:r>
          </w:p>
          <w:p w:rsidR="00FF21CA" w:rsidRDefault="00FF21CA" w:rsidP="00F376BC">
            <w:pPr>
              <w:pStyle w:val="TableTextEntries"/>
            </w:pPr>
            <w:r>
              <w:t>Potential for prices to deviate from costs, acting as a barrier to competition at the retail level</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532F23">
            <w:pPr>
              <w:pStyle w:val="TableTextEntries"/>
            </w:pPr>
            <w:r>
              <w:t>Potential for price controls to push prices down closer to costs</w:t>
            </w:r>
            <w:r w:rsidR="00532F23">
              <w:t>, if market power would otherwise lead to prices above costs</w:t>
            </w:r>
          </w:p>
        </w:tc>
      </w:tr>
      <w:tr w:rsidR="00FF21CA" w:rsidTr="002B2E3B">
        <w:trPr>
          <w:cantSplit/>
        </w:trPr>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lastRenderedPageBreak/>
              <w:t>Revise retail price controls (and maintain wholesale regulation)</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Administrative costs for the ACCC and Telstra</w:t>
            </w:r>
          </w:p>
          <w:p w:rsidR="00FF21CA" w:rsidRDefault="00FF21CA" w:rsidP="00F376BC">
            <w:pPr>
              <w:pStyle w:val="TableTextEntries"/>
            </w:pPr>
            <w:r>
              <w:t>Potential for retail prices to be below costs, acting as a barrier to competition at the retail level</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Potential for price controls to push prices down closer to costs</w:t>
            </w:r>
          </w:p>
        </w:tc>
      </w:tr>
      <w:tr w:rsidR="00FF21CA" w:rsidTr="002B2E3B">
        <w:tc>
          <w:tcPr>
            <w:tcW w:w="2645" w:type="dxa"/>
            <w:tcBorders>
              <w:top w:val="single" w:sz="8" w:space="0" w:color="FFFFFF" w:themeColor="background1"/>
              <w:bottom w:val="single" w:sz="6" w:space="0" w:color="6F6652"/>
            </w:tcBorders>
            <w:shd w:val="clear" w:color="auto" w:fill="E9E8E5" w:themeFill="background2"/>
            <w:tcMar>
              <w:left w:w="57" w:type="dxa"/>
              <w:right w:w="57" w:type="dxa"/>
            </w:tcMar>
          </w:tcPr>
          <w:p w:rsidR="00FF21CA" w:rsidRDefault="00FF21CA" w:rsidP="00F376BC">
            <w:pPr>
              <w:pStyle w:val="TableTextEntries"/>
            </w:pPr>
            <w:r>
              <w:t>Monitoring of retail prices with potential remedy for abuse of market power (and maintain wholesale regulation)</w:t>
            </w:r>
          </w:p>
        </w:tc>
        <w:tc>
          <w:tcPr>
            <w:tcW w:w="2646" w:type="dxa"/>
            <w:tcBorders>
              <w:top w:val="single" w:sz="8" w:space="0" w:color="FFFFFF" w:themeColor="background1"/>
              <w:bottom w:val="single" w:sz="6" w:space="0" w:color="6F6652"/>
            </w:tcBorders>
            <w:shd w:val="clear" w:color="auto" w:fill="E9E8E5" w:themeFill="background2"/>
            <w:tcMar>
              <w:left w:w="57" w:type="dxa"/>
              <w:right w:w="57" w:type="dxa"/>
            </w:tcMar>
          </w:tcPr>
          <w:p w:rsidR="00FF21CA" w:rsidRDefault="00FF21CA" w:rsidP="00F376BC">
            <w:pPr>
              <w:pStyle w:val="TableTextEntries"/>
            </w:pPr>
            <w:r>
              <w:t>Administrative costs for the ACCC and Telstra to monitor prices</w:t>
            </w:r>
          </w:p>
          <w:p w:rsidR="00FF21CA" w:rsidRDefault="00FF21CA" w:rsidP="00F376BC">
            <w:pPr>
              <w:pStyle w:val="TableTextEntries"/>
            </w:pPr>
          </w:p>
        </w:tc>
        <w:tc>
          <w:tcPr>
            <w:tcW w:w="2646" w:type="dxa"/>
            <w:tcBorders>
              <w:top w:val="single" w:sz="8" w:space="0" w:color="FFFFFF" w:themeColor="background1"/>
              <w:bottom w:val="single" w:sz="6" w:space="0" w:color="6F6652"/>
            </w:tcBorders>
            <w:shd w:val="clear" w:color="auto" w:fill="E9E8E5" w:themeFill="background2"/>
            <w:tcMar>
              <w:left w:w="57" w:type="dxa"/>
              <w:right w:w="57" w:type="dxa"/>
            </w:tcMar>
          </w:tcPr>
          <w:p w:rsidR="00FF21CA" w:rsidRDefault="00FF21CA" w:rsidP="00F376BC">
            <w:pPr>
              <w:pStyle w:val="TableTextEntries"/>
            </w:pPr>
            <w:r>
              <w:t>Potential to constrain Telstra where Telstra has market power at the retail level and wholesale regulation is ineffective</w:t>
            </w:r>
          </w:p>
        </w:tc>
      </w:tr>
    </w:tbl>
    <w:p w:rsidR="00FF21CA" w:rsidRDefault="00FF21CA" w:rsidP="00FF21CA">
      <w:pPr>
        <w:pStyle w:val="Source"/>
      </w:pPr>
      <w:proofErr w:type="gramStart"/>
      <w:r>
        <w:rPr>
          <w:i/>
        </w:rPr>
        <w:t>Source</w:t>
      </w:r>
      <w:r w:rsidRPr="00E4232C">
        <w:rPr>
          <w:i/>
        </w:rPr>
        <w:t>:</w:t>
      </w:r>
      <w:r>
        <w:t xml:space="preserve"> The CIE.</w:t>
      </w:r>
      <w:proofErr w:type="gramEnd"/>
    </w:p>
    <w:p w:rsidR="00FF21CA" w:rsidRDefault="00FF21CA" w:rsidP="00FF21CA">
      <w:pPr>
        <w:pStyle w:val="BodyText"/>
      </w:pPr>
      <w:proofErr w:type="gramStart"/>
      <w:r>
        <w:t>Administrative costs would be incurred by Government (through the ACCC) and Telstra</w:t>
      </w:r>
      <w:proofErr w:type="gramEnd"/>
      <w:r>
        <w:t>. Economic costs from price distortions would depend on whether the retail price controls were below what Telstra would otherwise have charged. If they were, then economic costs would reflect the following.</w:t>
      </w:r>
    </w:p>
    <w:p w:rsidR="00FF21CA" w:rsidRPr="002B2E3B" w:rsidRDefault="00FF21CA" w:rsidP="002B2E3B">
      <w:pPr>
        <w:pStyle w:val="ListBullet"/>
      </w:pPr>
      <w:proofErr w:type="gramStart"/>
      <w:r w:rsidRPr="002B2E3B">
        <w:t>A cost to Telstra from providing services at a lower price.</w:t>
      </w:r>
      <w:proofErr w:type="gramEnd"/>
    </w:p>
    <w:p w:rsidR="00FF21CA" w:rsidRPr="002B2E3B" w:rsidRDefault="00FF21CA" w:rsidP="002B2E3B">
      <w:pPr>
        <w:pStyle w:val="ListBullet"/>
      </w:pPr>
      <w:proofErr w:type="gramStart"/>
      <w:r w:rsidRPr="002B2E3B">
        <w:t>A benefit to customers from obtaining services at lower prices.</w:t>
      </w:r>
      <w:proofErr w:type="gramEnd"/>
    </w:p>
    <w:p w:rsidR="00FF21CA" w:rsidRDefault="00FF21CA" w:rsidP="00FF21CA">
      <w:pPr>
        <w:pStyle w:val="BodyText"/>
      </w:pPr>
      <w:r>
        <w:t xml:space="preserve">A large part of this effect is simply a transfer from Telstra to customers. The exception is for customers that change their use of services because of the retail price controls. In this case, the net of these effects will depend on whether Telstra has market power at the retail level, as set </w:t>
      </w:r>
      <w:r w:rsidRPr="00106A9E">
        <w:t xml:space="preserve">out in chapter </w:t>
      </w:r>
      <w:r w:rsidR="00106A9E" w:rsidRPr="00106A9E">
        <w:t>4</w:t>
      </w:r>
      <w:r w:rsidRPr="00106A9E">
        <w:t>. If Telstra</w:t>
      </w:r>
      <w:r>
        <w:t xml:space="preserve"> holds no or limited market power at the retail level, then the net effective is negative. That is, the benefits that customers obtain from changing their service demand are lower than the costs to Telstra of providing these services. A practical example of this is set out in </w:t>
      </w:r>
    </w:p>
    <w:p w:rsidR="00FF21CA" w:rsidRDefault="00FF21CA" w:rsidP="00FF21CA">
      <w:pPr>
        <w:pStyle w:val="Invisiblepara"/>
      </w:pPr>
    </w:p>
    <w:tbl>
      <w:tblPr>
        <w:tblW w:w="7938" w:type="dxa"/>
        <w:tblInd w:w="142" w:type="dxa"/>
        <w:tblBorders>
          <w:top w:val="single" w:sz="2" w:space="0" w:color="auto"/>
          <w:left w:val="single" w:sz="2" w:space="0" w:color="auto"/>
          <w:bottom w:val="single" w:sz="2" w:space="0" w:color="auto"/>
          <w:right w:val="single" w:sz="2" w:space="0" w:color="auto"/>
        </w:tblBorders>
        <w:tblLayout w:type="fixed"/>
        <w:tblCellMar>
          <w:left w:w="142" w:type="dxa"/>
          <w:right w:w="142" w:type="dxa"/>
        </w:tblCellMar>
        <w:tblLook w:val="0000" w:firstRow="0" w:lastRow="0" w:firstColumn="0" w:lastColumn="0" w:noHBand="0" w:noVBand="0"/>
      </w:tblPr>
      <w:tblGrid>
        <w:gridCol w:w="7938"/>
      </w:tblGrid>
      <w:tr w:rsidR="00FF21CA" w:rsidRPr="00E05C8C" w:rsidTr="00F376BC">
        <w:trPr>
          <w:cantSplit/>
        </w:trPr>
        <w:tc>
          <w:tcPr>
            <w:tcW w:w="7938" w:type="dxa"/>
            <w:tcBorders>
              <w:top w:val="nil"/>
              <w:left w:val="nil"/>
              <w:bottom w:val="nil"/>
              <w:right w:val="nil"/>
            </w:tcBorders>
            <w:shd w:val="clear" w:color="auto" w:fill="C6BFAB" w:themeFill="accent3"/>
          </w:tcPr>
          <w:p w:rsidR="00FF21CA" w:rsidRPr="00E05C8C" w:rsidRDefault="00FF21CA" w:rsidP="009C1B85">
            <w:pPr>
              <w:pStyle w:val="Caption"/>
              <w:numPr>
                <w:ilvl w:val="0"/>
                <w:numId w:val="15"/>
              </w:numPr>
              <w:spacing w:before="120" w:after="100"/>
            </w:pPr>
            <w:r w:rsidRPr="00E05C8C">
              <w:fldChar w:fldCharType="begin"/>
            </w:r>
            <w:r w:rsidRPr="00E05C8C">
              <w:instrText xml:space="preserve"> IF 1 = 1 "</w:instrText>
            </w:r>
            <w:r w:rsidRPr="00E05C8C">
              <w:fldChar w:fldCharType="begin"/>
            </w:r>
            <w:r w:rsidRPr="00E05C8C">
              <w:instrText xml:space="preserve"> IF </w:instrText>
            </w:r>
            <w:fldSimple w:instr=" STYLEREF &quot;Heading 6&quot; \l \n ">
              <w:r w:rsidR="00304215">
                <w:rPr>
                  <w:noProof/>
                </w:rPr>
                <w:instrText>0</w:instrText>
              </w:r>
            </w:fldSimple>
            <w:r w:rsidRPr="00E05C8C">
              <w:instrText xml:space="preserve"> = 0 "</w:instrText>
            </w:r>
            <w:r w:rsidRPr="00E05C8C">
              <w:fldChar w:fldCharType="begin"/>
            </w:r>
            <w:r w:rsidRPr="00E05C8C">
              <w:instrText xml:space="preserve"> IF </w:instrText>
            </w:r>
            <w:fldSimple w:instr=" STYLEREF &quot;Heading 1&quot; \l \n ">
              <w:r w:rsidR="00304215">
                <w:rPr>
                  <w:noProof/>
                </w:rPr>
                <w:instrText>7</w:instrText>
              </w:r>
            </w:fldSimple>
            <w:r w:rsidRPr="00E05C8C">
              <w:instrText xml:space="preserve"> = 0 "" "</w:instrText>
            </w:r>
            <w:fldSimple w:instr=" STYLEREF &quot;Heading 1&quot; \l \n ">
              <w:r w:rsidR="00304215">
                <w:rPr>
                  <w:noProof/>
                </w:rPr>
                <w:instrText>7</w:instrText>
              </w:r>
            </w:fldSimple>
            <w:r w:rsidRPr="00E05C8C">
              <w:instrText xml:space="preserve">." </w:instrText>
            </w:r>
            <w:r w:rsidRPr="00E05C8C">
              <w:fldChar w:fldCharType="separate"/>
            </w:r>
            <w:r w:rsidR="00304215">
              <w:rPr>
                <w:noProof/>
              </w:rPr>
              <w:instrText>7</w:instrText>
            </w:r>
            <w:r w:rsidR="00304215" w:rsidRPr="00E05C8C">
              <w:rPr>
                <w:noProof/>
              </w:rPr>
              <w:instrText>.</w:instrText>
            </w:r>
            <w:r w:rsidRPr="00E05C8C">
              <w:fldChar w:fldCharType="end"/>
            </w:r>
            <w:r w:rsidRPr="00E05C8C">
              <w:instrText>" "</w:instrText>
            </w:r>
            <w:fldSimple w:instr=" STYLEREF &quot;Heading 6&quot; \l \n ">
              <w:r w:rsidRPr="00E05C8C">
                <w:instrText>B</w:instrText>
              </w:r>
            </w:fldSimple>
            <w:r w:rsidRPr="00E05C8C">
              <w:instrText xml:space="preserve">." </w:instrText>
            </w:r>
            <w:r w:rsidRPr="00E05C8C">
              <w:fldChar w:fldCharType="separate"/>
            </w:r>
            <w:r w:rsidR="00584F9A">
              <w:rPr>
                <w:noProof/>
              </w:rPr>
              <w:instrText>7</w:instrText>
            </w:r>
            <w:r w:rsidR="00584F9A" w:rsidRPr="00E05C8C">
              <w:rPr>
                <w:noProof/>
              </w:rPr>
              <w:instrText>.</w:instrText>
            </w:r>
            <w:r w:rsidRPr="00E05C8C">
              <w:fldChar w:fldCharType="end"/>
            </w:r>
            <w:r w:rsidRPr="00E05C8C">
              <w:fldChar w:fldCharType="begin"/>
            </w:r>
            <w:r w:rsidRPr="00E05C8C">
              <w:instrText xml:space="preserve"> SEQ Item \* ARABIC \s </w:instrText>
            </w:r>
            <w:r w:rsidRPr="00E05C8C">
              <w:fldChar w:fldCharType="begin"/>
            </w:r>
            <w:r w:rsidRPr="00E05C8C">
              <w:instrText xml:space="preserve"> IF </w:instrText>
            </w:r>
            <w:fldSimple w:instr=" STYLEREF &quot;Heading 6&quot; \l \n ">
              <w:r w:rsidR="00304215">
                <w:rPr>
                  <w:noProof/>
                </w:rPr>
                <w:instrText>0</w:instrText>
              </w:r>
            </w:fldSimple>
            <w:r w:rsidRPr="00E05C8C">
              <w:instrText xml:space="preserve"> = 0 "</w:instrText>
            </w:r>
            <w:r w:rsidRPr="00E05C8C">
              <w:fldChar w:fldCharType="begin"/>
            </w:r>
            <w:r w:rsidRPr="00E05C8C">
              <w:instrText xml:space="preserve"> IF </w:instrText>
            </w:r>
            <w:fldSimple w:instr=" STYLEREF &quot;Heading 1&quot; \l \n ">
              <w:r w:rsidR="00304215">
                <w:rPr>
                  <w:noProof/>
                </w:rPr>
                <w:instrText>7</w:instrText>
              </w:r>
            </w:fldSimple>
            <w:r w:rsidRPr="00E05C8C">
              <w:instrText xml:space="preserve"> = 0 "" "1" </w:instrText>
            </w:r>
            <w:r w:rsidRPr="00E05C8C">
              <w:fldChar w:fldCharType="separate"/>
            </w:r>
            <w:r w:rsidR="00584F9A" w:rsidRPr="00E05C8C">
              <w:rPr>
                <w:noProof/>
              </w:rPr>
              <w:instrText>1</w:instrText>
            </w:r>
            <w:r w:rsidRPr="00E05C8C">
              <w:fldChar w:fldCharType="end"/>
            </w:r>
            <w:r w:rsidRPr="00E05C8C">
              <w:instrText xml:space="preserve">" "6" </w:instrText>
            </w:r>
            <w:r w:rsidRPr="00E05C8C">
              <w:fldChar w:fldCharType="separate"/>
            </w:r>
            <w:r w:rsidR="00584F9A" w:rsidRPr="00E05C8C">
              <w:rPr>
                <w:noProof/>
              </w:rPr>
              <w:instrText>1</w:instrText>
            </w:r>
            <w:r w:rsidRPr="00E05C8C">
              <w:fldChar w:fldCharType="end"/>
            </w:r>
            <w:r w:rsidRPr="00E05C8C">
              <w:instrText xml:space="preserve"> </w:instrText>
            </w:r>
            <w:r w:rsidRPr="00E05C8C">
              <w:fldChar w:fldCharType="separate"/>
            </w:r>
            <w:r w:rsidR="00304215">
              <w:rPr>
                <w:noProof/>
              </w:rPr>
              <w:instrText>2</w:instrText>
            </w:r>
            <w:r w:rsidRPr="00E05C8C">
              <w:fldChar w:fldCharType="end"/>
            </w:r>
            <w:r w:rsidRPr="00E05C8C">
              <w:instrText xml:space="preserve">" "" </w:instrText>
            </w:r>
            <w:r w:rsidRPr="00E05C8C">
              <w:fldChar w:fldCharType="separate"/>
            </w:r>
            <w:bookmarkStart w:id="1329" w:name="_Caption9546"/>
            <w:bookmarkStart w:id="1330" w:name="_Caption4198"/>
            <w:bookmarkStart w:id="1331" w:name="_Caption5150"/>
            <w:bookmarkStart w:id="1332" w:name="_Caption4020"/>
            <w:bookmarkStart w:id="1333" w:name="_Caption6446"/>
            <w:bookmarkStart w:id="1334" w:name="_Caption0714"/>
            <w:bookmarkStart w:id="1335" w:name="_Caption5147"/>
            <w:bookmarkStart w:id="1336" w:name="_Caption7637"/>
            <w:bookmarkStart w:id="1337" w:name="_Caption0426"/>
            <w:bookmarkStart w:id="1338" w:name="_Caption0898"/>
            <w:bookmarkStart w:id="1339" w:name="_Caption1845"/>
            <w:bookmarkStart w:id="1340" w:name="_Caption7873"/>
            <w:bookmarkStart w:id="1341" w:name="_Caption5146"/>
            <w:bookmarkStart w:id="1342" w:name="_Caption2707"/>
            <w:bookmarkStart w:id="1343" w:name="_Caption5708"/>
            <w:bookmarkStart w:id="1344" w:name="_Caption1919"/>
            <w:bookmarkStart w:id="1345" w:name="_Caption8864"/>
            <w:bookmarkStart w:id="1346" w:name="_Caption0084"/>
            <w:bookmarkStart w:id="1347" w:name="_Caption0359"/>
            <w:bookmarkStart w:id="1348" w:name="_Caption2211"/>
            <w:bookmarkStart w:id="1349" w:name="_Caption1867"/>
            <w:bookmarkStart w:id="1350" w:name="_Caption6006"/>
            <w:bookmarkStart w:id="1351" w:name="_Caption5715"/>
            <w:bookmarkStart w:id="1352" w:name="_Caption5874"/>
            <w:bookmarkStart w:id="1353" w:name="_Caption4973"/>
            <w:bookmarkStart w:id="1354" w:name="_Caption6984"/>
            <w:bookmarkStart w:id="1355" w:name="_Caption5032"/>
            <w:bookmarkStart w:id="1356" w:name="_Caption7584"/>
            <w:bookmarkStart w:id="1357" w:name="_Caption1703"/>
            <w:bookmarkStart w:id="1358" w:name="_Caption1661"/>
            <w:bookmarkStart w:id="1359" w:name="_Caption9407"/>
            <w:bookmarkStart w:id="1360" w:name="_Caption2325"/>
            <w:bookmarkStart w:id="1361" w:name="_Caption7123"/>
            <w:bookmarkStart w:id="1362" w:name="_Caption1395"/>
            <w:bookmarkStart w:id="1363" w:name="_Caption0197"/>
            <w:bookmarkStart w:id="1364" w:name="_Caption2747"/>
            <w:bookmarkStart w:id="1365" w:name="_Caption0139"/>
            <w:bookmarkStart w:id="1366" w:name="_Caption6955"/>
            <w:bookmarkStart w:id="1367" w:name="_Caption9766"/>
            <w:bookmarkStart w:id="1368" w:name="_Caption4135"/>
            <w:bookmarkStart w:id="1369" w:name="_Caption5634"/>
            <w:bookmarkStart w:id="1370" w:name="_Caption6886"/>
            <w:bookmarkStart w:id="1371" w:name="_Caption1680"/>
            <w:bookmarkStart w:id="1372" w:name="_Caption5448"/>
            <w:bookmarkStart w:id="1373" w:name="_Caption5765"/>
            <w:bookmarkStart w:id="1374" w:name="_Toc384653384"/>
            <w:bookmarkStart w:id="1375" w:name="_Toc391972977"/>
            <w:r w:rsidR="00584F9A">
              <w:rPr>
                <w:noProof/>
              </w:rPr>
              <w:t>7</w:t>
            </w:r>
            <w:r w:rsidR="00584F9A" w:rsidRPr="00E05C8C">
              <w:rPr>
                <w:noProof/>
              </w:rPr>
              <w:t>.</w:t>
            </w:r>
            <w:r w:rsidR="00584F9A">
              <w:rPr>
                <w:noProof/>
              </w:rPr>
              <w:t>2</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r w:rsidRPr="00E05C8C">
              <w:fldChar w:fldCharType="end"/>
            </w:r>
            <w:r w:rsidRPr="00E05C8C">
              <w:tab/>
            </w:r>
            <w:r>
              <w:t>Example of net impacts of a binding retail price control</w:t>
            </w:r>
            <w:bookmarkEnd w:id="1374"/>
            <w:bookmarkEnd w:id="1375"/>
          </w:p>
        </w:tc>
      </w:tr>
      <w:tr w:rsidR="00FF21CA" w:rsidTr="002166AA">
        <w:tblPrEx>
          <w:tblBorders>
            <w:top w:val="none" w:sz="0" w:space="0" w:color="auto"/>
            <w:left w:val="none" w:sz="0" w:space="0" w:color="auto"/>
            <w:bottom w:val="none" w:sz="0" w:space="0" w:color="auto"/>
            <w:right w:val="none" w:sz="0" w:space="0" w:color="auto"/>
          </w:tblBorders>
          <w:shd w:val="clear" w:color="6F6652" w:fill="F1EFEA"/>
        </w:tblPrEx>
        <w:trPr>
          <w:cantSplit/>
        </w:trPr>
        <w:tc>
          <w:tcPr>
            <w:tcW w:w="7938" w:type="dxa"/>
            <w:shd w:val="clear" w:color="auto" w:fill="E9E8E5" w:themeFill="background2"/>
          </w:tcPr>
          <w:p w:rsidR="00FF21CA" w:rsidRDefault="00FF21CA" w:rsidP="00F376BC">
            <w:pPr>
              <w:pStyle w:val="BodyText"/>
            </w:pPr>
            <w:r>
              <w:t xml:space="preserve">Suppose that Telstra was going to charge $30 per month for retail line rental (we ignore costs of making calls for simplicity). This reflected a $20 per month component for wholesale costs (which </w:t>
            </w:r>
            <w:proofErr w:type="gramStart"/>
            <w:r>
              <w:t>is regulated</w:t>
            </w:r>
            <w:proofErr w:type="gramEnd"/>
            <w:r>
              <w:t xml:space="preserve">) and $10 per month to cover retail costs. These costs include covering any capital used in providing services. At this price, John would not take up a fixed line voice service. </w:t>
            </w:r>
          </w:p>
          <w:p w:rsidR="00FF21CA" w:rsidRDefault="00FF21CA" w:rsidP="00F376BC">
            <w:pPr>
              <w:pStyle w:val="BodyText"/>
            </w:pPr>
            <w:r>
              <w:t>Now suppose that retail price controls were set at $20 per month. John now decides to take up the service.</w:t>
            </w:r>
          </w:p>
          <w:p w:rsidR="00FF21CA" w:rsidRDefault="00FF21CA" w:rsidP="00F376BC">
            <w:pPr>
              <w:pStyle w:val="BodyText"/>
            </w:pPr>
            <w:r>
              <w:t>John value’s the service at somewhere between $20 and $30 per month.</w:t>
            </w:r>
          </w:p>
          <w:p w:rsidR="00FF21CA" w:rsidRDefault="00FF21CA" w:rsidP="00F376BC">
            <w:pPr>
              <w:pStyle w:val="BodyText"/>
            </w:pPr>
            <w:r>
              <w:t>The ACCC has determined that an appropriate amount to cover wholesale costs is $20 per month. Telstra’s retail costs of $10 per month bring the total costs to $30 per month, which is higher than John’s value for the service.</w:t>
            </w:r>
          </w:p>
          <w:p w:rsidR="00FF21CA" w:rsidRDefault="00FF21CA" w:rsidP="00F376BC">
            <w:pPr>
              <w:pStyle w:val="BodyText"/>
            </w:pPr>
            <w:r>
              <w:t>This then means that the net costs of providing this service to John are in the order of $0 to $10. On average, the general assumption made in this case is that there is a net cost of $5 to provide this service to John.</w:t>
            </w:r>
          </w:p>
          <w:p w:rsidR="00FF21CA" w:rsidRPr="00BF2F67" w:rsidRDefault="00FF21CA" w:rsidP="00F376BC">
            <w:pPr>
              <w:pStyle w:val="BodyText"/>
            </w:pPr>
            <w:r>
              <w:t xml:space="preserve">Note that if the cost to Telstra was $5 but because of market power </w:t>
            </w:r>
            <w:r>
              <w:rPr>
                <w:i/>
              </w:rPr>
              <w:t xml:space="preserve">at the </w:t>
            </w:r>
            <w:proofErr w:type="gramStart"/>
            <w:r>
              <w:rPr>
                <w:i/>
              </w:rPr>
              <w:t>retail</w:t>
            </w:r>
            <w:proofErr w:type="gramEnd"/>
            <w:r>
              <w:rPr>
                <w:i/>
              </w:rPr>
              <w:t xml:space="preserve"> level </w:t>
            </w:r>
            <w:r>
              <w:t xml:space="preserve">it could charge $10, then the net costs are different. In this case, the net impact could range from a net benefit of $5 to a net cost of $5.   </w:t>
            </w:r>
          </w:p>
        </w:tc>
      </w:tr>
      <w:tr w:rsidR="00FF21CA" w:rsidTr="002166AA">
        <w:tblPrEx>
          <w:tblBorders>
            <w:top w:val="none" w:sz="0" w:space="0" w:color="auto"/>
            <w:left w:val="none" w:sz="0" w:space="0" w:color="auto"/>
            <w:bottom w:val="none" w:sz="0" w:space="0" w:color="auto"/>
            <w:right w:val="none" w:sz="0" w:space="0" w:color="auto"/>
          </w:tblBorders>
          <w:shd w:val="clear" w:color="6F6652" w:fill="F1EFEA"/>
        </w:tblPrEx>
        <w:trPr>
          <w:cantSplit/>
          <w:trHeight w:hRule="exact" w:val="142"/>
        </w:trPr>
        <w:tc>
          <w:tcPr>
            <w:tcW w:w="7938" w:type="dxa"/>
            <w:tcBorders>
              <w:bottom w:val="single" w:sz="4" w:space="0" w:color="9B917E" w:themeColor="accent4"/>
            </w:tcBorders>
            <w:shd w:val="clear" w:color="auto" w:fill="E9E8E5" w:themeFill="background2"/>
          </w:tcPr>
          <w:p w:rsidR="00FF21CA" w:rsidRDefault="00FF21CA" w:rsidP="00F376BC"/>
        </w:tc>
      </w:tr>
      <w:tr w:rsidR="00FF21CA" w:rsidTr="002166AA">
        <w:tblPrEx>
          <w:tblBorders>
            <w:top w:val="none" w:sz="0" w:space="0" w:color="auto"/>
            <w:left w:val="none" w:sz="0" w:space="0" w:color="auto"/>
            <w:bottom w:val="none" w:sz="0" w:space="0" w:color="auto"/>
            <w:right w:val="none" w:sz="0" w:space="0" w:color="auto"/>
          </w:tblBorders>
          <w:shd w:val="clear" w:color="6F6652" w:fill="F1EFEA"/>
        </w:tblPrEx>
        <w:trPr>
          <w:cantSplit/>
          <w:trHeight w:hRule="exact" w:val="198"/>
        </w:trPr>
        <w:tc>
          <w:tcPr>
            <w:tcW w:w="7938" w:type="dxa"/>
            <w:tcBorders>
              <w:top w:val="single" w:sz="4" w:space="0" w:color="9B917E" w:themeColor="accent4"/>
            </w:tcBorders>
            <w:shd w:val="clear" w:color="6F6652" w:fill="auto"/>
          </w:tcPr>
          <w:p w:rsidR="00FF21CA" w:rsidRDefault="00FF21CA" w:rsidP="00F376BC"/>
        </w:tc>
      </w:tr>
    </w:tbl>
    <w:p w:rsidR="00FF21CA" w:rsidRDefault="00FF21CA" w:rsidP="00FF21CA">
      <w:pPr>
        <w:pStyle w:val="BodyText"/>
      </w:pPr>
      <w:r>
        <w:t>As the discussion above highlights, the net costs and benefits (outside of administrative costs) reflect two factors.</w:t>
      </w:r>
    </w:p>
    <w:p w:rsidR="00FF21CA" w:rsidRPr="002B2E3B" w:rsidRDefault="00FF21CA" w:rsidP="002B2E3B">
      <w:pPr>
        <w:pStyle w:val="ListBullet"/>
      </w:pPr>
      <w:r w:rsidRPr="002B2E3B">
        <w:t>Does Telstra holds market power for the retail component of providing services?</w:t>
      </w:r>
    </w:p>
    <w:p w:rsidR="00FF21CA" w:rsidRPr="002B2E3B" w:rsidRDefault="00FF21CA" w:rsidP="002B2E3B">
      <w:pPr>
        <w:pStyle w:val="ListBullet"/>
      </w:pPr>
      <w:r w:rsidRPr="002B2E3B">
        <w:t>What is the price level that is determined by retail price regulation?</w:t>
      </w:r>
    </w:p>
    <w:p w:rsidR="00FF21CA" w:rsidRDefault="00FF21CA" w:rsidP="00FF21CA">
      <w:pPr>
        <w:pStyle w:val="Heading2"/>
      </w:pPr>
      <w:bookmarkStart w:id="1376" w:name="_Toc384653326"/>
      <w:bookmarkStart w:id="1377" w:name="_Toc388269646"/>
      <w:r>
        <w:t>Administrative costs</w:t>
      </w:r>
      <w:bookmarkEnd w:id="1376"/>
      <w:bookmarkEnd w:id="1377"/>
    </w:p>
    <w:p w:rsidR="00FF21CA" w:rsidRDefault="00FF21CA" w:rsidP="00FF21CA">
      <w:pPr>
        <w:pStyle w:val="BodyText"/>
      </w:pPr>
      <w:r>
        <w:t xml:space="preserve">The estimated administrative </w:t>
      </w:r>
      <w:proofErr w:type="gramStart"/>
      <w:r>
        <w:t>costs of each of the options is</w:t>
      </w:r>
      <w:proofErr w:type="gramEnd"/>
      <w:r>
        <w:t xml:space="preserve"> set out in table </w:t>
      </w:r>
      <w:fldSimple w:instr=" REF _Caption6646 ">
        <w:r w:rsidR="00304215">
          <w:rPr>
            <w:noProof/>
          </w:rPr>
          <w:t>7</w:t>
        </w:r>
        <w:r w:rsidR="00304215" w:rsidRPr="00695C93">
          <w:rPr>
            <w:noProof/>
          </w:rPr>
          <w:t>.</w:t>
        </w:r>
        <w:r w:rsidR="00304215">
          <w:rPr>
            <w:noProof/>
          </w:rPr>
          <w:t>3</w:t>
        </w:r>
      </w:fldSimple>
      <w:r>
        <w:t>, on the basis of the following assumptions.</w:t>
      </w:r>
    </w:p>
    <w:p w:rsidR="00FF21CA" w:rsidRPr="002B2E3B" w:rsidRDefault="00FF21CA" w:rsidP="002B2E3B">
      <w:pPr>
        <w:pStyle w:val="ListBullet"/>
      </w:pPr>
      <w:r w:rsidRPr="002B2E3B">
        <w:t xml:space="preserve">The annual costs for compliance for retail price controls is likely to be similar to that historically, of $250 000 per year. </w:t>
      </w:r>
      <w:proofErr w:type="gramStart"/>
      <w:r w:rsidRPr="002B2E3B">
        <w:t>The largest part of this would be incurred by Telstra</w:t>
      </w:r>
      <w:proofErr w:type="gramEnd"/>
      <w:r w:rsidRPr="002B2E3B">
        <w:t>.</w:t>
      </w:r>
    </w:p>
    <w:p w:rsidR="00FF21CA" w:rsidRPr="002B2E3B" w:rsidRDefault="00FF21CA" w:rsidP="002B2E3B">
      <w:pPr>
        <w:pStyle w:val="ListBullet"/>
      </w:pPr>
      <w:r w:rsidRPr="002B2E3B">
        <w:t xml:space="preserve">Retail price monitoring would have similar costs for the ACCC but lower costs for Telstra, depending on the form of retail price monitoring. We assume that price monitoring has half the overall level of administrative costs and has no cost for implementation. No cost has been included for remedying abuse of market </w:t>
      </w:r>
      <w:r w:rsidR="00C21F44">
        <w:t>power</w:t>
      </w:r>
      <w:r w:rsidRPr="002B2E3B">
        <w:t xml:space="preserve"> if identified through price monitoring.</w:t>
      </w:r>
    </w:p>
    <w:p w:rsidR="00FF21CA" w:rsidRPr="002B2E3B" w:rsidRDefault="00FF21CA" w:rsidP="002B2E3B">
      <w:pPr>
        <w:pStyle w:val="ListBullet"/>
      </w:pPr>
      <w:r w:rsidRPr="002B2E3B">
        <w:t>A regulatory review to revise retail price controls would cost in the order of $500 000, based on the CIE’s experience with such reviews.</w:t>
      </w:r>
    </w:p>
    <w:p w:rsidR="00FF21CA" w:rsidRDefault="00FF21CA" w:rsidP="00FF21CA">
      <w:pPr>
        <w:pStyle w:val="BodyText"/>
      </w:pPr>
      <w:r>
        <w:lastRenderedPageBreak/>
        <w:t xml:space="preserve">In total, the costs over five years, discounted to today, are slightly over $1 million for continuing current retail price controls, slightly over $1.5 million for revising controls and slightly over $0.5 million for monitoring retail prices. </w:t>
      </w:r>
    </w:p>
    <w:p w:rsidR="00FF21CA" w:rsidRDefault="00FF21CA" w:rsidP="00FF21CA">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7</w:instrText>
        </w:r>
      </w:fldSimple>
      <w:r w:rsidRPr="00695C93">
        <w:instrText xml:space="preserve"> = 0 "" "</w:instrText>
      </w:r>
      <w:fldSimple w:instr=" STYLEREF &quot;Heading 1&quot; \l \n ">
        <w:r w:rsidR="00304215">
          <w:rPr>
            <w:noProof/>
          </w:rPr>
          <w:instrText>7</w:instrText>
        </w:r>
      </w:fldSimple>
      <w:r w:rsidRPr="00695C93">
        <w:instrText xml:space="preserve">." </w:instrText>
      </w:r>
      <w:r w:rsidRPr="00695C93">
        <w:fldChar w:fldCharType="separate"/>
      </w:r>
      <w:r w:rsidR="00304215">
        <w:rPr>
          <w:noProof/>
        </w:rPr>
        <w:instrText>7</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7</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7</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3</w:instrText>
      </w:r>
      <w:r w:rsidRPr="00695C93">
        <w:fldChar w:fldCharType="end"/>
      </w:r>
      <w:r w:rsidRPr="00695C93">
        <w:instrText xml:space="preserve">" "" </w:instrText>
      </w:r>
      <w:r w:rsidRPr="00695C93">
        <w:fldChar w:fldCharType="separate"/>
      </w:r>
      <w:bookmarkStart w:id="1378" w:name="_Caption1272"/>
      <w:bookmarkStart w:id="1379" w:name="_Caption7226"/>
      <w:bookmarkStart w:id="1380" w:name="_Caption7685"/>
      <w:bookmarkStart w:id="1381" w:name="_Caption2775"/>
      <w:bookmarkStart w:id="1382" w:name="_Caption3919"/>
      <w:bookmarkStart w:id="1383" w:name="_Caption6759"/>
      <w:bookmarkStart w:id="1384" w:name="_Caption1916"/>
      <w:bookmarkStart w:id="1385" w:name="_Caption1208"/>
      <w:bookmarkStart w:id="1386" w:name="_Caption9748"/>
      <w:bookmarkStart w:id="1387" w:name="_Caption4122"/>
      <w:bookmarkStart w:id="1388" w:name="_Caption2302"/>
      <w:bookmarkStart w:id="1389" w:name="_Caption8420"/>
      <w:bookmarkStart w:id="1390" w:name="_Caption9294"/>
      <w:bookmarkStart w:id="1391" w:name="_Caption0089"/>
      <w:bookmarkStart w:id="1392" w:name="_Caption9327"/>
      <w:bookmarkStart w:id="1393" w:name="_Caption9946"/>
      <w:bookmarkStart w:id="1394" w:name="_Caption8729"/>
      <w:bookmarkStart w:id="1395" w:name="_Caption3724"/>
      <w:bookmarkStart w:id="1396" w:name="_Caption7233"/>
      <w:bookmarkStart w:id="1397" w:name="_Caption5308"/>
      <w:bookmarkStart w:id="1398" w:name="_Caption4791"/>
      <w:bookmarkStart w:id="1399" w:name="_Caption2695"/>
      <w:bookmarkStart w:id="1400" w:name="_Caption0348"/>
      <w:bookmarkStart w:id="1401" w:name="_Caption7303"/>
      <w:bookmarkStart w:id="1402" w:name="_Caption7124"/>
      <w:bookmarkStart w:id="1403" w:name="_Caption1218"/>
      <w:bookmarkStart w:id="1404" w:name="_Caption0209"/>
      <w:bookmarkStart w:id="1405" w:name="_Caption9035"/>
      <w:bookmarkStart w:id="1406" w:name="_Caption6070"/>
      <w:bookmarkStart w:id="1407" w:name="_Caption1306"/>
      <w:bookmarkStart w:id="1408" w:name="_Caption1892"/>
      <w:bookmarkStart w:id="1409" w:name="_Caption5238"/>
      <w:bookmarkStart w:id="1410" w:name="_Caption5472"/>
      <w:bookmarkStart w:id="1411" w:name="_Caption5865"/>
      <w:bookmarkStart w:id="1412" w:name="_Caption5396"/>
      <w:bookmarkStart w:id="1413" w:name="_Caption7057"/>
      <w:bookmarkStart w:id="1414" w:name="_Caption7902"/>
      <w:bookmarkStart w:id="1415" w:name="_Caption6646"/>
      <w:bookmarkStart w:id="1416" w:name="_Caption2621"/>
      <w:bookmarkStart w:id="1417" w:name="_Caption2413"/>
      <w:bookmarkStart w:id="1418" w:name="_Caption2462"/>
      <w:bookmarkStart w:id="1419" w:name="_Caption1196"/>
      <w:bookmarkStart w:id="1420" w:name="_Caption1371"/>
      <w:bookmarkStart w:id="1421" w:name="_Caption3271"/>
      <w:bookmarkStart w:id="1422" w:name="_Caption0317"/>
      <w:bookmarkStart w:id="1423" w:name="_Toc384653385"/>
      <w:bookmarkStart w:id="1424" w:name="_Toc391972978"/>
      <w:r w:rsidR="00584F9A">
        <w:rPr>
          <w:noProof/>
        </w:rPr>
        <w:t>7</w:t>
      </w:r>
      <w:r w:rsidR="00584F9A" w:rsidRPr="00695C93">
        <w:rPr>
          <w:noProof/>
        </w:rPr>
        <w:t>.</w:t>
      </w:r>
      <w:r w:rsidR="00584F9A">
        <w:rPr>
          <w:noProof/>
        </w:rPr>
        <w:t>3</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r w:rsidRPr="00695C93">
        <w:fldChar w:fldCharType="end"/>
      </w:r>
      <w:r w:rsidRPr="00695C93">
        <w:tab/>
      </w:r>
      <w:r>
        <w:t>Administrative costs (Government and Telstra)</w:t>
      </w:r>
      <w:bookmarkEnd w:id="1423"/>
      <w:bookmarkEnd w:id="1424"/>
    </w:p>
    <w:tbl>
      <w:tblPr>
        <w:tblW w:w="0" w:type="auto"/>
        <w:tblInd w:w="57" w:type="dxa"/>
        <w:tblLayout w:type="fixed"/>
        <w:tblLook w:val="0000" w:firstRow="0" w:lastRow="0" w:firstColumn="0" w:lastColumn="0" w:noHBand="0" w:noVBand="0"/>
      </w:tblPr>
      <w:tblGrid>
        <w:gridCol w:w="2645"/>
        <w:gridCol w:w="1764"/>
        <w:gridCol w:w="1764"/>
        <w:gridCol w:w="1764"/>
      </w:tblGrid>
      <w:tr w:rsidR="00FF21CA" w:rsidTr="00F376BC">
        <w:tc>
          <w:tcPr>
            <w:tcW w:w="2645" w:type="dxa"/>
            <w:shd w:val="clear" w:color="auto" w:fill="6F6652"/>
            <w:tcMar>
              <w:left w:w="57" w:type="dxa"/>
              <w:right w:w="57" w:type="dxa"/>
            </w:tcMar>
          </w:tcPr>
          <w:p w:rsidR="00FF21CA" w:rsidRDefault="00FF21CA" w:rsidP="00F376BC">
            <w:pPr>
              <w:pStyle w:val="TableTextColumnHeading"/>
            </w:pPr>
            <w:r>
              <w:t>Option</w:t>
            </w:r>
          </w:p>
        </w:tc>
        <w:tc>
          <w:tcPr>
            <w:tcW w:w="1764" w:type="dxa"/>
            <w:shd w:val="clear" w:color="auto" w:fill="6F6652"/>
            <w:tcMar>
              <w:left w:w="57" w:type="dxa"/>
              <w:right w:w="57" w:type="dxa"/>
            </w:tcMar>
          </w:tcPr>
          <w:p w:rsidR="00FF21CA" w:rsidRDefault="00FF21CA" w:rsidP="00B97E59">
            <w:pPr>
              <w:pStyle w:val="TableTextColumnHeading"/>
              <w:jc w:val="right"/>
            </w:pPr>
            <w:r>
              <w:t>Annual cost</w:t>
            </w:r>
          </w:p>
        </w:tc>
        <w:tc>
          <w:tcPr>
            <w:tcW w:w="1764" w:type="dxa"/>
            <w:shd w:val="clear" w:color="auto" w:fill="6F6652"/>
          </w:tcPr>
          <w:p w:rsidR="00FF21CA" w:rsidRDefault="00FF21CA" w:rsidP="00B97E59">
            <w:pPr>
              <w:pStyle w:val="TableTextColumnHeading"/>
              <w:jc w:val="right"/>
            </w:pPr>
            <w:r>
              <w:t>Initial implementation cost</w:t>
            </w:r>
          </w:p>
        </w:tc>
        <w:tc>
          <w:tcPr>
            <w:tcW w:w="1764" w:type="dxa"/>
            <w:shd w:val="clear" w:color="auto" w:fill="6F6652"/>
            <w:tcMar>
              <w:left w:w="57" w:type="dxa"/>
              <w:right w:w="57" w:type="dxa"/>
            </w:tcMar>
          </w:tcPr>
          <w:p w:rsidR="00FF21CA" w:rsidRDefault="00FF21CA" w:rsidP="00B97E59">
            <w:pPr>
              <w:pStyle w:val="TableTextColumnHeading"/>
              <w:jc w:val="right"/>
            </w:pPr>
            <w:r>
              <w:t>Present value of costs over 5 years</w:t>
            </w:r>
          </w:p>
        </w:tc>
      </w:tr>
      <w:tr w:rsidR="00FF21CA" w:rsidTr="002B2E3B">
        <w:tc>
          <w:tcPr>
            <w:tcW w:w="2645" w:type="dxa"/>
            <w:tcBorders>
              <w:bottom w:val="single" w:sz="8" w:space="0" w:color="FFFFFF" w:themeColor="background1"/>
            </w:tcBorders>
            <w:shd w:val="clear" w:color="auto" w:fill="auto"/>
            <w:tcMar>
              <w:left w:w="57" w:type="dxa"/>
              <w:right w:w="57" w:type="dxa"/>
            </w:tcMar>
          </w:tcPr>
          <w:p w:rsidR="00FF21CA" w:rsidRDefault="00FF21CA" w:rsidP="002B2E3B">
            <w:pPr>
              <w:pStyle w:val="TableDataEntries"/>
            </w:pPr>
          </w:p>
        </w:tc>
        <w:tc>
          <w:tcPr>
            <w:tcW w:w="1764" w:type="dxa"/>
            <w:tcBorders>
              <w:bottom w:val="single" w:sz="8" w:space="0" w:color="FFFFFF" w:themeColor="background1"/>
            </w:tcBorders>
            <w:shd w:val="clear" w:color="auto" w:fill="auto"/>
            <w:tcMar>
              <w:left w:w="57" w:type="dxa"/>
              <w:right w:w="57" w:type="dxa"/>
            </w:tcMar>
          </w:tcPr>
          <w:p w:rsidR="00FF21CA" w:rsidRDefault="00FF21CA" w:rsidP="002B2E3B">
            <w:pPr>
              <w:pStyle w:val="TableDataEntries"/>
            </w:pPr>
            <w:r>
              <w:t>$000/year</w:t>
            </w:r>
          </w:p>
        </w:tc>
        <w:tc>
          <w:tcPr>
            <w:tcW w:w="1764" w:type="dxa"/>
            <w:tcBorders>
              <w:bottom w:val="single" w:sz="8" w:space="0" w:color="FFFFFF" w:themeColor="background1"/>
            </w:tcBorders>
            <w:shd w:val="clear" w:color="auto" w:fill="auto"/>
          </w:tcPr>
          <w:p w:rsidR="00FF21CA" w:rsidRDefault="00FF21CA" w:rsidP="002B2E3B">
            <w:pPr>
              <w:pStyle w:val="TableDataEntries"/>
            </w:pPr>
            <w:r>
              <w:t>$000 (once-off)</w:t>
            </w:r>
          </w:p>
        </w:tc>
        <w:tc>
          <w:tcPr>
            <w:tcW w:w="1764" w:type="dxa"/>
            <w:tcBorders>
              <w:bottom w:val="single" w:sz="8" w:space="0" w:color="FFFFFF" w:themeColor="background1"/>
            </w:tcBorders>
            <w:shd w:val="clear" w:color="auto" w:fill="auto"/>
            <w:tcMar>
              <w:left w:w="57" w:type="dxa"/>
              <w:right w:w="57" w:type="dxa"/>
            </w:tcMar>
          </w:tcPr>
          <w:p w:rsidR="00FF21CA" w:rsidRDefault="00FF21CA" w:rsidP="002B2E3B">
            <w:pPr>
              <w:pStyle w:val="TableDataEntries"/>
            </w:pPr>
            <w:r>
              <w:t>$000</w:t>
            </w:r>
          </w:p>
        </w:tc>
      </w:tr>
      <w:tr w:rsidR="00FF21CA" w:rsidTr="002B2E3B">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Cease retail price controls (and maintain wholesale regulation)</w:t>
            </w:r>
          </w:p>
        </w:tc>
        <w:tc>
          <w:tcPr>
            <w:tcW w:w="176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DataEntries"/>
            </w:pPr>
            <w:r>
              <w:t>0</w:t>
            </w:r>
          </w:p>
        </w:tc>
        <w:tc>
          <w:tcPr>
            <w:tcW w:w="1764" w:type="dxa"/>
            <w:tcBorders>
              <w:top w:val="single" w:sz="8" w:space="0" w:color="FFFFFF" w:themeColor="background1"/>
              <w:bottom w:val="single" w:sz="8" w:space="0" w:color="FFFFFF" w:themeColor="background1"/>
            </w:tcBorders>
            <w:shd w:val="clear" w:color="auto" w:fill="E9E8E5" w:themeFill="background2"/>
          </w:tcPr>
          <w:p w:rsidR="00FF21CA" w:rsidRDefault="00FF21CA" w:rsidP="00F376BC">
            <w:pPr>
              <w:pStyle w:val="TableDataEntries"/>
            </w:pPr>
            <w:r>
              <w:t>0</w:t>
            </w:r>
          </w:p>
        </w:tc>
        <w:tc>
          <w:tcPr>
            <w:tcW w:w="176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DataEntries"/>
              <w:rPr>
                <w:szCs w:val="16"/>
              </w:rPr>
            </w:pPr>
            <w:r>
              <w:rPr>
                <w:szCs w:val="16"/>
              </w:rPr>
              <w:t xml:space="preserve"> 0</w:t>
            </w:r>
          </w:p>
        </w:tc>
      </w:tr>
      <w:tr w:rsidR="00FF21CA" w:rsidTr="002B2E3B">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Retain retail price controls in current format (and maintain wholesale regulation)</w:t>
            </w:r>
          </w:p>
        </w:tc>
        <w:tc>
          <w:tcPr>
            <w:tcW w:w="176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DataEntries"/>
            </w:pPr>
            <w:r>
              <w:t>250</w:t>
            </w:r>
          </w:p>
        </w:tc>
        <w:tc>
          <w:tcPr>
            <w:tcW w:w="1764" w:type="dxa"/>
            <w:tcBorders>
              <w:top w:val="single" w:sz="8" w:space="0" w:color="FFFFFF" w:themeColor="background1"/>
              <w:bottom w:val="single" w:sz="8" w:space="0" w:color="FFFFFF" w:themeColor="background1"/>
            </w:tcBorders>
            <w:shd w:val="clear" w:color="auto" w:fill="E9E8E5" w:themeFill="background2"/>
          </w:tcPr>
          <w:p w:rsidR="00FF21CA" w:rsidRDefault="00FF21CA" w:rsidP="00F376BC">
            <w:pPr>
              <w:pStyle w:val="TableDataEntries"/>
            </w:pPr>
            <w:r>
              <w:t>0</w:t>
            </w:r>
          </w:p>
        </w:tc>
        <w:tc>
          <w:tcPr>
            <w:tcW w:w="176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DataEntries"/>
              <w:rPr>
                <w:szCs w:val="16"/>
              </w:rPr>
            </w:pPr>
            <w:r>
              <w:rPr>
                <w:szCs w:val="16"/>
              </w:rPr>
              <w:t>1 097</w:t>
            </w:r>
          </w:p>
        </w:tc>
      </w:tr>
      <w:tr w:rsidR="00FF21CA" w:rsidTr="002B2E3B">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Revise retail price controls (and maintain wholesale regulation)</w:t>
            </w:r>
          </w:p>
        </w:tc>
        <w:tc>
          <w:tcPr>
            <w:tcW w:w="176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DataEntries"/>
            </w:pPr>
            <w:r>
              <w:t>250</w:t>
            </w:r>
          </w:p>
        </w:tc>
        <w:tc>
          <w:tcPr>
            <w:tcW w:w="1764" w:type="dxa"/>
            <w:tcBorders>
              <w:top w:val="single" w:sz="8" w:space="0" w:color="FFFFFF" w:themeColor="background1"/>
              <w:bottom w:val="single" w:sz="8" w:space="0" w:color="FFFFFF" w:themeColor="background1"/>
            </w:tcBorders>
            <w:shd w:val="clear" w:color="auto" w:fill="E9E8E5" w:themeFill="background2"/>
          </w:tcPr>
          <w:p w:rsidR="00FF21CA" w:rsidRDefault="00FF21CA" w:rsidP="00F376BC">
            <w:pPr>
              <w:pStyle w:val="TableDataEntries"/>
            </w:pPr>
            <w:r>
              <w:t>500</w:t>
            </w:r>
          </w:p>
        </w:tc>
        <w:tc>
          <w:tcPr>
            <w:tcW w:w="176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DataEntries"/>
              <w:rPr>
                <w:szCs w:val="16"/>
              </w:rPr>
            </w:pPr>
            <w:r>
              <w:rPr>
                <w:szCs w:val="16"/>
              </w:rPr>
              <w:t>1 597</w:t>
            </w:r>
          </w:p>
        </w:tc>
      </w:tr>
      <w:tr w:rsidR="00FF21CA" w:rsidTr="002B2E3B">
        <w:tc>
          <w:tcPr>
            <w:tcW w:w="2645" w:type="dxa"/>
            <w:tcBorders>
              <w:top w:val="single" w:sz="8" w:space="0" w:color="FFFFFF" w:themeColor="background1"/>
              <w:bottom w:val="single" w:sz="6" w:space="0" w:color="6F6652"/>
            </w:tcBorders>
            <w:shd w:val="clear" w:color="auto" w:fill="E9E8E5" w:themeFill="background2"/>
            <w:tcMar>
              <w:left w:w="57" w:type="dxa"/>
              <w:right w:w="57" w:type="dxa"/>
            </w:tcMar>
          </w:tcPr>
          <w:p w:rsidR="00FF21CA" w:rsidRDefault="00FF21CA" w:rsidP="00F376BC">
            <w:pPr>
              <w:pStyle w:val="TableTextEntries"/>
            </w:pPr>
            <w:r>
              <w:t>Monitoring of retail prices with potential remedy for abuse of market power (and maintain wholesale regulation)</w:t>
            </w:r>
          </w:p>
        </w:tc>
        <w:tc>
          <w:tcPr>
            <w:tcW w:w="1764" w:type="dxa"/>
            <w:tcBorders>
              <w:top w:val="single" w:sz="8" w:space="0" w:color="FFFFFF" w:themeColor="background1"/>
              <w:bottom w:val="single" w:sz="6" w:space="0" w:color="6F6652"/>
            </w:tcBorders>
            <w:shd w:val="clear" w:color="auto" w:fill="E9E8E5" w:themeFill="background2"/>
            <w:tcMar>
              <w:left w:w="57" w:type="dxa"/>
              <w:right w:w="57" w:type="dxa"/>
            </w:tcMar>
          </w:tcPr>
          <w:p w:rsidR="00FF21CA" w:rsidRDefault="00FF21CA" w:rsidP="00F376BC">
            <w:pPr>
              <w:pStyle w:val="TableDataEntries"/>
            </w:pPr>
            <w:r>
              <w:t>125</w:t>
            </w:r>
          </w:p>
        </w:tc>
        <w:tc>
          <w:tcPr>
            <w:tcW w:w="1764" w:type="dxa"/>
            <w:tcBorders>
              <w:top w:val="single" w:sz="8" w:space="0" w:color="FFFFFF" w:themeColor="background1"/>
              <w:bottom w:val="single" w:sz="6" w:space="0" w:color="6F6652"/>
            </w:tcBorders>
            <w:shd w:val="clear" w:color="auto" w:fill="E9E8E5" w:themeFill="background2"/>
          </w:tcPr>
          <w:p w:rsidR="00FF21CA" w:rsidRDefault="00FF21CA" w:rsidP="00F376BC">
            <w:pPr>
              <w:pStyle w:val="TableDataEntries"/>
            </w:pPr>
            <w:r>
              <w:t>0</w:t>
            </w:r>
          </w:p>
        </w:tc>
        <w:tc>
          <w:tcPr>
            <w:tcW w:w="1764" w:type="dxa"/>
            <w:tcBorders>
              <w:top w:val="single" w:sz="8" w:space="0" w:color="FFFFFF" w:themeColor="background1"/>
              <w:bottom w:val="single" w:sz="6" w:space="0" w:color="6F6652"/>
            </w:tcBorders>
            <w:shd w:val="clear" w:color="auto" w:fill="E9E8E5" w:themeFill="background2"/>
            <w:tcMar>
              <w:left w:w="57" w:type="dxa"/>
              <w:right w:w="57" w:type="dxa"/>
            </w:tcMar>
          </w:tcPr>
          <w:p w:rsidR="00FF21CA" w:rsidRDefault="00FF21CA" w:rsidP="00F376BC">
            <w:pPr>
              <w:pStyle w:val="TableDataEntries"/>
              <w:rPr>
                <w:szCs w:val="16"/>
              </w:rPr>
            </w:pPr>
            <w:r>
              <w:rPr>
                <w:szCs w:val="16"/>
              </w:rPr>
              <w:t xml:space="preserve"> 548</w:t>
            </w:r>
          </w:p>
        </w:tc>
      </w:tr>
    </w:tbl>
    <w:p w:rsidR="00FF21CA" w:rsidRDefault="00FF21CA" w:rsidP="00FF21CA">
      <w:pPr>
        <w:pStyle w:val="Source"/>
      </w:pPr>
      <w:r>
        <w:rPr>
          <w:i/>
        </w:rPr>
        <w:t xml:space="preserve">Note: </w:t>
      </w:r>
      <w:r>
        <w:t xml:space="preserve">A discount rate (real) of 7 per cent </w:t>
      </w:r>
      <w:proofErr w:type="gramStart"/>
      <w:r>
        <w:t>has been used</w:t>
      </w:r>
      <w:proofErr w:type="gramEnd"/>
      <w:r>
        <w:t xml:space="preserve"> for the numbers in the last column.</w:t>
      </w:r>
      <w:r>
        <w:rPr>
          <w:i/>
        </w:rPr>
        <w:br/>
      </w:r>
      <w:proofErr w:type="gramStart"/>
      <w:r>
        <w:rPr>
          <w:i/>
        </w:rPr>
        <w:t>Source</w:t>
      </w:r>
      <w:r w:rsidRPr="00E4232C">
        <w:rPr>
          <w:i/>
        </w:rPr>
        <w:t>:</w:t>
      </w:r>
      <w:r>
        <w:t xml:space="preserve"> The CIE.</w:t>
      </w:r>
      <w:proofErr w:type="gramEnd"/>
    </w:p>
    <w:p w:rsidR="00FF21CA" w:rsidRDefault="00FF21CA" w:rsidP="00FF21CA">
      <w:pPr>
        <w:pStyle w:val="Heading2"/>
      </w:pPr>
      <w:bookmarkStart w:id="1425" w:name="_Toc384653327"/>
      <w:bookmarkStart w:id="1426" w:name="_Toc388269647"/>
      <w:r>
        <w:t>Economic distortions from price controls</w:t>
      </w:r>
      <w:bookmarkEnd w:id="1425"/>
      <w:bookmarkEnd w:id="1426"/>
    </w:p>
    <w:p w:rsidR="00FF21CA" w:rsidRDefault="00FF21CA" w:rsidP="00FF21CA">
      <w:pPr>
        <w:pStyle w:val="BodyText"/>
      </w:pPr>
      <w:r>
        <w:t xml:space="preserve">As set out above, price controls may lead to costs and benefits (outside of administrative costs) where they result in prices that are different to what would otherwise have been set. Historically, retail price controls have not </w:t>
      </w:r>
      <w:proofErr w:type="gramStart"/>
      <w:r>
        <w:t>impacted on</w:t>
      </w:r>
      <w:proofErr w:type="gramEnd"/>
      <w:r>
        <w:t xml:space="preserve"> prices and have had no costs and benefits outside of administrative costs. Whether or not this is true in the future will reflect:</w:t>
      </w:r>
    </w:p>
    <w:p w:rsidR="00FF21CA" w:rsidRPr="00BE0A38" w:rsidRDefault="00FF21CA" w:rsidP="00BE0A38">
      <w:pPr>
        <w:pStyle w:val="ListBullet"/>
      </w:pPr>
      <w:r w:rsidRPr="00BE0A38">
        <w:t>the prices that are set through retail price controls;</w:t>
      </w:r>
    </w:p>
    <w:p w:rsidR="00FF21CA" w:rsidRPr="00BE0A38" w:rsidRDefault="00FF21CA" w:rsidP="00BE0A38">
      <w:pPr>
        <w:pStyle w:val="ListBullet"/>
      </w:pPr>
      <w:r w:rsidRPr="00BE0A38">
        <w:t>the costs of providing services and the extent to which these differ from prices;</w:t>
      </w:r>
    </w:p>
    <w:p w:rsidR="00FF21CA" w:rsidRPr="00BE0A38" w:rsidRDefault="00FF21CA" w:rsidP="00BE0A38">
      <w:pPr>
        <w:pStyle w:val="ListBullet"/>
      </w:pPr>
      <w:r w:rsidRPr="00BE0A38">
        <w:t>future wholesale price regulation; and</w:t>
      </w:r>
    </w:p>
    <w:p w:rsidR="00FF21CA" w:rsidRDefault="00FF21CA" w:rsidP="00BE0A38">
      <w:pPr>
        <w:pStyle w:val="ListBullet"/>
      </w:pPr>
      <w:proofErr w:type="gramStart"/>
      <w:r w:rsidRPr="00BE0A38">
        <w:t>future</w:t>
      </w:r>
      <w:proofErr w:type="gramEnd"/>
      <w:r w:rsidRPr="00BE0A38">
        <w:t xml:space="preserve"> market conditions, such as mobile telephony services and VoIP services</w:t>
      </w:r>
      <w:r>
        <w:t>.</w:t>
      </w:r>
    </w:p>
    <w:p w:rsidR="00FF21CA" w:rsidRDefault="00FF21CA" w:rsidP="00FF21CA">
      <w:pPr>
        <w:pStyle w:val="BodyText"/>
      </w:pPr>
      <w:r>
        <w:t xml:space="preserve">We do not know what sorts of regulatory and market conditions are likely for the future, so instead we map out indicate impacts from retail price control settings. </w:t>
      </w:r>
    </w:p>
    <w:p w:rsidR="00FF21CA" w:rsidRPr="00BE0A38" w:rsidRDefault="00FF21CA" w:rsidP="00BE0A38">
      <w:pPr>
        <w:pStyle w:val="ListBullet"/>
      </w:pPr>
      <w:r w:rsidRPr="00BE0A38">
        <w:t xml:space="preserve">Table </w:t>
      </w:r>
      <w:r w:rsidR="005C7B71" w:rsidRPr="00BE0A38">
        <w:fldChar w:fldCharType="begin"/>
      </w:r>
      <w:r w:rsidR="005C7B71" w:rsidRPr="00BE0A38">
        <w:instrText xml:space="preserve"> REF _Caption0748 </w:instrText>
      </w:r>
      <w:r w:rsidR="00BE0A38">
        <w:instrText xml:space="preserve"> \* MERGEFORMAT </w:instrText>
      </w:r>
      <w:r w:rsidR="005C7B71" w:rsidRPr="00BE0A38">
        <w:fldChar w:fldCharType="separate"/>
      </w:r>
      <w:r w:rsidR="00304215">
        <w:t>7</w:t>
      </w:r>
      <w:r w:rsidR="00304215" w:rsidRPr="00695C93">
        <w:t>.</w:t>
      </w:r>
      <w:r w:rsidR="00304215">
        <w:t>4</w:t>
      </w:r>
      <w:r w:rsidR="005C7B71" w:rsidRPr="00BE0A38">
        <w:fldChar w:fldCharType="end"/>
      </w:r>
      <w:r w:rsidRPr="00BE0A38">
        <w:t xml:space="preserve"> sets out the impacts of retail price controls that push prices down from the level they would otherwise be, where the retail market is competitive. In this case:</w:t>
      </w:r>
    </w:p>
    <w:p w:rsidR="00FF21CA" w:rsidRDefault="00FF21CA" w:rsidP="009C1B85">
      <w:pPr>
        <w:pStyle w:val="ListBullet2"/>
        <w:numPr>
          <w:ilvl w:val="1"/>
          <w:numId w:val="16"/>
        </w:numPr>
        <w:ind w:left="568" w:hanging="284"/>
      </w:pPr>
      <w:r>
        <w:t>net welfare impacts are always negative;</w:t>
      </w:r>
    </w:p>
    <w:p w:rsidR="00FF21CA" w:rsidRDefault="00FF21CA" w:rsidP="009C1B85">
      <w:pPr>
        <w:pStyle w:val="ListBullet2"/>
        <w:numPr>
          <w:ilvl w:val="1"/>
          <w:numId w:val="16"/>
        </w:numPr>
        <w:ind w:left="568" w:hanging="284"/>
      </w:pPr>
      <w:r>
        <w:t>are more negative where people respond to lower prices more (i.e. the demand curve is more elastic);</w:t>
      </w:r>
    </w:p>
    <w:p w:rsidR="00FF21CA" w:rsidRDefault="00FF21CA" w:rsidP="009C1B85">
      <w:pPr>
        <w:pStyle w:val="ListBullet2"/>
        <w:numPr>
          <w:ilvl w:val="1"/>
          <w:numId w:val="16"/>
        </w:numPr>
        <w:ind w:left="568" w:hanging="284"/>
      </w:pPr>
      <w:r>
        <w:t>are more negative the larger the impact of retail price controls on prices — for example, a 1 per cent price reduction from controls would have a net social cost of $0.1 million per year, while a 10 per cent reduction would have a net social cost of $</w:t>
      </w:r>
      <w:r w:rsidR="005E6E6F">
        <w:t>8</w:t>
      </w:r>
      <w:r>
        <w:t>.</w:t>
      </w:r>
      <w:r w:rsidR="005E6E6F">
        <w:t>1</w:t>
      </w:r>
      <w:r>
        <w:t xml:space="preserve"> to $1</w:t>
      </w:r>
      <w:r w:rsidR="005E6E6F">
        <w:t>6</w:t>
      </w:r>
      <w:r>
        <w:t>.</w:t>
      </w:r>
      <w:r w:rsidR="005E6E6F">
        <w:t>2</w:t>
      </w:r>
      <w:r>
        <w:t xml:space="preserve"> million per year; and</w:t>
      </w:r>
    </w:p>
    <w:p w:rsidR="00FF21CA" w:rsidRDefault="00FF21CA" w:rsidP="009C1B85">
      <w:pPr>
        <w:pStyle w:val="ListBullet2"/>
        <w:numPr>
          <w:ilvl w:val="1"/>
          <w:numId w:val="16"/>
        </w:numPr>
        <w:ind w:left="568" w:hanging="284"/>
      </w:pPr>
      <w:proofErr w:type="gramStart"/>
      <w:r>
        <w:lastRenderedPageBreak/>
        <w:t>are</w:t>
      </w:r>
      <w:proofErr w:type="gramEnd"/>
      <w:r>
        <w:t xml:space="preserve"> positive for consumers (such as households and businesses purchasing services) and negative for producers (particularly Telstra).</w:t>
      </w:r>
    </w:p>
    <w:p w:rsidR="00FF21CA" w:rsidRPr="00BE0A38" w:rsidRDefault="00FF21CA" w:rsidP="00BE0A38">
      <w:pPr>
        <w:pStyle w:val="ListBullet"/>
      </w:pPr>
      <w:r w:rsidRPr="00BE0A38">
        <w:t>Table </w:t>
      </w:r>
      <w:r w:rsidR="005C7B71" w:rsidRPr="00BE0A38">
        <w:fldChar w:fldCharType="begin"/>
      </w:r>
      <w:r w:rsidR="005C7B71" w:rsidRPr="00BE0A38">
        <w:instrText xml:space="preserve"> REF _Caption3285 </w:instrText>
      </w:r>
      <w:r w:rsidR="00BE0A38">
        <w:instrText xml:space="preserve"> \* MERGEFORMAT </w:instrText>
      </w:r>
      <w:r w:rsidR="005C7B71" w:rsidRPr="00BE0A38">
        <w:fldChar w:fldCharType="separate"/>
      </w:r>
      <w:r w:rsidR="00304215">
        <w:t>7</w:t>
      </w:r>
      <w:r w:rsidR="00304215" w:rsidRPr="00695C93">
        <w:t>.</w:t>
      </w:r>
      <w:r w:rsidR="00304215">
        <w:t>5</w:t>
      </w:r>
      <w:r w:rsidR="005C7B71" w:rsidRPr="00BE0A38">
        <w:fldChar w:fldCharType="end"/>
      </w:r>
      <w:r w:rsidRPr="00BE0A38">
        <w:t xml:space="preserve"> sets out the impacts of retail price controls that push prices down from the level they would otherwise be, where the retail market is not competitive. For this table, we assume that Telstra has sufficient market power to be able to charge a 10 per cent retail cost premium, and retail costs comprise 25 per cent of the costs of providing services. In this case:</w:t>
      </w:r>
    </w:p>
    <w:p w:rsidR="00FF21CA" w:rsidRDefault="00FF21CA" w:rsidP="009C1B85">
      <w:pPr>
        <w:pStyle w:val="ListBullet2"/>
        <w:numPr>
          <w:ilvl w:val="1"/>
          <w:numId w:val="16"/>
        </w:numPr>
        <w:ind w:left="568" w:hanging="284"/>
      </w:pPr>
      <w:r>
        <w:t>retail price controls that have a small impact on prices can have positive or zero welfare impacts, while larger impacts have negative welfare impacts;</w:t>
      </w:r>
    </w:p>
    <w:p w:rsidR="00FF21CA" w:rsidRDefault="00FF21CA" w:rsidP="009C1B85">
      <w:pPr>
        <w:pStyle w:val="ListBullet2"/>
        <w:numPr>
          <w:ilvl w:val="1"/>
          <w:numId w:val="16"/>
        </w:numPr>
        <w:ind w:left="568" w:hanging="284"/>
      </w:pPr>
      <w:r>
        <w:t>the impacts are more likely to be negative the more than price controls push prices below the margins assumed in Telstra’s prices; and</w:t>
      </w:r>
    </w:p>
    <w:p w:rsidR="00FF21CA" w:rsidRDefault="00FF21CA" w:rsidP="009C1B85">
      <w:pPr>
        <w:pStyle w:val="ListBullet2"/>
        <w:numPr>
          <w:ilvl w:val="1"/>
          <w:numId w:val="16"/>
        </w:numPr>
        <w:ind w:left="568" w:hanging="284"/>
      </w:pPr>
      <w:proofErr w:type="gramStart"/>
      <w:r>
        <w:t>a</w:t>
      </w:r>
      <w:proofErr w:type="gramEnd"/>
      <w:r>
        <w:t xml:space="preserve"> large part of the impact of price controls is a transfer of money from producers to consumers.</w:t>
      </w:r>
    </w:p>
    <w:p w:rsidR="00FF21CA" w:rsidRDefault="00FF21CA" w:rsidP="00FF21CA">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7</w:instrText>
        </w:r>
      </w:fldSimple>
      <w:r w:rsidRPr="00695C93">
        <w:instrText xml:space="preserve"> = 0 "" "</w:instrText>
      </w:r>
      <w:fldSimple w:instr=" STYLEREF &quot;Heading 1&quot; \l \n ">
        <w:r w:rsidR="00304215">
          <w:rPr>
            <w:noProof/>
          </w:rPr>
          <w:instrText>7</w:instrText>
        </w:r>
      </w:fldSimple>
      <w:r w:rsidRPr="00695C93">
        <w:instrText xml:space="preserve">." </w:instrText>
      </w:r>
      <w:r w:rsidRPr="00695C93">
        <w:fldChar w:fldCharType="separate"/>
      </w:r>
      <w:r w:rsidR="00304215">
        <w:rPr>
          <w:noProof/>
        </w:rPr>
        <w:instrText>7</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7</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7</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4</w:instrText>
      </w:r>
      <w:r w:rsidRPr="00695C93">
        <w:fldChar w:fldCharType="end"/>
      </w:r>
      <w:r w:rsidRPr="00695C93">
        <w:instrText xml:space="preserve">" "" </w:instrText>
      </w:r>
      <w:r w:rsidRPr="00695C93">
        <w:fldChar w:fldCharType="separate"/>
      </w:r>
      <w:bookmarkStart w:id="1427" w:name="_Caption1254"/>
      <w:bookmarkStart w:id="1428" w:name="_Caption0012"/>
      <w:bookmarkStart w:id="1429" w:name="_Caption9789"/>
      <w:bookmarkStart w:id="1430" w:name="_Caption7755"/>
      <w:bookmarkStart w:id="1431" w:name="_Caption5400"/>
      <w:bookmarkStart w:id="1432" w:name="_Caption2362"/>
      <w:bookmarkStart w:id="1433" w:name="_Caption9575"/>
      <w:bookmarkStart w:id="1434" w:name="_Caption1903"/>
      <w:bookmarkStart w:id="1435" w:name="_Caption1189"/>
      <w:bookmarkStart w:id="1436" w:name="_Caption5534"/>
      <w:bookmarkStart w:id="1437" w:name="_Caption6739"/>
      <w:bookmarkStart w:id="1438" w:name="_Caption6657"/>
      <w:bookmarkStart w:id="1439" w:name="_Caption9506"/>
      <w:bookmarkStart w:id="1440" w:name="_Caption4502"/>
      <w:bookmarkStart w:id="1441" w:name="_Caption5208"/>
      <w:bookmarkStart w:id="1442" w:name="_Caption4914"/>
      <w:bookmarkStart w:id="1443" w:name="_Caption3662"/>
      <w:bookmarkStart w:id="1444" w:name="_Caption4511"/>
      <w:bookmarkStart w:id="1445" w:name="_Caption6449"/>
      <w:bookmarkStart w:id="1446" w:name="_Caption8433"/>
      <w:bookmarkStart w:id="1447" w:name="_Caption2254"/>
      <w:bookmarkStart w:id="1448" w:name="_Caption4602"/>
      <w:bookmarkStart w:id="1449" w:name="_Caption6477"/>
      <w:bookmarkStart w:id="1450" w:name="_Caption9855"/>
      <w:bookmarkStart w:id="1451" w:name="_Caption3477"/>
      <w:bookmarkStart w:id="1452" w:name="_Caption3003"/>
      <w:bookmarkStart w:id="1453" w:name="_Caption8283"/>
      <w:bookmarkStart w:id="1454" w:name="_Caption9430"/>
      <w:bookmarkStart w:id="1455" w:name="_Caption5299"/>
      <w:bookmarkStart w:id="1456" w:name="_Caption6435"/>
      <w:bookmarkStart w:id="1457" w:name="_Caption2729"/>
      <w:bookmarkStart w:id="1458" w:name="_Caption7122"/>
      <w:bookmarkStart w:id="1459" w:name="_Caption8673"/>
      <w:bookmarkStart w:id="1460" w:name="_Caption8686"/>
      <w:bookmarkStart w:id="1461" w:name="_Caption9174"/>
      <w:bookmarkStart w:id="1462" w:name="_Caption2095"/>
      <w:bookmarkStart w:id="1463" w:name="_Caption8782"/>
      <w:bookmarkStart w:id="1464" w:name="_Caption0748"/>
      <w:bookmarkStart w:id="1465" w:name="_Caption5961"/>
      <w:bookmarkStart w:id="1466" w:name="_Caption4174"/>
      <w:bookmarkStart w:id="1467" w:name="_Caption0212"/>
      <w:bookmarkStart w:id="1468" w:name="_Caption4168"/>
      <w:bookmarkStart w:id="1469" w:name="_Caption9832"/>
      <w:bookmarkStart w:id="1470" w:name="_Caption0562"/>
      <w:bookmarkStart w:id="1471" w:name="_Toc384653386"/>
      <w:bookmarkStart w:id="1472" w:name="_Toc391972979"/>
      <w:r w:rsidR="00584F9A">
        <w:rPr>
          <w:noProof/>
        </w:rPr>
        <w:t>7</w:t>
      </w:r>
      <w:r w:rsidR="00584F9A" w:rsidRPr="00695C93">
        <w:rPr>
          <w:noProof/>
        </w:rPr>
        <w:t>.</w:t>
      </w:r>
      <w:r w:rsidR="00584F9A">
        <w:rPr>
          <w:noProof/>
        </w:rPr>
        <w:t>4</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r w:rsidRPr="00695C93">
        <w:fldChar w:fldCharType="end"/>
      </w:r>
      <w:r w:rsidRPr="00695C93">
        <w:tab/>
      </w:r>
      <w:r>
        <w:t>Impact of price controls — competitive retail market</w:t>
      </w:r>
      <w:bookmarkEnd w:id="1471"/>
      <w:bookmarkEnd w:id="1472"/>
    </w:p>
    <w:tbl>
      <w:tblPr>
        <w:tblW w:w="7938" w:type="dxa"/>
        <w:tblInd w:w="57" w:type="dxa"/>
        <w:tblLayout w:type="fixed"/>
        <w:tblLook w:val="04A0" w:firstRow="1" w:lastRow="0" w:firstColumn="1" w:lastColumn="0" w:noHBand="0" w:noVBand="1"/>
      </w:tblPr>
      <w:tblGrid>
        <w:gridCol w:w="1219"/>
        <w:gridCol w:w="1119"/>
        <w:gridCol w:w="1120"/>
        <w:gridCol w:w="1120"/>
        <w:gridCol w:w="1120"/>
        <w:gridCol w:w="1120"/>
        <w:gridCol w:w="1120"/>
      </w:tblGrid>
      <w:tr w:rsidR="00FF21CA" w:rsidRPr="0071543F" w:rsidTr="005E6E6F">
        <w:trPr>
          <w:trHeight w:val="255"/>
        </w:trPr>
        <w:tc>
          <w:tcPr>
            <w:tcW w:w="1219" w:type="dxa"/>
            <w:shd w:val="clear" w:color="auto" w:fill="6F6652"/>
            <w:noWrap/>
            <w:tcMar>
              <w:left w:w="57" w:type="dxa"/>
              <w:right w:w="57" w:type="dxa"/>
            </w:tcMar>
            <w:hideMark/>
          </w:tcPr>
          <w:p w:rsidR="00FF21CA" w:rsidRPr="0071543F" w:rsidRDefault="00FF21CA" w:rsidP="00F376BC">
            <w:pPr>
              <w:pStyle w:val="TableDataColumnHeading"/>
              <w:jc w:val="left"/>
            </w:pPr>
            <w:r w:rsidRPr="0071543F">
              <w:t>Price control reduction in prices</w:t>
            </w:r>
          </w:p>
        </w:tc>
        <w:tc>
          <w:tcPr>
            <w:tcW w:w="3359" w:type="dxa"/>
            <w:gridSpan w:val="3"/>
            <w:shd w:val="clear" w:color="auto" w:fill="6F6652"/>
            <w:noWrap/>
            <w:tcMar>
              <w:left w:w="57" w:type="dxa"/>
              <w:right w:w="57" w:type="dxa"/>
            </w:tcMar>
            <w:hideMark/>
          </w:tcPr>
          <w:p w:rsidR="00FF21CA" w:rsidRPr="0071543F" w:rsidRDefault="00FF21CA" w:rsidP="00F376BC">
            <w:pPr>
              <w:pStyle w:val="TableDataColumnHeading"/>
              <w:jc w:val="center"/>
            </w:pPr>
            <w:r>
              <w:t>Price elasticity of -0.5</w:t>
            </w:r>
          </w:p>
        </w:tc>
        <w:tc>
          <w:tcPr>
            <w:tcW w:w="3360" w:type="dxa"/>
            <w:gridSpan w:val="3"/>
            <w:shd w:val="clear" w:color="auto" w:fill="6F6652"/>
            <w:tcMar>
              <w:left w:w="57" w:type="dxa"/>
              <w:right w:w="57" w:type="dxa"/>
            </w:tcMar>
          </w:tcPr>
          <w:p w:rsidR="00FF21CA" w:rsidRPr="0071543F" w:rsidRDefault="00FF21CA" w:rsidP="00F376BC">
            <w:pPr>
              <w:pStyle w:val="TableDataColumnHeading"/>
              <w:jc w:val="center"/>
            </w:pPr>
            <w:r>
              <w:t>Price elasticity of -1.0</w:t>
            </w:r>
          </w:p>
        </w:tc>
      </w:tr>
      <w:tr w:rsidR="00FF21CA" w:rsidRPr="002B2E3B" w:rsidTr="005E6E6F">
        <w:trPr>
          <w:trHeight w:val="255"/>
        </w:trPr>
        <w:tc>
          <w:tcPr>
            <w:tcW w:w="1219" w:type="dxa"/>
            <w:shd w:val="clear" w:color="auto" w:fill="6F6652"/>
            <w:noWrap/>
            <w:tcMar>
              <w:left w:w="57" w:type="dxa"/>
              <w:right w:w="57" w:type="dxa"/>
            </w:tcMar>
          </w:tcPr>
          <w:p w:rsidR="00FF21CA" w:rsidRPr="002B2E3B" w:rsidRDefault="00FF21CA" w:rsidP="00F376BC">
            <w:pPr>
              <w:pStyle w:val="TableDataColumnHeading"/>
              <w:jc w:val="left"/>
              <w:rPr>
                <w:rFonts w:ascii="Franklin Gothic Book" w:hAnsi="Franklin Gothic Book"/>
              </w:rPr>
            </w:pPr>
          </w:p>
        </w:tc>
        <w:tc>
          <w:tcPr>
            <w:tcW w:w="1119" w:type="dxa"/>
            <w:shd w:val="clear" w:color="auto" w:fill="6F6652"/>
            <w:noWrap/>
            <w:tcMar>
              <w:left w:w="57" w:type="dxa"/>
              <w:right w:w="57" w:type="dxa"/>
            </w:tcMar>
          </w:tcPr>
          <w:p w:rsidR="00FF21CA" w:rsidRPr="002B2E3B" w:rsidRDefault="00FF21CA" w:rsidP="00F376BC">
            <w:pPr>
              <w:pStyle w:val="TableDataColumnHeading"/>
              <w:rPr>
                <w:rFonts w:ascii="Franklin Gothic Book" w:hAnsi="Franklin Gothic Book"/>
              </w:rPr>
            </w:pPr>
            <w:r w:rsidRPr="002B2E3B">
              <w:rPr>
                <w:rFonts w:ascii="Franklin Gothic Book" w:hAnsi="Franklin Gothic Book"/>
              </w:rPr>
              <w:t>Net welfare impact</w:t>
            </w:r>
          </w:p>
        </w:tc>
        <w:tc>
          <w:tcPr>
            <w:tcW w:w="1120" w:type="dxa"/>
            <w:shd w:val="clear" w:color="auto" w:fill="6F6652"/>
            <w:noWrap/>
            <w:tcMar>
              <w:left w:w="57" w:type="dxa"/>
              <w:right w:w="57" w:type="dxa"/>
            </w:tcMar>
          </w:tcPr>
          <w:p w:rsidR="00FF21CA" w:rsidRPr="002B2E3B" w:rsidRDefault="00FF21CA" w:rsidP="00F376BC">
            <w:pPr>
              <w:pStyle w:val="TableDataColumnHeading"/>
              <w:rPr>
                <w:rFonts w:ascii="Franklin Gothic Book" w:hAnsi="Franklin Gothic Book"/>
              </w:rPr>
            </w:pPr>
            <w:r w:rsidRPr="002B2E3B">
              <w:rPr>
                <w:rFonts w:ascii="Franklin Gothic Book" w:hAnsi="Franklin Gothic Book"/>
              </w:rPr>
              <w:t>Consumer welfare impact</w:t>
            </w:r>
          </w:p>
        </w:tc>
        <w:tc>
          <w:tcPr>
            <w:tcW w:w="1120" w:type="dxa"/>
            <w:shd w:val="clear" w:color="auto" w:fill="6F6652"/>
            <w:noWrap/>
            <w:tcMar>
              <w:left w:w="57" w:type="dxa"/>
              <w:right w:w="57" w:type="dxa"/>
            </w:tcMar>
          </w:tcPr>
          <w:p w:rsidR="00FF21CA" w:rsidRPr="002B2E3B" w:rsidRDefault="00FF21CA" w:rsidP="00F376BC">
            <w:pPr>
              <w:pStyle w:val="TableDataColumnHeading"/>
              <w:rPr>
                <w:rFonts w:ascii="Franklin Gothic Book" w:hAnsi="Franklin Gothic Book"/>
              </w:rPr>
            </w:pPr>
            <w:r w:rsidRPr="002B2E3B">
              <w:rPr>
                <w:rFonts w:ascii="Franklin Gothic Book" w:hAnsi="Franklin Gothic Book"/>
              </w:rPr>
              <w:t>Producer welfare impact</w:t>
            </w:r>
          </w:p>
        </w:tc>
        <w:tc>
          <w:tcPr>
            <w:tcW w:w="1120" w:type="dxa"/>
            <w:shd w:val="clear" w:color="auto" w:fill="6F6652"/>
            <w:tcMar>
              <w:left w:w="57" w:type="dxa"/>
              <w:right w:w="57" w:type="dxa"/>
            </w:tcMar>
          </w:tcPr>
          <w:p w:rsidR="00FF21CA" w:rsidRPr="002B2E3B" w:rsidRDefault="00FF21CA" w:rsidP="00F376BC">
            <w:pPr>
              <w:pStyle w:val="TableDataColumnHeading"/>
              <w:rPr>
                <w:rFonts w:ascii="Franklin Gothic Book" w:hAnsi="Franklin Gothic Book"/>
              </w:rPr>
            </w:pPr>
            <w:r w:rsidRPr="002B2E3B">
              <w:rPr>
                <w:rFonts w:ascii="Franklin Gothic Book" w:hAnsi="Franklin Gothic Book"/>
              </w:rPr>
              <w:t>Net welfare impact</w:t>
            </w:r>
          </w:p>
        </w:tc>
        <w:tc>
          <w:tcPr>
            <w:tcW w:w="1120" w:type="dxa"/>
            <w:shd w:val="clear" w:color="auto" w:fill="6F6652"/>
            <w:tcMar>
              <w:left w:w="57" w:type="dxa"/>
              <w:right w:w="57" w:type="dxa"/>
            </w:tcMar>
          </w:tcPr>
          <w:p w:rsidR="00FF21CA" w:rsidRPr="002B2E3B" w:rsidRDefault="00FF21CA" w:rsidP="00F376BC">
            <w:pPr>
              <w:pStyle w:val="TableDataColumnHeading"/>
              <w:rPr>
                <w:rFonts w:ascii="Franklin Gothic Book" w:hAnsi="Franklin Gothic Book"/>
              </w:rPr>
            </w:pPr>
            <w:r w:rsidRPr="002B2E3B">
              <w:rPr>
                <w:rFonts w:ascii="Franklin Gothic Book" w:hAnsi="Franklin Gothic Book"/>
              </w:rPr>
              <w:t>Consumer welfare impact</w:t>
            </w:r>
          </w:p>
        </w:tc>
        <w:tc>
          <w:tcPr>
            <w:tcW w:w="1120" w:type="dxa"/>
            <w:shd w:val="clear" w:color="auto" w:fill="6F6652"/>
            <w:tcMar>
              <w:left w:w="57" w:type="dxa"/>
              <w:right w:w="57" w:type="dxa"/>
            </w:tcMar>
          </w:tcPr>
          <w:p w:rsidR="00FF21CA" w:rsidRPr="002B2E3B" w:rsidRDefault="00FF21CA" w:rsidP="00F376BC">
            <w:pPr>
              <w:pStyle w:val="TableDataColumnHeading"/>
              <w:rPr>
                <w:rFonts w:ascii="Franklin Gothic Book" w:hAnsi="Franklin Gothic Book"/>
              </w:rPr>
            </w:pPr>
            <w:r w:rsidRPr="002B2E3B">
              <w:rPr>
                <w:rFonts w:ascii="Franklin Gothic Book" w:hAnsi="Franklin Gothic Book"/>
              </w:rPr>
              <w:t>Producer welfare impact</w:t>
            </w:r>
          </w:p>
        </w:tc>
      </w:tr>
      <w:tr w:rsidR="00FF21CA" w:rsidRPr="0071543F" w:rsidTr="005E6E6F">
        <w:trPr>
          <w:trHeight w:val="255"/>
        </w:trPr>
        <w:tc>
          <w:tcPr>
            <w:tcW w:w="1219" w:type="dxa"/>
            <w:tcBorders>
              <w:bottom w:val="single" w:sz="8" w:space="0" w:color="FFFFFF" w:themeColor="background1"/>
            </w:tcBorders>
            <w:shd w:val="clear" w:color="auto" w:fill="auto"/>
            <w:noWrap/>
            <w:tcMar>
              <w:left w:w="57" w:type="dxa"/>
              <w:right w:w="57" w:type="dxa"/>
            </w:tcMar>
          </w:tcPr>
          <w:p w:rsidR="00FF21CA" w:rsidRPr="0071543F" w:rsidRDefault="00FF21CA" w:rsidP="002B2E3B">
            <w:pPr>
              <w:pStyle w:val="TableDataEntries"/>
            </w:pPr>
          </w:p>
        </w:tc>
        <w:tc>
          <w:tcPr>
            <w:tcW w:w="1119" w:type="dxa"/>
            <w:tcBorders>
              <w:bottom w:val="single" w:sz="8" w:space="0" w:color="FFFFFF" w:themeColor="background1"/>
            </w:tcBorders>
            <w:shd w:val="clear" w:color="auto" w:fill="auto"/>
            <w:noWrap/>
            <w:tcMar>
              <w:left w:w="57" w:type="dxa"/>
              <w:right w:w="57" w:type="dxa"/>
            </w:tcMar>
          </w:tcPr>
          <w:p w:rsidR="00FF21CA" w:rsidRPr="0071543F" w:rsidRDefault="00FF21CA" w:rsidP="002B2E3B">
            <w:pPr>
              <w:pStyle w:val="TableDataEntries"/>
            </w:pPr>
            <w:r>
              <w:t>$m/year</w:t>
            </w:r>
          </w:p>
        </w:tc>
        <w:tc>
          <w:tcPr>
            <w:tcW w:w="1120" w:type="dxa"/>
            <w:tcBorders>
              <w:bottom w:val="single" w:sz="8" w:space="0" w:color="FFFFFF" w:themeColor="background1"/>
            </w:tcBorders>
            <w:shd w:val="clear" w:color="auto" w:fill="auto"/>
            <w:noWrap/>
            <w:tcMar>
              <w:left w:w="57" w:type="dxa"/>
              <w:right w:w="57" w:type="dxa"/>
            </w:tcMar>
          </w:tcPr>
          <w:p w:rsidR="00FF21CA" w:rsidRPr="0071543F" w:rsidRDefault="00FF21CA" w:rsidP="002B2E3B">
            <w:pPr>
              <w:pStyle w:val="TableDataEntries"/>
            </w:pPr>
            <w:r>
              <w:t>$m/year</w:t>
            </w:r>
          </w:p>
        </w:tc>
        <w:tc>
          <w:tcPr>
            <w:tcW w:w="1120" w:type="dxa"/>
            <w:tcBorders>
              <w:bottom w:val="single" w:sz="8" w:space="0" w:color="FFFFFF" w:themeColor="background1"/>
            </w:tcBorders>
            <w:shd w:val="clear" w:color="auto" w:fill="auto"/>
            <w:noWrap/>
            <w:tcMar>
              <w:left w:w="57" w:type="dxa"/>
              <w:right w:w="57" w:type="dxa"/>
            </w:tcMar>
          </w:tcPr>
          <w:p w:rsidR="00FF21CA" w:rsidRPr="0071543F" w:rsidRDefault="00FF21CA" w:rsidP="002B2E3B">
            <w:pPr>
              <w:pStyle w:val="TableDataEntries"/>
            </w:pPr>
            <w:r>
              <w:t>$m/year</w:t>
            </w:r>
          </w:p>
        </w:tc>
        <w:tc>
          <w:tcPr>
            <w:tcW w:w="1120" w:type="dxa"/>
            <w:tcBorders>
              <w:bottom w:val="single" w:sz="8" w:space="0" w:color="FFFFFF" w:themeColor="background1"/>
            </w:tcBorders>
            <w:shd w:val="clear" w:color="auto" w:fill="auto"/>
            <w:tcMar>
              <w:left w:w="57" w:type="dxa"/>
              <w:right w:w="57" w:type="dxa"/>
            </w:tcMar>
          </w:tcPr>
          <w:p w:rsidR="00FF21CA" w:rsidRPr="0071543F" w:rsidRDefault="00FF21CA" w:rsidP="002B2E3B">
            <w:pPr>
              <w:pStyle w:val="TableDataEntries"/>
            </w:pPr>
            <w:r>
              <w:t>$m/year</w:t>
            </w:r>
          </w:p>
        </w:tc>
        <w:tc>
          <w:tcPr>
            <w:tcW w:w="1120" w:type="dxa"/>
            <w:tcBorders>
              <w:bottom w:val="single" w:sz="8" w:space="0" w:color="FFFFFF" w:themeColor="background1"/>
            </w:tcBorders>
            <w:shd w:val="clear" w:color="auto" w:fill="auto"/>
            <w:tcMar>
              <w:left w:w="57" w:type="dxa"/>
              <w:right w:w="57" w:type="dxa"/>
            </w:tcMar>
          </w:tcPr>
          <w:p w:rsidR="00FF21CA" w:rsidRPr="0071543F" w:rsidRDefault="00FF21CA" w:rsidP="002B2E3B">
            <w:pPr>
              <w:pStyle w:val="TableDataEntries"/>
            </w:pPr>
            <w:r>
              <w:t>$m/year</w:t>
            </w:r>
          </w:p>
        </w:tc>
        <w:tc>
          <w:tcPr>
            <w:tcW w:w="1120" w:type="dxa"/>
            <w:tcBorders>
              <w:bottom w:val="single" w:sz="8" w:space="0" w:color="FFFFFF" w:themeColor="background1"/>
            </w:tcBorders>
            <w:shd w:val="clear" w:color="auto" w:fill="auto"/>
            <w:tcMar>
              <w:left w:w="57" w:type="dxa"/>
              <w:right w:w="57" w:type="dxa"/>
            </w:tcMar>
          </w:tcPr>
          <w:p w:rsidR="00FF21CA" w:rsidRPr="0071543F" w:rsidRDefault="00FF21CA" w:rsidP="002B2E3B">
            <w:pPr>
              <w:pStyle w:val="TableDataEntries"/>
            </w:pPr>
            <w:r>
              <w:t>$m/year</w:t>
            </w:r>
          </w:p>
        </w:tc>
      </w:tr>
      <w:tr w:rsidR="005E6E6F" w:rsidRPr="0071543F" w:rsidTr="0087161D">
        <w:trPr>
          <w:trHeight w:val="255"/>
        </w:trPr>
        <w:tc>
          <w:tcPr>
            <w:tcW w:w="12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5E6E6F" w:rsidRPr="0071543F" w:rsidRDefault="005E6E6F" w:rsidP="00F376BC">
            <w:pPr>
              <w:pStyle w:val="TableDataEntries"/>
              <w:jc w:val="left"/>
            </w:pPr>
            <w:r>
              <w:t>1 per cent</w:t>
            </w:r>
          </w:p>
        </w:tc>
        <w:tc>
          <w:tcPr>
            <w:tcW w:w="11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rsidR="005E6E6F" w:rsidRDefault="005E6E6F" w:rsidP="005E6E6F">
            <w:pPr>
              <w:pStyle w:val="TableDataEntries"/>
            </w:pPr>
            <w:r>
              <w:t>-0.1</w:t>
            </w:r>
          </w:p>
        </w:tc>
        <w:tc>
          <w:tcPr>
            <w:tcW w:w="11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rsidR="005E6E6F" w:rsidRDefault="005E6E6F" w:rsidP="005E6E6F">
            <w:pPr>
              <w:pStyle w:val="TableDataEntries"/>
            </w:pPr>
            <w:r>
              <w:t>32.6</w:t>
            </w:r>
          </w:p>
        </w:tc>
        <w:tc>
          <w:tcPr>
            <w:tcW w:w="11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rsidR="005E6E6F" w:rsidRDefault="005E6E6F" w:rsidP="005E6E6F">
            <w:pPr>
              <w:pStyle w:val="TableDataEntries"/>
            </w:pPr>
            <w:r>
              <w:t>32.6</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-0.2</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32.6</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32.8</w:t>
            </w:r>
          </w:p>
        </w:tc>
      </w:tr>
      <w:tr w:rsidR="005E6E6F" w:rsidRPr="0071543F" w:rsidTr="0087161D">
        <w:trPr>
          <w:trHeight w:val="255"/>
        </w:trPr>
        <w:tc>
          <w:tcPr>
            <w:tcW w:w="12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5E6E6F" w:rsidRPr="0071543F" w:rsidRDefault="005E6E6F" w:rsidP="00F376BC">
            <w:pPr>
              <w:pStyle w:val="TableDataEntries"/>
              <w:jc w:val="left"/>
            </w:pPr>
            <w:r>
              <w:t>5 per cent</w:t>
            </w:r>
          </w:p>
        </w:tc>
        <w:tc>
          <w:tcPr>
            <w:tcW w:w="11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rsidR="005E6E6F" w:rsidRDefault="005E6E6F" w:rsidP="005E6E6F">
            <w:pPr>
              <w:pStyle w:val="TableDataEntries"/>
            </w:pPr>
            <w:r>
              <w:t>-2.0</w:t>
            </w:r>
          </w:p>
        </w:tc>
        <w:tc>
          <w:tcPr>
            <w:tcW w:w="11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rsidR="005E6E6F" w:rsidRDefault="005E6E6F" w:rsidP="005E6E6F">
            <w:pPr>
              <w:pStyle w:val="TableDataEntries"/>
            </w:pPr>
            <w:r>
              <w:t>164.5</w:t>
            </w:r>
          </w:p>
        </w:tc>
        <w:tc>
          <w:tcPr>
            <w:tcW w:w="11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rsidR="005E6E6F" w:rsidRDefault="005E6E6F" w:rsidP="005E6E6F">
            <w:pPr>
              <w:pStyle w:val="TableDataEntries"/>
            </w:pPr>
            <w:r>
              <w:t>166.5</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-4.1</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166.5</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170.6</w:t>
            </w:r>
          </w:p>
        </w:tc>
      </w:tr>
      <w:tr w:rsidR="005E6E6F" w:rsidRPr="0071543F" w:rsidTr="0087161D">
        <w:trPr>
          <w:trHeight w:val="255"/>
        </w:trPr>
        <w:tc>
          <w:tcPr>
            <w:tcW w:w="12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5E6E6F" w:rsidRPr="0071543F" w:rsidRDefault="005E6E6F" w:rsidP="00F376BC">
            <w:pPr>
              <w:pStyle w:val="TableDataEntries"/>
              <w:jc w:val="left"/>
            </w:pPr>
            <w:r>
              <w:t>10 per cent</w:t>
            </w:r>
          </w:p>
        </w:tc>
        <w:tc>
          <w:tcPr>
            <w:tcW w:w="11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rsidR="005E6E6F" w:rsidRDefault="005E6E6F" w:rsidP="005E6E6F">
            <w:pPr>
              <w:pStyle w:val="TableDataEntries"/>
            </w:pPr>
            <w:r>
              <w:t>-8.1</w:t>
            </w:r>
          </w:p>
        </w:tc>
        <w:tc>
          <w:tcPr>
            <w:tcW w:w="11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rsidR="005E6E6F" w:rsidRDefault="005E6E6F" w:rsidP="005E6E6F">
            <w:pPr>
              <w:pStyle w:val="TableDataEntries"/>
            </w:pPr>
            <w:r>
              <w:t>333.0</w:t>
            </w:r>
          </w:p>
        </w:tc>
        <w:tc>
          <w:tcPr>
            <w:tcW w:w="11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rsidR="005E6E6F" w:rsidRDefault="005E6E6F" w:rsidP="005E6E6F">
            <w:pPr>
              <w:pStyle w:val="TableDataEntries"/>
            </w:pPr>
            <w:r>
              <w:t>341.1</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-16.2</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341.1</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357.3</w:t>
            </w:r>
          </w:p>
        </w:tc>
      </w:tr>
      <w:tr w:rsidR="005E6E6F" w:rsidRPr="0071543F" w:rsidTr="0087161D">
        <w:trPr>
          <w:trHeight w:val="255"/>
        </w:trPr>
        <w:tc>
          <w:tcPr>
            <w:tcW w:w="1219"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5E6E6F" w:rsidRPr="0071543F" w:rsidRDefault="005E6E6F" w:rsidP="00F376BC">
            <w:pPr>
              <w:pStyle w:val="TableDataEntries"/>
              <w:jc w:val="left"/>
            </w:pPr>
            <w:r>
              <w:t>20 per cent</w:t>
            </w:r>
          </w:p>
        </w:tc>
        <w:tc>
          <w:tcPr>
            <w:tcW w:w="1119"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hideMark/>
          </w:tcPr>
          <w:p w:rsidR="005E6E6F" w:rsidRDefault="005E6E6F" w:rsidP="005E6E6F">
            <w:pPr>
              <w:pStyle w:val="TableDataEntries"/>
            </w:pPr>
            <w:r>
              <w:t>-32.5</w:t>
            </w:r>
          </w:p>
        </w:tc>
        <w:tc>
          <w:tcPr>
            <w:tcW w:w="1120"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hideMark/>
          </w:tcPr>
          <w:p w:rsidR="005E6E6F" w:rsidRDefault="005E6E6F" w:rsidP="005E6E6F">
            <w:pPr>
              <w:pStyle w:val="TableDataEntries"/>
            </w:pPr>
            <w:r>
              <w:t>682.2</w:t>
            </w:r>
          </w:p>
        </w:tc>
        <w:tc>
          <w:tcPr>
            <w:tcW w:w="1120"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hideMark/>
          </w:tcPr>
          <w:p w:rsidR="005E6E6F" w:rsidRDefault="005E6E6F" w:rsidP="005E6E6F">
            <w:pPr>
              <w:pStyle w:val="TableDataEntries"/>
            </w:pPr>
            <w:r>
              <w:t>714.7</w:t>
            </w:r>
          </w:p>
        </w:tc>
        <w:tc>
          <w:tcPr>
            <w:tcW w:w="1120" w:type="dxa"/>
            <w:tcBorders>
              <w:top w:val="single" w:sz="8" w:space="0" w:color="FFFFFF" w:themeColor="background1"/>
              <w:bottom w:val="single" w:sz="6" w:space="0" w:color="6F6652"/>
            </w:tcBorders>
            <w:shd w:val="clear" w:color="auto" w:fill="E9E8E5" w:themeFill="background2"/>
            <w:tcMar>
              <w:left w:w="57" w:type="dxa"/>
              <w:right w:w="57" w:type="dxa"/>
            </w:tcMar>
            <w:vAlign w:val="bottom"/>
          </w:tcPr>
          <w:p w:rsidR="005E6E6F" w:rsidRDefault="005E6E6F" w:rsidP="005E6E6F">
            <w:pPr>
              <w:pStyle w:val="TableDataEntries"/>
            </w:pPr>
            <w:r>
              <w:t>-65.0</w:t>
            </w:r>
          </w:p>
        </w:tc>
        <w:tc>
          <w:tcPr>
            <w:tcW w:w="1120" w:type="dxa"/>
            <w:tcBorders>
              <w:top w:val="single" w:sz="8" w:space="0" w:color="FFFFFF" w:themeColor="background1"/>
              <w:bottom w:val="single" w:sz="6" w:space="0" w:color="6F6652"/>
            </w:tcBorders>
            <w:shd w:val="clear" w:color="auto" w:fill="E9E8E5" w:themeFill="background2"/>
            <w:tcMar>
              <w:left w:w="57" w:type="dxa"/>
              <w:right w:w="57" w:type="dxa"/>
            </w:tcMar>
            <w:vAlign w:val="bottom"/>
          </w:tcPr>
          <w:p w:rsidR="005E6E6F" w:rsidRDefault="005E6E6F" w:rsidP="005E6E6F">
            <w:pPr>
              <w:pStyle w:val="TableDataEntries"/>
            </w:pPr>
            <w:r>
              <w:t>714.7</w:t>
            </w:r>
          </w:p>
        </w:tc>
        <w:tc>
          <w:tcPr>
            <w:tcW w:w="1120" w:type="dxa"/>
            <w:tcBorders>
              <w:top w:val="single" w:sz="8" w:space="0" w:color="FFFFFF" w:themeColor="background1"/>
              <w:bottom w:val="single" w:sz="6" w:space="0" w:color="6F6652"/>
            </w:tcBorders>
            <w:shd w:val="clear" w:color="auto" w:fill="E9E8E5" w:themeFill="background2"/>
            <w:tcMar>
              <w:left w:w="57" w:type="dxa"/>
              <w:right w:w="57" w:type="dxa"/>
            </w:tcMar>
            <w:vAlign w:val="bottom"/>
          </w:tcPr>
          <w:p w:rsidR="005E6E6F" w:rsidRDefault="005E6E6F" w:rsidP="005E6E6F">
            <w:pPr>
              <w:pStyle w:val="TableDataEntries"/>
            </w:pPr>
            <w:r>
              <w:t>779.7</w:t>
            </w:r>
          </w:p>
        </w:tc>
      </w:tr>
    </w:tbl>
    <w:p w:rsidR="00FF21CA" w:rsidRDefault="00FF21CA" w:rsidP="00FF21CA">
      <w:pPr>
        <w:pStyle w:val="Source"/>
      </w:pPr>
      <w:r>
        <w:rPr>
          <w:i/>
        </w:rPr>
        <w:t>Note:</w:t>
      </w:r>
      <w:r>
        <w:t xml:space="preserve"> The net welfare impact is equal to the consumer welfare impact plus the producer welfare impact. The calculations </w:t>
      </w:r>
      <w:proofErr w:type="gramStart"/>
      <w:r>
        <w:t>are based</w:t>
      </w:r>
      <w:proofErr w:type="gramEnd"/>
      <w:r>
        <w:t xml:space="preserve"> on revenue from basket 1 services</w:t>
      </w:r>
      <w:r w:rsidR="005E6E6F">
        <w:t xml:space="preserve"> of $3.2 billion per year</w:t>
      </w:r>
      <w:r>
        <w:t>.</w:t>
      </w:r>
      <w:r>
        <w:rPr>
          <w:i/>
        </w:rPr>
        <w:br/>
      </w:r>
      <w:proofErr w:type="gramStart"/>
      <w:r>
        <w:rPr>
          <w:i/>
        </w:rPr>
        <w:t>Source</w:t>
      </w:r>
      <w:r w:rsidRPr="00E4232C">
        <w:rPr>
          <w:i/>
        </w:rPr>
        <w:t>:</w:t>
      </w:r>
      <w:r>
        <w:t xml:space="preserve"> The CIE.</w:t>
      </w:r>
      <w:proofErr w:type="gramEnd"/>
    </w:p>
    <w:p w:rsidR="00FF21CA" w:rsidRDefault="00FF21CA" w:rsidP="00FF21CA">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7</w:instrText>
        </w:r>
      </w:fldSimple>
      <w:r w:rsidRPr="00695C93">
        <w:instrText xml:space="preserve"> = 0 "" "</w:instrText>
      </w:r>
      <w:fldSimple w:instr=" STYLEREF &quot;Heading 1&quot; \l \n ">
        <w:r w:rsidR="00304215">
          <w:rPr>
            <w:noProof/>
          </w:rPr>
          <w:instrText>7</w:instrText>
        </w:r>
      </w:fldSimple>
      <w:r w:rsidRPr="00695C93">
        <w:instrText xml:space="preserve">." </w:instrText>
      </w:r>
      <w:r w:rsidRPr="00695C93">
        <w:fldChar w:fldCharType="separate"/>
      </w:r>
      <w:r w:rsidR="00304215">
        <w:rPr>
          <w:noProof/>
        </w:rPr>
        <w:instrText>7</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7</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7</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5</w:instrText>
      </w:r>
      <w:r w:rsidRPr="00695C93">
        <w:fldChar w:fldCharType="end"/>
      </w:r>
      <w:r w:rsidRPr="00695C93">
        <w:instrText xml:space="preserve">" "" </w:instrText>
      </w:r>
      <w:r w:rsidRPr="00695C93">
        <w:fldChar w:fldCharType="separate"/>
      </w:r>
      <w:bookmarkStart w:id="1473" w:name="_Caption1872"/>
      <w:bookmarkStart w:id="1474" w:name="_Caption9460"/>
      <w:bookmarkStart w:id="1475" w:name="_Caption3937"/>
      <w:bookmarkStart w:id="1476" w:name="_Caption6095"/>
      <w:bookmarkStart w:id="1477" w:name="_Caption9548"/>
      <w:bookmarkStart w:id="1478" w:name="_Caption8046"/>
      <w:bookmarkStart w:id="1479" w:name="_Caption4404"/>
      <w:bookmarkStart w:id="1480" w:name="_Caption7461"/>
      <w:bookmarkStart w:id="1481" w:name="_Caption6792"/>
      <w:bookmarkStart w:id="1482" w:name="_Caption5825"/>
      <w:bookmarkStart w:id="1483" w:name="_Caption2966"/>
      <w:bookmarkStart w:id="1484" w:name="_Caption1418"/>
      <w:bookmarkStart w:id="1485" w:name="_Caption1533"/>
      <w:bookmarkStart w:id="1486" w:name="_Caption4704"/>
      <w:bookmarkStart w:id="1487" w:name="_Caption8351"/>
      <w:bookmarkStart w:id="1488" w:name="_Caption5185"/>
      <w:bookmarkStart w:id="1489" w:name="_Caption4011"/>
      <w:bookmarkStart w:id="1490" w:name="_Caption6943"/>
      <w:bookmarkStart w:id="1491" w:name="_Caption3867"/>
      <w:bookmarkStart w:id="1492" w:name="_Caption4249"/>
      <w:bookmarkStart w:id="1493" w:name="_Caption1128"/>
      <w:bookmarkStart w:id="1494" w:name="_Caption4977"/>
      <w:bookmarkStart w:id="1495" w:name="_Caption4915"/>
      <w:bookmarkStart w:id="1496" w:name="_Caption1376"/>
      <w:bookmarkStart w:id="1497" w:name="_Caption8618"/>
      <w:bookmarkStart w:id="1498" w:name="_Caption7297"/>
      <w:bookmarkStart w:id="1499" w:name="_Caption8422"/>
      <w:bookmarkStart w:id="1500" w:name="_Caption2147"/>
      <w:bookmarkStart w:id="1501" w:name="_Caption2446"/>
      <w:bookmarkStart w:id="1502" w:name="_Caption0722"/>
      <w:bookmarkStart w:id="1503" w:name="_Caption2282"/>
      <w:bookmarkStart w:id="1504" w:name="_Caption3177"/>
      <w:bookmarkStart w:id="1505" w:name="_Caption0939"/>
      <w:bookmarkStart w:id="1506" w:name="_Caption4912"/>
      <w:bookmarkStart w:id="1507" w:name="_Caption3450"/>
      <w:bookmarkStart w:id="1508" w:name="_Caption6981"/>
      <w:bookmarkStart w:id="1509" w:name="_Caption0195"/>
      <w:bookmarkStart w:id="1510" w:name="_Caption4735"/>
      <w:bookmarkStart w:id="1511" w:name="_Caption3285"/>
      <w:bookmarkStart w:id="1512" w:name="_Caption1233"/>
      <w:bookmarkStart w:id="1513" w:name="_Caption0572"/>
      <w:bookmarkStart w:id="1514" w:name="_Caption4828"/>
      <w:bookmarkStart w:id="1515" w:name="_Caption4837"/>
      <w:bookmarkStart w:id="1516" w:name="_Caption3730"/>
      <w:bookmarkStart w:id="1517" w:name="_Toc384653387"/>
      <w:bookmarkStart w:id="1518" w:name="_Toc391972980"/>
      <w:r w:rsidR="00584F9A">
        <w:rPr>
          <w:noProof/>
        </w:rPr>
        <w:t>7</w:t>
      </w:r>
      <w:r w:rsidR="00584F9A" w:rsidRPr="00695C93">
        <w:rPr>
          <w:noProof/>
        </w:rPr>
        <w:t>.</w:t>
      </w:r>
      <w:r w:rsidR="00584F9A">
        <w:rPr>
          <w:noProof/>
        </w:rPr>
        <w:t>5</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695C93">
        <w:fldChar w:fldCharType="end"/>
      </w:r>
      <w:r w:rsidRPr="00695C93">
        <w:tab/>
      </w:r>
      <w:r>
        <w:t>Impact of price controls — uncompetitive retail market</w:t>
      </w:r>
      <w:bookmarkEnd w:id="1517"/>
      <w:bookmarkEnd w:id="1518"/>
    </w:p>
    <w:tbl>
      <w:tblPr>
        <w:tblW w:w="7938" w:type="dxa"/>
        <w:tblInd w:w="57" w:type="dxa"/>
        <w:tblLayout w:type="fixed"/>
        <w:tblLook w:val="04A0" w:firstRow="1" w:lastRow="0" w:firstColumn="1" w:lastColumn="0" w:noHBand="0" w:noVBand="1"/>
      </w:tblPr>
      <w:tblGrid>
        <w:gridCol w:w="1219"/>
        <w:gridCol w:w="1119"/>
        <w:gridCol w:w="1120"/>
        <w:gridCol w:w="1120"/>
        <w:gridCol w:w="1120"/>
        <w:gridCol w:w="1120"/>
        <w:gridCol w:w="1120"/>
      </w:tblGrid>
      <w:tr w:rsidR="00FF21CA" w:rsidRPr="0071543F" w:rsidTr="005E6E6F">
        <w:trPr>
          <w:trHeight w:val="255"/>
        </w:trPr>
        <w:tc>
          <w:tcPr>
            <w:tcW w:w="1219" w:type="dxa"/>
            <w:shd w:val="clear" w:color="auto" w:fill="6F6652"/>
            <w:noWrap/>
            <w:tcMar>
              <w:left w:w="57" w:type="dxa"/>
              <w:right w:w="57" w:type="dxa"/>
            </w:tcMar>
            <w:hideMark/>
          </w:tcPr>
          <w:p w:rsidR="00FF21CA" w:rsidRPr="0071543F" w:rsidRDefault="00FF21CA" w:rsidP="00F376BC">
            <w:pPr>
              <w:pStyle w:val="TableDataColumnHeading"/>
              <w:jc w:val="left"/>
            </w:pPr>
            <w:r w:rsidRPr="0071543F">
              <w:t>Price control reduction in prices</w:t>
            </w:r>
          </w:p>
        </w:tc>
        <w:tc>
          <w:tcPr>
            <w:tcW w:w="3359" w:type="dxa"/>
            <w:gridSpan w:val="3"/>
            <w:shd w:val="clear" w:color="auto" w:fill="6F6652"/>
            <w:noWrap/>
            <w:tcMar>
              <w:left w:w="57" w:type="dxa"/>
              <w:right w:w="57" w:type="dxa"/>
            </w:tcMar>
            <w:hideMark/>
          </w:tcPr>
          <w:p w:rsidR="00FF21CA" w:rsidRPr="0071543F" w:rsidRDefault="00FF21CA" w:rsidP="00F376BC">
            <w:pPr>
              <w:pStyle w:val="TableDataColumnHeading"/>
              <w:jc w:val="center"/>
            </w:pPr>
            <w:r>
              <w:t>Price elasticity of -0.5</w:t>
            </w:r>
          </w:p>
        </w:tc>
        <w:tc>
          <w:tcPr>
            <w:tcW w:w="3360" w:type="dxa"/>
            <w:gridSpan w:val="3"/>
            <w:shd w:val="clear" w:color="auto" w:fill="6F6652"/>
            <w:tcMar>
              <w:left w:w="57" w:type="dxa"/>
              <w:right w:w="57" w:type="dxa"/>
            </w:tcMar>
          </w:tcPr>
          <w:p w:rsidR="00FF21CA" w:rsidRPr="0071543F" w:rsidRDefault="00FF21CA" w:rsidP="00F376BC">
            <w:pPr>
              <w:pStyle w:val="TableDataColumnHeading"/>
              <w:jc w:val="center"/>
            </w:pPr>
            <w:r>
              <w:t>Price elasticity of -1.0</w:t>
            </w:r>
          </w:p>
        </w:tc>
      </w:tr>
      <w:tr w:rsidR="00FF21CA" w:rsidRPr="002B2E3B" w:rsidTr="005E6E6F">
        <w:trPr>
          <w:trHeight w:val="255"/>
        </w:trPr>
        <w:tc>
          <w:tcPr>
            <w:tcW w:w="1219" w:type="dxa"/>
            <w:shd w:val="clear" w:color="auto" w:fill="6F6652"/>
            <w:noWrap/>
            <w:tcMar>
              <w:left w:w="57" w:type="dxa"/>
              <w:right w:w="57" w:type="dxa"/>
            </w:tcMar>
          </w:tcPr>
          <w:p w:rsidR="00FF21CA" w:rsidRPr="002B2E3B" w:rsidRDefault="00FF21CA" w:rsidP="00F376BC">
            <w:pPr>
              <w:pStyle w:val="TableDataColumnHeading"/>
              <w:jc w:val="left"/>
              <w:rPr>
                <w:rFonts w:ascii="Franklin Gothic Book" w:hAnsi="Franklin Gothic Book"/>
              </w:rPr>
            </w:pPr>
          </w:p>
        </w:tc>
        <w:tc>
          <w:tcPr>
            <w:tcW w:w="1119" w:type="dxa"/>
            <w:shd w:val="clear" w:color="auto" w:fill="6F6652"/>
            <w:noWrap/>
            <w:tcMar>
              <w:left w:w="57" w:type="dxa"/>
              <w:right w:w="57" w:type="dxa"/>
            </w:tcMar>
          </w:tcPr>
          <w:p w:rsidR="00FF21CA" w:rsidRPr="002B2E3B" w:rsidRDefault="00FF21CA" w:rsidP="00F376BC">
            <w:pPr>
              <w:pStyle w:val="TableDataColumnHeading"/>
              <w:rPr>
                <w:rFonts w:ascii="Franklin Gothic Book" w:hAnsi="Franklin Gothic Book"/>
              </w:rPr>
            </w:pPr>
            <w:r w:rsidRPr="002B2E3B">
              <w:rPr>
                <w:rFonts w:ascii="Franklin Gothic Book" w:hAnsi="Franklin Gothic Book"/>
              </w:rPr>
              <w:t>Net cost</w:t>
            </w:r>
          </w:p>
        </w:tc>
        <w:tc>
          <w:tcPr>
            <w:tcW w:w="1120" w:type="dxa"/>
            <w:shd w:val="clear" w:color="auto" w:fill="6F6652"/>
            <w:noWrap/>
            <w:tcMar>
              <w:left w:w="57" w:type="dxa"/>
              <w:right w:w="57" w:type="dxa"/>
            </w:tcMar>
          </w:tcPr>
          <w:p w:rsidR="00FF21CA" w:rsidRPr="002B2E3B" w:rsidRDefault="00FF21CA" w:rsidP="00F376BC">
            <w:pPr>
              <w:pStyle w:val="TableDataColumnHeading"/>
              <w:rPr>
                <w:rFonts w:ascii="Franklin Gothic Book" w:hAnsi="Franklin Gothic Book"/>
              </w:rPr>
            </w:pPr>
            <w:r w:rsidRPr="002B2E3B">
              <w:rPr>
                <w:rFonts w:ascii="Franklin Gothic Book" w:hAnsi="Franklin Gothic Book"/>
              </w:rPr>
              <w:t>Consumer welfare impact</w:t>
            </w:r>
          </w:p>
        </w:tc>
        <w:tc>
          <w:tcPr>
            <w:tcW w:w="1120" w:type="dxa"/>
            <w:shd w:val="clear" w:color="auto" w:fill="6F6652"/>
            <w:noWrap/>
            <w:tcMar>
              <w:left w:w="57" w:type="dxa"/>
              <w:right w:w="57" w:type="dxa"/>
            </w:tcMar>
          </w:tcPr>
          <w:p w:rsidR="00FF21CA" w:rsidRPr="002B2E3B" w:rsidRDefault="00FF21CA" w:rsidP="00F376BC">
            <w:pPr>
              <w:pStyle w:val="TableDataColumnHeading"/>
              <w:rPr>
                <w:rFonts w:ascii="Franklin Gothic Book" w:hAnsi="Franklin Gothic Book"/>
              </w:rPr>
            </w:pPr>
            <w:r w:rsidRPr="002B2E3B">
              <w:rPr>
                <w:rFonts w:ascii="Franklin Gothic Book" w:hAnsi="Franklin Gothic Book"/>
              </w:rPr>
              <w:t>Producer welfare impact</w:t>
            </w:r>
          </w:p>
        </w:tc>
        <w:tc>
          <w:tcPr>
            <w:tcW w:w="1120" w:type="dxa"/>
            <w:shd w:val="clear" w:color="auto" w:fill="6F6652"/>
            <w:tcMar>
              <w:left w:w="57" w:type="dxa"/>
              <w:right w:w="57" w:type="dxa"/>
            </w:tcMar>
          </w:tcPr>
          <w:p w:rsidR="00FF21CA" w:rsidRPr="002B2E3B" w:rsidRDefault="00FF21CA" w:rsidP="00F376BC">
            <w:pPr>
              <w:pStyle w:val="TableDataColumnHeading"/>
              <w:rPr>
                <w:rFonts w:ascii="Franklin Gothic Book" w:hAnsi="Franklin Gothic Book"/>
              </w:rPr>
            </w:pPr>
            <w:r w:rsidRPr="002B2E3B">
              <w:rPr>
                <w:rFonts w:ascii="Franklin Gothic Book" w:hAnsi="Franklin Gothic Book"/>
              </w:rPr>
              <w:t>Net cost</w:t>
            </w:r>
          </w:p>
        </w:tc>
        <w:tc>
          <w:tcPr>
            <w:tcW w:w="1120" w:type="dxa"/>
            <w:shd w:val="clear" w:color="auto" w:fill="6F6652"/>
            <w:tcMar>
              <w:left w:w="57" w:type="dxa"/>
              <w:right w:w="57" w:type="dxa"/>
            </w:tcMar>
          </w:tcPr>
          <w:p w:rsidR="00FF21CA" w:rsidRPr="002B2E3B" w:rsidRDefault="00FF21CA" w:rsidP="00F376BC">
            <w:pPr>
              <w:pStyle w:val="TableDataColumnHeading"/>
              <w:rPr>
                <w:rFonts w:ascii="Franklin Gothic Book" w:hAnsi="Franklin Gothic Book"/>
              </w:rPr>
            </w:pPr>
            <w:r w:rsidRPr="002B2E3B">
              <w:rPr>
                <w:rFonts w:ascii="Franklin Gothic Book" w:hAnsi="Franklin Gothic Book"/>
              </w:rPr>
              <w:t>Consumer welfare impact</w:t>
            </w:r>
          </w:p>
        </w:tc>
        <w:tc>
          <w:tcPr>
            <w:tcW w:w="1120" w:type="dxa"/>
            <w:shd w:val="clear" w:color="auto" w:fill="6F6652"/>
            <w:tcMar>
              <w:left w:w="57" w:type="dxa"/>
              <w:right w:w="57" w:type="dxa"/>
            </w:tcMar>
          </w:tcPr>
          <w:p w:rsidR="00FF21CA" w:rsidRPr="002B2E3B" w:rsidRDefault="00FF21CA" w:rsidP="00F376BC">
            <w:pPr>
              <w:pStyle w:val="TableDataColumnHeading"/>
              <w:rPr>
                <w:rFonts w:ascii="Franklin Gothic Book" w:hAnsi="Franklin Gothic Book"/>
              </w:rPr>
            </w:pPr>
            <w:r w:rsidRPr="002B2E3B">
              <w:rPr>
                <w:rFonts w:ascii="Franklin Gothic Book" w:hAnsi="Franklin Gothic Book"/>
              </w:rPr>
              <w:t>Producer welfare impact</w:t>
            </w:r>
          </w:p>
        </w:tc>
      </w:tr>
      <w:tr w:rsidR="00FF21CA" w:rsidRPr="0071543F" w:rsidTr="005E6E6F">
        <w:trPr>
          <w:trHeight w:val="255"/>
        </w:trPr>
        <w:tc>
          <w:tcPr>
            <w:tcW w:w="1219" w:type="dxa"/>
            <w:tcBorders>
              <w:bottom w:val="single" w:sz="8" w:space="0" w:color="FFFFFF" w:themeColor="background1"/>
            </w:tcBorders>
            <w:shd w:val="clear" w:color="auto" w:fill="auto"/>
            <w:noWrap/>
            <w:tcMar>
              <w:left w:w="57" w:type="dxa"/>
              <w:right w:w="57" w:type="dxa"/>
            </w:tcMar>
          </w:tcPr>
          <w:p w:rsidR="00FF21CA" w:rsidRPr="0071543F" w:rsidRDefault="00FF21CA" w:rsidP="002B2E3B">
            <w:pPr>
              <w:pStyle w:val="TableDataEntries"/>
            </w:pPr>
          </w:p>
        </w:tc>
        <w:tc>
          <w:tcPr>
            <w:tcW w:w="1119" w:type="dxa"/>
            <w:tcBorders>
              <w:bottom w:val="single" w:sz="8" w:space="0" w:color="FFFFFF" w:themeColor="background1"/>
            </w:tcBorders>
            <w:shd w:val="clear" w:color="auto" w:fill="auto"/>
            <w:noWrap/>
            <w:tcMar>
              <w:left w:w="57" w:type="dxa"/>
              <w:right w:w="57" w:type="dxa"/>
            </w:tcMar>
          </w:tcPr>
          <w:p w:rsidR="00FF21CA" w:rsidRPr="0071543F" w:rsidRDefault="00FF21CA" w:rsidP="002B2E3B">
            <w:pPr>
              <w:pStyle w:val="TableDataEntries"/>
            </w:pPr>
            <w:r>
              <w:t>$m/year</w:t>
            </w:r>
          </w:p>
        </w:tc>
        <w:tc>
          <w:tcPr>
            <w:tcW w:w="1120" w:type="dxa"/>
            <w:tcBorders>
              <w:bottom w:val="single" w:sz="8" w:space="0" w:color="FFFFFF" w:themeColor="background1"/>
            </w:tcBorders>
            <w:shd w:val="clear" w:color="auto" w:fill="auto"/>
            <w:noWrap/>
            <w:tcMar>
              <w:left w:w="57" w:type="dxa"/>
              <w:right w:w="57" w:type="dxa"/>
            </w:tcMar>
          </w:tcPr>
          <w:p w:rsidR="00FF21CA" w:rsidRPr="0071543F" w:rsidRDefault="00FF21CA" w:rsidP="002B2E3B">
            <w:pPr>
              <w:pStyle w:val="TableDataEntries"/>
            </w:pPr>
            <w:r>
              <w:t>$m/year</w:t>
            </w:r>
          </w:p>
        </w:tc>
        <w:tc>
          <w:tcPr>
            <w:tcW w:w="1120" w:type="dxa"/>
            <w:tcBorders>
              <w:bottom w:val="single" w:sz="8" w:space="0" w:color="FFFFFF" w:themeColor="background1"/>
            </w:tcBorders>
            <w:shd w:val="clear" w:color="auto" w:fill="auto"/>
            <w:noWrap/>
            <w:tcMar>
              <w:left w:w="57" w:type="dxa"/>
              <w:right w:w="57" w:type="dxa"/>
            </w:tcMar>
          </w:tcPr>
          <w:p w:rsidR="00FF21CA" w:rsidRPr="0071543F" w:rsidRDefault="00FF21CA" w:rsidP="002B2E3B">
            <w:pPr>
              <w:pStyle w:val="TableDataEntries"/>
            </w:pPr>
            <w:r>
              <w:t>$m/year</w:t>
            </w:r>
          </w:p>
        </w:tc>
        <w:tc>
          <w:tcPr>
            <w:tcW w:w="1120" w:type="dxa"/>
            <w:tcBorders>
              <w:bottom w:val="single" w:sz="8" w:space="0" w:color="FFFFFF" w:themeColor="background1"/>
            </w:tcBorders>
            <w:shd w:val="clear" w:color="auto" w:fill="auto"/>
            <w:tcMar>
              <w:left w:w="57" w:type="dxa"/>
              <w:right w:w="57" w:type="dxa"/>
            </w:tcMar>
          </w:tcPr>
          <w:p w:rsidR="00FF21CA" w:rsidRPr="0071543F" w:rsidRDefault="00FF21CA" w:rsidP="002B2E3B">
            <w:pPr>
              <w:pStyle w:val="TableDataEntries"/>
            </w:pPr>
            <w:r>
              <w:t>$m/year</w:t>
            </w:r>
          </w:p>
        </w:tc>
        <w:tc>
          <w:tcPr>
            <w:tcW w:w="1120" w:type="dxa"/>
            <w:tcBorders>
              <w:bottom w:val="single" w:sz="8" w:space="0" w:color="FFFFFF" w:themeColor="background1"/>
            </w:tcBorders>
            <w:shd w:val="clear" w:color="auto" w:fill="auto"/>
            <w:tcMar>
              <w:left w:w="57" w:type="dxa"/>
              <w:right w:w="57" w:type="dxa"/>
            </w:tcMar>
          </w:tcPr>
          <w:p w:rsidR="00FF21CA" w:rsidRPr="0071543F" w:rsidRDefault="00FF21CA" w:rsidP="002B2E3B">
            <w:pPr>
              <w:pStyle w:val="TableDataEntries"/>
            </w:pPr>
            <w:r>
              <w:t>$m/year</w:t>
            </w:r>
          </w:p>
        </w:tc>
        <w:tc>
          <w:tcPr>
            <w:tcW w:w="1120" w:type="dxa"/>
            <w:tcBorders>
              <w:bottom w:val="single" w:sz="8" w:space="0" w:color="FFFFFF" w:themeColor="background1"/>
            </w:tcBorders>
            <w:shd w:val="clear" w:color="auto" w:fill="auto"/>
            <w:tcMar>
              <w:left w:w="57" w:type="dxa"/>
              <w:right w:w="57" w:type="dxa"/>
            </w:tcMar>
          </w:tcPr>
          <w:p w:rsidR="00FF21CA" w:rsidRPr="0071543F" w:rsidRDefault="00FF21CA" w:rsidP="002B2E3B">
            <w:pPr>
              <w:pStyle w:val="TableDataEntries"/>
            </w:pPr>
            <w:r>
              <w:t>$m/year</w:t>
            </w:r>
          </w:p>
        </w:tc>
      </w:tr>
      <w:tr w:rsidR="005E6E6F" w:rsidRPr="0071543F" w:rsidTr="005E6E6F">
        <w:trPr>
          <w:trHeight w:val="255"/>
        </w:trPr>
        <w:tc>
          <w:tcPr>
            <w:tcW w:w="12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5E6E6F" w:rsidRPr="0071543F" w:rsidRDefault="005E6E6F" w:rsidP="00F376BC">
            <w:pPr>
              <w:pStyle w:val="TableDataEntries"/>
              <w:jc w:val="left"/>
            </w:pPr>
            <w:r>
              <w:t>1 per cent</w:t>
            </w:r>
          </w:p>
        </w:tc>
        <w:tc>
          <w:tcPr>
            <w:tcW w:w="11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rsidR="005E6E6F" w:rsidRDefault="005E6E6F" w:rsidP="005E6E6F">
            <w:pPr>
              <w:pStyle w:val="TableDataEntries"/>
            </w:pPr>
            <w:r>
              <w:t>0.3</w:t>
            </w:r>
          </w:p>
        </w:tc>
        <w:tc>
          <w:tcPr>
            <w:tcW w:w="11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rsidR="005E6E6F" w:rsidRDefault="005E6E6F" w:rsidP="005E6E6F">
            <w:pPr>
              <w:pStyle w:val="TableDataEntries"/>
            </w:pPr>
            <w:r>
              <w:t>32.6</w:t>
            </w:r>
          </w:p>
        </w:tc>
        <w:tc>
          <w:tcPr>
            <w:tcW w:w="11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rsidR="005E6E6F" w:rsidRDefault="005E6E6F" w:rsidP="005E6E6F">
            <w:pPr>
              <w:pStyle w:val="TableDataEntries"/>
            </w:pPr>
            <w:r>
              <w:t>32.2</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0.6</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32.6</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32.0</w:t>
            </w:r>
          </w:p>
        </w:tc>
      </w:tr>
      <w:tr w:rsidR="005E6E6F" w:rsidRPr="0071543F" w:rsidTr="005E6E6F">
        <w:trPr>
          <w:trHeight w:val="255"/>
        </w:trPr>
        <w:tc>
          <w:tcPr>
            <w:tcW w:w="12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5E6E6F" w:rsidRPr="0071543F" w:rsidRDefault="005E6E6F" w:rsidP="00F376BC">
            <w:pPr>
              <w:pStyle w:val="TableDataEntries"/>
              <w:jc w:val="left"/>
            </w:pPr>
            <w:r>
              <w:t>5 per cent</w:t>
            </w:r>
          </w:p>
        </w:tc>
        <w:tc>
          <w:tcPr>
            <w:tcW w:w="11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rsidR="005E6E6F" w:rsidRDefault="005E6E6F" w:rsidP="005E6E6F">
            <w:pPr>
              <w:pStyle w:val="TableDataEntries"/>
            </w:pPr>
            <w:r>
              <w:t>0.0</w:t>
            </w:r>
          </w:p>
        </w:tc>
        <w:tc>
          <w:tcPr>
            <w:tcW w:w="11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rsidR="005E6E6F" w:rsidRDefault="005E6E6F" w:rsidP="005E6E6F">
            <w:pPr>
              <w:pStyle w:val="TableDataEntries"/>
            </w:pPr>
            <w:r>
              <w:t>164.5</w:t>
            </w:r>
          </w:p>
        </w:tc>
        <w:tc>
          <w:tcPr>
            <w:tcW w:w="11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rsidR="005E6E6F" w:rsidRDefault="005E6E6F" w:rsidP="005E6E6F">
            <w:pPr>
              <w:pStyle w:val="TableDataEntries"/>
            </w:pPr>
            <w:r>
              <w:t>164.5</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0.0</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166.5</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166.5</w:t>
            </w:r>
          </w:p>
        </w:tc>
      </w:tr>
      <w:tr w:rsidR="005E6E6F" w:rsidRPr="0071543F" w:rsidTr="005E6E6F">
        <w:trPr>
          <w:trHeight w:val="255"/>
        </w:trPr>
        <w:tc>
          <w:tcPr>
            <w:tcW w:w="12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5E6E6F" w:rsidRPr="0071543F" w:rsidRDefault="005E6E6F" w:rsidP="00F376BC">
            <w:pPr>
              <w:pStyle w:val="TableDataEntries"/>
              <w:jc w:val="left"/>
            </w:pPr>
            <w:r>
              <w:t>10 per cent</w:t>
            </w:r>
          </w:p>
        </w:tc>
        <w:tc>
          <w:tcPr>
            <w:tcW w:w="11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rsidR="005E6E6F" w:rsidRDefault="005E6E6F" w:rsidP="005E6E6F">
            <w:pPr>
              <w:pStyle w:val="TableDataEntries"/>
            </w:pPr>
            <w:r>
              <w:t>-4.1</w:t>
            </w:r>
          </w:p>
        </w:tc>
        <w:tc>
          <w:tcPr>
            <w:tcW w:w="11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rsidR="005E6E6F" w:rsidRDefault="005E6E6F" w:rsidP="005E6E6F">
            <w:pPr>
              <w:pStyle w:val="TableDataEntries"/>
            </w:pPr>
            <w:r>
              <w:t>333.0</w:t>
            </w:r>
          </w:p>
        </w:tc>
        <w:tc>
          <w:tcPr>
            <w:tcW w:w="11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rsidR="005E6E6F" w:rsidRDefault="005E6E6F" w:rsidP="005E6E6F">
            <w:pPr>
              <w:pStyle w:val="TableDataEntries"/>
            </w:pPr>
            <w:r>
              <w:t>337.0</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-8.1</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341.1</w:t>
            </w:r>
          </w:p>
        </w:tc>
        <w:tc>
          <w:tcPr>
            <w:tcW w:w="11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5E6E6F" w:rsidRDefault="005E6E6F" w:rsidP="005E6E6F">
            <w:pPr>
              <w:pStyle w:val="TableDataEntries"/>
            </w:pPr>
            <w:r>
              <w:t>349.2</w:t>
            </w:r>
          </w:p>
        </w:tc>
      </w:tr>
      <w:tr w:rsidR="005E6E6F" w:rsidRPr="0071543F" w:rsidTr="005E6E6F">
        <w:trPr>
          <w:trHeight w:val="255"/>
        </w:trPr>
        <w:tc>
          <w:tcPr>
            <w:tcW w:w="1219"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5E6E6F" w:rsidRPr="0071543F" w:rsidRDefault="005E6E6F" w:rsidP="00F376BC">
            <w:pPr>
              <w:pStyle w:val="TableDataEntries"/>
              <w:jc w:val="left"/>
            </w:pPr>
            <w:r>
              <w:t>20 per cent</w:t>
            </w:r>
          </w:p>
        </w:tc>
        <w:tc>
          <w:tcPr>
            <w:tcW w:w="1119"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rsidR="005E6E6F" w:rsidRDefault="005E6E6F" w:rsidP="005E6E6F">
            <w:pPr>
              <w:pStyle w:val="TableDataEntries"/>
            </w:pPr>
            <w:r>
              <w:t>-24.4</w:t>
            </w:r>
          </w:p>
        </w:tc>
        <w:tc>
          <w:tcPr>
            <w:tcW w:w="1120"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rsidR="005E6E6F" w:rsidRDefault="005E6E6F" w:rsidP="005E6E6F">
            <w:pPr>
              <w:pStyle w:val="TableDataEntries"/>
            </w:pPr>
            <w:r>
              <w:t>682.2</w:t>
            </w:r>
          </w:p>
        </w:tc>
        <w:tc>
          <w:tcPr>
            <w:tcW w:w="1120"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rsidR="005E6E6F" w:rsidRDefault="005E6E6F" w:rsidP="005E6E6F">
            <w:pPr>
              <w:pStyle w:val="TableDataEntries"/>
            </w:pPr>
            <w:r>
              <w:t>706.6</w:t>
            </w:r>
          </w:p>
        </w:tc>
        <w:tc>
          <w:tcPr>
            <w:tcW w:w="1120" w:type="dxa"/>
            <w:tcBorders>
              <w:top w:val="single" w:sz="8" w:space="0" w:color="FFFFFF" w:themeColor="background1"/>
              <w:bottom w:val="single" w:sz="6" w:space="0" w:color="6F6652"/>
            </w:tcBorders>
            <w:shd w:val="clear" w:color="auto" w:fill="E9E8E5" w:themeFill="background2"/>
            <w:tcMar>
              <w:left w:w="57" w:type="dxa"/>
              <w:right w:w="57" w:type="dxa"/>
            </w:tcMar>
            <w:vAlign w:val="bottom"/>
          </w:tcPr>
          <w:p w:rsidR="005E6E6F" w:rsidRDefault="005E6E6F" w:rsidP="005E6E6F">
            <w:pPr>
              <w:pStyle w:val="TableDataEntries"/>
            </w:pPr>
            <w:r>
              <w:t>-48.7</w:t>
            </w:r>
          </w:p>
        </w:tc>
        <w:tc>
          <w:tcPr>
            <w:tcW w:w="1120" w:type="dxa"/>
            <w:tcBorders>
              <w:top w:val="single" w:sz="8" w:space="0" w:color="FFFFFF" w:themeColor="background1"/>
              <w:bottom w:val="single" w:sz="6" w:space="0" w:color="6F6652"/>
            </w:tcBorders>
            <w:shd w:val="clear" w:color="auto" w:fill="E9E8E5" w:themeFill="background2"/>
            <w:tcMar>
              <w:left w:w="57" w:type="dxa"/>
              <w:right w:w="57" w:type="dxa"/>
            </w:tcMar>
            <w:vAlign w:val="bottom"/>
          </w:tcPr>
          <w:p w:rsidR="005E6E6F" w:rsidRDefault="005E6E6F" w:rsidP="005E6E6F">
            <w:pPr>
              <w:pStyle w:val="TableDataEntries"/>
            </w:pPr>
            <w:r>
              <w:t>714.7</w:t>
            </w:r>
          </w:p>
        </w:tc>
        <w:tc>
          <w:tcPr>
            <w:tcW w:w="1120" w:type="dxa"/>
            <w:tcBorders>
              <w:top w:val="single" w:sz="8" w:space="0" w:color="FFFFFF" w:themeColor="background1"/>
              <w:bottom w:val="single" w:sz="6" w:space="0" w:color="6F6652"/>
            </w:tcBorders>
            <w:shd w:val="clear" w:color="auto" w:fill="E9E8E5" w:themeFill="background2"/>
            <w:tcMar>
              <w:left w:w="57" w:type="dxa"/>
              <w:right w:w="57" w:type="dxa"/>
            </w:tcMar>
            <w:vAlign w:val="bottom"/>
          </w:tcPr>
          <w:p w:rsidR="005E6E6F" w:rsidRDefault="005E6E6F" w:rsidP="005E6E6F">
            <w:pPr>
              <w:pStyle w:val="TableDataEntries"/>
            </w:pPr>
            <w:r>
              <w:t>763.4</w:t>
            </w:r>
          </w:p>
        </w:tc>
      </w:tr>
    </w:tbl>
    <w:p w:rsidR="00FF21CA" w:rsidRDefault="005E6E6F" w:rsidP="00FF21CA">
      <w:pPr>
        <w:pStyle w:val="Source"/>
      </w:pPr>
      <w:r>
        <w:rPr>
          <w:i/>
        </w:rPr>
        <w:t>Note:</w:t>
      </w:r>
      <w:r>
        <w:t xml:space="preserve"> The net welfare impact is equal to the consumer welfare impact plus the producer welfare impact. The calculations </w:t>
      </w:r>
      <w:proofErr w:type="gramStart"/>
      <w:r>
        <w:t>are based</w:t>
      </w:r>
      <w:proofErr w:type="gramEnd"/>
      <w:r>
        <w:t xml:space="preserve"> on revenue from basket 1 services of $3.2 billion per year.</w:t>
      </w:r>
      <w:r>
        <w:rPr>
          <w:i/>
        </w:rPr>
        <w:br/>
      </w:r>
      <w:proofErr w:type="gramStart"/>
      <w:r w:rsidR="00FF21CA">
        <w:rPr>
          <w:i/>
        </w:rPr>
        <w:t>Source</w:t>
      </w:r>
      <w:r w:rsidR="00FF21CA" w:rsidRPr="00E4232C">
        <w:rPr>
          <w:i/>
        </w:rPr>
        <w:t>:</w:t>
      </w:r>
      <w:r w:rsidR="00FF21CA">
        <w:t xml:space="preserve"> The CIE.</w:t>
      </w:r>
      <w:proofErr w:type="gramEnd"/>
    </w:p>
    <w:p w:rsidR="005E6E6F" w:rsidRPr="005E6E6F" w:rsidRDefault="005E6E6F" w:rsidP="005E6E6F">
      <w:pPr>
        <w:pStyle w:val="BodyText"/>
        <w:rPr>
          <w:lang w:eastAsia="en-US"/>
        </w:rPr>
      </w:pPr>
      <w:r>
        <w:rPr>
          <w:lang w:eastAsia="en-US"/>
        </w:rPr>
        <w:t xml:space="preserve">Note that the impact of price controls </w:t>
      </w:r>
      <w:proofErr w:type="gramStart"/>
      <w:r>
        <w:rPr>
          <w:lang w:eastAsia="en-US"/>
        </w:rPr>
        <w:t>is estimated</w:t>
      </w:r>
      <w:proofErr w:type="gramEnd"/>
      <w:r>
        <w:rPr>
          <w:lang w:eastAsia="en-US"/>
        </w:rPr>
        <w:t xml:space="preserve"> on the basis that Telstra could continue to supply services and would continue to supply services. The costs of setting retail price controls below cost would be far larger if Telstra were to reduce the quality of </w:t>
      </w:r>
      <w:r>
        <w:rPr>
          <w:lang w:eastAsia="en-US"/>
        </w:rPr>
        <w:lastRenderedPageBreak/>
        <w:t xml:space="preserve">its services or become insolvent (such as in the California energy crisis). We would anticipate that the former is possible but the latter is unlikely, given that a part of the costs (incorporated into wholesale regulation) reflects a return on and of </w:t>
      </w:r>
      <w:proofErr w:type="gramStart"/>
      <w:r>
        <w:rPr>
          <w:lang w:eastAsia="en-US"/>
        </w:rPr>
        <w:t>sunk</w:t>
      </w:r>
      <w:proofErr w:type="gramEnd"/>
      <w:r>
        <w:rPr>
          <w:lang w:eastAsia="en-US"/>
        </w:rPr>
        <w:t xml:space="preserve"> capital.</w:t>
      </w:r>
    </w:p>
    <w:p w:rsidR="00FF21CA" w:rsidRDefault="00FF21CA" w:rsidP="00FF21CA">
      <w:pPr>
        <w:pStyle w:val="Heading2"/>
      </w:pPr>
      <w:bookmarkStart w:id="1519" w:name="_Toc384653328"/>
      <w:bookmarkStart w:id="1520" w:name="_Toc388269648"/>
      <w:r>
        <w:t>Is the retail market competitive?</w:t>
      </w:r>
      <w:bookmarkEnd w:id="1519"/>
      <w:bookmarkEnd w:id="1520"/>
    </w:p>
    <w:p w:rsidR="00FF21CA" w:rsidRDefault="00FF21CA" w:rsidP="00FF21CA">
      <w:pPr>
        <w:pStyle w:val="BodyText"/>
      </w:pPr>
      <w:r>
        <w:t>As the figures in table </w:t>
      </w:r>
      <w:fldSimple w:instr=" REF _Caption4174 ">
        <w:r w:rsidR="00304215">
          <w:rPr>
            <w:noProof/>
          </w:rPr>
          <w:t>7</w:t>
        </w:r>
        <w:r w:rsidR="00304215" w:rsidRPr="00695C93">
          <w:rPr>
            <w:noProof/>
          </w:rPr>
          <w:t>.</w:t>
        </w:r>
        <w:r w:rsidR="00304215">
          <w:rPr>
            <w:noProof/>
          </w:rPr>
          <w:t>4</w:t>
        </w:r>
      </w:fldSimple>
      <w:r>
        <w:t xml:space="preserve"> and </w:t>
      </w:r>
      <w:fldSimple w:instr=" REF _Caption0572 ">
        <w:r w:rsidR="00304215">
          <w:rPr>
            <w:noProof/>
          </w:rPr>
          <w:t>7</w:t>
        </w:r>
        <w:r w:rsidR="00304215" w:rsidRPr="00695C93">
          <w:rPr>
            <w:noProof/>
          </w:rPr>
          <w:t>.</w:t>
        </w:r>
        <w:r w:rsidR="00304215">
          <w:rPr>
            <w:noProof/>
          </w:rPr>
          <w:t>5</w:t>
        </w:r>
      </w:fldSimple>
      <w:r>
        <w:t xml:space="preserve"> show, the impact of price controls depends on what the price controls do relative to counterfactual prices and whether the retail market is competitive.</w:t>
      </w:r>
    </w:p>
    <w:p w:rsidR="00FF21CA" w:rsidRDefault="00FF21CA" w:rsidP="009C1B85">
      <w:pPr>
        <w:pStyle w:val="KeyPoint"/>
        <w:numPr>
          <w:ilvl w:val="0"/>
          <w:numId w:val="22"/>
        </w:numPr>
        <w:ind w:left="284" w:hanging="284"/>
      </w:pPr>
      <w:r>
        <w:t xml:space="preserve">Unless the </w:t>
      </w:r>
      <w:r w:rsidRPr="00253151">
        <w:rPr>
          <w:i/>
        </w:rPr>
        <w:t>retail</w:t>
      </w:r>
      <w:r>
        <w:t xml:space="preserve"> market is not competitive then any binding price control will impose net costs.</w:t>
      </w:r>
    </w:p>
    <w:p w:rsidR="00FF21CA" w:rsidRPr="005D4727" w:rsidRDefault="00FF21CA" w:rsidP="00FF21CA">
      <w:pPr>
        <w:pStyle w:val="BodyText"/>
      </w:pPr>
      <w:r w:rsidRPr="005D4727">
        <w:t xml:space="preserve">As set out in previous chapters, Telstra holds the majority of market share in most Australian telecommunications markets. Its market share has gradually declined for fixed line services, as others use regulation at the wholesale level to access Telstra’s infrastructure. Despite the substantial market shares that Telstra holds, the key issue at the retail level is the </w:t>
      </w:r>
      <w:r w:rsidRPr="005D4727">
        <w:rPr>
          <w:i/>
        </w:rPr>
        <w:t>potential</w:t>
      </w:r>
      <w:r w:rsidRPr="005D4727">
        <w:t xml:space="preserve"> for competition and the extent to which this constrains Telstra’s behaviour. The main barrier to entry into the retail telecommunications market is access to infrastructure that has natural monopoly characteristics, such as the cooper network between exchanges and households/businesses. We consider that wholesale regulation is the appropriate mechanism to address these issues, and outside of </w:t>
      </w:r>
      <w:proofErr w:type="gramStart"/>
      <w:r w:rsidRPr="005D4727">
        <w:t>this</w:t>
      </w:r>
      <w:proofErr w:type="gramEnd"/>
      <w:r w:rsidRPr="005D4727">
        <w:t xml:space="preserve"> there is the potential for competition.</w:t>
      </w:r>
    </w:p>
    <w:p w:rsidR="00FF21CA" w:rsidRPr="005D4727" w:rsidRDefault="00FF21CA" w:rsidP="00FF21CA">
      <w:pPr>
        <w:pStyle w:val="BodyText"/>
      </w:pPr>
      <w:r w:rsidRPr="005D4727">
        <w:t xml:space="preserve">Our view that there </w:t>
      </w:r>
      <w:r w:rsidR="00532F23">
        <w:t xml:space="preserve">are competitive constraints on Telstra’s behaviour </w:t>
      </w:r>
      <w:r w:rsidRPr="005D4727">
        <w:t xml:space="preserve">has strong empirical support in that Telstra has not charged as high a price for services as it </w:t>
      </w:r>
      <w:proofErr w:type="gramStart"/>
      <w:r w:rsidRPr="005D4727">
        <w:t>has historically been allowed</w:t>
      </w:r>
      <w:proofErr w:type="gramEnd"/>
      <w:r w:rsidRPr="005D4727">
        <w:t xml:space="preserve"> to. </w:t>
      </w:r>
      <w:r w:rsidR="005E6E6F">
        <w:t>This reflects the effects of competition from the alternative options for providing services</w:t>
      </w:r>
      <w:r w:rsidRPr="005D4727">
        <w:t>.</w:t>
      </w:r>
    </w:p>
    <w:p w:rsidR="00FF21CA" w:rsidRPr="005D4727" w:rsidRDefault="00FF21CA" w:rsidP="00FF21CA">
      <w:pPr>
        <w:pStyle w:val="BodyText"/>
      </w:pPr>
      <w:r w:rsidRPr="005D4727">
        <w:t xml:space="preserve">Note that it is plausible that Telstra, despite having prices below the allowed caps, </w:t>
      </w:r>
      <w:r w:rsidR="00532F23">
        <w:t xml:space="preserve">can charge somewhat higher than other </w:t>
      </w:r>
      <w:proofErr w:type="gramStart"/>
      <w:r w:rsidR="00532F23">
        <w:t>providers</w:t>
      </w:r>
      <w:proofErr w:type="gramEnd"/>
      <w:r w:rsidRPr="005D4727">
        <w:t>. A comparison of Telstra’s home phone plans with those of Optus is set out in table </w:t>
      </w:r>
      <w:r w:rsidRPr="005D4727">
        <w:fldChar w:fldCharType="begin"/>
      </w:r>
      <w:r w:rsidRPr="005D4727">
        <w:instrText xml:space="preserve"> REF _Caption8315 </w:instrText>
      </w:r>
      <w:r>
        <w:instrText xml:space="preserve"> \* MERGEFORMAT </w:instrText>
      </w:r>
      <w:r w:rsidRPr="005D4727">
        <w:fldChar w:fldCharType="separate"/>
      </w:r>
      <w:r w:rsidR="00304215">
        <w:rPr>
          <w:noProof/>
        </w:rPr>
        <w:t>7</w:t>
      </w:r>
      <w:r w:rsidR="00304215" w:rsidRPr="00695C93">
        <w:rPr>
          <w:noProof/>
        </w:rPr>
        <w:t>.</w:t>
      </w:r>
      <w:r w:rsidR="00304215">
        <w:rPr>
          <w:noProof/>
        </w:rPr>
        <w:t>6</w:t>
      </w:r>
      <w:r w:rsidRPr="005D4727">
        <w:fldChar w:fldCharType="end"/>
      </w:r>
      <w:r w:rsidRPr="005D4727">
        <w:t xml:space="preserve">. The amount that a household or business would pay will depend on usage, for most plans. In general, Telstra’s home phone plans are more expensive than those of </w:t>
      </w:r>
      <w:proofErr w:type="gramStart"/>
      <w:r w:rsidRPr="005D4727">
        <w:t>Optus</w:t>
      </w:r>
      <w:proofErr w:type="gramEnd"/>
      <w:r w:rsidRPr="005D4727">
        <w:t>, but have more favourable terms and conditions (such as no minimum terms, cancellation fees and billing charges).</w:t>
      </w:r>
      <w:r w:rsidR="00532F23">
        <w:t xml:space="preserve"> It is not clear whether this reflects the brand Telstra has developed or some level of market power. Given the other evidence presented in this report, and the regulation of the natural monopoly infrastructure, we would not expect Telstra to be able to charge above other operators without either providing higher quality service or losing customers.</w:t>
      </w:r>
    </w:p>
    <w:p w:rsidR="00FF21CA" w:rsidRPr="005D4727" w:rsidRDefault="00FF21CA" w:rsidP="009C1B85">
      <w:pPr>
        <w:pStyle w:val="BodyText"/>
        <w:numPr>
          <w:ilvl w:val="0"/>
          <w:numId w:val="14"/>
        </w:numPr>
        <w:sectPr w:rsidR="00FF21CA" w:rsidRPr="005D4727" w:rsidSect="005C7B71">
          <w:headerReference w:type="even" r:id="rId38"/>
          <w:headerReference w:type="default" r:id="rId39"/>
          <w:footerReference w:type="even" r:id="rId40"/>
          <w:footerReference w:type="default" r:id="rId41"/>
          <w:pgSz w:w="11906" w:h="16838" w:code="9"/>
          <w:pgMar w:top="2268" w:right="1701" w:bottom="1418" w:left="2268" w:header="680" w:footer="680" w:gutter="0"/>
          <w:pgNumType w:start="1"/>
          <w:cols w:space="708"/>
          <w:docGrid w:linePitch="360"/>
        </w:sectPr>
      </w:pPr>
    </w:p>
    <w:p w:rsidR="00FF21CA" w:rsidRDefault="00FF21CA" w:rsidP="00FF21CA">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7</w:instrText>
        </w:r>
      </w:fldSimple>
      <w:r w:rsidRPr="00695C93">
        <w:instrText xml:space="preserve"> = 0 "" "</w:instrText>
      </w:r>
      <w:fldSimple w:instr=" STYLEREF &quot;Heading 1&quot; \l \n ">
        <w:r w:rsidR="00304215">
          <w:rPr>
            <w:noProof/>
          </w:rPr>
          <w:instrText>7</w:instrText>
        </w:r>
      </w:fldSimple>
      <w:r w:rsidRPr="00695C93">
        <w:instrText xml:space="preserve">." </w:instrText>
      </w:r>
      <w:r w:rsidRPr="00695C93">
        <w:fldChar w:fldCharType="separate"/>
      </w:r>
      <w:r w:rsidR="00304215">
        <w:rPr>
          <w:noProof/>
        </w:rPr>
        <w:instrText>7</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7</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7</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6</w:instrText>
      </w:r>
      <w:r w:rsidRPr="00695C93">
        <w:fldChar w:fldCharType="end"/>
      </w:r>
      <w:r w:rsidRPr="00695C93">
        <w:instrText xml:space="preserve">" "" </w:instrText>
      </w:r>
      <w:r w:rsidRPr="00695C93">
        <w:fldChar w:fldCharType="separate"/>
      </w:r>
      <w:bookmarkStart w:id="1521" w:name="_Caption2139"/>
      <w:bookmarkStart w:id="1522" w:name="_Caption3608"/>
      <w:bookmarkStart w:id="1523" w:name="_Caption5709"/>
      <w:bookmarkStart w:id="1524" w:name="_Caption6224"/>
      <w:bookmarkStart w:id="1525" w:name="_Caption6941"/>
      <w:bookmarkStart w:id="1526" w:name="_Caption0949"/>
      <w:bookmarkStart w:id="1527" w:name="_Caption9753"/>
      <w:bookmarkStart w:id="1528" w:name="_Caption2821"/>
      <w:bookmarkStart w:id="1529" w:name="_Caption8410"/>
      <w:bookmarkStart w:id="1530" w:name="_Caption8853"/>
      <w:bookmarkStart w:id="1531" w:name="_Caption8513"/>
      <w:bookmarkStart w:id="1532" w:name="_Caption8707"/>
      <w:bookmarkStart w:id="1533" w:name="_Caption0324"/>
      <w:bookmarkStart w:id="1534" w:name="_Caption8194"/>
      <w:bookmarkStart w:id="1535" w:name="_Caption6563"/>
      <w:bookmarkStart w:id="1536" w:name="_Caption4806"/>
      <w:bookmarkStart w:id="1537" w:name="_Caption5589"/>
      <w:bookmarkStart w:id="1538" w:name="_Caption2511"/>
      <w:bookmarkStart w:id="1539" w:name="_Caption4042"/>
      <w:bookmarkStart w:id="1540" w:name="_Caption2350"/>
      <w:bookmarkStart w:id="1541" w:name="_Caption4208"/>
      <w:bookmarkStart w:id="1542" w:name="_Caption0582"/>
      <w:bookmarkStart w:id="1543" w:name="_Caption8478"/>
      <w:bookmarkStart w:id="1544" w:name="_Caption0761"/>
      <w:bookmarkStart w:id="1545" w:name="_Caption8988"/>
      <w:bookmarkStart w:id="1546" w:name="_Caption0177"/>
      <w:bookmarkStart w:id="1547" w:name="_Caption0793"/>
      <w:bookmarkStart w:id="1548" w:name="_Caption1340"/>
      <w:bookmarkStart w:id="1549" w:name="_Caption2367"/>
      <w:bookmarkStart w:id="1550" w:name="_Caption3172"/>
      <w:bookmarkStart w:id="1551" w:name="_Caption9720"/>
      <w:bookmarkStart w:id="1552" w:name="_Caption1372"/>
      <w:bookmarkStart w:id="1553" w:name="_Caption2272"/>
      <w:bookmarkStart w:id="1554" w:name="_Caption4661"/>
      <w:bookmarkStart w:id="1555" w:name="_Caption5311"/>
      <w:bookmarkStart w:id="1556" w:name="_Caption6521"/>
      <w:bookmarkStart w:id="1557" w:name="_Caption8315"/>
      <w:bookmarkStart w:id="1558" w:name="_Caption1424"/>
      <w:bookmarkStart w:id="1559" w:name="_Caption6614"/>
      <w:bookmarkStart w:id="1560" w:name="_Toc391972981"/>
      <w:r w:rsidR="00584F9A">
        <w:rPr>
          <w:noProof/>
        </w:rPr>
        <w:t>7</w:t>
      </w:r>
      <w:r w:rsidR="00584F9A" w:rsidRPr="00695C93">
        <w:rPr>
          <w:noProof/>
        </w:rPr>
        <w:t>.</w:t>
      </w:r>
      <w:r w:rsidR="00584F9A">
        <w:rPr>
          <w:noProof/>
        </w:rPr>
        <w:t>6</w:t>
      </w:r>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r w:rsidRPr="00695C93">
        <w:fldChar w:fldCharType="end"/>
      </w:r>
      <w:r w:rsidRPr="00695C93">
        <w:tab/>
      </w:r>
      <w:r>
        <w:t>Comparison of Telstra and Optus pricing for home phone bundles</w:t>
      </w:r>
      <w:bookmarkEnd w:id="1560"/>
    </w:p>
    <w:tbl>
      <w:tblPr>
        <w:tblW w:w="13204" w:type="dxa"/>
        <w:tblInd w:w="57" w:type="dxa"/>
        <w:tblLook w:val="04A0" w:firstRow="1" w:lastRow="0" w:firstColumn="1" w:lastColumn="0" w:noHBand="0" w:noVBand="1"/>
      </w:tblPr>
      <w:tblGrid>
        <w:gridCol w:w="1052"/>
        <w:gridCol w:w="2030"/>
        <w:gridCol w:w="2031"/>
        <w:gridCol w:w="2031"/>
        <w:gridCol w:w="2020"/>
        <w:gridCol w:w="2020"/>
        <w:gridCol w:w="2020"/>
      </w:tblGrid>
      <w:tr w:rsidR="00FF21CA" w:rsidRPr="002B2E3B" w:rsidTr="002B2E3B">
        <w:trPr>
          <w:trHeight w:val="255"/>
        </w:trPr>
        <w:tc>
          <w:tcPr>
            <w:tcW w:w="1052" w:type="dxa"/>
            <w:tcBorders>
              <w:bottom w:val="single" w:sz="8" w:space="0" w:color="FFFFFF" w:themeColor="background1"/>
            </w:tcBorders>
            <w:shd w:val="clear" w:color="auto" w:fill="6F6652"/>
            <w:tcMar>
              <w:left w:w="57" w:type="dxa"/>
              <w:right w:w="57" w:type="dxa"/>
            </w:tcMar>
            <w:hideMark/>
          </w:tcPr>
          <w:p w:rsidR="00FF21CA" w:rsidRPr="002B2E3B" w:rsidRDefault="00FF21CA" w:rsidP="00F376BC">
            <w:pPr>
              <w:pStyle w:val="TableDataColumnHeading"/>
              <w:jc w:val="left"/>
            </w:pPr>
          </w:p>
        </w:tc>
        <w:tc>
          <w:tcPr>
            <w:tcW w:w="2030" w:type="dxa"/>
            <w:tcBorders>
              <w:bottom w:val="single" w:sz="8" w:space="0" w:color="FFFFFF" w:themeColor="background1"/>
            </w:tcBorders>
            <w:shd w:val="clear" w:color="auto" w:fill="6F6652"/>
            <w:tcMar>
              <w:left w:w="57" w:type="dxa"/>
              <w:right w:w="57" w:type="dxa"/>
            </w:tcMar>
            <w:hideMark/>
          </w:tcPr>
          <w:p w:rsidR="00FF21CA" w:rsidRPr="002B2E3B" w:rsidRDefault="00FF21CA" w:rsidP="00F376BC">
            <w:pPr>
              <w:pStyle w:val="TableDataColumnHeading"/>
              <w:rPr>
                <w:bCs/>
              </w:rPr>
            </w:pPr>
            <w:r w:rsidRPr="002B2E3B">
              <w:rPr>
                <w:bCs/>
              </w:rPr>
              <w:t>Optus1</w:t>
            </w:r>
          </w:p>
        </w:tc>
        <w:tc>
          <w:tcPr>
            <w:tcW w:w="2031" w:type="dxa"/>
            <w:tcBorders>
              <w:bottom w:val="single" w:sz="8" w:space="0" w:color="FFFFFF" w:themeColor="background1"/>
            </w:tcBorders>
            <w:shd w:val="clear" w:color="auto" w:fill="6F6652"/>
            <w:tcMar>
              <w:left w:w="57" w:type="dxa"/>
              <w:right w:w="57" w:type="dxa"/>
            </w:tcMar>
            <w:hideMark/>
          </w:tcPr>
          <w:p w:rsidR="00FF21CA" w:rsidRPr="002B2E3B" w:rsidRDefault="00FF21CA" w:rsidP="00F376BC">
            <w:pPr>
              <w:pStyle w:val="TableDataColumnHeading"/>
              <w:rPr>
                <w:bCs/>
              </w:rPr>
            </w:pPr>
            <w:r w:rsidRPr="002B2E3B">
              <w:rPr>
                <w:bCs/>
              </w:rPr>
              <w:t>Optus2</w:t>
            </w:r>
          </w:p>
        </w:tc>
        <w:tc>
          <w:tcPr>
            <w:tcW w:w="2031" w:type="dxa"/>
            <w:tcBorders>
              <w:bottom w:val="single" w:sz="8" w:space="0" w:color="FFFFFF" w:themeColor="background1"/>
            </w:tcBorders>
            <w:shd w:val="clear" w:color="auto" w:fill="6F6652"/>
            <w:tcMar>
              <w:left w:w="57" w:type="dxa"/>
              <w:right w:w="57" w:type="dxa"/>
            </w:tcMar>
            <w:hideMark/>
          </w:tcPr>
          <w:p w:rsidR="00FF21CA" w:rsidRPr="002B2E3B" w:rsidRDefault="00FF21CA" w:rsidP="00F376BC">
            <w:pPr>
              <w:pStyle w:val="TableDataColumnHeading"/>
              <w:rPr>
                <w:bCs/>
              </w:rPr>
            </w:pPr>
            <w:r w:rsidRPr="002B2E3B">
              <w:rPr>
                <w:bCs/>
              </w:rPr>
              <w:t>Optus3</w:t>
            </w:r>
          </w:p>
        </w:tc>
        <w:tc>
          <w:tcPr>
            <w:tcW w:w="2020" w:type="dxa"/>
            <w:tcBorders>
              <w:bottom w:val="single" w:sz="8" w:space="0" w:color="FFFFFF" w:themeColor="background1"/>
            </w:tcBorders>
            <w:shd w:val="clear" w:color="auto" w:fill="6F6652"/>
            <w:tcMar>
              <w:left w:w="57" w:type="dxa"/>
              <w:right w:w="57" w:type="dxa"/>
            </w:tcMar>
            <w:hideMark/>
          </w:tcPr>
          <w:p w:rsidR="00FF21CA" w:rsidRPr="002B2E3B" w:rsidRDefault="00FF21CA" w:rsidP="00F376BC">
            <w:pPr>
              <w:pStyle w:val="TableDataColumnHeading"/>
              <w:rPr>
                <w:bCs/>
              </w:rPr>
            </w:pPr>
            <w:r w:rsidRPr="002B2E3B">
              <w:rPr>
                <w:bCs/>
              </w:rPr>
              <w:t>Telstra1</w:t>
            </w:r>
          </w:p>
        </w:tc>
        <w:tc>
          <w:tcPr>
            <w:tcW w:w="2020" w:type="dxa"/>
            <w:tcBorders>
              <w:bottom w:val="single" w:sz="8" w:space="0" w:color="FFFFFF" w:themeColor="background1"/>
            </w:tcBorders>
            <w:shd w:val="clear" w:color="auto" w:fill="6F6652"/>
            <w:tcMar>
              <w:left w:w="57" w:type="dxa"/>
              <w:right w:w="57" w:type="dxa"/>
            </w:tcMar>
            <w:hideMark/>
          </w:tcPr>
          <w:p w:rsidR="00FF21CA" w:rsidRPr="002B2E3B" w:rsidRDefault="00FF21CA" w:rsidP="00F376BC">
            <w:pPr>
              <w:pStyle w:val="TableDataColumnHeading"/>
              <w:rPr>
                <w:bCs/>
              </w:rPr>
            </w:pPr>
            <w:r w:rsidRPr="002B2E3B">
              <w:rPr>
                <w:bCs/>
              </w:rPr>
              <w:t>Telstra2</w:t>
            </w:r>
          </w:p>
        </w:tc>
        <w:tc>
          <w:tcPr>
            <w:tcW w:w="2020" w:type="dxa"/>
            <w:tcBorders>
              <w:bottom w:val="single" w:sz="8" w:space="0" w:color="FFFFFF" w:themeColor="background1"/>
            </w:tcBorders>
            <w:shd w:val="clear" w:color="auto" w:fill="6F6652"/>
            <w:tcMar>
              <w:left w:w="57" w:type="dxa"/>
              <w:right w:w="57" w:type="dxa"/>
            </w:tcMar>
            <w:hideMark/>
          </w:tcPr>
          <w:p w:rsidR="00FF21CA" w:rsidRPr="002B2E3B" w:rsidRDefault="00FF21CA" w:rsidP="00F376BC">
            <w:pPr>
              <w:pStyle w:val="TableDataColumnHeading"/>
              <w:rPr>
                <w:bCs/>
              </w:rPr>
            </w:pPr>
            <w:r w:rsidRPr="002B2E3B">
              <w:rPr>
                <w:bCs/>
              </w:rPr>
              <w:t>Telstra3</w:t>
            </w:r>
          </w:p>
        </w:tc>
      </w:tr>
      <w:tr w:rsidR="00FF21CA" w:rsidRPr="007C33D2" w:rsidTr="002B2E3B">
        <w:trPr>
          <w:trHeight w:val="255"/>
        </w:trPr>
        <w:tc>
          <w:tcPr>
            <w:tcW w:w="105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jc w:val="left"/>
            </w:pPr>
            <w:r w:rsidRPr="007C33D2">
              <w:t>Home line</w:t>
            </w:r>
            <w:r>
              <w:t xml:space="preserve"> ($.month)</w:t>
            </w:r>
          </w:p>
        </w:tc>
        <w:tc>
          <w:tcPr>
            <w:tcW w:w="203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22</w:t>
            </w:r>
          </w:p>
        </w:tc>
        <w:tc>
          <w:tcPr>
            <w:tcW w:w="203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45</w:t>
            </w:r>
          </w:p>
        </w:tc>
        <w:tc>
          <w:tcPr>
            <w:tcW w:w="203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60</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22.95</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40</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50</w:t>
            </w:r>
          </w:p>
        </w:tc>
      </w:tr>
      <w:tr w:rsidR="00FF21CA" w:rsidRPr="007C33D2" w:rsidTr="002B2E3B">
        <w:trPr>
          <w:trHeight w:val="255"/>
        </w:trPr>
        <w:tc>
          <w:tcPr>
            <w:tcW w:w="105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jc w:val="left"/>
            </w:pPr>
            <w:r w:rsidRPr="007C33D2">
              <w:t>Local calls</w:t>
            </w:r>
            <w:r>
              <w:t xml:space="preserve"> ($/call)</w:t>
            </w:r>
          </w:p>
        </w:tc>
        <w:tc>
          <w:tcPr>
            <w:tcW w:w="203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rPr>
                <w:rFonts w:ascii="Arial" w:hAnsi="Arial" w:cs="Arial"/>
                <w:color w:val="000000"/>
              </w:rPr>
            </w:pPr>
            <w:r w:rsidRPr="007C33D2">
              <w:rPr>
                <w:rFonts w:ascii="Arial" w:hAnsi="Arial" w:cs="Arial"/>
                <w:color w:val="000000"/>
              </w:rPr>
              <w:t>0.3</w:t>
            </w:r>
          </w:p>
        </w:tc>
        <w:tc>
          <w:tcPr>
            <w:tcW w:w="203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0</w:t>
            </w:r>
          </w:p>
        </w:tc>
        <w:tc>
          <w:tcPr>
            <w:tcW w:w="203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0</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0.3</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0</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0</w:t>
            </w:r>
          </w:p>
        </w:tc>
      </w:tr>
      <w:tr w:rsidR="00FF21CA" w:rsidRPr="007C33D2" w:rsidTr="002B2E3B">
        <w:trPr>
          <w:trHeight w:val="765"/>
        </w:trPr>
        <w:tc>
          <w:tcPr>
            <w:tcW w:w="105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jc w:val="left"/>
            </w:pPr>
            <w:r w:rsidRPr="007C33D2">
              <w:t>Standard national calls</w:t>
            </w:r>
          </w:p>
        </w:tc>
        <w:tc>
          <w:tcPr>
            <w:tcW w:w="203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20c per min + 45c connection fee ($2.00 cap for calls up to 1 hour)</w:t>
            </w:r>
          </w:p>
        </w:tc>
        <w:tc>
          <w:tcPr>
            <w:tcW w:w="203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0</w:t>
            </w:r>
          </w:p>
        </w:tc>
        <w:tc>
          <w:tcPr>
            <w:tcW w:w="203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0</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25c per min + 49c connection fee ($3.00 cap for calls up to 3 hours, 7pm to midnight)</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49c + 30c per minute ($2 cap for up to 3 hours)</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0</w:t>
            </w:r>
          </w:p>
        </w:tc>
      </w:tr>
      <w:tr w:rsidR="00FF21CA" w:rsidRPr="007C33D2" w:rsidTr="002B2E3B">
        <w:trPr>
          <w:trHeight w:val="255"/>
        </w:trPr>
        <w:tc>
          <w:tcPr>
            <w:tcW w:w="105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jc w:val="left"/>
            </w:pPr>
            <w:r w:rsidRPr="007C33D2">
              <w:t>1300</w:t>
            </w:r>
            <w:r>
              <w:t xml:space="preserve"> calls</w:t>
            </w:r>
          </w:p>
        </w:tc>
        <w:tc>
          <w:tcPr>
            <w:tcW w:w="203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rPr>
                <w:rFonts w:ascii="Arial" w:hAnsi="Arial" w:cs="Arial"/>
                <w:color w:val="000000"/>
              </w:rPr>
            </w:pPr>
            <w:r w:rsidRPr="007C33D2">
              <w:rPr>
                <w:rFonts w:ascii="Arial" w:hAnsi="Arial" w:cs="Arial"/>
                <w:color w:val="000000"/>
              </w:rPr>
              <w:t>0.35</w:t>
            </w:r>
          </w:p>
        </w:tc>
        <w:tc>
          <w:tcPr>
            <w:tcW w:w="203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rPr>
                <w:rFonts w:ascii="Arial" w:hAnsi="Arial" w:cs="Arial"/>
                <w:color w:val="000000"/>
              </w:rPr>
            </w:pPr>
            <w:r w:rsidRPr="007C33D2">
              <w:rPr>
                <w:rFonts w:ascii="Arial" w:hAnsi="Arial" w:cs="Arial"/>
                <w:color w:val="000000"/>
              </w:rPr>
              <w:t>0.35</w:t>
            </w:r>
          </w:p>
        </w:tc>
        <w:tc>
          <w:tcPr>
            <w:tcW w:w="203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0</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rPr>
                <w:rFonts w:ascii="Arial" w:hAnsi="Arial" w:cs="Arial"/>
                <w:color w:val="000000"/>
              </w:rPr>
            </w:pPr>
            <w:r w:rsidRPr="007C33D2">
              <w:rPr>
                <w:rFonts w:ascii="Arial" w:hAnsi="Arial" w:cs="Arial"/>
                <w:color w:val="000000"/>
              </w:rPr>
              <w:t>0.35</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0.35</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0.35</w:t>
            </w:r>
          </w:p>
        </w:tc>
      </w:tr>
      <w:tr w:rsidR="00FF21CA" w:rsidRPr="007C33D2" w:rsidTr="002B2E3B">
        <w:trPr>
          <w:trHeight w:val="1020"/>
        </w:trPr>
        <w:tc>
          <w:tcPr>
            <w:tcW w:w="105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jc w:val="left"/>
            </w:pPr>
            <w:r w:rsidRPr="007C33D2">
              <w:t>Own brand mobile (i.e. Optus or Telstra)</w:t>
            </w:r>
          </w:p>
        </w:tc>
        <w:tc>
          <w:tcPr>
            <w:tcW w:w="203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20c per min + 45c connection fee ($2.00 cap for calls up to 1 hour)</w:t>
            </w:r>
          </w:p>
        </w:tc>
        <w:tc>
          <w:tcPr>
            <w:tcW w:w="203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0</w:t>
            </w:r>
          </w:p>
        </w:tc>
        <w:tc>
          <w:tcPr>
            <w:tcW w:w="203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0</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rPr>
                <w:rFonts w:ascii="Arial" w:hAnsi="Arial" w:cs="Arial"/>
                <w:color w:val="000000"/>
              </w:rPr>
            </w:pPr>
            <w:r w:rsidRPr="007C33D2">
              <w:rPr>
                <w:rFonts w:ascii="Arial" w:hAnsi="Arial" w:cs="Arial"/>
                <w:color w:val="000000"/>
              </w:rPr>
              <w:t>36c per min + 49c connection fee, capped at $3 for the first 20 minutes per call, 7.00 pm to midnight</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49c + 30c per minute ($2 cap for up to 20 minutes)</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49c + 30c per minute ($2 cap for up to 20 minutes)</w:t>
            </w:r>
          </w:p>
        </w:tc>
      </w:tr>
      <w:tr w:rsidR="00FF21CA" w:rsidRPr="007C33D2" w:rsidTr="002B2E3B">
        <w:trPr>
          <w:trHeight w:val="675"/>
        </w:trPr>
        <w:tc>
          <w:tcPr>
            <w:tcW w:w="105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jc w:val="left"/>
            </w:pPr>
            <w:r w:rsidRPr="007C33D2">
              <w:t>Other mobiles</w:t>
            </w:r>
          </w:p>
        </w:tc>
        <w:tc>
          <w:tcPr>
            <w:tcW w:w="203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rPr>
                <w:rFonts w:ascii="Arial" w:hAnsi="Arial" w:cs="Arial"/>
                <w:color w:val="000000"/>
              </w:rPr>
            </w:pPr>
            <w:r w:rsidRPr="007C33D2">
              <w:rPr>
                <w:rFonts w:ascii="Arial" w:hAnsi="Arial" w:cs="Arial"/>
                <w:color w:val="000000"/>
              </w:rPr>
              <w:t>20c per min + 45c connection fee ($2.00 cap for calls up to 1 hour)</w:t>
            </w:r>
          </w:p>
        </w:tc>
        <w:tc>
          <w:tcPr>
            <w:tcW w:w="203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rPr>
                <w:rFonts w:ascii="Arial" w:hAnsi="Arial" w:cs="Arial"/>
                <w:color w:val="000000"/>
              </w:rPr>
            </w:pPr>
            <w:r w:rsidRPr="007C33D2">
              <w:rPr>
                <w:rFonts w:ascii="Arial" w:hAnsi="Arial" w:cs="Arial"/>
                <w:color w:val="000000"/>
              </w:rPr>
              <w:t>20c per min + 45c connection fee ($2.00 cap for calls up to 1 hour)</w:t>
            </w:r>
          </w:p>
        </w:tc>
        <w:tc>
          <w:tcPr>
            <w:tcW w:w="203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0</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rPr>
                <w:rFonts w:ascii="Arial" w:hAnsi="Arial" w:cs="Arial"/>
                <w:color w:val="000000"/>
              </w:rPr>
            </w:pPr>
            <w:r w:rsidRPr="007C33D2">
              <w:rPr>
                <w:rFonts w:ascii="Arial" w:hAnsi="Arial" w:cs="Arial"/>
                <w:color w:val="000000"/>
              </w:rPr>
              <w:t>36c per min + 49c connection fee</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49c + 30c per minute ($2 cap for up to 20 minutes)</w:t>
            </w:r>
          </w:p>
        </w:tc>
        <w:tc>
          <w:tcPr>
            <w:tcW w:w="20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FF21CA" w:rsidRPr="007C33D2" w:rsidRDefault="00FF21CA" w:rsidP="00F376BC">
            <w:pPr>
              <w:pStyle w:val="TableDataEntries"/>
            </w:pPr>
            <w:r w:rsidRPr="007C33D2">
              <w:t>49c + 30c per minute ($2 cap for up to 20 minutes)</w:t>
            </w:r>
          </w:p>
        </w:tc>
      </w:tr>
      <w:tr w:rsidR="00FF21CA" w:rsidRPr="007C33D2" w:rsidTr="002B2E3B">
        <w:trPr>
          <w:trHeight w:val="255"/>
        </w:trPr>
        <w:tc>
          <w:tcPr>
            <w:tcW w:w="10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jc w:val="left"/>
            </w:pPr>
            <w:r w:rsidRPr="007C33D2">
              <w:t>Minimum term</w:t>
            </w:r>
          </w:p>
        </w:tc>
        <w:tc>
          <w:tcPr>
            <w:tcW w:w="20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6 months minimum</w:t>
            </w:r>
          </w:p>
        </w:tc>
        <w:tc>
          <w:tcPr>
            <w:tcW w:w="203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6 months minimum</w:t>
            </w:r>
          </w:p>
        </w:tc>
        <w:tc>
          <w:tcPr>
            <w:tcW w:w="203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6 months minimum</w:t>
            </w:r>
          </w:p>
        </w:tc>
        <w:tc>
          <w:tcPr>
            <w:tcW w:w="20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No minimum</w:t>
            </w:r>
          </w:p>
        </w:tc>
        <w:tc>
          <w:tcPr>
            <w:tcW w:w="20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No minimum</w:t>
            </w:r>
          </w:p>
        </w:tc>
        <w:tc>
          <w:tcPr>
            <w:tcW w:w="20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No minimum</w:t>
            </w:r>
          </w:p>
        </w:tc>
      </w:tr>
      <w:tr w:rsidR="00FF21CA" w:rsidRPr="007C33D2" w:rsidTr="002B2E3B">
        <w:trPr>
          <w:trHeight w:val="255"/>
        </w:trPr>
        <w:tc>
          <w:tcPr>
            <w:tcW w:w="10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jc w:val="left"/>
            </w:pPr>
            <w:r w:rsidRPr="007C33D2">
              <w:t>Non-direct debit</w:t>
            </w:r>
          </w:p>
        </w:tc>
        <w:tc>
          <w:tcPr>
            <w:tcW w:w="20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2.2</w:t>
            </w:r>
          </w:p>
        </w:tc>
        <w:tc>
          <w:tcPr>
            <w:tcW w:w="203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2.2</w:t>
            </w:r>
          </w:p>
        </w:tc>
        <w:tc>
          <w:tcPr>
            <w:tcW w:w="203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2.2</w:t>
            </w:r>
          </w:p>
        </w:tc>
        <w:tc>
          <w:tcPr>
            <w:tcW w:w="20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No</w:t>
            </w:r>
          </w:p>
        </w:tc>
        <w:tc>
          <w:tcPr>
            <w:tcW w:w="20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No</w:t>
            </w:r>
          </w:p>
        </w:tc>
        <w:tc>
          <w:tcPr>
            <w:tcW w:w="20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No</w:t>
            </w:r>
          </w:p>
        </w:tc>
      </w:tr>
      <w:tr w:rsidR="00FF21CA" w:rsidRPr="007C33D2" w:rsidTr="002B2E3B">
        <w:trPr>
          <w:trHeight w:val="255"/>
        </w:trPr>
        <w:tc>
          <w:tcPr>
            <w:tcW w:w="10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jc w:val="left"/>
            </w:pPr>
            <w:r w:rsidRPr="007C33D2">
              <w:t>Paper invoicing</w:t>
            </w:r>
          </w:p>
        </w:tc>
        <w:tc>
          <w:tcPr>
            <w:tcW w:w="20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2.2</w:t>
            </w:r>
          </w:p>
        </w:tc>
        <w:tc>
          <w:tcPr>
            <w:tcW w:w="203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2.2</w:t>
            </w:r>
          </w:p>
        </w:tc>
        <w:tc>
          <w:tcPr>
            <w:tcW w:w="203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2.2</w:t>
            </w:r>
          </w:p>
        </w:tc>
        <w:tc>
          <w:tcPr>
            <w:tcW w:w="20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No</w:t>
            </w:r>
          </w:p>
        </w:tc>
        <w:tc>
          <w:tcPr>
            <w:tcW w:w="20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No</w:t>
            </w:r>
          </w:p>
        </w:tc>
        <w:tc>
          <w:tcPr>
            <w:tcW w:w="202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No</w:t>
            </w:r>
          </w:p>
        </w:tc>
      </w:tr>
      <w:tr w:rsidR="00FF21CA" w:rsidRPr="007C33D2" w:rsidTr="002B2E3B">
        <w:trPr>
          <w:trHeight w:val="255"/>
        </w:trPr>
        <w:tc>
          <w:tcPr>
            <w:tcW w:w="1052"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FF21CA" w:rsidRPr="007C33D2" w:rsidRDefault="00FF21CA" w:rsidP="00F376BC">
            <w:pPr>
              <w:pStyle w:val="TableDataEntries"/>
              <w:jc w:val="left"/>
            </w:pPr>
            <w:r w:rsidRPr="007C33D2">
              <w:t>Cancellation fee</w:t>
            </w:r>
          </w:p>
        </w:tc>
        <w:tc>
          <w:tcPr>
            <w:tcW w:w="2030"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Yes</w:t>
            </w:r>
          </w:p>
        </w:tc>
        <w:tc>
          <w:tcPr>
            <w:tcW w:w="2031"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Yes</w:t>
            </w:r>
          </w:p>
        </w:tc>
        <w:tc>
          <w:tcPr>
            <w:tcW w:w="2031"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Yes</w:t>
            </w:r>
          </w:p>
        </w:tc>
        <w:tc>
          <w:tcPr>
            <w:tcW w:w="2020"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No</w:t>
            </w:r>
          </w:p>
        </w:tc>
        <w:tc>
          <w:tcPr>
            <w:tcW w:w="2020"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No</w:t>
            </w:r>
          </w:p>
        </w:tc>
        <w:tc>
          <w:tcPr>
            <w:tcW w:w="2020"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rsidR="00FF21CA" w:rsidRPr="007C33D2" w:rsidRDefault="00FF21CA" w:rsidP="00F376BC">
            <w:pPr>
              <w:pStyle w:val="TableDataEntries"/>
            </w:pPr>
            <w:r w:rsidRPr="007C33D2">
              <w:t>No</w:t>
            </w:r>
          </w:p>
        </w:tc>
      </w:tr>
    </w:tbl>
    <w:p w:rsidR="00FF21CA" w:rsidRDefault="00FF21CA" w:rsidP="00FF21CA">
      <w:pPr>
        <w:pStyle w:val="Source"/>
      </w:pPr>
      <w:proofErr w:type="gramStart"/>
      <w:r>
        <w:rPr>
          <w:i/>
        </w:rPr>
        <w:t>Source</w:t>
      </w:r>
      <w:r w:rsidRPr="00E4232C">
        <w:rPr>
          <w:i/>
        </w:rPr>
        <w:t>:</w:t>
      </w:r>
      <w:r>
        <w:t xml:space="preserve"> Telstra and Optus websites.</w:t>
      </w:r>
      <w:proofErr w:type="gramEnd"/>
    </w:p>
    <w:p w:rsidR="00FF21CA" w:rsidRDefault="00FF21CA" w:rsidP="00FF21CA">
      <w:pPr>
        <w:pStyle w:val="BodyText"/>
        <w:sectPr w:rsidR="00FF21CA" w:rsidSect="00F376BC">
          <w:headerReference w:type="even" r:id="rId42"/>
          <w:headerReference w:type="default" r:id="rId43"/>
          <w:footerReference w:type="even" r:id="rId44"/>
          <w:footerReference w:type="default" r:id="rId45"/>
          <w:pgSz w:w="16838" w:h="11906" w:orient="landscape" w:code="9"/>
          <w:pgMar w:top="2268" w:right="2268" w:bottom="2268" w:left="1418" w:header="851" w:footer="624" w:gutter="0"/>
          <w:cols w:space="708"/>
          <w:docGrid w:linePitch="360"/>
        </w:sectPr>
      </w:pPr>
    </w:p>
    <w:p w:rsidR="00FF21CA" w:rsidRPr="005D4727" w:rsidRDefault="00FF21CA" w:rsidP="00FF21CA">
      <w:pPr>
        <w:pStyle w:val="BodyText"/>
      </w:pPr>
      <w:r w:rsidRPr="005D4727">
        <w:lastRenderedPageBreak/>
        <w:t xml:space="preserve">We are also aware that Telstra has substantial market share of NBN customers, despite having no infrastructure advantage. </w:t>
      </w:r>
      <w:proofErr w:type="gramStart"/>
      <w:r w:rsidRPr="005D4727">
        <w:t>Hence</w:t>
      </w:r>
      <w:proofErr w:type="gramEnd"/>
      <w:r w:rsidRPr="005D4727">
        <w:t xml:space="preserve"> Telstra’s market share does not necessarily reflect market power, but may reflect brand advantages and marketing.</w:t>
      </w:r>
    </w:p>
    <w:p w:rsidR="00FF21CA" w:rsidRPr="00447D60" w:rsidRDefault="00FF21CA" w:rsidP="009C1B85">
      <w:pPr>
        <w:pStyle w:val="KeyPoint"/>
        <w:numPr>
          <w:ilvl w:val="0"/>
          <w:numId w:val="22"/>
        </w:numPr>
        <w:ind w:left="284" w:hanging="284"/>
      </w:pPr>
      <w:r w:rsidRPr="005D4727">
        <w:t xml:space="preserve">We consider that there is the potential for competition to constrain Telstra’s behaviour in the absence of retail price controls. This is most strongly in evidence from the </w:t>
      </w:r>
      <w:r w:rsidRPr="00447D60">
        <w:t>reduction in Telstra’s prices for basket 1, well below the levels allowed by retail price controls.</w:t>
      </w:r>
    </w:p>
    <w:p w:rsidR="00FF21CA" w:rsidRPr="00447D60" w:rsidRDefault="00447D60" w:rsidP="009C1B85">
      <w:pPr>
        <w:pStyle w:val="KeyPoint"/>
        <w:numPr>
          <w:ilvl w:val="0"/>
          <w:numId w:val="22"/>
        </w:numPr>
        <w:ind w:left="284" w:hanging="284"/>
      </w:pPr>
      <w:r w:rsidRPr="00447D60">
        <w:t xml:space="preserve">The barrier to entering the market is access to infrastructure. </w:t>
      </w:r>
      <w:proofErr w:type="gramStart"/>
      <w:r w:rsidRPr="00447D60">
        <w:t>Effec</w:t>
      </w:r>
      <w:r w:rsidR="00106A9E">
        <w:t xml:space="preserve">tive wholesale regulation removes this barrier and would therefore </w:t>
      </w:r>
      <w:r w:rsidRPr="00447D60">
        <w:t>constrain Telstra from using market power in retail telecommunications markets.</w:t>
      </w:r>
      <w:proofErr w:type="gramEnd"/>
    </w:p>
    <w:p w:rsidR="00FF21CA" w:rsidRPr="005D4727" w:rsidRDefault="00FF21CA" w:rsidP="00FF21CA">
      <w:pPr>
        <w:pStyle w:val="Heading2"/>
      </w:pPr>
      <w:bookmarkStart w:id="1561" w:name="_Toc388269649"/>
      <w:r w:rsidRPr="005D4727">
        <w:t>Risks of retail price controls</w:t>
      </w:r>
      <w:bookmarkEnd w:id="1561"/>
      <w:r w:rsidRPr="005D4727">
        <w:t xml:space="preserve"> </w:t>
      </w:r>
    </w:p>
    <w:p w:rsidR="00FF21CA" w:rsidRDefault="00FF21CA" w:rsidP="00FF21CA">
      <w:pPr>
        <w:pStyle w:val="BodyText"/>
      </w:pPr>
      <w:r>
        <w:t xml:space="preserve">As discussed above, the possibility that Telstra could be able to charge above the prices of other competitors because of market power </w:t>
      </w:r>
      <w:proofErr w:type="gramStart"/>
      <w:r>
        <w:t>cannot be discounted</w:t>
      </w:r>
      <w:proofErr w:type="gramEnd"/>
      <w:r>
        <w:t xml:space="preserve"> completely. In this case, the relevant question is whether retail price controls are likely to provide a better outcome than in the absence of retail price controls. </w:t>
      </w:r>
    </w:p>
    <w:p w:rsidR="00FF21CA" w:rsidRDefault="00FF21CA" w:rsidP="00FF21CA">
      <w:pPr>
        <w:pStyle w:val="BodyText"/>
      </w:pPr>
      <w:r>
        <w:t>The determination of retail price controls in a potentially competitive market offers many possible risks. As the ACCC noted in 2005:</w:t>
      </w:r>
    </w:p>
    <w:p w:rsidR="00FF21CA" w:rsidRDefault="00FF21CA" w:rsidP="00FF21CA">
      <w:pPr>
        <w:pStyle w:val="Quote"/>
      </w:pPr>
      <w:r>
        <w:t>…in markets experiencing significant changes, the risks and consequences that price control arrangements do not achieve efficiency objectives may be greater.</w:t>
      </w:r>
      <w:r>
        <w:rPr>
          <w:rStyle w:val="FootnoteReference"/>
        </w:rPr>
        <w:footnoteReference w:id="48"/>
      </w:r>
    </w:p>
    <w:p w:rsidR="00FF21CA" w:rsidRPr="005D4727" w:rsidRDefault="00FF21CA" w:rsidP="00FF21CA">
      <w:pPr>
        <w:pStyle w:val="BodyText"/>
      </w:pPr>
      <w:r>
        <w:t xml:space="preserve">The most significant risk is that price controls are set at a level at which retail competition is not commercially feasible. For example, suppose that line rental cost $15 at a wholesale level per month and the costs of providing retail </w:t>
      </w:r>
      <w:proofErr w:type="gramStart"/>
      <w:r>
        <w:t>services  varied</w:t>
      </w:r>
      <w:proofErr w:type="gramEnd"/>
      <w:r>
        <w:t xml:space="preserve"> from $5 to $15 per month depending on the location/customer type. In this case, a retail price control of $20 would mean the entire market was not feasible for an entrant seeking to purchase wholesale services from Telstra. Any retail price control up to $30 would have some impact in terms of constraining competition.</w:t>
      </w:r>
    </w:p>
    <w:p w:rsidR="00FF21CA" w:rsidRDefault="00FF21CA" w:rsidP="00FF21CA">
      <w:pPr>
        <w:pStyle w:val="BodyText"/>
      </w:pPr>
      <w:r>
        <w:t xml:space="preserve">In our view, the risks of poorly designed retail price controls are large and it has been good luck that retail price controls </w:t>
      </w:r>
      <w:proofErr w:type="gramStart"/>
      <w:r>
        <w:t>have not in the past inhibited</w:t>
      </w:r>
      <w:proofErr w:type="gramEnd"/>
      <w:r>
        <w:t xml:space="preserve"> competition. The current retail price controls do not align to good regulatory practice in the following ways.</w:t>
      </w:r>
    </w:p>
    <w:p w:rsidR="00FF21CA" w:rsidRPr="002B2E3B" w:rsidRDefault="00FF21CA" w:rsidP="002B2E3B">
      <w:pPr>
        <w:pStyle w:val="ListBullet"/>
      </w:pPr>
      <w:r w:rsidRPr="002B2E3B">
        <w:t xml:space="preserve">The annual change in price allowed in retail price controls has been unchanged from 2006 to 2014. This is despite the ACCC recommending that this arrangement </w:t>
      </w:r>
      <w:proofErr w:type="gramStart"/>
      <w:r w:rsidRPr="002B2E3B">
        <w:t>be kept</w:t>
      </w:r>
      <w:proofErr w:type="gramEnd"/>
      <w:r w:rsidRPr="002B2E3B">
        <w:t xml:space="preserve"> in place for 3 years</w:t>
      </w:r>
      <w:r w:rsidRPr="00585E48">
        <w:rPr>
          <w:rStyle w:val="FootnoteReference"/>
        </w:rPr>
        <w:footnoteReference w:id="49"/>
      </w:r>
      <w:r w:rsidRPr="00585E48">
        <w:rPr>
          <w:rStyle w:val="FootnoteReference"/>
        </w:rPr>
        <w:t xml:space="preserve"> </w:t>
      </w:r>
      <w:r w:rsidRPr="002B2E3B">
        <w:t>and despite the significant changes to the telecommunications market over this period.</w:t>
      </w:r>
    </w:p>
    <w:p w:rsidR="00FF21CA" w:rsidRDefault="00FF21CA" w:rsidP="002B2E3B">
      <w:pPr>
        <w:pStyle w:val="ListBullet"/>
      </w:pPr>
      <w:r w:rsidRPr="002B2E3B">
        <w:t>The form of price controls decided on differed significant to that proposed by the ACCC and does not meet good regulatory practice. For example, the ACCC recommended a price control of CPI – 4 per cent for basket 1.</w:t>
      </w:r>
      <w:r w:rsidRPr="002B2E3B">
        <w:rPr>
          <w:rStyle w:val="FootnoteReference"/>
          <w:rFonts w:asciiTheme="minorHAnsi" w:hAnsiTheme="minorHAnsi"/>
          <w:position w:val="0"/>
          <w:sz w:val="21"/>
        </w:rPr>
        <w:footnoteReference w:id="50"/>
      </w:r>
      <w:r w:rsidRPr="002B2E3B">
        <w:t xml:space="preserve"> The price cap </w:t>
      </w:r>
      <w:r w:rsidRPr="002B2E3B">
        <w:lastRenderedPageBreak/>
        <w:t>decided</w:t>
      </w:r>
      <w:r>
        <w:t xml:space="preserve"> on was instead zero per cent (nominal). This would mean that the effective price cap is dependent on the level of inflation — if inflation had been much higher than actually occurred then the price cap would have constrained Telstra more than it actually did. </w:t>
      </w:r>
    </w:p>
    <w:p w:rsidR="00FF21CA" w:rsidRDefault="00FF21CA" w:rsidP="00FF21CA">
      <w:pPr>
        <w:pStyle w:val="BodyText"/>
      </w:pPr>
      <w:r>
        <w:t>The magnitude of costs that could arise from poorly specified retail price controls are set out in tables </w:t>
      </w:r>
      <w:fldSimple w:instr=" REF _Caption2095 ">
        <w:r w:rsidR="00304215">
          <w:rPr>
            <w:noProof/>
          </w:rPr>
          <w:t>7</w:t>
        </w:r>
        <w:r w:rsidR="00304215" w:rsidRPr="00695C93">
          <w:rPr>
            <w:noProof/>
          </w:rPr>
          <w:t>.</w:t>
        </w:r>
        <w:r w:rsidR="00304215">
          <w:rPr>
            <w:noProof/>
          </w:rPr>
          <w:t>4</w:t>
        </w:r>
      </w:fldSimple>
      <w:r>
        <w:t xml:space="preserve"> and </w:t>
      </w:r>
      <w:fldSimple w:instr=" REF _Caption3450 ">
        <w:r w:rsidR="00304215">
          <w:rPr>
            <w:noProof/>
          </w:rPr>
          <w:t>7</w:t>
        </w:r>
        <w:r w:rsidR="00304215" w:rsidRPr="00695C93">
          <w:rPr>
            <w:noProof/>
          </w:rPr>
          <w:t>.</w:t>
        </w:r>
        <w:r w:rsidR="00304215">
          <w:rPr>
            <w:noProof/>
          </w:rPr>
          <w:t>5</w:t>
        </w:r>
      </w:fldSimple>
      <w:r>
        <w:t xml:space="preserve">. A poorly designed price control could have easily </w:t>
      </w:r>
      <w:proofErr w:type="gramStart"/>
      <w:r>
        <w:t>have</w:t>
      </w:r>
      <w:proofErr w:type="gramEnd"/>
      <w:r>
        <w:t xml:space="preserve"> net costs of several million dollars each year. The </w:t>
      </w:r>
      <w:proofErr w:type="gramStart"/>
      <w:r>
        <w:t>longer term</w:t>
      </w:r>
      <w:proofErr w:type="gramEnd"/>
      <w:r>
        <w:t xml:space="preserve"> effects could be larger still, if price controls ruled out competition and led to declining service quality.</w:t>
      </w:r>
    </w:p>
    <w:p w:rsidR="00FF21CA" w:rsidRDefault="00FF21CA" w:rsidP="00FF21CA">
      <w:pPr>
        <w:pStyle w:val="BodyText"/>
      </w:pPr>
      <w:r>
        <w:t xml:space="preserve">To some extent, a more frequent revision in retail price controls could mitigate these issues, but at a higher administrative cost. </w:t>
      </w:r>
    </w:p>
    <w:p w:rsidR="00FF21CA" w:rsidRDefault="00FF21CA" w:rsidP="00FF21CA">
      <w:pPr>
        <w:pStyle w:val="Heading2"/>
      </w:pPr>
      <w:bookmarkStart w:id="1562" w:name="_Toc384653330"/>
      <w:bookmarkStart w:id="1563" w:name="_Toc388269650"/>
      <w:r>
        <w:t>Price monitoring</w:t>
      </w:r>
      <w:bookmarkEnd w:id="1562"/>
      <w:bookmarkEnd w:id="1563"/>
    </w:p>
    <w:p w:rsidR="00FF21CA" w:rsidRDefault="00FF21CA" w:rsidP="00FF21CA">
      <w:pPr>
        <w:pStyle w:val="BodyText"/>
      </w:pPr>
      <w:r>
        <w:t>Price monitoring is a mechanism to allow ongoing consideration of prices without undue intrusion into the market. Potentially:</w:t>
      </w:r>
    </w:p>
    <w:p w:rsidR="00FF21CA" w:rsidRPr="002B2E3B" w:rsidRDefault="00FF21CA" w:rsidP="002B2E3B">
      <w:pPr>
        <w:pStyle w:val="ListBullet"/>
      </w:pPr>
      <w:r w:rsidRPr="002B2E3B">
        <w:t>continual review and reporting of prices, plus the threat of re-regulation, could deter a business with market power from using this market power;</w:t>
      </w:r>
    </w:p>
    <w:p w:rsidR="00FF21CA" w:rsidRPr="002B2E3B" w:rsidRDefault="00FF21CA" w:rsidP="002B2E3B">
      <w:pPr>
        <w:pStyle w:val="ListBullet"/>
      </w:pPr>
      <w:proofErr w:type="gramStart"/>
      <w:r w:rsidRPr="002B2E3B">
        <w:t>price</w:t>
      </w:r>
      <w:proofErr w:type="gramEnd"/>
      <w:r w:rsidRPr="002B2E3B">
        <w:t xml:space="preserve"> monitoring can give consumers assurance during deregulation.</w:t>
      </w:r>
      <w:r w:rsidRPr="002B2E3B">
        <w:rPr>
          <w:rStyle w:val="FootnoteReference"/>
          <w:rFonts w:asciiTheme="minorHAnsi" w:hAnsiTheme="minorHAnsi"/>
          <w:position w:val="0"/>
          <w:sz w:val="21"/>
        </w:rPr>
        <w:footnoteReference w:id="51"/>
      </w:r>
      <w:r w:rsidRPr="002B2E3B">
        <w:t xml:space="preserve"> </w:t>
      </w:r>
    </w:p>
    <w:p w:rsidR="00FF21CA" w:rsidRDefault="00FF21CA" w:rsidP="00FF21CA">
      <w:pPr>
        <w:pStyle w:val="BodyText"/>
      </w:pPr>
      <w:r>
        <w:t>Examples of price regulation in the Australian context are set out in table </w:t>
      </w:r>
      <w:fldSimple w:instr=" REF _Caption9242 ">
        <w:r w:rsidR="00304215">
          <w:rPr>
            <w:noProof/>
          </w:rPr>
          <w:t>7</w:t>
        </w:r>
        <w:r w:rsidR="00304215" w:rsidRPr="00695C93">
          <w:rPr>
            <w:noProof/>
          </w:rPr>
          <w:t>.</w:t>
        </w:r>
        <w:r w:rsidR="00304215">
          <w:rPr>
            <w:noProof/>
          </w:rPr>
          <w:t>7</w:t>
        </w:r>
      </w:fldSimple>
      <w:r>
        <w:t>.</w:t>
      </w:r>
    </w:p>
    <w:p w:rsidR="00FF21CA" w:rsidRDefault="00FF21CA" w:rsidP="00FF21CA">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7</w:instrText>
        </w:r>
      </w:fldSimple>
      <w:r w:rsidRPr="00695C93">
        <w:instrText xml:space="preserve"> = 0 "" "</w:instrText>
      </w:r>
      <w:fldSimple w:instr=" STYLEREF &quot;Heading 1&quot; \l \n ">
        <w:r w:rsidR="00304215">
          <w:rPr>
            <w:noProof/>
          </w:rPr>
          <w:instrText>7</w:instrText>
        </w:r>
      </w:fldSimple>
      <w:r w:rsidRPr="00695C93">
        <w:instrText xml:space="preserve">." </w:instrText>
      </w:r>
      <w:r w:rsidRPr="00695C93">
        <w:fldChar w:fldCharType="separate"/>
      </w:r>
      <w:r w:rsidR="00304215">
        <w:rPr>
          <w:noProof/>
        </w:rPr>
        <w:instrText>7</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7</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7</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7</w:instrText>
      </w:r>
      <w:r w:rsidRPr="00695C93">
        <w:fldChar w:fldCharType="end"/>
      </w:r>
      <w:r w:rsidRPr="00695C93">
        <w:instrText xml:space="preserve">" "" </w:instrText>
      </w:r>
      <w:r w:rsidRPr="00695C93">
        <w:fldChar w:fldCharType="separate"/>
      </w:r>
      <w:bookmarkStart w:id="1564" w:name="_Caption2613"/>
      <w:bookmarkStart w:id="1565" w:name="_Caption0692"/>
      <w:bookmarkStart w:id="1566" w:name="_Caption3817"/>
      <w:bookmarkStart w:id="1567" w:name="_Caption8951"/>
      <w:bookmarkStart w:id="1568" w:name="_Caption5223"/>
      <w:bookmarkStart w:id="1569" w:name="_Caption3053"/>
      <w:bookmarkStart w:id="1570" w:name="_Caption4166"/>
      <w:bookmarkStart w:id="1571" w:name="_Caption1102"/>
      <w:bookmarkStart w:id="1572" w:name="_Caption9163"/>
      <w:bookmarkStart w:id="1573" w:name="_Caption0999"/>
      <w:bookmarkStart w:id="1574" w:name="_Caption5450"/>
      <w:bookmarkStart w:id="1575" w:name="_Caption7358"/>
      <w:bookmarkStart w:id="1576" w:name="_Caption3654"/>
      <w:bookmarkStart w:id="1577" w:name="_Caption8290"/>
      <w:bookmarkStart w:id="1578" w:name="_Caption0360"/>
      <w:bookmarkStart w:id="1579" w:name="_Caption3554"/>
      <w:bookmarkStart w:id="1580" w:name="_Caption1442"/>
      <w:bookmarkStart w:id="1581" w:name="_Caption7191"/>
      <w:bookmarkStart w:id="1582" w:name="_Caption9614"/>
      <w:bookmarkStart w:id="1583" w:name="_Caption4857"/>
      <w:bookmarkStart w:id="1584" w:name="_Caption8248"/>
      <w:bookmarkStart w:id="1585" w:name="_Caption5435"/>
      <w:bookmarkStart w:id="1586" w:name="_Caption4882"/>
      <w:bookmarkStart w:id="1587" w:name="_Caption0478"/>
      <w:bookmarkStart w:id="1588" w:name="_Caption0584"/>
      <w:bookmarkStart w:id="1589" w:name="_Caption6182"/>
      <w:bookmarkStart w:id="1590" w:name="_Caption2301"/>
      <w:bookmarkStart w:id="1591" w:name="_Caption3895"/>
      <w:bookmarkStart w:id="1592" w:name="_Caption0868"/>
      <w:bookmarkStart w:id="1593" w:name="_Caption6653"/>
      <w:bookmarkStart w:id="1594" w:name="_Caption3148"/>
      <w:bookmarkStart w:id="1595" w:name="_Caption2194"/>
      <w:bookmarkStart w:id="1596" w:name="_Caption9549"/>
      <w:bookmarkStart w:id="1597" w:name="_Caption9939"/>
      <w:bookmarkStart w:id="1598" w:name="_Caption8615"/>
      <w:bookmarkStart w:id="1599" w:name="_Caption9606"/>
      <w:bookmarkStart w:id="1600" w:name="_Caption3492"/>
      <w:bookmarkStart w:id="1601" w:name="_Caption9242"/>
      <w:bookmarkStart w:id="1602" w:name="_Caption0284"/>
      <w:bookmarkStart w:id="1603" w:name="_Caption9239"/>
      <w:bookmarkStart w:id="1604" w:name="_Toc384653388"/>
      <w:bookmarkStart w:id="1605" w:name="_Toc391972982"/>
      <w:r w:rsidR="00584F9A">
        <w:rPr>
          <w:noProof/>
        </w:rPr>
        <w:t>7</w:t>
      </w:r>
      <w:r w:rsidR="00584F9A" w:rsidRPr="00695C93">
        <w:rPr>
          <w:noProof/>
        </w:rPr>
        <w:t>.</w:t>
      </w:r>
      <w:r w:rsidR="00584F9A">
        <w:rPr>
          <w:noProof/>
        </w:rPr>
        <w:t>7</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sidRPr="00695C93">
        <w:fldChar w:fldCharType="end"/>
      </w:r>
      <w:r w:rsidRPr="00695C93">
        <w:tab/>
      </w:r>
      <w:r>
        <w:t>Examples of price monitoring in Australia</w:t>
      </w:r>
      <w:bookmarkEnd w:id="1604"/>
      <w:bookmarkEnd w:id="1605"/>
    </w:p>
    <w:tbl>
      <w:tblPr>
        <w:tblW w:w="0" w:type="auto"/>
        <w:tblInd w:w="57" w:type="dxa"/>
        <w:tblLayout w:type="fixed"/>
        <w:tblLook w:val="0000" w:firstRow="0" w:lastRow="0" w:firstColumn="0" w:lastColumn="0" w:noHBand="0" w:noVBand="0"/>
      </w:tblPr>
      <w:tblGrid>
        <w:gridCol w:w="1985"/>
        <w:gridCol w:w="5952"/>
      </w:tblGrid>
      <w:tr w:rsidR="00FF21CA" w:rsidTr="002B2E3B">
        <w:tc>
          <w:tcPr>
            <w:tcW w:w="1985" w:type="dxa"/>
            <w:tcBorders>
              <w:bottom w:val="single" w:sz="8" w:space="0" w:color="FFFFFF" w:themeColor="background1"/>
            </w:tcBorders>
            <w:shd w:val="clear" w:color="auto" w:fill="6F6652"/>
            <w:tcMar>
              <w:left w:w="57" w:type="dxa"/>
              <w:right w:w="57" w:type="dxa"/>
            </w:tcMar>
          </w:tcPr>
          <w:p w:rsidR="00FF21CA" w:rsidRDefault="00FF21CA" w:rsidP="00F376BC">
            <w:pPr>
              <w:pStyle w:val="TableTextColumnHeading"/>
            </w:pPr>
            <w:r>
              <w:t>Industry</w:t>
            </w:r>
          </w:p>
        </w:tc>
        <w:tc>
          <w:tcPr>
            <w:tcW w:w="5952" w:type="dxa"/>
            <w:tcBorders>
              <w:bottom w:val="single" w:sz="8" w:space="0" w:color="FFFFFF" w:themeColor="background1"/>
            </w:tcBorders>
            <w:shd w:val="clear" w:color="auto" w:fill="6F6652"/>
            <w:tcMar>
              <w:left w:w="57" w:type="dxa"/>
              <w:right w:w="57" w:type="dxa"/>
            </w:tcMar>
          </w:tcPr>
          <w:p w:rsidR="00FF21CA" w:rsidRDefault="00FF21CA" w:rsidP="00F376BC">
            <w:pPr>
              <w:pStyle w:val="TableTextColumnHeading"/>
            </w:pPr>
            <w:r>
              <w:t>Details</w:t>
            </w:r>
          </w:p>
        </w:tc>
      </w:tr>
      <w:tr w:rsidR="00FF21CA" w:rsidTr="002B2E3B">
        <w:tc>
          <w:tcPr>
            <w:tcW w:w="198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Airports</w:t>
            </w:r>
          </w:p>
        </w:tc>
        <w:tc>
          <w:tcPr>
            <w:tcW w:w="595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 xml:space="preserve">The ACCC monitors prices and outcomes for Brisbane, Melbourne, Perth and Sydney airports, including </w:t>
            </w:r>
            <w:proofErr w:type="gramStart"/>
            <w:r>
              <w:t>car parking</w:t>
            </w:r>
            <w:proofErr w:type="gramEnd"/>
            <w:r>
              <w:t xml:space="preserve"> prices. This arrangement aims to assist in identifying abuses of monopoly power.</w:t>
            </w:r>
          </w:p>
        </w:tc>
      </w:tr>
      <w:tr w:rsidR="00FF21CA" w:rsidTr="002B2E3B">
        <w:tc>
          <w:tcPr>
            <w:tcW w:w="198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Electricity — Victoria</w:t>
            </w:r>
          </w:p>
        </w:tc>
        <w:tc>
          <w:tcPr>
            <w:tcW w:w="595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F376BC">
            <w:pPr>
              <w:pStyle w:val="TableTextEntries"/>
            </w:pPr>
            <w:r>
              <w:t xml:space="preserve">The ESC of Victoria provides information on retail standing offers and market offers provided in different parts of Victoria. This arrangement </w:t>
            </w:r>
            <w:proofErr w:type="gramStart"/>
            <w:r>
              <w:t>was put</w:t>
            </w:r>
            <w:proofErr w:type="gramEnd"/>
            <w:r>
              <w:t xml:space="preserve"> in place when Victoria deregulated retail prices for electricity and gas.</w:t>
            </w:r>
          </w:p>
        </w:tc>
      </w:tr>
      <w:tr w:rsidR="00FF21CA" w:rsidTr="002B2E3B">
        <w:tc>
          <w:tcPr>
            <w:tcW w:w="1985" w:type="dxa"/>
            <w:tcBorders>
              <w:top w:val="single" w:sz="8" w:space="0" w:color="FFFFFF" w:themeColor="background1"/>
              <w:bottom w:val="single" w:sz="6" w:space="0" w:color="6F6652"/>
            </w:tcBorders>
            <w:shd w:val="clear" w:color="auto" w:fill="E9E8E5" w:themeFill="background2"/>
            <w:tcMar>
              <w:left w:w="57" w:type="dxa"/>
              <w:right w:w="57" w:type="dxa"/>
            </w:tcMar>
          </w:tcPr>
          <w:p w:rsidR="00FF21CA" w:rsidRDefault="00FF21CA" w:rsidP="00F376BC">
            <w:pPr>
              <w:pStyle w:val="TableTextEntries"/>
            </w:pPr>
            <w:r>
              <w:t>Fuel</w:t>
            </w:r>
          </w:p>
        </w:tc>
        <w:tc>
          <w:tcPr>
            <w:tcW w:w="5952" w:type="dxa"/>
            <w:tcBorders>
              <w:top w:val="single" w:sz="8" w:space="0" w:color="FFFFFF" w:themeColor="background1"/>
              <w:bottom w:val="single" w:sz="6" w:space="0" w:color="6F6652"/>
            </w:tcBorders>
            <w:shd w:val="clear" w:color="auto" w:fill="E9E8E5" w:themeFill="background2"/>
            <w:tcMar>
              <w:left w:w="57" w:type="dxa"/>
              <w:right w:w="57" w:type="dxa"/>
            </w:tcMar>
          </w:tcPr>
          <w:p w:rsidR="00FF21CA" w:rsidRDefault="00FF21CA" w:rsidP="00F376BC">
            <w:pPr>
              <w:pStyle w:val="TableTextEntries"/>
            </w:pPr>
            <w:r>
              <w:t xml:space="preserve">The ACCC monitors retail fuel prices for unleaded petrol, diesel and LPG around Australia. </w:t>
            </w:r>
            <w:proofErr w:type="gramStart"/>
            <w:r>
              <w:t>On the basis of</w:t>
            </w:r>
            <w:proofErr w:type="gramEnd"/>
            <w:r>
              <w:t xml:space="preserve"> this information, the ACCC may seek to investigate misleading and anti-competitive conduct.</w:t>
            </w:r>
          </w:p>
        </w:tc>
      </w:tr>
    </w:tbl>
    <w:p w:rsidR="00FF21CA" w:rsidRPr="00621741" w:rsidRDefault="00FF21CA" w:rsidP="00FF21CA">
      <w:pPr>
        <w:pStyle w:val="Source"/>
      </w:pPr>
      <w:proofErr w:type="gramStart"/>
      <w:r>
        <w:rPr>
          <w:i/>
        </w:rPr>
        <w:t>Source</w:t>
      </w:r>
      <w:r w:rsidRPr="00E4232C">
        <w:rPr>
          <w:i/>
        </w:rPr>
        <w:t>:</w:t>
      </w:r>
      <w:r>
        <w:t xml:space="preserve"> ACCC 2013, </w:t>
      </w:r>
      <w:r>
        <w:rPr>
          <w:i/>
        </w:rPr>
        <w:t>Airport monitoring report 2012/13;</w:t>
      </w:r>
      <w:r>
        <w:t xml:space="preserve"> ACCC website </w:t>
      </w:r>
      <w:hyperlink r:id="rId46" w:history="1">
        <w:r w:rsidRPr="00FA5833">
          <w:rPr>
            <w:rStyle w:val="Hyperlink"/>
          </w:rPr>
          <w:t>https://www.accc.gov.au/regulated-infrastructure/fuel/acccs-fuel-monitoring-role</w:t>
        </w:r>
      </w:hyperlink>
      <w:r>
        <w:t xml:space="preserve">; Essential Services Commission of Victoria, </w:t>
      </w:r>
      <w:r>
        <w:rPr>
          <w:i/>
        </w:rPr>
        <w:t xml:space="preserve">Electricity price update, </w:t>
      </w:r>
      <w:r>
        <w:t>February 2013.</w:t>
      </w:r>
      <w:proofErr w:type="gramEnd"/>
    </w:p>
    <w:p w:rsidR="00FF21CA" w:rsidRDefault="00FF21CA" w:rsidP="00FF21CA">
      <w:pPr>
        <w:pStyle w:val="BodyText"/>
      </w:pPr>
      <w:r>
        <w:t>Price monitoring may provide comfort to consumers but it does not actually restrict market power. As the ACCC notes:</w:t>
      </w:r>
    </w:p>
    <w:p w:rsidR="00FF21CA" w:rsidRDefault="00FF21CA" w:rsidP="00FF21CA">
      <w:pPr>
        <w:pStyle w:val="Quote"/>
      </w:pPr>
      <w:r>
        <w:t>However, monitoring of itself does not restrict airports from using their monopoly position to increase prices and/or lower service standards. Importantly, monitoring does not directly restrict the airports from increasing prices and/or lowering service standards and does not provide the ACCC with a general power to intervene in the airports’ conduct in setting of terms and conditions of access.</w:t>
      </w:r>
      <w:r>
        <w:rPr>
          <w:rStyle w:val="FootnoteReference"/>
        </w:rPr>
        <w:footnoteReference w:id="52"/>
      </w:r>
    </w:p>
    <w:p w:rsidR="00FF21CA" w:rsidRDefault="00FF21CA" w:rsidP="00FF21CA">
      <w:pPr>
        <w:pStyle w:val="BodyText"/>
      </w:pPr>
      <w:r>
        <w:lastRenderedPageBreak/>
        <w:t xml:space="preserve">If there </w:t>
      </w:r>
      <w:proofErr w:type="gramStart"/>
      <w:r>
        <w:t>was</w:t>
      </w:r>
      <w:proofErr w:type="gramEnd"/>
      <w:r>
        <w:t xml:space="preserve"> retail market power in telecommunications, we would not anticipate price monitoring to be an effective form of government intervention to correct for market failure. Once regulation has been removed from a </w:t>
      </w:r>
      <w:proofErr w:type="gramStart"/>
      <w:r>
        <w:t>market</w:t>
      </w:r>
      <w:proofErr w:type="gramEnd"/>
      <w:r>
        <w:t xml:space="preserve"> it is unlikely that it will be re-regulated. As the Productivity Commission has noted:</w:t>
      </w:r>
    </w:p>
    <w:p w:rsidR="00FF21CA" w:rsidRDefault="00FF21CA" w:rsidP="00FF21CA">
      <w:pPr>
        <w:pStyle w:val="Quote"/>
      </w:pPr>
      <w:proofErr w:type="gramStart"/>
      <w:r>
        <w:t>Price monitoring aims to constrain airports from inappropriately exercising any inherent market power.</w:t>
      </w:r>
      <w:proofErr w:type="gramEnd"/>
      <w:r>
        <w:t xml:space="preserve"> </w:t>
      </w:r>
      <w:proofErr w:type="gramStart"/>
      <w:r>
        <w:t>But</w:t>
      </w:r>
      <w:proofErr w:type="gramEnd"/>
      <w:r>
        <w:t xml:space="preserve"> neither the regulator nor Governments have acted when the regulator has raised the possibility that some airports might potentially be exercising market power.</w:t>
      </w:r>
      <w:r>
        <w:rPr>
          <w:rStyle w:val="FootnoteReference"/>
        </w:rPr>
        <w:footnoteReference w:id="53"/>
      </w:r>
      <w:r>
        <w:t xml:space="preserve"> </w:t>
      </w:r>
      <w:r>
        <w:cr/>
      </w:r>
    </w:p>
    <w:p w:rsidR="00FF21CA" w:rsidRPr="00621741" w:rsidRDefault="00FF21CA" w:rsidP="00FF21CA">
      <w:pPr>
        <w:pStyle w:val="BodyText"/>
      </w:pPr>
      <w:r>
        <w:t xml:space="preserve">We do not include any costs or benefits outside of administrative costs for this option, because of this. Note that price monitoring may also be relevant if there </w:t>
      </w:r>
      <w:proofErr w:type="gramStart"/>
      <w:r>
        <w:t>are</w:t>
      </w:r>
      <w:proofErr w:type="gramEnd"/>
      <w:r>
        <w:t xml:space="preserve"> social equity goals that the Government is seeking to meet. This </w:t>
      </w:r>
      <w:proofErr w:type="gramStart"/>
      <w:r>
        <w:t>is discussed</w:t>
      </w:r>
      <w:proofErr w:type="gramEnd"/>
      <w:r>
        <w:t xml:space="preserve"> in the next chapter.  </w:t>
      </w:r>
    </w:p>
    <w:p w:rsidR="00FF21CA" w:rsidRDefault="00FF21CA" w:rsidP="00FF21CA">
      <w:pPr>
        <w:pStyle w:val="Heading2"/>
      </w:pPr>
      <w:bookmarkStart w:id="1606" w:name="_Toc384653331"/>
      <w:bookmarkStart w:id="1607" w:name="_Toc388269651"/>
      <w:r>
        <w:t>Summary of costs and benefits</w:t>
      </w:r>
      <w:bookmarkEnd w:id="1606"/>
      <w:bookmarkEnd w:id="1607"/>
    </w:p>
    <w:p w:rsidR="00FF21CA" w:rsidRDefault="00FF21CA" w:rsidP="00FF21CA">
      <w:pPr>
        <w:pStyle w:val="BodyText"/>
      </w:pPr>
      <w:r>
        <w:t>The costs and benefits of each of the options assessed, relative to cessation of retail price controls, is set out in table </w:t>
      </w:r>
      <w:fldSimple w:instr=" REF _Caption9633 ">
        <w:r w:rsidR="00304215">
          <w:rPr>
            <w:noProof/>
          </w:rPr>
          <w:t>7</w:t>
        </w:r>
        <w:r w:rsidR="00304215" w:rsidRPr="00695C93">
          <w:rPr>
            <w:noProof/>
          </w:rPr>
          <w:t>.</w:t>
        </w:r>
        <w:r w:rsidR="00304215">
          <w:rPr>
            <w:noProof/>
          </w:rPr>
          <w:t>8</w:t>
        </w:r>
      </w:fldSimple>
      <w:r>
        <w:t xml:space="preserve">. These numbers assume that retail price controls continue to be set above the </w:t>
      </w:r>
      <w:proofErr w:type="gramStart"/>
      <w:r>
        <w:t>market determined</w:t>
      </w:r>
      <w:proofErr w:type="gramEnd"/>
      <w:r>
        <w:t xml:space="preserve"> level, in which case the only cost is administrative costs for Telstra and the ACCC. An alternative possibility, and one that would likely have larger net costs, is that retail price controls become binding and act as a restriction on competition. In this case, net costs could easily be $10 million higher over the </w:t>
      </w:r>
      <w:proofErr w:type="gramStart"/>
      <w:r>
        <w:t>five year</w:t>
      </w:r>
      <w:proofErr w:type="gramEnd"/>
      <w:r>
        <w:t xml:space="preserve"> period than report in table </w:t>
      </w:r>
      <w:fldSimple w:instr=" REF _Caption9633 ">
        <w:r w:rsidR="00304215">
          <w:rPr>
            <w:noProof/>
          </w:rPr>
          <w:t>7</w:t>
        </w:r>
        <w:r w:rsidR="00304215" w:rsidRPr="00695C93">
          <w:rPr>
            <w:noProof/>
          </w:rPr>
          <w:t>.</w:t>
        </w:r>
        <w:r w:rsidR="00304215">
          <w:rPr>
            <w:noProof/>
          </w:rPr>
          <w:t>8</w:t>
        </w:r>
      </w:fldSimple>
      <w:r>
        <w:t>.</w:t>
      </w:r>
    </w:p>
    <w:p w:rsidR="00FF21CA" w:rsidRPr="007366A5" w:rsidRDefault="00FF21CA" w:rsidP="00FF21CA">
      <w:pPr>
        <w:pStyle w:val="BodyText"/>
      </w:pPr>
      <w:r>
        <w:t>Our key finding is that cessation of retail price controls is the option with the highest net benefits.</w:t>
      </w:r>
    </w:p>
    <w:p w:rsidR="00FF21CA" w:rsidRDefault="00FF21CA" w:rsidP="00FF21CA">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7</w:instrText>
        </w:r>
      </w:fldSimple>
      <w:r w:rsidRPr="00695C93">
        <w:instrText xml:space="preserve"> = 0 "" "</w:instrText>
      </w:r>
      <w:fldSimple w:instr=" STYLEREF &quot;Heading 1&quot; \l \n ">
        <w:r w:rsidR="00304215">
          <w:rPr>
            <w:noProof/>
          </w:rPr>
          <w:instrText>7</w:instrText>
        </w:r>
      </w:fldSimple>
      <w:r w:rsidRPr="00695C93">
        <w:instrText xml:space="preserve">." </w:instrText>
      </w:r>
      <w:r w:rsidRPr="00695C93">
        <w:fldChar w:fldCharType="separate"/>
      </w:r>
      <w:r w:rsidR="00304215">
        <w:rPr>
          <w:noProof/>
        </w:rPr>
        <w:instrText>7</w:instrText>
      </w:r>
      <w:r w:rsidR="00304215"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584F9A">
        <w:rPr>
          <w:noProof/>
        </w:rPr>
        <w:instrText>7</w:instrText>
      </w:r>
      <w:r w:rsidR="00584F9A"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304215">
          <w:rPr>
            <w:noProof/>
          </w:rPr>
          <w:instrText>7</w:instrText>
        </w:r>
      </w:fldSimple>
      <w:r w:rsidRPr="00695C93">
        <w:instrText xml:space="preserve"> = 0 "" "1" </w:instrText>
      </w:r>
      <w:r w:rsidRPr="00695C93">
        <w:fldChar w:fldCharType="separate"/>
      </w:r>
      <w:r w:rsidR="00584F9A" w:rsidRPr="00695C93">
        <w:rPr>
          <w:noProof/>
        </w:rPr>
        <w:instrText>1</w:instrText>
      </w:r>
      <w:r w:rsidRPr="00695C93">
        <w:fldChar w:fldCharType="end"/>
      </w:r>
      <w:r w:rsidRPr="00695C93">
        <w:instrText xml:space="preserve">" "6" </w:instrText>
      </w:r>
      <w:r w:rsidRPr="00695C93">
        <w:fldChar w:fldCharType="separate"/>
      </w:r>
      <w:r w:rsidR="00584F9A" w:rsidRPr="00695C93">
        <w:rPr>
          <w:noProof/>
        </w:rPr>
        <w:instrText>1</w:instrText>
      </w:r>
      <w:r w:rsidRPr="00695C93">
        <w:fldChar w:fldCharType="end"/>
      </w:r>
      <w:r w:rsidRPr="00695C93">
        <w:instrText xml:space="preserve"> </w:instrText>
      </w:r>
      <w:r w:rsidRPr="00695C93">
        <w:fldChar w:fldCharType="separate"/>
      </w:r>
      <w:r w:rsidR="00304215">
        <w:rPr>
          <w:noProof/>
        </w:rPr>
        <w:instrText>8</w:instrText>
      </w:r>
      <w:r w:rsidRPr="00695C93">
        <w:fldChar w:fldCharType="end"/>
      </w:r>
      <w:r w:rsidRPr="00695C93">
        <w:instrText xml:space="preserve">" "" </w:instrText>
      </w:r>
      <w:r w:rsidRPr="00695C93">
        <w:fldChar w:fldCharType="separate"/>
      </w:r>
      <w:bookmarkStart w:id="1608" w:name="_Caption5538"/>
      <w:bookmarkStart w:id="1609" w:name="_Caption4935"/>
      <w:bookmarkStart w:id="1610" w:name="_Caption3854"/>
      <w:bookmarkStart w:id="1611" w:name="_Caption9820"/>
      <w:bookmarkStart w:id="1612" w:name="_Caption9429"/>
      <w:bookmarkStart w:id="1613" w:name="_Caption4545"/>
      <w:bookmarkStart w:id="1614" w:name="_Caption8730"/>
      <w:bookmarkStart w:id="1615" w:name="_Caption3276"/>
      <w:bookmarkStart w:id="1616" w:name="_Caption7448"/>
      <w:bookmarkStart w:id="1617" w:name="_Caption1856"/>
      <w:bookmarkStart w:id="1618" w:name="_Caption9564"/>
      <w:bookmarkStart w:id="1619" w:name="_Caption3170"/>
      <w:bookmarkStart w:id="1620" w:name="_Caption5562"/>
      <w:bookmarkStart w:id="1621" w:name="_Caption4412"/>
      <w:bookmarkStart w:id="1622" w:name="_Caption1310"/>
      <w:bookmarkStart w:id="1623" w:name="_Caption8603"/>
      <w:bookmarkStart w:id="1624" w:name="_Caption6133"/>
      <w:bookmarkStart w:id="1625" w:name="_Caption1276"/>
      <w:bookmarkStart w:id="1626" w:name="_Caption8889"/>
      <w:bookmarkStart w:id="1627" w:name="_Caption7781"/>
      <w:bookmarkStart w:id="1628" w:name="_Caption6916"/>
      <w:bookmarkStart w:id="1629" w:name="_Caption8814"/>
      <w:bookmarkStart w:id="1630" w:name="_Caption9917"/>
      <w:bookmarkStart w:id="1631" w:name="_Caption9730"/>
      <w:bookmarkStart w:id="1632" w:name="_Caption6245"/>
      <w:bookmarkStart w:id="1633" w:name="_Caption9675"/>
      <w:bookmarkStart w:id="1634" w:name="_Caption7505"/>
      <w:bookmarkStart w:id="1635" w:name="_Caption8761"/>
      <w:bookmarkStart w:id="1636" w:name="_Caption3261"/>
      <w:bookmarkStart w:id="1637" w:name="_Caption7169"/>
      <w:bookmarkStart w:id="1638" w:name="_Caption9250"/>
      <w:bookmarkStart w:id="1639" w:name="_Caption0672"/>
      <w:bookmarkStart w:id="1640" w:name="_Caption9633"/>
      <w:bookmarkStart w:id="1641" w:name="_Caption2117"/>
      <w:bookmarkStart w:id="1642" w:name="_Caption2058"/>
      <w:bookmarkStart w:id="1643" w:name="_Caption7665"/>
      <w:bookmarkStart w:id="1644" w:name="_Caption0023"/>
      <w:bookmarkStart w:id="1645" w:name="_Caption0649"/>
      <w:bookmarkStart w:id="1646" w:name="_Caption1603"/>
      <w:bookmarkStart w:id="1647" w:name="_Caption3834"/>
      <w:bookmarkStart w:id="1648" w:name="_Caption3099"/>
      <w:bookmarkStart w:id="1649" w:name="_Caption5703"/>
      <w:bookmarkStart w:id="1650" w:name="_Caption9788"/>
      <w:bookmarkStart w:id="1651" w:name="_Caption4341"/>
      <w:bookmarkStart w:id="1652" w:name="_Caption3806"/>
      <w:bookmarkStart w:id="1653" w:name="_Caption9964"/>
      <w:bookmarkStart w:id="1654" w:name="_Caption6776"/>
      <w:bookmarkStart w:id="1655" w:name="_Toc384653389"/>
      <w:bookmarkStart w:id="1656" w:name="_Toc391972983"/>
      <w:r w:rsidR="00584F9A">
        <w:rPr>
          <w:noProof/>
        </w:rPr>
        <w:t>7</w:t>
      </w:r>
      <w:r w:rsidR="00584F9A" w:rsidRPr="00695C93">
        <w:rPr>
          <w:noProof/>
        </w:rPr>
        <w:t>.</w:t>
      </w:r>
      <w:r w:rsidR="00584F9A">
        <w:rPr>
          <w:noProof/>
        </w:rPr>
        <w:t>8</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r w:rsidRPr="00695C93">
        <w:fldChar w:fldCharType="end"/>
      </w:r>
      <w:r w:rsidRPr="00695C93">
        <w:tab/>
      </w:r>
      <w:r>
        <w:t>Costs and benefits of options to address market power</w:t>
      </w:r>
      <w:bookmarkEnd w:id="1655"/>
      <w:bookmarkEnd w:id="1656"/>
    </w:p>
    <w:tbl>
      <w:tblPr>
        <w:tblW w:w="0" w:type="auto"/>
        <w:tblInd w:w="57" w:type="dxa"/>
        <w:tblLayout w:type="fixed"/>
        <w:tblLook w:val="0000" w:firstRow="0" w:lastRow="0" w:firstColumn="0" w:lastColumn="0" w:noHBand="0" w:noVBand="0"/>
      </w:tblPr>
      <w:tblGrid>
        <w:gridCol w:w="4253"/>
        <w:gridCol w:w="1276"/>
        <w:gridCol w:w="1134"/>
        <w:gridCol w:w="1274"/>
      </w:tblGrid>
      <w:tr w:rsidR="00FF21CA" w:rsidTr="00F376BC">
        <w:tc>
          <w:tcPr>
            <w:tcW w:w="4253" w:type="dxa"/>
            <w:shd w:val="clear" w:color="auto" w:fill="6F6652"/>
            <w:tcMar>
              <w:left w:w="57" w:type="dxa"/>
              <w:right w:w="57" w:type="dxa"/>
            </w:tcMar>
          </w:tcPr>
          <w:p w:rsidR="00FF21CA" w:rsidRDefault="00FF21CA" w:rsidP="00F376BC">
            <w:pPr>
              <w:pStyle w:val="TableDataColumnHeading"/>
              <w:jc w:val="left"/>
            </w:pPr>
            <w:r>
              <w:t>Option</w:t>
            </w:r>
          </w:p>
        </w:tc>
        <w:tc>
          <w:tcPr>
            <w:tcW w:w="1276" w:type="dxa"/>
            <w:shd w:val="clear" w:color="auto" w:fill="6F6652"/>
            <w:tcMar>
              <w:left w:w="57" w:type="dxa"/>
              <w:right w:w="57" w:type="dxa"/>
            </w:tcMar>
          </w:tcPr>
          <w:p w:rsidR="00FF21CA" w:rsidRDefault="00FF21CA" w:rsidP="00F376BC">
            <w:pPr>
              <w:pStyle w:val="TableDataColumnHeading"/>
            </w:pPr>
            <w:r>
              <w:t>Costs</w:t>
            </w:r>
          </w:p>
        </w:tc>
        <w:tc>
          <w:tcPr>
            <w:tcW w:w="1134" w:type="dxa"/>
            <w:shd w:val="clear" w:color="auto" w:fill="6F6652"/>
            <w:tcMar>
              <w:left w:w="57" w:type="dxa"/>
              <w:right w:w="57" w:type="dxa"/>
            </w:tcMar>
          </w:tcPr>
          <w:p w:rsidR="00FF21CA" w:rsidRDefault="00FF21CA" w:rsidP="00F376BC">
            <w:pPr>
              <w:pStyle w:val="TableDataColumnHeading"/>
            </w:pPr>
            <w:r>
              <w:t>Benefits</w:t>
            </w:r>
          </w:p>
        </w:tc>
        <w:tc>
          <w:tcPr>
            <w:tcW w:w="1274" w:type="dxa"/>
            <w:shd w:val="clear" w:color="auto" w:fill="6F6652"/>
            <w:tcMar>
              <w:left w:w="57" w:type="dxa"/>
              <w:right w:w="57" w:type="dxa"/>
            </w:tcMar>
          </w:tcPr>
          <w:p w:rsidR="00FF21CA" w:rsidRDefault="00FF21CA" w:rsidP="00F376BC">
            <w:pPr>
              <w:pStyle w:val="TableDataColumnHeading"/>
            </w:pPr>
            <w:r>
              <w:t>Net benefit</w:t>
            </w:r>
          </w:p>
        </w:tc>
      </w:tr>
      <w:tr w:rsidR="00FF21CA" w:rsidTr="002B2E3B">
        <w:tc>
          <w:tcPr>
            <w:tcW w:w="4253" w:type="dxa"/>
            <w:tcBorders>
              <w:bottom w:val="single" w:sz="8" w:space="0" w:color="FFFFFF" w:themeColor="background1"/>
            </w:tcBorders>
            <w:shd w:val="clear" w:color="auto" w:fill="auto"/>
            <w:tcMar>
              <w:left w:w="57" w:type="dxa"/>
              <w:right w:w="57" w:type="dxa"/>
            </w:tcMar>
          </w:tcPr>
          <w:p w:rsidR="00FF21CA" w:rsidRDefault="00FF21CA" w:rsidP="002B2E3B">
            <w:pPr>
              <w:pStyle w:val="TableDataEntries"/>
            </w:pPr>
          </w:p>
        </w:tc>
        <w:tc>
          <w:tcPr>
            <w:tcW w:w="1276" w:type="dxa"/>
            <w:tcBorders>
              <w:bottom w:val="single" w:sz="8" w:space="0" w:color="FFFFFF" w:themeColor="background1"/>
            </w:tcBorders>
            <w:shd w:val="clear" w:color="auto" w:fill="auto"/>
            <w:tcMar>
              <w:left w:w="57" w:type="dxa"/>
              <w:right w:w="57" w:type="dxa"/>
            </w:tcMar>
          </w:tcPr>
          <w:p w:rsidR="00FF21CA" w:rsidRDefault="00FF21CA" w:rsidP="002B2E3B">
            <w:pPr>
              <w:pStyle w:val="TableDataEntries"/>
            </w:pPr>
            <w:r>
              <w:t>NPV, $000</w:t>
            </w:r>
          </w:p>
        </w:tc>
        <w:tc>
          <w:tcPr>
            <w:tcW w:w="1134" w:type="dxa"/>
            <w:tcBorders>
              <w:bottom w:val="single" w:sz="8" w:space="0" w:color="FFFFFF" w:themeColor="background1"/>
            </w:tcBorders>
            <w:shd w:val="clear" w:color="auto" w:fill="auto"/>
            <w:tcMar>
              <w:left w:w="57" w:type="dxa"/>
              <w:right w:w="57" w:type="dxa"/>
            </w:tcMar>
          </w:tcPr>
          <w:p w:rsidR="00FF21CA" w:rsidRDefault="00AC5877" w:rsidP="002B2E3B">
            <w:pPr>
              <w:pStyle w:val="TableDataEntries"/>
            </w:pPr>
            <w:r>
              <w:t>NPV, $000</w:t>
            </w:r>
          </w:p>
        </w:tc>
        <w:tc>
          <w:tcPr>
            <w:tcW w:w="1274" w:type="dxa"/>
            <w:tcBorders>
              <w:bottom w:val="single" w:sz="8" w:space="0" w:color="FFFFFF" w:themeColor="background1"/>
            </w:tcBorders>
            <w:shd w:val="clear" w:color="auto" w:fill="auto"/>
            <w:tcMar>
              <w:left w:w="57" w:type="dxa"/>
              <w:right w:w="57" w:type="dxa"/>
            </w:tcMar>
          </w:tcPr>
          <w:p w:rsidR="00FF21CA" w:rsidRDefault="00FF21CA" w:rsidP="002B2E3B">
            <w:pPr>
              <w:pStyle w:val="TableDataEntries"/>
            </w:pPr>
            <w:r>
              <w:t>NPV, $000</w:t>
            </w:r>
          </w:p>
        </w:tc>
      </w:tr>
      <w:tr w:rsidR="00FF21CA" w:rsidTr="002B2E3B">
        <w:tc>
          <w:tcPr>
            <w:tcW w:w="4253"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center"/>
          </w:tcPr>
          <w:p w:rsidR="00FF21CA" w:rsidRDefault="00FF21CA" w:rsidP="002B2E3B">
            <w:pPr>
              <w:pStyle w:val="TableUnit"/>
              <w:jc w:val="left"/>
            </w:pPr>
            <w:r>
              <w:t>Cease retail price controls (and maintain wholesale regulation)</w:t>
            </w:r>
          </w:p>
        </w:tc>
        <w:tc>
          <w:tcPr>
            <w:tcW w:w="12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2B2E3B">
            <w:pPr>
              <w:pStyle w:val="TableUnit"/>
            </w:pPr>
            <w:r>
              <w:t>0</w:t>
            </w:r>
          </w:p>
        </w:tc>
        <w:tc>
          <w:tcPr>
            <w:tcW w:w="113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2B2E3B">
            <w:pPr>
              <w:pStyle w:val="TableUnit"/>
            </w:pPr>
            <w:r>
              <w:t>0</w:t>
            </w:r>
          </w:p>
        </w:tc>
        <w:tc>
          <w:tcPr>
            <w:tcW w:w="127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2B2E3B">
            <w:pPr>
              <w:pStyle w:val="TableUnit"/>
            </w:pPr>
            <w:r>
              <w:t>0</w:t>
            </w:r>
          </w:p>
        </w:tc>
      </w:tr>
      <w:tr w:rsidR="00FF21CA" w:rsidTr="002B2E3B">
        <w:tc>
          <w:tcPr>
            <w:tcW w:w="4253"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center"/>
          </w:tcPr>
          <w:p w:rsidR="00FF21CA" w:rsidRDefault="00FF21CA" w:rsidP="002B2E3B">
            <w:pPr>
              <w:pStyle w:val="TableUnit"/>
              <w:jc w:val="left"/>
            </w:pPr>
            <w:r>
              <w:t>Retain retail price controls in current format (and maintain wholesale regulation)</w:t>
            </w:r>
          </w:p>
        </w:tc>
        <w:tc>
          <w:tcPr>
            <w:tcW w:w="12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2B2E3B">
            <w:pPr>
              <w:pStyle w:val="TableUnit"/>
            </w:pPr>
            <w:r>
              <w:t>-1 097</w:t>
            </w:r>
          </w:p>
        </w:tc>
        <w:tc>
          <w:tcPr>
            <w:tcW w:w="113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2B2E3B">
            <w:pPr>
              <w:pStyle w:val="TableUnit"/>
            </w:pPr>
            <w:r>
              <w:t>0</w:t>
            </w:r>
          </w:p>
        </w:tc>
        <w:tc>
          <w:tcPr>
            <w:tcW w:w="127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2B2E3B">
            <w:pPr>
              <w:pStyle w:val="TableUnit"/>
            </w:pPr>
            <w:r>
              <w:t>-1 097</w:t>
            </w:r>
          </w:p>
        </w:tc>
      </w:tr>
      <w:tr w:rsidR="00FF21CA" w:rsidTr="002B2E3B">
        <w:tc>
          <w:tcPr>
            <w:tcW w:w="4253"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center"/>
          </w:tcPr>
          <w:p w:rsidR="00FF21CA" w:rsidRDefault="00FF21CA" w:rsidP="002B2E3B">
            <w:pPr>
              <w:pStyle w:val="TableUnit"/>
              <w:jc w:val="left"/>
            </w:pPr>
            <w:r>
              <w:t>Revise retail price controls (and maintain wholesale regulation)</w:t>
            </w:r>
          </w:p>
        </w:tc>
        <w:tc>
          <w:tcPr>
            <w:tcW w:w="12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2B2E3B">
            <w:pPr>
              <w:pStyle w:val="TableUnit"/>
            </w:pPr>
            <w:r>
              <w:t>-1 597</w:t>
            </w:r>
          </w:p>
        </w:tc>
        <w:tc>
          <w:tcPr>
            <w:tcW w:w="113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2B2E3B">
            <w:pPr>
              <w:pStyle w:val="TableUnit"/>
            </w:pPr>
            <w:r>
              <w:t>0</w:t>
            </w:r>
          </w:p>
        </w:tc>
        <w:tc>
          <w:tcPr>
            <w:tcW w:w="127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FF21CA" w:rsidRDefault="00FF21CA" w:rsidP="002B2E3B">
            <w:pPr>
              <w:pStyle w:val="TableUnit"/>
            </w:pPr>
            <w:r>
              <w:t>-1 597</w:t>
            </w:r>
          </w:p>
        </w:tc>
      </w:tr>
      <w:tr w:rsidR="00FF21CA" w:rsidTr="002B2E3B">
        <w:tc>
          <w:tcPr>
            <w:tcW w:w="4253" w:type="dxa"/>
            <w:tcBorders>
              <w:top w:val="single" w:sz="8" w:space="0" w:color="FFFFFF" w:themeColor="background1"/>
              <w:bottom w:val="single" w:sz="6" w:space="0" w:color="6F6652"/>
            </w:tcBorders>
            <w:shd w:val="clear" w:color="auto" w:fill="E9E8E5" w:themeFill="background2"/>
            <w:tcMar>
              <w:left w:w="57" w:type="dxa"/>
              <w:right w:w="57" w:type="dxa"/>
            </w:tcMar>
            <w:vAlign w:val="center"/>
          </w:tcPr>
          <w:p w:rsidR="00FF21CA" w:rsidRDefault="00FF21CA" w:rsidP="002B2E3B">
            <w:pPr>
              <w:pStyle w:val="TableUnit"/>
              <w:jc w:val="left"/>
            </w:pPr>
            <w:r>
              <w:t>Monitoring of retail prices with potential remedy for abuse of market power (and maintain wholesale regulation)</w:t>
            </w:r>
          </w:p>
        </w:tc>
        <w:tc>
          <w:tcPr>
            <w:tcW w:w="1276" w:type="dxa"/>
            <w:tcBorders>
              <w:top w:val="single" w:sz="8" w:space="0" w:color="FFFFFF" w:themeColor="background1"/>
              <w:bottom w:val="single" w:sz="6" w:space="0" w:color="6F6652"/>
            </w:tcBorders>
            <w:shd w:val="clear" w:color="auto" w:fill="E9E8E5" w:themeFill="background2"/>
            <w:tcMar>
              <w:left w:w="57" w:type="dxa"/>
              <w:right w:w="57" w:type="dxa"/>
            </w:tcMar>
          </w:tcPr>
          <w:p w:rsidR="00FF21CA" w:rsidRDefault="00FF21CA" w:rsidP="002B2E3B">
            <w:pPr>
              <w:pStyle w:val="TableUnit"/>
            </w:pPr>
            <w:r>
              <w:t>-548</w:t>
            </w:r>
          </w:p>
        </w:tc>
        <w:tc>
          <w:tcPr>
            <w:tcW w:w="1134" w:type="dxa"/>
            <w:tcBorders>
              <w:top w:val="single" w:sz="8" w:space="0" w:color="FFFFFF" w:themeColor="background1"/>
              <w:bottom w:val="single" w:sz="6" w:space="0" w:color="6F6652"/>
            </w:tcBorders>
            <w:shd w:val="clear" w:color="auto" w:fill="E9E8E5" w:themeFill="background2"/>
            <w:tcMar>
              <w:left w:w="57" w:type="dxa"/>
              <w:right w:w="57" w:type="dxa"/>
            </w:tcMar>
          </w:tcPr>
          <w:p w:rsidR="00FF21CA" w:rsidRDefault="00FF21CA" w:rsidP="002B2E3B">
            <w:pPr>
              <w:pStyle w:val="TableUnit"/>
            </w:pPr>
            <w:r>
              <w:t>0</w:t>
            </w:r>
          </w:p>
        </w:tc>
        <w:tc>
          <w:tcPr>
            <w:tcW w:w="1274" w:type="dxa"/>
            <w:tcBorders>
              <w:top w:val="single" w:sz="8" w:space="0" w:color="FFFFFF" w:themeColor="background1"/>
              <w:bottom w:val="single" w:sz="6" w:space="0" w:color="6F6652"/>
            </w:tcBorders>
            <w:shd w:val="clear" w:color="auto" w:fill="E9E8E5" w:themeFill="background2"/>
            <w:tcMar>
              <w:left w:w="57" w:type="dxa"/>
              <w:right w:w="57" w:type="dxa"/>
            </w:tcMar>
          </w:tcPr>
          <w:p w:rsidR="00FF21CA" w:rsidRDefault="00FF21CA" w:rsidP="002B2E3B">
            <w:pPr>
              <w:pStyle w:val="TableUnit"/>
            </w:pPr>
            <w:r>
              <w:t>-548</w:t>
            </w:r>
          </w:p>
        </w:tc>
      </w:tr>
    </w:tbl>
    <w:p w:rsidR="00FF21CA" w:rsidRDefault="00FF21CA" w:rsidP="00FF21CA">
      <w:pPr>
        <w:pStyle w:val="Source"/>
      </w:pPr>
      <w:r>
        <w:rPr>
          <w:i/>
        </w:rPr>
        <w:t xml:space="preserve">Note: </w:t>
      </w:r>
      <w:r>
        <w:t xml:space="preserve">Numbers are presented for a </w:t>
      </w:r>
      <w:proofErr w:type="gramStart"/>
      <w:r>
        <w:t>five year</w:t>
      </w:r>
      <w:proofErr w:type="gramEnd"/>
      <w:r>
        <w:t xml:space="preserve"> period using a 7 per cent (real) discount rate.</w:t>
      </w:r>
      <w:r>
        <w:rPr>
          <w:i/>
        </w:rPr>
        <w:br/>
      </w:r>
      <w:proofErr w:type="gramStart"/>
      <w:r>
        <w:rPr>
          <w:i/>
        </w:rPr>
        <w:t>Source</w:t>
      </w:r>
      <w:r w:rsidRPr="00E4232C">
        <w:rPr>
          <w:i/>
        </w:rPr>
        <w:t>:</w:t>
      </w:r>
      <w:r>
        <w:t xml:space="preserve"> The CIE.</w:t>
      </w:r>
      <w:proofErr w:type="gramEnd"/>
    </w:p>
    <w:p w:rsidR="00FF21CA" w:rsidRDefault="00FF21CA" w:rsidP="00FF21CA">
      <w:pPr>
        <w:pStyle w:val="BodyText"/>
      </w:pPr>
    </w:p>
    <w:p w:rsidR="005D56D7" w:rsidRDefault="005D56D7" w:rsidP="00F543C4">
      <w:pPr>
        <w:pStyle w:val="BodyText"/>
      </w:pPr>
    </w:p>
    <w:p w:rsidR="005D56D7" w:rsidRDefault="005D56D7" w:rsidP="00F543C4">
      <w:pPr>
        <w:pStyle w:val="Heading6"/>
      </w:pPr>
      <w:bookmarkStart w:id="1657" w:name="_Toc388269652"/>
      <w:r>
        <w:lastRenderedPageBreak/>
        <w:t>Other Government interventions in telecommunications markets</w:t>
      </w:r>
      <w:bookmarkEnd w:id="1657"/>
    </w:p>
    <w:p w:rsidR="00402DB3" w:rsidRDefault="00402DB3" w:rsidP="00402DB3">
      <w:pPr>
        <w:pStyle w:val="Heading3"/>
      </w:pPr>
      <w:r>
        <w:t>Wholesale regulation by ACCC</w:t>
      </w:r>
    </w:p>
    <w:p w:rsidR="00402DB3" w:rsidRPr="00402DB3" w:rsidRDefault="00402DB3" w:rsidP="00402DB3">
      <w:pPr>
        <w:pStyle w:val="BodyText"/>
      </w:pPr>
      <w:r w:rsidRPr="00402DB3">
        <w:t xml:space="preserve">Under the Competition and Consumer Act 2010 (CCA), the ACCC is able to declare and make final access determinations for listed carriage services if it considers it is in the long-term interests of end users for it to do so. The ACCC has at various stages decided to declare a number of services provided over the fixed line copper network. This has allowed other companies (known as access seekers) to use the network and provide telecommunications services to end users. </w:t>
      </w:r>
    </w:p>
    <w:p w:rsidR="00402DB3" w:rsidRPr="00402DB3" w:rsidRDefault="00402DB3" w:rsidP="00402DB3">
      <w:pPr>
        <w:pStyle w:val="BodyText"/>
        <w:rPr>
          <w:rFonts w:ascii="Times New Roman" w:hAnsi="Times New Roman"/>
          <w:lang w:val="en"/>
        </w:rPr>
      </w:pPr>
      <w:r w:rsidRPr="00402DB3">
        <w:t>Declaration ensures access seekers have access to the inputs they need to supply competitive communications services to end-users</w:t>
      </w:r>
      <w:r w:rsidR="00710816">
        <w:t>.</w:t>
      </w:r>
      <w:r w:rsidRPr="00402DB3">
        <w:t xml:space="preserve"> A list of the current telecommunication services declared by the </w:t>
      </w:r>
      <w:r w:rsidRPr="00402DB3">
        <w:rPr>
          <w:rFonts w:ascii="Times New Roman" w:hAnsi="Times New Roman"/>
          <w:lang w:val="en"/>
        </w:rPr>
        <w:t xml:space="preserve">ACCC </w:t>
      </w:r>
      <w:proofErr w:type="gramStart"/>
      <w:r w:rsidRPr="00402DB3">
        <w:rPr>
          <w:rFonts w:ascii="Times New Roman" w:hAnsi="Times New Roman"/>
          <w:lang w:val="en"/>
        </w:rPr>
        <w:t>is</w:t>
      </w:r>
      <w:r w:rsidR="00710816">
        <w:rPr>
          <w:rFonts w:ascii="Times New Roman" w:hAnsi="Times New Roman"/>
          <w:lang w:val="en"/>
        </w:rPr>
        <w:t xml:space="preserve"> </w:t>
      </w:r>
      <w:r w:rsidRPr="00402DB3">
        <w:rPr>
          <w:rFonts w:ascii="Times New Roman" w:hAnsi="Times New Roman"/>
          <w:lang w:val="en"/>
        </w:rPr>
        <w:t>shown</w:t>
      </w:r>
      <w:proofErr w:type="gramEnd"/>
      <w:r w:rsidRPr="00402DB3">
        <w:rPr>
          <w:rFonts w:ascii="Times New Roman" w:hAnsi="Times New Roman"/>
          <w:lang w:val="en"/>
        </w:rPr>
        <w:t xml:space="preserve"> in Box A.1.</w:t>
      </w:r>
    </w:p>
    <w:p w:rsidR="00402DB3" w:rsidRPr="00402DB3" w:rsidRDefault="00402DB3" w:rsidP="00402DB3">
      <w:pPr>
        <w:pStyle w:val="ListBullet"/>
        <w:numPr>
          <w:ilvl w:val="0"/>
          <w:numId w:val="0"/>
        </w:numPr>
        <w:tabs>
          <w:tab w:val="left" w:pos="720"/>
        </w:tabs>
        <w:rPr>
          <w:rFonts w:ascii="Times New Roman" w:hAnsi="Times New Roman"/>
          <w:lang w:val="en"/>
        </w:rPr>
      </w:pPr>
    </w:p>
    <w:tbl>
      <w:tblPr>
        <w:tblW w:w="7935" w:type="dxa"/>
        <w:tblInd w:w="142" w:type="dxa"/>
        <w:tblBorders>
          <w:top w:val="single" w:sz="2" w:space="0" w:color="auto"/>
          <w:left w:val="single" w:sz="2" w:space="0" w:color="auto"/>
          <w:bottom w:val="single" w:sz="2" w:space="0" w:color="auto"/>
          <w:right w:val="single" w:sz="2" w:space="0" w:color="auto"/>
        </w:tblBorders>
        <w:tblLayout w:type="fixed"/>
        <w:tblCellMar>
          <w:left w:w="142" w:type="dxa"/>
          <w:right w:w="142" w:type="dxa"/>
        </w:tblCellMar>
        <w:tblLook w:val="04A0" w:firstRow="1" w:lastRow="0" w:firstColumn="1" w:lastColumn="0" w:noHBand="0" w:noVBand="1"/>
      </w:tblPr>
      <w:tblGrid>
        <w:gridCol w:w="7935"/>
      </w:tblGrid>
      <w:tr w:rsidR="00402DB3" w:rsidRPr="00402DB3" w:rsidTr="001C172D">
        <w:trPr>
          <w:cantSplit/>
        </w:trPr>
        <w:tc>
          <w:tcPr>
            <w:tcW w:w="7935" w:type="dxa"/>
            <w:tcBorders>
              <w:top w:val="nil"/>
              <w:left w:val="nil"/>
              <w:bottom w:val="nil"/>
              <w:right w:val="nil"/>
            </w:tcBorders>
            <w:shd w:val="clear" w:color="auto" w:fill="C6BFAB" w:themeFill="accent3"/>
            <w:hideMark/>
          </w:tcPr>
          <w:p w:rsidR="00402DB3" w:rsidRPr="00402DB3" w:rsidRDefault="00402DB3" w:rsidP="00402DB3">
            <w:pPr>
              <w:pStyle w:val="Caption"/>
              <w:numPr>
                <w:ilvl w:val="0"/>
                <w:numId w:val="21"/>
              </w:numPr>
              <w:spacing w:before="120" w:after="100"/>
            </w:pPr>
            <w:r w:rsidRPr="00402DB3">
              <w:fldChar w:fldCharType="begin"/>
            </w:r>
            <w:r w:rsidRPr="00402DB3">
              <w:instrText xml:space="preserve"> IF 1 = 1 "</w:instrText>
            </w:r>
            <w:r w:rsidRPr="00402DB3">
              <w:fldChar w:fldCharType="begin"/>
            </w:r>
            <w:r w:rsidRPr="00402DB3">
              <w:instrText xml:space="preserve"> IF </w:instrText>
            </w:r>
            <w:fldSimple w:instr=" STYLEREF &quot;Heading 6&quot; \l \n ">
              <w:r w:rsidR="00304215">
                <w:rPr>
                  <w:noProof/>
                </w:rPr>
                <w:instrText>A</w:instrText>
              </w:r>
            </w:fldSimple>
            <w:r w:rsidRPr="00402DB3">
              <w:instrText xml:space="preserve"> = 0 "</w:instrText>
            </w:r>
            <w:r w:rsidRPr="00402DB3">
              <w:fldChar w:fldCharType="begin"/>
            </w:r>
            <w:r w:rsidRPr="00402DB3">
              <w:instrText xml:space="preserve"> IF </w:instrText>
            </w:r>
            <w:fldSimple w:instr=" STYLEREF &quot;Heading 1&quot; \l \n ">
              <w:r w:rsidRPr="00402DB3">
                <w:rPr>
                  <w:noProof/>
                </w:rPr>
                <w:instrText>1</w:instrText>
              </w:r>
            </w:fldSimple>
            <w:r w:rsidRPr="00402DB3">
              <w:instrText xml:space="preserve"> = 0 "" "</w:instrText>
            </w:r>
            <w:fldSimple w:instr=" STYLEREF &quot;Heading 1&quot; \l \n ">
              <w:r w:rsidRPr="00402DB3">
                <w:rPr>
                  <w:noProof/>
                </w:rPr>
                <w:instrText>1</w:instrText>
              </w:r>
            </w:fldSimple>
            <w:r w:rsidRPr="00402DB3">
              <w:instrText xml:space="preserve">." </w:instrText>
            </w:r>
            <w:r w:rsidRPr="00402DB3">
              <w:fldChar w:fldCharType="separate"/>
            </w:r>
            <w:r w:rsidRPr="00402DB3">
              <w:rPr>
                <w:noProof/>
              </w:rPr>
              <w:instrText>1.</w:instrText>
            </w:r>
            <w:r w:rsidRPr="00402DB3">
              <w:fldChar w:fldCharType="end"/>
            </w:r>
            <w:r w:rsidRPr="00402DB3">
              <w:instrText>" "</w:instrText>
            </w:r>
            <w:fldSimple w:instr=" STYLEREF &quot;Heading 6&quot; \l \n ">
              <w:r w:rsidR="00304215">
                <w:rPr>
                  <w:noProof/>
                </w:rPr>
                <w:instrText>A</w:instrText>
              </w:r>
            </w:fldSimple>
            <w:r w:rsidRPr="00402DB3">
              <w:instrText xml:space="preserve">." </w:instrText>
            </w:r>
            <w:r w:rsidRPr="00402DB3">
              <w:fldChar w:fldCharType="separate"/>
            </w:r>
            <w:r w:rsidR="00304215">
              <w:rPr>
                <w:noProof/>
              </w:rPr>
              <w:instrText>A</w:instrText>
            </w:r>
            <w:r w:rsidR="00304215" w:rsidRPr="00402DB3">
              <w:rPr>
                <w:noProof/>
              </w:rPr>
              <w:instrText>.</w:instrText>
            </w:r>
            <w:r w:rsidRPr="00402DB3">
              <w:fldChar w:fldCharType="end"/>
            </w:r>
            <w:r w:rsidRPr="00402DB3">
              <w:fldChar w:fldCharType="begin"/>
            </w:r>
            <w:r w:rsidRPr="00402DB3">
              <w:instrText xml:space="preserve"> SEQ Item \* ARABIC \s </w:instrText>
            </w:r>
            <w:r w:rsidRPr="00402DB3">
              <w:fldChar w:fldCharType="begin"/>
            </w:r>
            <w:r w:rsidRPr="00402DB3">
              <w:instrText xml:space="preserve"> IF </w:instrText>
            </w:r>
            <w:fldSimple w:instr=" STYLEREF &quot;Heading 6&quot; \l \n ">
              <w:r w:rsidR="00304215">
                <w:rPr>
                  <w:noProof/>
                </w:rPr>
                <w:instrText>A</w:instrText>
              </w:r>
            </w:fldSimple>
            <w:r w:rsidRPr="00402DB3">
              <w:instrText xml:space="preserve"> = 0 "</w:instrText>
            </w:r>
            <w:r w:rsidRPr="00402DB3">
              <w:fldChar w:fldCharType="begin"/>
            </w:r>
            <w:r w:rsidRPr="00402DB3">
              <w:instrText xml:space="preserve"> IF </w:instrText>
            </w:r>
            <w:fldSimple w:instr=" STYLEREF &quot;Heading 1&quot; \l \n ">
              <w:r w:rsidRPr="00402DB3">
                <w:rPr>
                  <w:noProof/>
                </w:rPr>
                <w:instrText>1</w:instrText>
              </w:r>
            </w:fldSimple>
            <w:r w:rsidRPr="00402DB3">
              <w:instrText xml:space="preserve"> = 0 "" "1" </w:instrText>
            </w:r>
            <w:r w:rsidRPr="00402DB3">
              <w:fldChar w:fldCharType="separate"/>
            </w:r>
            <w:r w:rsidRPr="00402DB3">
              <w:rPr>
                <w:noProof/>
              </w:rPr>
              <w:instrText>1</w:instrText>
            </w:r>
            <w:r w:rsidRPr="00402DB3">
              <w:fldChar w:fldCharType="end"/>
            </w:r>
            <w:r w:rsidRPr="00402DB3">
              <w:instrText xml:space="preserve">" "6" </w:instrText>
            </w:r>
            <w:r w:rsidRPr="00402DB3">
              <w:fldChar w:fldCharType="separate"/>
            </w:r>
            <w:r w:rsidR="00304215" w:rsidRPr="00402DB3">
              <w:rPr>
                <w:noProof/>
              </w:rPr>
              <w:instrText>6</w:instrText>
            </w:r>
            <w:r w:rsidRPr="00402DB3">
              <w:fldChar w:fldCharType="end"/>
            </w:r>
            <w:r w:rsidRPr="00402DB3">
              <w:instrText xml:space="preserve"> </w:instrText>
            </w:r>
            <w:r w:rsidRPr="00402DB3">
              <w:fldChar w:fldCharType="separate"/>
            </w:r>
            <w:r w:rsidR="00304215">
              <w:rPr>
                <w:noProof/>
              </w:rPr>
              <w:instrText>1</w:instrText>
            </w:r>
            <w:r w:rsidRPr="00402DB3">
              <w:fldChar w:fldCharType="end"/>
            </w:r>
            <w:r w:rsidRPr="00402DB3">
              <w:instrText xml:space="preserve">" "" </w:instrText>
            </w:r>
            <w:r w:rsidRPr="00402DB3">
              <w:fldChar w:fldCharType="separate"/>
            </w:r>
            <w:bookmarkStart w:id="1658" w:name="_Caption5978"/>
            <w:bookmarkStart w:id="1659" w:name="_Caption6693"/>
            <w:bookmarkStart w:id="1660" w:name="_Caption0301"/>
            <w:bookmarkStart w:id="1661" w:name="_Caption2525"/>
            <w:bookmarkStart w:id="1662" w:name="_Caption4778"/>
            <w:bookmarkStart w:id="1663" w:name="_Caption6626"/>
            <w:bookmarkStart w:id="1664" w:name="_Caption6285"/>
            <w:bookmarkStart w:id="1665" w:name="_Toc383082109"/>
            <w:bookmarkStart w:id="1666" w:name="_Toc391972984"/>
            <w:r w:rsidR="00584F9A">
              <w:rPr>
                <w:noProof/>
              </w:rPr>
              <w:t>A</w:t>
            </w:r>
            <w:r w:rsidR="00584F9A" w:rsidRPr="00402DB3">
              <w:rPr>
                <w:noProof/>
              </w:rPr>
              <w:t>.</w:t>
            </w:r>
            <w:r w:rsidR="00584F9A">
              <w:rPr>
                <w:noProof/>
              </w:rPr>
              <w:t>1</w:t>
            </w:r>
            <w:bookmarkEnd w:id="1658"/>
            <w:bookmarkEnd w:id="1659"/>
            <w:bookmarkEnd w:id="1660"/>
            <w:bookmarkEnd w:id="1661"/>
            <w:bookmarkEnd w:id="1662"/>
            <w:bookmarkEnd w:id="1663"/>
            <w:bookmarkEnd w:id="1664"/>
            <w:r w:rsidRPr="00402DB3">
              <w:fldChar w:fldCharType="end"/>
            </w:r>
            <w:r w:rsidRPr="00402DB3">
              <w:tab/>
              <w:t>Telecommunication services declared by the ACCC</w:t>
            </w:r>
            <w:bookmarkEnd w:id="1665"/>
            <w:bookmarkEnd w:id="1666"/>
          </w:p>
        </w:tc>
      </w:tr>
      <w:tr w:rsidR="00402DB3" w:rsidTr="001C172D">
        <w:trPr>
          <w:cantSplit/>
          <w:trHeight w:val="4355"/>
        </w:trPr>
        <w:tc>
          <w:tcPr>
            <w:tcW w:w="7935" w:type="dxa"/>
            <w:tcBorders>
              <w:top w:val="nil"/>
              <w:left w:val="nil"/>
              <w:bottom w:val="single" w:sz="4" w:space="0" w:color="9B917E" w:themeColor="accent4"/>
              <w:right w:val="nil"/>
            </w:tcBorders>
            <w:shd w:val="clear" w:color="auto" w:fill="E9E8E5" w:themeFill="background2"/>
            <w:hideMark/>
          </w:tcPr>
          <w:p w:rsidR="00402DB3" w:rsidRPr="00402DB3" w:rsidRDefault="00584F9A" w:rsidP="00137756">
            <w:pPr>
              <w:pStyle w:val="ListBullet"/>
              <w:numPr>
                <w:ilvl w:val="0"/>
                <w:numId w:val="45"/>
              </w:numPr>
              <w:spacing w:before="120"/>
              <w:rPr>
                <w:lang w:val="en"/>
              </w:rPr>
            </w:pPr>
            <w:hyperlink r:id="rId47" w:history="1">
              <w:r w:rsidR="00402DB3" w:rsidRPr="00402DB3">
                <w:rPr>
                  <w:rStyle w:val="Hyperlink"/>
                  <w:rFonts w:ascii="Times New Roman" w:hAnsi="Times New Roman"/>
                  <w:color w:val="auto"/>
                  <w:lang w:val="en"/>
                </w:rPr>
                <w:t xml:space="preserve">local </w:t>
              </w:r>
              <w:proofErr w:type="spellStart"/>
              <w:r w:rsidR="00402DB3" w:rsidRPr="00402DB3">
                <w:rPr>
                  <w:rStyle w:val="Hyperlink"/>
                  <w:rFonts w:ascii="Times New Roman" w:hAnsi="Times New Roman"/>
                  <w:color w:val="auto"/>
                  <w:lang w:val="en"/>
                </w:rPr>
                <w:t>bitstream</w:t>
              </w:r>
              <w:proofErr w:type="spellEnd"/>
              <w:r w:rsidR="00402DB3" w:rsidRPr="00402DB3">
                <w:rPr>
                  <w:rStyle w:val="Hyperlink"/>
                  <w:rFonts w:ascii="Times New Roman" w:hAnsi="Times New Roman"/>
                  <w:color w:val="auto"/>
                  <w:lang w:val="en"/>
                </w:rPr>
                <w:t xml:space="preserve"> access service</w:t>
              </w:r>
            </w:hyperlink>
          </w:p>
          <w:p w:rsidR="00402DB3" w:rsidRPr="00402DB3" w:rsidRDefault="00584F9A" w:rsidP="00137756">
            <w:pPr>
              <w:pStyle w:val="ListBullet"/>
              <w:numPr>
                <w:ilvl w:val="0"/>
                <w:numId w:val="45"/>
              </w:numPr>
              <w:rPr>
                <w:rFonts w:ascii="Times New Roman" w:hAnsi="Times New Roman"/>
                <w:lang w:val="en"/>
              </w:rPr>
            </w:pPr>
            <w:hyperlink r:id="rId48" w:history="1">
              <w:r w:rsidR="00402DB3" w:rsidRPr="00402DB3">
                <w:rPr>
                  <w:rStyle w:val="Hyperlink"/>
                  <w:rFonts w:ascii="Times New Roman" w:hAnsi="Times New Roman"/>
                  <w:color w:val="auto"/>
                  <w:lang w:val="en"/>
                </w:rPr>
                <w:t>wholesale ADSL</w:t>
              </w:r>
            </w:hyperlink>
          </w:p>
          <w:p w:rsidR="00402DB3" w:rsidRPr="00402DB3" w:rsidRDefault="00584F9A" w:rsidP="00137756">
            <w:pPr>
              <w:pStyle w:val="ListBullet"/>
              <w:numPr>
                <w:ilvl w:val="0"/>
                <w:numId w:val="45"/>
              </w:numPr>
              <w:rPr>
                <w:rFonts w:ascii="Times New Roman" w:hAnsi="Times New Roman"/>
                <w:lang w:val="en"/>
              </w:rPr>
            </w:pPr>
            <w:hyperlink r:id="rId49" w:history="1">
              <w:r w:rsidR="00402DB3" w:rsidRPr="00402DB3">
                <w:rPr>
                  <w:rStyle w:val="Hyperlink"/>
                  <w:rFonts w:ascii="Times New Roman" w:hAnsi="Times New Roman"/>
                  <w:color w:val="auto"/>
                  <w:lang w:val="en"/>
                </w:rPr>
                <w:t>digital Set-Top Unit Service (</w:t>
              </w:r>
              <w:proofErr w:type="spellStart"/>
              <w:r w:rsidR="00402DB3" w:rsidRPr="00402DB3">
                <w:rPr>
                  <w:rStyle w:val="Hyperlink"/>
                  <w:rFonts w:ascii="Times New Roman" w:hAnsi="Times New Roman"/>
                  <w:color w:val="auto"/>
                  <w:lang w:val="en"/>
                </w:rPr>
                <w:t>Foxtel</w:t>
              </w:r>
              <w:proofErr w:type="spellEnd"/>
              <w:r w:rsidR="00402DB3" w:rsidRPr="00402DB3">
                <w:rPr>
                  <w:rStyle w:val="Hyperlink"/>
                  <w:rFonts w:ascii="Times New Roman" w:hAnsi="Times New Roman"/>
                  <w:color w:val="auto"/>
                  <w:lang w:val="en"/>
                </w:rPr>
                <w:t>)</w:t>
              </w:r>
            </w:hyperlink>
          </w:p>
          <w:p w:rsidR="00402DB3" w:rsidRPr="00402DB3" w:rsidRDefault="00584F9A" w:rsidP="00137756">
            <w:pPr>
              <w:pStyle w:val="ListBullet"/>
              <w:numPr>
                <w:ilvl w:val="0"/>
                <w:numId w:val="45"/>
              </w:numPr>
              <w:rPr>
                <w:rFonts w:ascii="Times New Roman" w:hAnsi="Times New Roman"/>
                <w:lang w:val="en"/>
              </w:rPr>
            </w:pPr>
            <w:hyperlink r:id="rId50" w:history="1">
              <w:r w:rsidR="00402DB3" w:rsidRPr="00402DB3">
                <w:rPr>
                  <w:rStyle w:val="Hyperlink"/>
                  <w:rFonts w:ascii="Times New Roman" w:hAnsi="Times New Roman"/>
                  <w:color w:val="auto"/>
                  <w:lang w:val="en"/>
                </w:rPr>
                <w:t>domestic PSTN originating access</w:t>
              </w:r>
            </w:hyperlink>
          </w:p>
          <w:p w:rsidR="00402DB3" w:rsidRPr="00402DB3" w:rsidRDefault="00584F9A" w:rsidP="00137756">
            <w:pPr>
              <w:pStyle w:val="ListBullet"/>
              <w:numPr>
                <w:ilvl w:val="0"/>
                <w:numId w:val="45"/>
              </w:numPr>
              <w:rPr>
                <w:rFonts w:ascii="Times New Roman" w:hAnsi="Times New Roman"/>
                <w:lang w:val="en"/>
              </w:rPr>
            </w:pPr>
            <w:hyperlink r:id="rId51" w:history="1">
              <w:r w:rsidR="00402DB3" w:rsidRPr="00402DB3">
                <w:rPr>
                  <w:rStyle w:val="Hyperlink"/>
                  <w:rFonts w:ascii="Times New Roman" w:hAnsi="Times New Roman"/>
                  <w:color w:val="auto"/>
                  <w:lang w:val="en"/>
                </w:rPr>
                <w:t>domestic PSTN terminating access</w:t>
              </w:r>
            </w:hyperlink>
          </w:p>
          <w:p w:rsidR="00402DB3" w:rsidRPr="00402DB3" w:rsidRDefault="00584F9A" w:rsidP="00137756">
            <w:pPr>
              <w:pStyle w:val="ListBullet"/>
              <w:numPr>
                <w:ilvl w:val="0"/>
                <w:numId w:val="45"/>
              </w:numPr>
              <w:rPr>
                <w:rFonts w:ascii="Times New Roman" w:hAnsi="Times New Roman"/>
                <w:lang w:val="en"/>
              </w:rPr>
            </w:pPr>
            <w:hyperlink r:id="rId52" w:history="1">
              <w:r w:rsidR="00402DB3" w:rsidRPr="00402DB3">
                <w:rPr>
                  <w:rStyle w:val="Hyperlink"/>
                  <w:rFonts w:ascii="Times New Roman" w:hAnsi="Times New Roman"/>
                  <w:color w:val="auto"/>
                  <w:lang w:val="en"/>
                </w:rPr>
                <w:t>line sharing service</w:t>
              </w:r>
            </w:hyperlink>
          </w:p>
          <w:p w:rsidR="00402DB3" w:rsidRPr="00402DB3" w:rsidRDefault="00584F9A" w:rsidP="00137756">
            <w:pPr>
              <w:pStyle w:val="ListBullet"/>
              <w:numPr>
                <w:ilvl w:val="0"/>
                <w:numId w:val="45"/>
              </w:numPr>
              <w:rPr>
                <w:rFonts w:ascii="Times New Roman" w:hAnsi="Times New Roman"/>
                <w:lang w:val="en"/>
              </w:rPr>
            </w:pPr>
            <w:hyperlink r:id="rId53" w:history="1">
              <w:r w:rsidR="00402DB3" w:rsidRPr="00402DB3">
                <w:rPr>
                  <w:rStyle w:val="Hyperlink"/>
                  <w:rFonts w:ascii="Times New Roman" w:hAnsi="Times New Roman"/>
                  <w:color w:val="auto"/>
                  <w:lang w:val="en"/>
                </w:rPr>
                <w:t>local carriage service</w:t>
              </w:r>
            </w:hyperlink>
          </w:p>
          <w:p w:rsidR="00402DB3" w:rsidRPr="00402DB3" w:rsidRDefault="00584F9A" w:rsidP="00137756">
            <w:pPr>
              <w:pStyle w:val="ListBullet"/>
              <w:numPr>
                <w:ilvl w:val="0"/>
                <w:numId w:val="45"/>
              </w:numPr>
              <w:rPr>
                <w:rFonts w:ascii="Times New Roman" w:hAnsi="Times New Roman"/>
                <w:lang w:val="en"/>
              </w:rPr>
            </w:pPr>
            <w:hyperlink r:id="rId54" w:history="1">
              <w:r w:rsidR="00402DB3" w:rsidRPr="00402DB3">
                <w:rPr>
                  <w:rStyle w:val="Hyperlink"/>
                  <w:rFonts w:ascii="Times New Roman" w:hAnsi="Times New Roman"/>
                  <w:color w:val="auto"/>
                  <w:lang w:val="en"/>
                </w:rPr>
                <w:t>mobile terminating access service</w:t>
              </w:r>
            </w:hyperlink>
          </w:p>
          <w:p w:rsidR="00402DB3" w:rsidRPr="00402DB3" w:rsidRDefault="00584F9A" w:rsidP="00137756">
            <w:pPr>
              <w:pStyle w:val="ListBullet"/>
              <w:numPr>
                <w:ilvl w:val="0"/>
                <w:numId w:val="45"/>
              </w:numPr>
              <w:rPr>
                <w:rFonts w:ascii="Times New Roman" w:hAnsi="Times New Roman"/>
                <w:lang w:val="en"/>
              </w:rPr>
            </w:pPr>
            <w:hyperlink r:id="rId55" w:history="1">
              <w:r w:rsidR="00402DB3" w:rsidRPr="00402DB3">
                <w:rPr>
                  <w:rStyle w:val="Hyperlink"/>
                  <w:rFonts w:ascii="Times New Roman" w:hAnsi="Times New Roman"/>
                  <w:color w:val="auto"/>
                  <w:lang w:val="en"/>
                </w:rPr>
                <w:t>unconditioned local loop service</w:t>
              </w:r>
            </w:hyperlink>
          </w:p>
          <w:p w:rsidR="00402DB3" w:rsidRPr="00402DB3" w:rsidRDefault="00584F9A" w:rsidP="00137756">
            <w:pPr>
              <w:pStyle w:val="ListBullet"/>
              <w:numPr>
                <w:ilvl w:val="0"/>
                <w:numId w:val="45"/>
              </w:numPr>
              <w:rPr>
                <w:rFonts w:ascii="Times New Roman" w:hAnsi="Times New Roman"/>
                <w:lang w:val="en"/>
              </w:rPr>
            </w:pPr>
            <w:hyperlink r:id="rId56" w:history="1">
              <w:r w:rsidR="00402DB3" w:rsidRPr="00402DB3">
                <w:rPr>
                  <w:rStyle w:val="Hyperlink"/>
                  <w:rFonts w:ascii="Times New Roman" w:hAnsi="Times New Roman"/>
                  <w:color w:val="auto"/>
                  <w:lang w:val="en"/>
                </w:rPr>
                <w:t>wholesale line rental</w:t>
              </w:r>
            </w:hyperlink>
          </w:p>
          <w:p w:rsidR="00402DB3" w:rsidRPr="00402DB3" w:rsidRDefault="00584F9A" w:rsidP="00137756">
            <w:pPr>
              <w:pStyle w:val="ListBullet"/>
              <w:numPr>
                <w:ilvl w:val="0"/>
                <w:numId w:val="45"/>
              </w:numPr>
              <w:rPr>
                <w:rFonts w:ascii="Times New Roman" w:hAnsi="Times New Roman"/>
                <w:lang w:val="en"/>
              </w:rPr>
            </w:pPr>
            <w:hyperlink r:id="rId57" w:history="1">
              <w:r w:rsidR="00402DB3" w:rsidRPr="00402DB3">
                <w:rPr>
                  <w:rStyle w:val="Hyperlink"/>
                  <w:rFonts w:ascii="Times New Roman" w:hAnsi="Times New Roman"/>
                  <w:color w:val="auto"/>
                  <w:lang w:val="en"/>
                </w:rPr>
                <w:t>domestic transmission capacity service 2010</w:t>
              </w:r>
            </w:hyperlink>
          </w:p>
          <w:p w:rsidR="00402DB3" w:rsidRPr="00402DB3" w:rsidRDefault="00584F9A" w:rsidP="00137756">
            <w:pPr>
              <w:pStyle w:val="ListBullet"/>
              <w:numPr>
                <w:ilvl w:val="0"/>
                <w:numId w:val="45"/>
              </w:numPr>
              <w:rPr>
                <w:rFonts w:ascii="Times New Roman" w:hAnsi="Times New Roman"/>
                <w:lang w:val="en"/>
              </w:rPr>
            </w:pPr>
            <w:hyperlink r:id="rId58" w:history="1">
              <w:r w:rsidR="00402DB3" w:rsidRPr="00402DB3">
                <w:rPr>
                  <w:rStyle w:val="Hyperlink"/>
                  <w:rFonts w:ascii="Times New Roman" w:hAnsi="Times New Roman"/>
                  <w:color w:val="auto"/>
                  <w:lang w:val="en"/>
                </w:rPr>
                <w:t>NBN access service, ancillary services and facilities access service (NBN Co)</w:t>
              </w:r>
            </w:hyperlink>
          </w:p>
        </w:tc>
      </w:tr>
    </w:tbl>
    <w:p w:rsidR="00402DB3" w:rsidRDefault="00402DB3" w:rsidP="00402DB3">
      <w:pPr>
        <w:pStyle w:val="Heading3"/>
        <w:rPr>
          <w:rFonts w:ascii="Calisto MT" w:hAnsi="Calisto MT"/>
        </w:rPr>
      </w:pPr>
      <w:r>
        <w:t>Competition and Consumer Act (CCA)</w:t>
      </w:r>
    </w:p>
    <w:p w:rsidR="00402DB3" w:rsidRPr="00402DB3" w:rsidRDefault="00402DB3" w:rsidP="00402DB3">
      <w:pPr>
        <w:pStyle w:val="Heading4"/>
      </w:pPr>
      <w:r w:rsidRPr="00402DB3">
        <w:t>Telecommunications specific anti-competitive conduct provisions</w:t>
      </w:r>
    </w:p>
    <w:p w:rsidR="00402DB3" w:rsidRPr="00402DB3" w:rsidRDefault="00402DB3" w:rsidP="00402DB3">
      <w:pPr>
        <w:pStyle w:val="BodyText"/>
      </w:pPr>
      <w:r w:rsidRPr="00402DB3">
        <w:t xml:space="preserve">The telecommunications specific anti-competitive conduct provisions are contained under Part XIB of the CCA. These provisions prohibit a carrier, carriage service provider (CSP) or content service provider from engaging in anti-competitive conduct—this </w:t>
      </w:r>
      <w:r w:rsidRPr="00402DB3">
        <w:lastRenderedPageBreak/>
        <w:t>prohibition is also known as the ‘competition rule.’ Section 151AJ of the CCA sets out the two circumstances where a carrier, CSP or content service provider is</w:t>
      </w:r>
    </w:p>
    <w:p w:rsidR="00402DB3" w:rsidRPr="00402DB3" w:rsidRDefault="00402DB3" w:rsidP="00402DB3">
      <w:pPr>
        <w:pStyle w:val="BodyText"/>
      </w:pPr>
      <w:proofErr w:type="gramStart"/>
      <w:r w:rsidRPr="00402DB3">
        <w:t>considered</w:t>
      </w:r>
      <w:proofErr w:type="gramEnd"/>
      <w:r w:rsidRPr="00402DB3">
        <w:t xml:space="preserve"> to have contravened the competition rule.</w:t>
      </w:r>
    </w:p>
    <w:p w:rsidR="00402DB3" w:rsidRPr="00402DB3" w:rsidRDefault="00402DB3" w:rsidP="00402DB3">
      <w:pPr>
        <w:pStyle w:val="ListBullet"/>
      </w:pPr>
      <w:r w:rsidRPr="00402DB3">
        <w:t>The first of these circumstances is where a carrier or CSP takes advantage of a substantial degree of market power in a telecommunications market with the effect, or likely effect, of substantially lessening competition in that or any other telecommunications market. It is not necessary to examine the purpose of the conduct under the competition rule, unlike the general section 46 misuse of market power provision (in Part IV of the CCA).</w:t>
      </w:r>
    </w:p>
    <w:p w:rsidR="00402DB3" w:rsidRPr="00402DB3" w:rsidRDefault="00402DB3" w:rsidP="00402DB3">
      <w:pPr>
        <w:pStyle w:val="ListBullet"/>
      </w:pPr>
      <w:r w:rsidRPr="00402DB3">
        <w:t xml:space="preserve">The second circumstance is where a carrier or CSP engages in conduct relating to a telecommunications market that contravenes the general anti-competitive conduct provisions in Part IV of the CCA. </w:t>
      </w:r>
    </w:p>
    <w:p w:rsidR="00402DB3" w:rsidRPr="00402DB3" w:rsidRDefault="00402DB3" w:rsidP="00402DB3">
      <w:pPr>
        <w:pStyle w:val="BodyText"/>
      </w:pPr>
      <w:r w:rsidRPr="00402DB3">
        <w:t xml:space="preserve">A number of other consumer protection, market power and anti-competitive conduct provisions are included in the </w:t>
      </w:r>
      <w:proofErr w:type="gramStart"/>
      <w:r w:rsidRPr="00402DB3">
        <w:t>Act which</w:t>
      </w:r>
      <w:proofErr w:type="gramEnd"/>
      <w:r w:rsidRPr="00402DB3">
        <w:t xml:space="preserve"> provides further regulation of the sector. </w:t>
      </w:r>
    </w:p>
    <w:p w:rsidR="00402DB3" w:rsidRPr="00402DB3" w:rsidRDefault="00402DB3" w:rsidP="00402DB3">
      <w:pPr>
        <w:pStyle w:val="Heading3"/>
      </w:pPr>
      <w:r w:rsidRPr="00402DB3">
        <w:t xml:space="preserve">Customer Service Guarantee (CSG) </w:t>
      </w:r>
    </w:p>
    <w:p w:rsidR="00402DB3" w:rsidRPr="00402DB3" w:rsidRDefault="00402DB3" w:rsidP="00402DB3">
      <w:pPr>
        <w:pStyle w:val="BodyText"/>
      </w:pPr>
      <w:r w:rsidRPr="00402DB3">
        <w:t xml:space="preserve">The CSG </w:t>
      </w:r>
      <w:proofErr w:type="gramStart"/>
      <w:r w:rsidRPr="00402DB3">
        <w:t>was introduced</w:t>
      </w:r>
      <w:proofErr w:type="gramEnd"/>
      <w:r w:rsidRPr="00402DB3">
        <w:t xml:space="preserve"> by the </w:t>
      </w:r>
      <w:hyperlink r:id="rId59" w:history="1">
        <w:r w:rsidRPr="00402DB3">
          <w:rPr>
            <w:rStyle w:val="Hyperlink"/>
            <w:color w:val="auto"/>
          </w:rPr>
          <w:t>Telstra (Dilution of Public Ownership) Act 1996</w:t>
        </w:r>
      </w:hyperlink>
      <w:r w:rsidRPr="00402DB3">
        <w:t xml:space="preserve"> as a safeguard for consumers (table 1.1). The CSG provisions were re-enacted in the </w:t>
      </w:r>
      <w:hyperlink r:id="rId60" w:history="1">
        <w:r w:rsidR="00585E48" w:rsidRPr="00402DB3">
          <w:rPr>
            <w:rStyle w:val="Hyperlink"/>
            <w:color w:val="auto"/>
          </w:rPr>
          <w:t>Telecommunications (Consumer Protection and Service Standards) Act 1999</w:t>
        </w:r>
      </w:hyperlink>
      <w:r w:rsidR="00585E48">
        <w:rPr>
          <w:rStyle w:val="Hyperlink"/>
          <w:color w:val="auto"/>
        </w:rPr>
        <w:t xml:space="preserve"> a</w:t>
      </w:r>
      <w:r w:rsidRPr="00402DB3">
        <w:t xml:space="preserve">nd essentially enabled the former </w:t>
      </w:r>
      <w:hyperlink r:id="rId61" w:history="1">
        <w:r w:rsidRPr="00402DB3">
          <w:rPr>
            <w:rStyle w:val="Hyperlink"/>
            <w:color w:val="auto"/>
          </w:rPr>
          <w:t>Australian Communications Authority</w:t>
        </w:r>
      </w:hyperlink>
      <w:r w:rsidRPr="00402DB3">
        <w:t xml:space="preserve"> (ACA) to determine performance standards for carriers related to such matters as fault rectification times and the keeping of appointments with customers. If a carrier failed to meet service standards then it was liable to pay compensation to the customer in accordance with a scale determined by the ACA. Currently, customer service standards are established and monitored by the Australian Communication and Media Authority (ACMA) and outlined in </w:t>
      </w:r>
      <w:proofErr w:type="gramStart"/>
      <w:r w:rsidRPr="00402DB3">
        <w:t>the  Telecommunications</w:t>
      </w:r>
      <w:proofErr w:type="gramEnd"/>
      <w:r w:rsidRPr="00402DB3">
        <w:t xml:space="preserve"> (Customer Service Guarantee) Standard 2011.</w:t>
      </w:r>
    </w:p>
    <w:p w:rsidR="00402DB3" w:rsidRPr="00402DB3" w:rsidRDefault="00402DB3" w:rsidP="00402DB3">
      <w:pPr>
        <w:pStyle w:val="Heading3"/>
      </w:pPr>
      <w:r w:rsidRPr="00402DB3">
        <w:t xml:space="preserve">The </w:t>
      </w:r>
      <w:hyperlink r:id="rId62" w:history="1">
        <w:r w:rsidRPr="00402DB3">
          <w:t>Telecommunications Industry Ombudsman</w:t>
        </w:r>
      </w:hyperlink>
      <w:r w:rsidRPr="00402DB3">
        <w:t xml:space="preserve"> (TIO) scheme</w:t>
      </w:r>
    </w:p>
    <w:p w:rsidR="00402DB3" w:rsidRPr="00402DB3" w:rsidRDefault="00402DB3" w:rsidP="00402DB3">
      <w:pPr>
        <w:pStyle w:val="BodyText"/>
      </w:pPr>
      <w:r w:rsidRPr="00402DB3">
        <w:t xml:space="preserve">The Telecommunications Industry Ombudsman (TIO) is authorised under Part 6 of the Telecommunications (Consumer Protection and Service Standards) Act 1999 to provide an independent alternative dispute resolution service for small business and residential consumers in Australia who have a complaint about their telecommunications services. </w:t>
      </w:r>
    </w:p>
    <w:p w:rsidR="00402DB3" w:rsidRPr="00402DB3" w:rsidRDefault="00402DB3" w:rsidP="00402DB3">
      <w:pPr>
        <w:pStyle w:val="Heading3"/>
      </w:pPr>
      <w:r w:rsidRPr="00402DB3">
        <w:t>Universal service obligation (USO)</w:t>
      </w:r>
    </w:p>
    <w:p w:rsidR="00585E48" w:rsidRDefault="00584F9A" w:rsidP="00585E48">
      <w:pPr>
        <w:pStyle w:val="Heading4"/>
        <w:rPr>
          <w:rStyle w:val="Hyperlink"/>
          <w:color w:val="auto"/>
        </w:rPr>
      </w:pPr>
      <w:hyperlink r:id="rId63" w:history="1">
        <w:r w:rsidR="00585E48" w:rsidRPr="00402DB3">
          <w:rPr>
            <w:rStyle w:val="Hyperlink"/>
            <w:color w:val="auto"/>
          </w:rPr>
          <w:t>Telecommunications (Consumer Protection and Service Standards) Act 1999</w:t>
        </w:r>
      </w:hyperlink>
    </w:p>
    <w:p w:rsidR="00174354" w:rsidRPr="00402DB3" w:rsidRDefault="00174354" w:rsidP="00174354">
      <w:pPr>
        <w:pStyle w:val="ListBullet"/>
        <w:numPr>
          <w:ilvl w:val="0"/>
          <w:numId w:val="0"/>
        </w:numPr>
        <w:tabs>
          <w:tab w:val="left" w:pos="720"/>
        </w:tabs>
      </w:pPr>
      <w:r w:rsidRPr="00402DB3">
        <w:t xml:space="preserve">Section 9 of the </w:t>
      </w:r>
      <w:hyperlink r:id="rId64" w:history="1">
        <w:r w:rsidRPr="00402DB3">
          <w:rPr>
            <w:rStyle w:val="Hyperlink"/>
            <w:color w:val="auto"/>
          </w:rPr>
          <w:t>Telecommunications (Consumer Protection and Service Standards) Act 1999</w:t>
        </w:r>
      </w:hyperlink>
      <w:r w:rsidRPr="00402DB3">
        <w:t xml:space="preserve"> states that:</w:t>
      </w:r>
    </w:p>
    <w:p w:rsidR="00174354" w:rsidRPr="00402DB3" w:rsidRDefault="00174354" w:rsidP="00174354">
      <w:pPr>
        <w:pStyle w:val="ListBullet"/>
      </w:pPr>
      <w:proofErr w:type="gramStart"/>
      <w:r w:rsidRPr="00402DB3">
        <w:t>standard</w:t>
      </w:r>
      <w:proofErr w:type="gramEnd"/>
      <w:r w:rsidRPr="00402DB3">
        <w:t xml:space="preserve"> telephone services</w:t>
      </w:r>
      <w:r>
        <w:t xml:space="preserve"> and</w:t>
      </w:r>
      <w:r w:rsidRPr="00402DB3">
        <w:t xml:space="preserve"> payphones</w:t>
      </w:r>
      <w:r>
        <w:t xml:space="preserve"> a</w:t>
      </w:r>
      <w:r w:rsidRPr="00402DB3">
        <w:t xml:space="preserve">re reasonably accessible to all </w:t>
      </w:r>
      <w:r>
        <w:t xml:space="preserve">people in </w:t>
      </w:r>
      <w:r w:rsidRPr="00402DB3">
        <w:t xml:space="preserve">Australia on an equitable basis, wherever they reside or carry on business. </w:t>
      </w:r>
    </w:p>
    <w:p w:rsidR="00174354" w:rsidRPr="00402DB3" w:rsidRDefault="00174354" w:rsidP="00174354">
      <w:pPr>
        <w:pStyle w:val="ListBullet"/>
      </w:pPr>
      <w:r w:rsidRPr="00402DB3">
        <w:lastRenderedPageBreak/>
        <w:t xml:space="preserve">USO </w:t>
      </w:r>
      <w:proofErr w:type="gramStart"/>
      <w:r w:rsidRPr="00402DB3">
        <w:t>should be fulfilled</w:t>
      </w:r>
      <w:proofErr w:type="gramEnd"/>
      <w:r w:rsidRPr="00402DB3">
        <w:t xml:space="preserve"> as economically as possible and that any losses involved in its provision should be shared among carriers.</w:t>
      </w:r>
    </w:p>
    <w:p w:rsidR="00174354" w:rsidRPr="00402DB3" w:rsidRDefault="00174354" w:rsidP="00174354">
      <w:pPr>
        <w:pStyle w:val="ListBullet"/>
      </w:pPr>
      <w:proofErr w:type="gramStart"/>
      <w:r w:rsidRPr="00402DB3">
        <w:t>the</w:t>
      </w:r>
      <w:proofErr w:type="gramEnd"/>
      <w:r w:rsidRPr="00402DB3">
        <w:t xml:space="preserve"> Minister has the power to designate a universal service provider with primary responsibility for delivery of the USO. </w:t>
      </w:r>
    </w:p>
    <w:p w:rsidR="00174354" w:rsidRPr="00402DB3" w:rsidRDefault="00174354" w:rsidP="00174354">
      <w:pPr>
        <w:pStyle w:val="BodyText"/>
      </w:pPr>
      <w:r w:rsidRPr="00402DB3">
        <w:t xml:space="preserve">Telstra </w:t>
      </w:r>
      <w:r>
        <w:t xml:space="preserve">is currently the primary </w:t>
      </w:r>
      <w:r w:rsidRPr="00402DB3">
        <w:t>universal service provider</w:t>
      </w:r>
      <w:r>
        <w:t xml:space="preserve"> for the whole of Australia.</w:t>
      </w:r>
      <w:r>
        <w:rPr>
          <w:rStyle w:val="FootnoteReference"/>
        </w:rPr>
        <w:footnoteReference w:id="54"/>
      </w:r>
    </w:p>
    <w:p w:rsidR="00402DB3" w:rsidRPr="00402DB3" w:rsidRDefault="00402DB3" w:rsidP="00402DB3">
      <w:pPr>
        <w:pStyle w:val="Heading4"/>
      </w:pPr>
      <w:r w:rsidRPr="00402DB3">
        <w:t>TUSMA</w:t>
      </w:r>
    </w:p>
    <w:p w:rsidR="00174354" w:rsidRPr="00402DB3" w:rsidRDefault="00174354" w:rsidP="00174354">
      <w:pPr>
        <w:pStyle w:val="BodyText"/>
      </w:pPr>
      <w:r>
        <w:t>T</w:t>
      </w:r>
      <w:r w:rsidRPr="00402DB3">
        <w:t xml:space="preserve">he Telecommunications Universal Service Management Agency </w:t>
      </w:r>
      <w:r>
        <w:t>Act 2012</w:t>
      </w:r>
      <w:r w:rsidRPr="00402DB3">
        <w:t xml:space="preserve"> established the Telecommunications Universal Service Management Agency and provide</w:t>
      </w:r>
      <w:r>
        <w:t>d</w:t>
      </w:r>
      <w:r w:rsidRPr="00402DB3">
        <w:t xml:space="preserve"> it with the responsibility of implementing and administering the service agreements or grants that deliver </w:t>
      </w:r>
      <w:r w:rsidR="00585E48">
        <w:t>public interest services</w:t>
      </w:r>
      <w:r w:rsidRPr="00402DB3">
        <w:t xml:space="preserve">. Telstra currently has a contractual arrangement with the TUSMA to provide standard telephone services and </w:t>
      </w:r>
      <w:proofErr w:type="gramStart"/>
      <w:r w:rsidRPr="00402DB3">
        <w:t xml:space="preserve">payphones </w:t>
      </w:r>
      <w:r>
        <w:t xml:space="preserve"> in</w:t>
      </w:r>
      <w:proofErr w:type="gramEnd"/>
      <w:r>
        <w:t xml:space="preserve"> accordance with the U</w:t>
      </w:r>
      <w:r w:rsidR="00585E48">
        <w:t>niversal Service Obligation (U</w:t>
      </w:r>
      <w:r>
        <w:t>SO</w:t>
      </w:r>
      <w:r w:rsidR="00585E48">
        <w:t>)</w:t>
      </w:r>
      <w:r w:rsidRPr="00402DB3">
        <w:t>.</w:t>
      </w:r>
    </w:p>
    <w:p w:rsidR="00174354" w:rsidRPr="00402DB3" w:rsidRDefault="00174354" w:rsidP="00174354">
      <w:pPr>
        <w:pStyle w:val="BodyText"/>
      </w:pPr>
      <w:r w:rsidRPr="00402DB3">
        <w:rPr>
          <w:iCs/>
        </w:rPr>
        <w:t xml:space="preserve">The </w:t>
      </w:r>
      <w:r w:rsidRPr="00402DB3">
        <w:rPr>
          <w:i/>
          <w:iCs/>
        </w:rPr>
        <w:t xml:space="preserve">Telecommunications Universal Service Management Agency </w:t>
      </w:r>
      <w:r>
        <w:rPr>
          <w:i/>
          <w:iCs/>
        </w:rPr>
        <w:t xml:space="preserve">Regulations </w:t>
      </w:r>
      <w:r w:rsidRPr="00402DB3">
        <w:rPr>
          <w:i/>
          <w:iCs/>
        </w:rPr>
        <w:t xml:space="preserve">2012 </w:t>
      </w:r>
      <w:r w:rsidRPr="00402DB3">
        <w:rPr>
          <w:iCs/>
        </w:rPr>
        <w:t>include provisions</w:t>
      </w:r>
      <w:r w:rsidRPr="00402DB3">
        <w:rPr>
          <w:i/>
          <w:iCs/>
        </w:rPr>
        <w:t xml:space="preserve"> </w:t>
      </w:r>
      <w:r w:rsidRPr="00402DB3">
        <w:rPr>
          <w:iCs/>
        </w:rPr>
        <w:t xml:space="preserve">to ensure that </w:t>
      </w:r>
      <w:r>
        <w:rPr>
          <w:iCs/>
        </w:rPr>
        <w:t>TUSMA enters into agreements so that people</w:t>
      </w:r>
      <w:r w:rsidRPr="00402DB3">
        <w:rPr>
          <w:color w:val="000000"/>
        </w:rPr>
        <w:t xml:space="preserve"> in areas </w:t>
      </w:r>
      <w:proofErr w:type="gramStart"/>
      <w:r w:rsidRPr="00402DB3">
        <w:rPr>
          <w:color w:val="000000"/>
        </w:rPr>
        <w:t>outside  a</w:t>
      </w:r>
      <w:proofErr w:type="gramEnd"/>
      <w:r w:rsidRPr="00402DB3">
        <w:rPr>
          <w:color w:val="000000"/>
        </w:rPr>
        <w:t xml:space="preserve"> ‘standard zone’ are provided with access to untimed local calls when using a standard telephone service or a payphone.</w:t>
      </w:r>
    </w:p>
    <w:p w:rsidR="00402DB3" w:rsidRPr="00402DB3" w:rsidRDefault="00402DB3" w:rsidP="00402DB3">
      <w:pPr>
        <w:pStyle w:val="Heading3"/>
      </w:pPr>
      <w:r w:rsidRPr="00402DB3">
        <w:t>Carrier Licence Conditions (Telstra Corporation Limited) Declaration 1997</w:t>
      </w:r>
    </w:p>
    <w:p w:rsidR="00402DB3" w:rsidRPr="00402DB3" w:rsidRDefault="00402DB3" w:rsidP="00402DB3">
      <w:pPr>
        <w:pStyle w:val="BodyText"/>
      </w:pPr>
      <w:r w:rsidRPr="00402DB3">
        <w:t xml:space="preserve">The Carrier Licence Conditions Declaration followed the Telecommunications Act </w:t>
      </w:r>
      <w:proofErr w:type="gramStart"/>
      <w:r w:rsidRPr="00402DB3">
        <w:t>1997 which</w:t>
      </w:r>
      <w:proofErr w:type="gramEnd"/>
      <w:r w:rsidRPr="00402DB3">
        <w:t xml:space="preserve"> included provisions for the licencing of carriers to supply telecommunication services to the Australia public and for the Minister to impose licence conditions on a carrier licence. </w:t>
      </w:r>
    </w:p>
    <w:p w:rsidR="00402DB3" w:rsidRPr="00402DB3" w:rsidRDefault="00402DB3" w:rsidP="00402DB3">
      <w:pPr>
        <w:pStyle w:val="Heading4"/>
      </w:pPr>
      <w:r w:rsidRPr="00402DB3">
        <w:t xml:space="preserve">Low-income measures </w:t>
      </w:r>
    </w:p>
    <w:p w:rsidR="00402DB3" w:rsidRPr="00402DB3" w:rsidRDefault="00402DB3" w:rsidP="00402DB3">
      <w:pPr>
        <w:pStyle w:val="BodyText"/>
      </w:pPr>
      <w:r w:rsidRPr="00402DB3">
        <w:t xml:space="preserve">Under Clause 22 of Telstra’s Carrier Licence Conditions, Telstra is required to offer, or have a plan for offering, products and services to address the needs of low-income customers. </w:t>
      </w:r>
    </w:p>
    <w:p w:rsidR="00402DB3" w:rsidRPr="00402DB3" w:rsidRDefault="00402DB3" w:rsidP="00402DB3">
      <w:pPr>
        <w:pStyle w:val="BodyText"/>
      </w:pPr>
      <w:r w:rsidRPr="00402DB3">
        <w:t xml:space="preserve">This low-income package </w:t>
      </w:r>
      <w:proofErr w:type="gramStart"/>
      <w:r w:rsidRPr="00402DB3">
        <w:t>was originally announced</w:t>
      </w:r>
      <w:proofErr w:type="gramEnd"/>
      <w:r w:rsidRPr="00402DB3">
        <w:t xml:space="preserve"> by Telstra in April 2002 and was called </w:t>
      </w:r>
      <w:r w:rsidRPr="00402DB3">
        <w:rPr>
          <w:i/>
        </w:rPr>
        <w:t>Access for Everyone</w:t>
      </w:r>
      <w:r w:rsidRPr="00402DB3">
        <w:t xml:space="preserve">. </w:t>
      </w:r>
      <w:proofErr w:type="gramStart"/>
      <w:r w:rsidRPr="00402DB3">
        <w:t>This package is endorsed by low-income consumer advocacy groups through the Low-income Measures Assessment Committee (LIMAC)</w:t>
      </w:r>
      <w:proofErr w:type="gramEnd"/>
      <w:r w:rsidRPr="00402DB3">
        <w:t xml:space="preserve">. </w:t>
      </w:r>
    </w:p>
    <w:p w:rsidR="00402DB3" w:rsidRPr="00402DB3" w:rsidRDefault="00402DB3" w:rsidP="00402DB3">
      <w:pPr>
        <w:pStyle w:val="Heading3"/>
      </w:pPr>
      <w:r w:rsidRPr="00402DB3">
        <w:t xml:space="preserve">Network Reliability Framework (NRF)  </w:t>
      </w:r>
    </w:p>
    <w:p w:rsidR="00402DB3" w:rsidRPr="00402DB3" w:rsidRDefault="00402DB3" w:rsidP="00402DB3">
      <w:pPr>
        <w:pStyle w:val="BodyText"/>
      </w:pPr>
      <w:r w:rsidRPr="00402DB3">
        <w:t xml:space="preserve">To ensure Australia's telecommunications network continues to improve, the Network Reliability Framework (NRF) requires Telstra to repair facilities used to provide services to Telstra retail customers that have recurring faults. For individual services, the reliability requirements are for no more than three faults in 60 days and no more than four faults in 365 days. Under the NRF, Telstra is also required to report regularly to the </w:t>
      </w:r>
      <w:r w:rsidRPr="00402DB3">
        <w:lastRenderedPageBreak/>
        <w:t>industry regulator, the Australian Communications and Media Authority (ACMA), on network faults at a number of levels—ranging from regions to individual phone services.</w:t>
      </w:r>
    </w:p>
    <w:p w:rsidR="00402DB3" w:rsidRPr="00402DB3" w:rsidRDefault="00402DB3" w:rsidP="00402DB3">
      <w:pPr>
        <w:pStyle w:val="Heading3"/>
      </w:pPr>
      <w:r w:rsidRPr="00402DB3">
        <w:t xml:space="preserve">Priority Assistance Scheme </w:t>
      </w:r>
    </w:p>
    <w:p w:rsidR="00402DB3" w:rsidRPr="00402DB3" w:rsidRDefault="00402DB3" w:rsidP="00402DB3">
      <w:pPr>
        <w:pStyle w:val="BodyText"/>
      </w:pPr>
      <w:r w:rsidRPr="00402DB3">
        <w:t xml:space="preserve">The purpose of this policy is to provide a specific level of service to Telstra’s customers who have a diagnosed life threatening medical condition. That </w:t>
      </w:r>
      <w:proofErr w:type="gramStart"/>
      <w:r w:rsidRPr="00402DB3">
        <w:t>is;</w:t>
      </w:r>
      <w:proofErr w:type="gramEnd"/>
      <w:r w:rsidRPr="00402DB3">
        <w:t xml:space="preserve"> Telstra will provide Priority Customers with the highest level of service practicably available at the time on the connection and fault repair of a Priority Customer’s Standard Telephone Service (STS) or equivalent service. A Priority Customer is entitled to Priority Assistance on one nominated STS per residence to maximise service continuity. Priority customers can therefore expect en</w:t>
      </w:r>
      <w:r w:rsidR="00174354">
        <w:t>hanced service reliability and faster</w:t>
      </w:r>
      <w:r w:rsidRPr="00402DB3">
        <w:t xml:space="preserve"> fault rectification. </w:t>
      </w:r>
    </w:p>
    <w:p w:rsidR="00402DB3" w:rsidRPr="00402DB3" w:rsidRDefault="00402DB3" w:rsidP="00402DB3">
      <w:pPr>
        <w:pStyle w:val="Heading3"/>
      </w:pPr>
      <w:r w:rsidRPr="00402DB3">
        <w:t xml:space="preserve">Telecommunication Consumer Protection (TCP) Code  </w:t>
      </w:r>
    </w:p>
    <w:p w:rsidR="00402DB3" w:rsidRPr="00402DB3" w:rsidRDefault="00402DB3" w:rsidP="00402DB3">
      <w:pPr>
        <w:pStyle w:val="BodyText"/>
      </w:pPr>
      <w:r w:rsidRPr="00402DB3">
        <w:t xml:space="preserve">Telecommunications Act 1997 sets out the intention of the Commonwealth Parliament that bodies and associations representing sections of the telecommunications industry develop industry codes relating to the telecommunications activities of participants in those sections of the industry. The code covers a range of areas including offers, advertising, selling practices, billing, and complaint handling.  </w:t>
      </w:r>
    </w:p>
    <w:p w:rsidR="00402DB3" w:rsidRPr="00402DB3" w:rsidRDefault="00402DB3" w:rsidP="00402DB3">
      <w:pPr>
        <w:pStyle w:val="Heading3"/>
      </w:pPr>
      <w:r w:rsidRPr="00402DB3">
        <w:t xml:space="preserve">Welfare system </w:t>
      </w:r>
    </w:p>
    <w:p w:rsidR="00402DB3" w:rsidRPr="00402DB3" w:rsidRDefault="00402DB3" w:rsidP="00402DB3">
      <w:pPr>
        <w:pStyle w:val="BodyText"/>
        <w:rPr>
          <w:lang w:val="en"/>
        </w:rPr>
      </w:pPr>
      <w:r w:rsidRPr="00402DB3">
        <w:t xml:space="preserve">The Federal Government currently offers the Telephone Allowance that aims to help households with the costs of </w:t>
      </w:r>
      <w:r w:rsidRPr="00402DB3">
        <w:rPr>
          <w:lang w:val="en"/>
        </w:rPr>
        <w:t xml:space="preserve">maintaining a telephone and a home internet service. Eligibility for the allowance is linked to household’s eligibility for other assistance programs such as the </w:t>
      </w:r>
      <w:proofErr w:type="spellStart"/>
      <w:r w:rsidRPr="00402DB3">
        <w:rPr>
          <w:lang w:val="en"/>
        </w:rPr>
        <w:t>Newstart</w:t>
      </w:r>
      <w:proofErr w:type="spellEnd"/>
      <w:r w:rsidRPr="00402DB3">
        <w:rPr>
          <w:lang w:val="en"/>
        </w:rPr>
        <w:t xml:space="preserve"> Allowance and Disability Support Pension. </w:t>
      </w:r>
    </w:p>
    <w:p w:rsidR="00402DB3" w:rsidRPr="00402DB3" w:rsidRDefault="00402DB3" w:rsidP="00402DB3">
      <w:pPr>
        <w:pStyle w:val="BodyText"/>
        <w:rPr>
          <w:lang w:val="en"/>
        </w:rPr>
      </w:pPr>
      <w:r w:rsidRPr="00402DB3">
        <w:rPr>
          <w:lang w:val="en"/>
        </w:rPr>
        <w:t xml:space="preserve">In addition, the Government also provides a number of assistance measures to disadvantaged households such as the Pension Supplement that implicitly include financial assistance for telephone services and other utility bills. </w:t>
      </w:r>
    </w:p>
    <w:p w:rsidR="00F40817" w:rsidRPr="00402DB3" w:rsidRDefault="00F40817" w:rsidP="00F40817">
      <w:pPr>
        <w:pStyle w:val="Heading6"/>
      </w:pPr>
      <w:bookmarkStart w:id="1667" w:name="_Toc388269653"/>
      <w:r w:rsidRPr="00402DB3">
        <w:lastRenderedPageBreak/>
        <w:t>Costs of providing services across different regional areas</w:t>
      </w:r>
      <w:r w:rsidR="004603A4">
        <w:t xml:space="preserve"> of Australia</w:t>
      </w:r>
      <w:bookmarkEnd w:id="1667"/>
    </w:p>
    <w:p w:rsidR="00F40817" w:rsidRPr="00F40817" w:rsidRDefault="00F40817" w:rsidP="00F40817">
      <w:pPr>
        <w:pStyle w:val="BodyText"/>
      </w:pPr>
      <w:r>
        <w:t xml:space="preserve">This attachment sets out </w:t>
      </w:r>
      <w:proofErr w:type="spellStart"/>
      <w:r>
        <w:t>Analysys</w:t>
      </w:r>
      <w:proofErr w:type="spellEnd"/>
      <w:r>
        <w:t xml:space="preserve"> Mason’s </w:t>
      </w:r>
      <w:r w:rsidRPr="00F40817">
        <w:t xml:space="preserve">findings on the geographic differentiation </w:t>
      </w:r>
      <w:r w:rsidR="00402DB3">
        <w:t xml:space="preserve">of </w:t>
      </w:r>
      <w:r w:rsidRPr="00F40817">
        <w:t>the costs of selected telecommunications services in Australia, as well as price differences observable in the access market (at the wholesale level). In this section, we:</w:t>
      </w:r>
    </w:p>
    <w:p w:rsidR="00F40817" w:rsidRPr="00F40817" w:rsidRDefault="00F40817" w:rsidP="00F40817">
      <w:pPr>
        <w:pStyle w:val="ListBullet"/>
      </w:pPr>
      <w:r w:rsidRPr="00F40817">
        <w:t>describe some terminology and background relevant to our analysis</w:t>
      </w:r>
      <w:r w:rsidR="00402DB3">
        <w:t>;</w:t>
      </w:r>
    </w:p>
    <w:p w:rsidR="00F40817" w:rsidRPr="00F40817" w:rsidRDefault="00F40817" w:rsidP="00F40817">
      <w:pPr>
        <w:pStyle w:val="ListBullet"/>
      </w:pPr>
      <w:r w:rsidRPr="00F40817">
        <w:t>set out our findings on how costs and prices vary for selected access services in Australia</w:t>
      </w:r>
      <w:r w:rsidR="00402DB3">
        <w:t>; and</w:t>
      </w:r>
    </w:p>
    <w:p w:rsidR="00F40817" w:rsidRDefault="00F40817" w:rsidP="00F40817">
      <w:pPr>
        <w:pStyle w:val="ListBullet"/>
      </w:pPr>
      <w:proofErr w:type="gramStart"/>
      <w:r w:rsidRPr="00F40817">
        <w:t>outline</w:t>
      </w:r>
      <w:proofErr w:type="gramEnd"/>
      <w:r w:rsidRPr="00F40817">
        <w:t xml:space="preserve"> our analysis on how the costs of transmission vary in Australia, for ‘middle mile’ transmission between the access network and first point of core network aggregation.</w:t>
      </w:r>
    </w:p>
    <w:p w:rsidR="00710816" w:rsidRPr="00F40817" w:rsidRDefault="00710816" w:rsidP="00710816">
      <w:pPr>
        <w:pStyle w:val="BodyText"/>
      </w:pPr>
      <w:r>
        <w:t xml:space="preserve">Note that this analysis uses a cost model developed by </w:t>
      </w:r>
      <w:proofErr w:type="spellStart"/>
      <w:r>
        <w:t>Analysys</w:t>
      </w:r>
      <w:proofErr w:type="spellEnd"/>
      <w:r>
        <w:t xml:space="preserve"> Mason in 2007 to 2009. An alternative source for cost estimates is the cost model published by the ACCC as part of the 2011 Final Access Determination for fixed services.</w:t>
      </w:r>
      <w:r>
        <w:rPr>
          <w:rStyle w:val="FootnoteReference"/>
        </w:rPr>
        <w:footnoteReference w:id="55"/>
      </w:r>
      <w:r>
        <w:t xml:space="preserve"> </w:t>
      </w:r>
    </w:p>
    <w:p w:rsidR="00F40817" w:rsidRPr="00BE0A38" w:rsidRDefault="00F40817" w:rsidP="00BE0A38">
      <w:pPr>
        <w:pStyle w:val="Heading7"/>
        <w:rPr>
          <w:color w:val="F61D12" w:themeColor="accent2"/>
        </w:rPr>
      </w:pPr>
      <w:r w:rsidRPr="00BE0A38">
        <w:rPr>
          <w:color w:val="F61D12" w:themeColor="accent2"/>
        </w:rPr>
        <w:t>Background</w:t>
      </w:r>
    </w:p>
    <w:p w:rsidR="00F40817" w:rsidRPr="00F40817" w:rsidRDefault="00F40817" w:rsidP="00F40817">
      <w:pPr>
        <w:pStyle w:val="BodyText"/>
      </w:pPr>
      <w:r w:rsidRPr="00F40817">
        <w:t xml:space="preserve">The fixed network incumbent in Australia (Telstra) has operated a national copper network for decades. The ACCC, the Australian telecoms regulator, has sought to price-regulate several wholesale (so-called ‘declared’) services for several years. As part of that process, </w:t>
      </w:r>
      <w:proofErr w:type="spellStart"/>
      <w:r w:rsidRPr="00F40817">
        <w:t>Analysys</w:t>
      </w:r>
      <w:proofErr w:type="spellEnd"/>
      <w:r w:rsidRPr="00F40817">
        <w:t xml:space="preserve"> Mason developed an Excel-based cost model (referred to as the ‘</w:t>
      </w:r>
      <w:proofErr w:type="spellStart"/>
      <w:r w:rsidRPr="00F40817">
        <w:t>Analysys</w:t>
      </w:r>
      <w:proofErr w:type="spellEnd"/>
      <w:r w:rsidRPr="00F40817">
        <w:t xml:space="preserve"> cost model’, or ACM) during the years 2007</w:t>
      </w:r>
      <w:r w:rsidR="00710816">
        <w:t xml:space="preserve"> to 20</w:t>
      </w:r>
      <w:r w:rsidRPr="00F40817">
        <w:t>09. The ACM was a one-year cost model (that could be calculated for any year in the period 2007 12) and was underpinned by detailed geographic datasets of the whole country</w:t>
      </w:r>
      <w:r w:rsidR="00402DB3">
        <w:t>,</w:t>
      </w:r>
      <w:r w:rsidRPr="00F40817">
        <w:t xml:space="preserve"> which were analysed extensively. </w:t>
      </w:r>
    </w:p>
    <w:p w:rsidR="00F40817" w:rsidRPr="00F40817" w:rsidRDefault="00F40817" w:rsidP="00F40817">
      <w:pPr>
        <w:pStyle w:val="BodyText"/>
      </w:pPr>
      <w:r w:rsidRPr="00F40817">
        <w:t xml:space="preserve">The final version of the ACM </w:t>
      </w:r>
      <w:proofErr w:type="gramStart"/>
      <w:r w:rsidRPr="00F40817">
        <w:t>was published in June 2009 and comprised of three Excel workbooks</w:t>
      </w:r>
      <w:proofErr w:type="gramEnd"/>
      <w:r w:rsidRPr="00F40817">
        <w:t>:</w:t>
      </w:r>
    </w:p>
    <w:p w:rsidR="00F40817" w:rsidRPr="00F40817" w:rsidRDefault="00F40817" w:rsidP="00F40817">
      <w:pPr>
        <w:pStyle w:val="ListBullet"/>
      </w:pPr>
      <w:r w:rsidRPr="00F40817">
        <w:t>The CAN module, which calculates the asset counts required for a national fixed customer access network (CAN)</w:t>
      </w:r>
    </w:p>
    <w:p w:rsidR="00F40817" w:rsidRPr="00F40817" w:rsidRDefault="00F40817" w:rsidP="00F40817">
      <w:pPr>
        <w:pStyle w:val="ListBullet"/>
      </w:pPr>
      <w:r w:rsidRPr="00F40817">
        <w:t>The Core module, which calculates the asset counts for a national fixed core network to serve the assumed levels of subscribers and traffic</w:t>
      </w:r>
    </w:p>
    <w:p w:rsidR="00F40817" w:rsidRPr="00F40817" w:rsidRDefault="00F40817" w:rsidP="00F40817">
      <w:pPr>
        <w:pStyle w:val="ListBullet"/>
      </w:pPr>
      <w:r w:rsidRPr="00F40817">
        <w:lastRenderedPageBreak/>
        <w:t xml:space="preserve">The Cost module, which calculates the annualised </w:t>
      </w:r>
      <w:proofErr w:type="spellStart"/>
      <w:r w:rsidRPr="00F40817">
        <w:t>capex</w:t>
      </w:r>
      <w:proofErr w:type="spellEnd"/>
      <w:r w:rsidRPr="00F40817">
        <w:t xml:space="preserve"> and </w:t>
      </w:r>
      <w:proofErr w:type="spellStart"/>
      <w:r w:rsidRPr="00F40817">
        <w:t>opex</w:t>
      </w:r>
      <w:proofErr w:type="spellEnd"/>
      <w:r w:rsidRPr="00F40817">
        <w:t xml:space="preserve"> associated with both the core and access networks and allocates these costs to the assumed demand volumes.</w:t>
      </w:r>
    </w:p>
    <w:p w:rsidR="00F40817" w:rsidRPr="00F40817" w:rsidRDefault="00F40817" w:rsidP="00F40817">
      <w:pPr>
        <w:pStyle w:val="BodyText"/>
      </w:pPr>
      <w:r w:rsidRPr="00F40817">
        <w:t xml:space="preserve">The CAN module assumed that the CAN was predominantly copper, with some fibre deployed to serve business sites and wireless radio/satellite used in </w:t>
      </w:r>
      <w:proofErr w:type="gramStart"/>
      <w:r w:rsidRPr="00F40817">
        <w:t>more rural areas</w:t>
      </w:r>
      <w:proofErr w:type="gramEnd"/>
      <w:r w:rsidRPr="00F40817">
        <w:t xml:space="preserve">. No aerial cabling </w:t>
      </w:r>
      <w:proofErr w:type="gramStart"/>
      <w:r w:rsidRPr="00F40817">
        <w:t>was assumed</w:t>
      </w:r>
      <w:proofErr w:type="gramEnd"/>
      <w:r w:rsidRPr="00F40817">
        <w:t xml:space="preserve">. The CAN also made use of large pair-gain systems (LPGS) to serve remote clusters of premises with copper to a LPGS unit that </w:t>
      </w:r>
      <w:proofErr w:type="gramStart"/>
      <w:r w:rsidRPr="00F40817">
        <w:t>was then linked</w:t>
      </w:r>
      <w:proofErr w:type="gramEnd"/>
      <w:r w:rsidRPr="00F40817">
        <w:t xml:space="preserve"> by fibre back to the local exchange. The unbundled local loop service (ULLS) was not possible on lines served by a LPGS.</w:t>
      </w:r>
    </w:p>
    <w:p w:rsidR="00F40817" w:rsidRPr="00F40817" w:rsidRDefault="00F40817" w:rsidP="00F40817">
      <w:pPr>
        <w:pStyle w:val="BodyText"/>
      </w:pPr>
      <w:r w:rsidRPr="00F40817">
        <w:t xml:space="preserve">The Core module assumed </w:t>
      </w:r>
      <w:proofErr w:type="gramStart"/>
      <w:r w:rsidRPr="00F40817">
        <w:t>a TDM</w:t>
      </w:r>
      <w:proofErr w:type="gramEnd"/>
      <w:r w:rsidRPr="00F40817">
        <w:t xml:space="preserve"> architecture (traditional for a public switch telephone network) by default, but could also model a partial next-generation network (NGN) core. The inter-exchange network (IEN) assumed in the Core module </w:t>
      </w:r>
      <w:proofErr w:type="gramStart"/>
      <w:r w:rsidRPr="00F40817">
        <w:t>is summarised</w:t>
      </w:r>
      <w:proofErr w:type="gramEnd"/>
      <w:r w:rsidRPr="00F40817">
        <w:t xml:space="preserve"> below in </w:t>
      </w:r>
      <w:r w:rsidR="00402DB3">
        <w:t>chart </w:t>
      </w:r>
      <w:fldSimple w:instr=" REF _Caption2835 ">
        <w:r w:rsidR="00304215">
          <w:rPr>
            <w:noProof/>
          </w:rPr>
          <w:t>B</w:t>
        </w:r>
        <w:r w:rsidR="00304215" w:rsidRPr="00695C93">
          <w:rPr>
            <w:noProof/>
          </w:rPr>
          <w:t>.</w:t>
        </w:r>
        <w:r w:rsidR="00304215">
          <w:rPr>
            <w:noProof/>
          </w:rPr>
          <w:t>1</w:t>
        </w:r>
      </w:fldSimple>
      <w:r w:rsidRPr="00F40817">
        <w:t>.</w:t>
      </w:r>
    </w:p>
    <w:p w:rsidR="00A906FD" w:rsidRPr="00695C93" w:rsidRDefault="00A906FD" w:rsidP="004660B8">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B</w:instrText>
        </w:r>
      </w:fldSimple>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b/>
          <w:bCs/>
          <w:noProof/>
          <w:lang w:val="en-US"/>
        </w:rPr>
        <w:instrText>Error! No text of specified style in document.</w:instrText>
      </w:r>
      <w:r>
        <w:rPr>
          <w:noProof/>
        </w:rPr>
        <w:fldChar w:fldCharType="end"/>
      </w:r>
      <w:r w:rsidRPr="00695C93">
        <w:instrText xml:space="preserve"> = 0 "" "</w:instrText>
      </w:r>
      <w:r>
        <w:fldChar w:fldCharType="begin"/>
      </w:r>
      <w:r>
        <w:instrText xml:space="preserve"> STYLEREF "Heading 1" \l \n </w:instrText>
      </w:r>
      <w:r>
        <w:fldChar w:fldCharType="separate"/>
      </w:r>
      <w:r>
        <w:rPr>
          <w:b/>
          <w:bCs/>
          <w:noProof/>
          <w:lang w:val="en-US"/>
        </w:rPr>
        <w:instrText>Error! No text of specified style in document.</w:instrText>
      </w:r>
      <w:r>
        <w:rPr>
          <w:noProof/>
        </w:rPr>
        <w:fldChar w:fldCharType="end"/>
      </w:r>
      <w:r w:rsidRPr="00695C93">
        <w:instrText xml:space="preserve">." </w:instrText>
      </w:r>
      <w:r w:rsidRPr="00695C93">
        <w:fldChar w:fldCharType="separate"/>
      </w:r>
      <w:r>
        <w:rPr>
          <w:b/>
          <w:bCs/>
          <w:noProof/>
          <w:lang w:val="en-US"/>
        </w:rPr>
        <w:instrText>Error! No text of specified style in document.</w:instrText>
      </w:r>
      <w:r w:rsidRPr="00695C93">
        <w:rPr>
          <w:noProof/>
        </w:rPr>
        <w:instrText>.</w:instrText>
      </w:r>
      <w:r w:rsidRPr="00695C93">
        <w:fldChar w:fldCharType="end"/>
      </w:r>
      <w:r w:rsidRPr="00695C93">
        <w:instrText>" "</w:instrText>
      </w:r>
      <w:fldSimple w:instr=" STYLEREF &quot;Heading 6&quot; \l \n ">
        <w:r w:rsidR="00304215">
          <w:rPr>
            <w:noProof/>
          </w:rPr>
          <w:instrText>B</w:instrText>
        </w:r>
      </w:fldSimple>
      <w:r w:rsidRPr="00695C93">
        <w:instrText xml:space="preserve">." </w:instrText>
      </w:r>
      <w:r w:rsidRPr="00695C93">
        <w:fldChar w:fldCharType="separate"/>
      </w:r>
      <w:r w:rsidR="00304215">
        <w:rPr>
          <w:noProof/>
        </w:rPr>
        <w:instrText>B</w:instrText>
      </w:r>
      <w:r w:rsidR="00304215"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B</w:instrText>
        </w:r>
      </w:fldSimple>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b/>
          <w:bCs/>
          <w:noProof/>
          <w:lang w:val="en-US"/>
        </w:rPr>
        <w:instrText>Error! No text of specified style in document.</w:instrText>
      </w:r>
      <w:r>
        <w:rPr>
          <w:noProof/>
        </w:rPr>
        <w:fldChar w:fldCharType="end"/>
      </w:r>
      <w:r w:rsidRPr="00695C93">
        <w:instrText xml:space="preserve"> = 0 "" "1" </w:instrText>
      </w:r>
      <w:r w:rsidRPr="00695C93">
        <w:fldChar w:fldCharType="separate"/>
      </w:r>
      <w:r w:rsidRPr="00695C93">
        <w:rPr>
          <w:noProof/>
        </w:rPr>
        <w:instrText>1</w:instrText>
      </w:r>
      <w:r w:rsidRPr="00695C93">
        <w:fldChar w:fldCharType="end"/>
      </w:r>
      <w:r w:rsidRPr="00695C93">
        <w:instrText xml:space="preserve">" "6" </w:instrText>
      </w:r>
      <w:r w:rsidRPr="00695C93">
        <w:fldChar w:fldCharType="separate"/>
      </w:r>
      <w:r w:rsidR="00304215" w:rsidRPr="00695C93">
        <w:rPr>
          <w:noProof/>
        </w:rPr>
        <w:instrText>6</w:instrText>
      </w:r>
      <w:r w:rsidRPr="00695C93">
        <w:fldChar w:fldCharType="end"/>
      </w:r>
      <w:r w:rsidRPr="00695C93">
        <w:instrText xml:space="preserve"> </w:instrText>
      </w:r>
      <w:r w:rsidRPr="00695C93">
        <w:fldChar w:fldCharType="separate"/>
      </w:r>
      <w:r w:rsidR="00304215">
        <w:rPr>
          <w:noProof/>
        </w:rPr>
        <w:instrText>1</w:instrText>
      </w:r>
      <w:r w:rsidRPr="00695C93">
        <w:fldChar w:fldCharType="end"/>
      </w:r>
      <w:r w:rsidRPr="00695C93">
        <w:instrText xml:space="preserve">" "" </w:instrText>
      </w:r>
      <w:r w:rsidRPr="00695C93">
        <w:fldChar w:fldCharType="separate"/>
      </w:r>
      <w:bookmarkStart w:id="1668" w:name="_Caption9182"/>
      <w:bookmarkStart w:id="1669" w:name="_Caption1880"/>
      <w:bookmarkStart w:id="1670" w:name="_Caption5488"/>
      <w:bookmarkStart w:id="1671" w:name="_Caption2839"/>
      <w:bookmarkStart w:id="1672" w:name="_Caption1847"/>
      <w:bookmarkStart w:id="1673" w:name="_Caption6940"/>
      <w:bookmarkStart w:id="1674" w:name="_Caption2835"/>
      <w:bookmarkStart w:id="1675" w:name="_Caption1736"/>
      <w:bookmarkStart w:id="1676" w:name="_Caption8650"/>
      <w:bookmarkStart w:id="1677" w:name="_Caption3711"/>
      <w:bookmarkStart w:id="1678" w:name="_Caption4796"/>
      <w:bookmarkStart w:id="1679" w:name="_Caption1628"/>
      <w:bookmarkStart w:id="1680" w:name="_Toc391972985"/>
      <w:r w:rsidR="00584F9A">
        <w:rPr>
          <w:noProof/>
        </w:rPr>
        <w:t>B</w:t>
      </w:r>
      <w:r w:rsidR="00584F9A" w:rsidRPr="00695C93">
        <w:rPr>
          <w:noProof/>
        </w:rPr>
        <w:t>.</w:t>
      </w:r>
      <w:r w:rsidR="00584F9A">
        <w:rPr>
          <w:noProof/>
        </w:rPr>
        <w:t>1</w:t>
      </w:r>
      <w:bookmarkEnd w:id="1668"/>
      <w:bookmarkEnd w:id="1669"/>
      <w:bookmarkEnd w:id="1670"/>
      <w:bookmarkEnd w:id="1671"/>
      <w:bookmarkEnd w:id="1672"/>
      <w:bookmarkEnd w:id="1673"/>
      <w:bookmarkEnd w:id="1674"/>
      <w:bookmarkEnd w:id="1675"/>
      <w:bookmarkEnd w:id="1676"/>
      <w:bookmarkEnd w:id="1677"/>
      <w:bookmarkEnd w:id="1678"/>
      <w:bookmarkEnd w:id="1679"/>
      <w:r w:rsidRPr="00695C93">
        <w:fldChar w:fldCharType="end"/>
      </w:r>
      <w:r w:rsidRPr="00695C93">
        <w:tab/>
      </w:r>
      <w:r w:rsidRPr="00F40817">
        <w:t>Overview of IEN modelled in ACM</w:t>
      </w:r>
      <w:bookmarkEnd w:id="1680"/>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A906FD" w:rsidTr="00B01898">
        <w:trPr>
          <w:cantSplit/>
          <w:trHeight w:val="4315"/>
          <w:tblHeader/>
        </w:trPr>
        <w:tc>
          <w:tcPr>
            <w:tcW w:w="7938" w:type="dxa"/>
            <w:shd w:val="clear" w:color="auto" w:fill="E9E8E5" w:themeFill="background2"/>
          </w:tcPr>
          <w:p w:rsidR="00A906FD" w:rsidRDefault="001C172D" w:rsidP="001C172D">
            <w:pPr>
              <w:pStyle w:val="Chart"/>
              <w:spacing w:before="120" w:after="120"/>
              <w:jc w:val="center"/>
            </w:pPr>
            <w:r>
              <w:rPr>
                <w:noProof/>
                <w:lang w:eastAsia="en-AU"/>
              </w:rPr>
              <mc:AlternateContent>
                <mc:Choice Requires="wpg">
                  <w:drawing>
                    <wp:inline distT="0" distB="0" distL="0" distR="0" wp14:anchorId="22F09666" wp14:editId="02C681BA">
                      <wp:extent cx="4904822" cy="2559354"/>
                      <wp:effectExtent l="0" t="0" r="10160" b="12700"/>
                      <wp:docPr id="1" name="Group 1" descr="Chart providing an overview of the inter-exchange network (IEN) modelled in the Analysis Cost Model."/>
                      <wp:cNvGraphicFramePr/>
                      <a:graphic xmlns:a="http://schemas.openxmlformats.org/drawingml/2006/main">
                        <a:graphicData uri="http://schemas.microsoft.com/office/word/2010/wordprocessingGroup">
                          <wpg:wgp>
                            <wpg:cNvGrpSpPr/>
                            <wpg:grpSpPr>
                              <a:xfrm>
                                <a:off x="0" y="0"/>
                                <a:ext cx="4904822" cy="2559354"/>
                                <a:chOff x="0" y="0"/>
                                <a:chExt cx="4904822" cy="2559354"/>
                              </a:xfrm>
                            </wpg:grpSpPr>
                            <wpg:grpSp>
                              <wpg:cNvPr id="13" name="Group 13"/>
                              <wpg:cNvGrpSpPr/>
                              <wpg:grpSpPr>
                                <a:xfrm>
                                  <a:off x="373711" y="357809"/>
                                  <a:ext cx="3680460" cy="2201545"/>
                                  <a:chOff x="0" y="0"/>
                                  <a:chExt cx="3680847" cy="2202069"/>
                                </a:xfrm>
                              </wpg:grpSpPr>
                              <wpg:grpSp>
                                <wpg:cNvPr id="19" name="Group 19"/>
                                <wpg:cNvGrpSpPr/>
                                <wpg:grpSpPr>
                                  <a:xfrm>
                                    <a:off x="405517" y="0"/>
                                    <a:ext cx="2472055" cy="301625"/>
                                    <a:chOff x="0" y="0"/>
                                    <a:chExt cx="2472358" cy="301625"/>
                                  </a:xfrm>
                                </wpg:grpSpPr>
                                <wps:wsp>
                                  <wps:cNvPr id="24" name="Oval 24"/>
                                  <wps:cNvSpPr/>
                                  <wps:spPr>
                                    <a:xfrm>
                                      <a:off x="477078" y="0"/>
                                      <a:ext cx="1494845" cy="301431"/>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0"/>
                                      <a:ext cx="651510" cy="301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DA2AB5" w:rsidRDefault="00584F9A" w:rsidP="001C172D">
                                        <w:pPr>
                                          <w:pStyle w:val="ChartBoldText"/>
                                          <w:spacing w:after="0"/>
                                        </w:pPr>
                                        <w:r>
                                          <w:t>TNS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6" name="Rectangle 26"/>
                                  <wps:cNvSpPr/>
                                  <wps:spPr>
                                    <a:xfrm>
                                      <a:off x="1820848" y="0"/>
                                      <a:ext cx="651510" cy="301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DA2AB5" w:rsidRDefault="00584F9A" w:rsidP="001C172D">
                                        <w:pPr>
                                          <w:pStyle w:val="ChartBoldText"/>
                                          <w:spacing w:after="0"/>
                                        </w:pPr>
                                        <w:r>
                                          <w:t>TNS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27" name="Group 27"/>
                                <wpg:cNvGrpSpPr/>
                                <wpg:grpSpPr>
                                  <a:xfrm>
                                    <a:off x="0" y="310101"/>
                                    <a:ext cx="3291205" cy="548005"/>
                                    <a:chOff x="0" y="0"/>
                                    <a:chExt cx="3291343" cy="548253"/>
                                  </a:xfrm>
                                </wpg:grpSpPr>
                                <wpg:grpSp>
                                  <wpg:cNvPr id="227" name="Group 227"/>
                                  <wpg:cNvGrpSpPr/>
                                  <wpg:grpSpPr>
                                    <a:xfrm>
                                      <a:off x="0" y="0"/>
                                      <a:ext cx="3291343" cy="548253"/>
                                      <a:chOff x="0" y="0"/>
                                      <a:chExt cx="3291343" cy="548253"/>
                                    </a:xfrm>
                                  </wpg:grpSpPr>
                                  <wps:wsp>
                                    <wps:cNvPr id="228" name="Rectangle 228"/>
                                    <wps:cNvSpPr/>
                                    <wps:spPr>
                                      <a:xfrm>
                                        <a:off x="0" y="326003"/>
                                        <a:ext cx="651510" cy="2222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101F47" w:rsidRDefault="00584F9A" w:rsidP="001C172D">
                                          <w:pPr>
                                            <w:pStyle w:val="ChartBoldText"/>
                                            <w:rPr>
                                              <w:color w:val="000000" w:themeColor="text1"/>
                                            </w:rPr>
                                          </w:pPr>
                                          <w:r w:rsidRPr="00101F47">
                                            <w:rPr>
                                              <w:color w:val="000000" w:themeColor="text1"/>
                                            </w:rPr>
                                            <w:t>LAS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32" name="Rectangle 232"/>
                                    <wps:cNvSpPr/>
                                    <wps:spPr>
                                      <a:xfrm>
                                        <a:off x="803082" y="326003"/>
                                        <a:ext cx="651510" cy="2222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101F47" w:rsidRDefault="00584F9A" w:rsidP="001C172D">
                                          <w:pPr>
                                            <w:pStyle w:val="ChartBoldText"/>
                                            <w:rPr>
                                              <w:color w:val="000000" w:themeColor="text1"/>
                                            </w:rPr>
                                          </w:pPr>
                                          <w:r w:rsidRPr="00101F47">
                                            <w:rPr>
                                              <w:color w:val="000000" w:themeColor="text1"/>
                                            </w:rPr>
                                            <w:t>LAS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36" name="Rectangle 236"/>
                                    <wps:cNvSpPr/>
                                    <wps:spPr>
                                      <a:xfrm>
                                        <a:off x="1836752" y="326003"/>
                                        <a:ext cx="651510" cy="2222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101F47" w:rsidRDefault="00584F9A" w:rsidP="001C172D">
                                          <w:pPr>
                                            <w:pStyle w:val="ChartBoldText"/>
                                            <w:rPr>
                                              <w:color w:val="000000" w:themeColor="text1"/>
                                            </w:rPr>
                                          </w:pPr>
                                          <w:r w:rsidRPr="00101F47">
                                            <w:rPr>
                                              <w:color w:val="000000" w:themeColor="text1"/>
                                            </w:rPr>
                                            <w:t>LAS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44" name="Rectangle 244"/>
                                    <wps:cNvSpPr/>
                                    <wps:spPr>
                                      <a:xfrm>
                                        <a:off x="2639833" y="326003"/>
                                        <a:ext cx="651510" cy="2222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101F47" w:rsidRDefault="00584F9A" w:rsidP="001C172D">
                                          <w:pPr>
                                            <w:pStyle w:val="ChartBoldText"/>
                                            <w:rPr>
                                              <w:color w:val="000000" w:themeColor="text1"/>
                                            </w:rPr>
                                          </w:pPr>
                                          <w:r w:rsidRPr="00101F47">
                                            <w:rPr>
                                              <w:color w:val="000000" w:themeColor="text1"/>
                                            </w:rPr>
                                            <w:t>LAS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cNvPr id="245" name="Group 245"/>
                                    <wpg:cNvGrpSpPr/>
                                    <wpg:grpSpPr>
                                      <a:xfrm>
                                        <a:off x="310101" y="0"/>
                                        <a:ext cx="2678724" cy="326528"/>
                                        <a:chOff x="0" y="0"/>
                                        <a:chExt cx="2678724" cy="326528"/>
                                      </a:xfrm>
                                    </wpg:grpSpPr>
                                    <wps:wsp>
                                      <wps:cNvPr id="246" name="Straight Connector 246"/>
                                      <wps:cNvCnPr/>
                                      <wps:spPr>
                                        <a:xfrm flipH="1">
                                          <a:off x="0" y="0"/>
                                          <a:ext cx="437189" cy="326528"/>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247" name="Straight Connector 247"/>
                                      <wps:cNvCnPr/>
                                      <wps:spPr>
                                        <a:xfrm>
                                          <a:off x="437322" y="0"/>
                                          <a:ext cx="412602" cy="326003"/>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248" name="Straight Connector 248"/>
                                      <wps:cNvCnPr/>
                                      <wps:spPr>
                                        <a:xfrm>
                                          <a:off x="437322" y="0"/>
                                          <a:ext cx="1423283" cy="326003"/>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249" name="Straight Connector 249"/>
                                      <wps:cNvCnPr/>
                                      <wps:spPr>
                                        <a:xfrm>
                                          <a:off x="437322" y="0"/>
                                          <a:ext cx="2241402" cy="325755"/>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wpg:grpSp>
                                </wpg:grpSp>
                                <wpg:grpSp>
                                  <wpg:cNvPr id="250" name="Group 250"/>
                                  <wpg:cNvGrpSpPr/>
                                  <wpg:grpSpPr>
                                    <a:xfrm flipH="1">
                                      <a:off x="310101" y="0"/>
                                      <a:ext cx="2678400" cy="326528"/>
                                      <a:chOff x="0" y="0"/>
                                      <a:chExt cx="2678724" cy="326528"/>
                                    </a:xfrm>
                                  </wpg:grpSpPr>
                                  <wps:wsp>
                                    <wps:cNvPr id="251" name="Straight Connector 251"/>
                                    <wps:cNvCnPr/>
                                    <wps:spPr>
                                      <a:xfrm flipH="1">
                                        <a:off x="0" y="0"/>
                                        <a:ext cx="437189" cy="326528"/>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252" name="Straight Connector 252"/>
                                    <wps:cNvCnPr/>
                                    <wps:spPr>
                                      <a:xfrm>
                                        <a:off x="437322" y="0"/>
                                        <a:ext cx="412602" cy="326003"/>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253" name="Straight Connector 253"/>
                                    <wps:cNvCnPr/>
                                    <wps:spPr>
                                      <a:xfrm>
                                        <a:off x="437322" y="0"/>
                                        <a:ext cx="1423283" cy="326003"/>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254" name="Straight Connector 254"/>
                                    <wps:cNvCnPr/>
                                    <wps:spPr>
                                      <a:xfrm>
                                        <a:off x="437322" y="0"/>
                                        <a:ext cx="2241402" cy="325755"/>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wpg:grpSp>
                              </wpg:grpSp>
                              <wpg:grpSp>
                                <wpg:cNvPr id="255" name="Group 255"/>
                                <wpg:cNvGrpSpPr/>
                                <wpg:grpSpPr>
                                  <a:xfrm>
                                    <a:off x="182880" y="1582309"/>
                                    <a:ext cx="3347085" cy="619760"/>
                                    <a:chOff x="0" y="0"/>
                                    <a:chExt cx="3347085" cy="619816"/>
                                  </a:xfrm>
                                </wpg:grpSpPr>
                                <wpg:grpSp>
                                  <wpg:cNvPr id="32" name="Group 32"/>
                                  <wpg:cNvGrpSpPr/>
                                  <wpg:grpSpPr>
                                    <a:xfrm>
                                      <a:off x="1828800" y="397566"/>
                                      <a:ext cx="1518285" cy="222250"/>
                                      <a:chOff x="0" y="0"/>
                                      <a:chExt cx="1518644" cy="222250"/>
                                    </a:xfrm>
                                    <a:solidFill>
                                      <a:schemeClr val="accent2"/>
                                    </a:solidFill>
                                  </wpg:grpSpPr>
                                  <wps:wsp>
                                    <wps:cNvPr id="33" name="Rectangle 33"/>
                                    <wps:cNvSpPr/>
                                    <wps:spPr>
                                      <a:xfrm>
                                        <a:off x="564543" y="0"/>
                                        <a:ext cx="412833" cy="2222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DA2AB5" w:rsidRDefault="00584F9A" w:rsidP="001C172D">
                                          <w:pPr>
                                            <w:pStyle w:val="ChartBoldText"/>
                                          </w:pPr>
                                          <w:r>
                                            <w:t>LE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34" name="Rectangle 34"/>
                                    <wps:cNvSpPr/>
                                    <wps:spPr>
                                      <a:xfrm>
                                        <a:off x="1121134" y="0"/>
                                        <a:ext cx="397510" cy="2222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DA2AB5" w:rsidRDefault="00584F9A" w:rsidP="001C172D">
                                          <w:pPr>
                                            <w:pStyle w:val="ChartBoldText"/>
                                          </w:pPr>
                                          <w:r>
                                            <w:t>LE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35" name="Rectangle 35"/>
                                    <wps:cNvSpPr/>
                                    <wps:spPr>
                                      <a:xfrm>
                                        <a:off x="0" y="0"/>
                                        <a:ext cx="412833" cy="2222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DA2AB5" w:rsidRDefault="00584F9A" w:rsidP="001C172D">
                                          <w:pPr>
                                            <w:pStyle w:val="ChartBoldText"/>
                                          </w:pPr>
                                          <w:r>
                                            <w:t>LE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36" name="Group 36"/>
                                  <wpg:cNvGrpSpPr/>
                                  <wpg:grpSpPr>
                                    <a:xfrm>
                                      <a:off x="0" y="397566"/>
                                      <a:ext cx="1518285" cy="222250"/>
                                      <a:chOff x="0" y="0"/>
                                      <a:chExt cx="1518644" cy="222250"/>
                                    </a:xfrm>
                                    <a:solidFill>
                                      <a:schemeClr val="accent2"/>
                                    </a:solidFill>
                                  </wpg:grpSpPr>
                                  <wps:wsp>
                                    <wps:cNvPr id="37" name="Rectangle 37"/>
                                    <wps:cNvSpPr/>
                                    <wps:spPr>
                                      <a:xfrm>
                                        <a:off x="564543" y="0"/>
                                        <a:ext cx="412833" cy="2222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DA2AB5" w:rsidRDefault="00584F9A" w:rsidP="001C172D">
                                          <w:pPr>
                                            <w:pStyle w:val="ChartBoldText"/>
                                          </w:pPr>
                                          <w:r>
                                            <w:t>LE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38" name="Rectangle 38"/>
                                    <wps:cNvSpPr/>
                                    <wps:spPr>
                                      <a:xfrm>
                                        <a:off x="1121134" y="0"/>
                                        <a:ext cx="397510" cy="2222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DA2AB5" w:rsidRDefault="00584F9A" w:rsidP="001C172D">
                                          <w:pPr>
                                            <w:pStyle w:val="ChartBoldText"/>
                                          </w:pPr>
                                          <w:r>
                                            <w:t>LE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39" name="Rectangle 39"/>
                                    <wps:cNvSpPr/>
                                    <wps:spPr>
                                      <a:xfrm>
                                        <a:off x="0" y="0"/>
                                        <a:ext cx="412833" cy="2222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DA2AB5" w:rsidRDefault="00584F9A" w:rsidP="001C172D">
                                          <w:pPr>
                                            <w:pStyle w:val="ChartBoldText"/>
                                          </w:pPr>
                                          <w:r>
                                            <w:t>LE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40" name="Group 40"/>
                                  <wpg:cNvGrpSpPr/>
                                  <wpg:grpSpPr>
                                    <a:xfrm>
                                      <a:off x="222637" y="7952"/>
                                      <a:ext cx="1088390" cy="397510"/>
                                      <a:chOff x="0" y="0"/>
                                      <a:chExt cx="1088390" cy="397566"/>
                                    </a:xfrm>
                                  </wpg:grpSpPr>
                                  <wps:wsp>
                                    <wps:cNvPr id="41" name="Straight Connector 41"/>
                                    <wps:cNvCnPr/>
                                    <wps:spPr>
                                      <a:xfrm flipH="1">
                                        <a:off x="0" y="0"/>
                                        <a:ext cx="317500" cy="39751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318052" y="0"/>
                                        <a:ext cx="238125" cy="39751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317891" y="0"/>
                                        <a:ext cx="770499" cy="397566"/>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g:grpSp>
                                  <wpg:cNvPr id="44" name="Group 44"/>
                                  <wpg:cNvGrpSpPr/>
                                  <wpg:grpSpPr>
                                    <a:xfrm>
                                      <a:off x="2043485" y="0"/>
                                      <a:ext cx="1088390" cy="397510"/>
                                      <a:chOff x="0" y="0"/>
                                      <a:chExt cx="1088390" cy="397566"/>
                                    </a:xfrm>
                                  </wpg:grpSpPr>
                                  <wps:wsp>
                                    <wps:cNvPr id="52" name="Straight Connector 52"/>
                                    <wps:cNvCnPr/>
                                    <wps:spPr>
                                      <a:xfrm flipH="1">
                                        <a:off x="0" y="0"/>
                                        <a:ext cx="317500" cy="39751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318052" y="0"/>
                                        <a:ext cx="238125" cy="39751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317891" y="0"/>
                                        <a:ext cx="770499" cy="397566"/>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g:grpSp>
                              <wpg:grpSp>
                                <wpg:cNvPr id="55" name="Group 55"/>
                                <wpg:cNvGrpSpPr/>
                                <wpg:grpSpPr>
                                  <a:xfrm>
                                    <a:off x="405517" y="858741"/>
                                    <a:ext cx="3275330" cy="730885"/>
                                    <a:chOff x="0" y="0"/>
                                    <a:chExt cx="3275440" cy="731133"/>
                                  </a:xfrm>
                                </wpg:grpSpPr>
                                <wpg:grpSp>
                                  <wpg:cNvPr id="56" name="Group 56"/>
                                  <wpg:cNvGrpSpPr/>
                                  <wpg:grpSpPr>
                                    <a:xfrm>
                                      <a:off x="286247" y="0"/>
                                      <a:ext cx="849436" cy="620201"/>
                                      <a:chOff x="0" y="0"/>
                                      <a:chExt cx="849436" cy="620201"/>
                                    </a:xfrm>
                                  </wpg:grpSpPr>
                                  <wps:wsp>
                                    <wps:cNvPr id="57" name="Straight Connector 57"/>
                                    <wps:cNvCnPr/>
                                    <wps:spPr>
                                      <a:xfrm flipH="1">
                                        <a:off x="0" y="0"/>
                                        <a:ext cx="436245" cy="61976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437321" y="0"/>
                                        <a:ext cx="412115" cy="61976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flipH="1">
                                        <a:off x="0" y="620201"/>
                                        <a:ext cx="848941"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g:grpSp>
                                <wps:wsp>
                                  <wps:cNvPr id="62" name="Rectangle 62"/>
                                  <wps:cNvSpPr/>
                                  <wps:spPr>
                                    <a:xfrm>
                                      <a:off x="834887" y="508883"/>
                                      <a:ext cx="651510" cy="2222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101F47" w:rsidRDefault="00584F9A" w:rsidP="001C172D">
                                        <w:pPr>
                                          <w:pStyle w:val="ChartBoldText"/>
                                          <w:rPr>
                                            <w:color w:val="000000" w:themeColor="text1"/>
                                          </w:rPr>
                                        </w:pPr>
                                        <w:proofErr w:type="spellStart"/>
                                        <w:r w:rsidRPr="00101F47">
                                          <w:rPr>
                                            <w:color w:val="000000" w:themeColor="text1"/>
                                          </w:rPr>
                                          <w:t>P</w:t>
                                        </w:r>
                                        <w:r>
                                          <w:rPr>
                                            <w:color w:val="000000" w:themeColor="text1"/>
                                          </w:rPr>
                                          <w:t>o</w:t>
                                        </w:r>
                                        <w:r w:rsidRPr="00101F47">
                                          <w:rPr>
                                            <w:color w:val="000000" w:themeColor="text1"/>
                                          </w:rPr>
                                          <w:t>C</w:t>
                                        </w:r>
                                        <w:proofErr w:type="spellEnd"/>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cNvPr id="63" name="Group 63"/>
                                  <wpg:cNvGrpSpPr/>
                                  <wpg:grpSpPr>
                                    <a:xfrm>
                                      <a:off x="2115047" y="0"/>
                                      <a:ext cx="849436" cy="620201"/>
                                      <a:chOff x="0" y="0"/>
                                      <a:chExt cx="849436" cy="620201"/>
                                    </a:xfrm>
                                  </wpg:grpSpPr>
                                  <wps:wsp>
                                    <wps:cNvPr id="512" name="Straight Connector 512"/>
                                    <wps:cNvCnPr/>
                                    <wps:spPr>
                                      <a:xfrm flipH="1">
                                        <a:off x="0" y="0"/>
                                        <a:ext cx="436245" cy="61976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513" name="Straight Connector 513"/>
                                    <wps:cNvCnPr/>
                                    <wps:spPr>
                                      <a:xfrm>
                                        <a:off x="437321" y="0"/>
                                        <a:ext cx="412115" cy="61976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514" name="Straight Connector 514"/>
                                    <wps:cNvCnPr/>
                                    <wps:spPr>
                                      <a:xfrm flipH="1">
                                        <a:off x="0" y="620201"/>
                                        <a:ext cx="848941"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g:grpSp>
                                <wps:wsp>
                                  <wps:cNvPr id="515" name="Rectangle 515"/>
                                  <wps:cNvSpPr/>
                                  <wps:spPr>
                                    <a:xfrm>
                                      <a:off x="2623930" y="500932"/>
                                      <a:ext cx="651510" cy="2222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101F47" w:rsidRDefault="00584F9A" w:rsidP="001C172D">
                                        <w:pPr>
                                          <w:pStyle w:val="ChartBoldText"/>
                                          <w:rPr>
                                            <w:color w:val="000000" w:themeColor="text1"/>
                                          </w:rPr>
                                        </w:pPr>
                                        <w:proofErr w:type="spellStart"/>
                                        <w:r w:rsidRPr="00101F47">
                                          <w:rPr>
                                            <w:color w:val="000000" w:themeColor="text1"/>
                                          </w:rPr>
                                          <w:t>P</w:t>
                                        </w:r>
                                        <w:r>
                                          <w:rPr>
                                            <w:color w:val="000000" w:themeColor="text1"/>
                                          </w:rPr>
                                          <w:t>o</w:t>
                                        </w:r>
                                        <w:r w:rsidRPr="00101F47">
                                          <w:rPr>
                                            <w:color w:val="000000" w:themeColor="text1"/>
                                          </w:rPr>
                                          <w:t>C</w:t>
                                        </w:r>
                                        <w:proofErr w:type="spellEnd"/>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516" name="Rectangle 516"/>
                                  <wps:cNvSpPr/>
                                  <wps:spPr>
                                    <a:xfrm>
                                      <a:off x="0" y="508883"/>
                                      <a:ext cx="651510" cy="2222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101F47" w:rsidRDefault="00584F9A" w:rsidP="001C172D">
                                        <w:pPr>
                                          <w:pStyle w:val="ChartBoldText"/>
                                          <w:rPr>
                                            <w:color w:val="000000" w:themeColor="text1"/>
                                          </w:rPr>
                                        </w:pPr>
                                        <w:proofErr w:type="spellStart"/>
                                        <w:r w:rsidRPr="00101F47">
                                          <w:rPr>
                                            <w:color w:val="000000" w:themeColor="text1"/>
                                          </w:rPr>
                                          <w:t>P</w:t>
                                        </w:r>
                                        <w:r>
                                          <w:rPr>
                                            <w:color w:val="000000" w:themeColor="text1"/>
                                          </w:rPr>
                                          <w:t>o</w:t>
                                        </w:r>
                                        <w:r w:rsidRPr="00101F47">
                                          <w:rPr>
                                            <w:color w:val="000000" w:themeColor="text1"/>
                                          </w:rPr>
                                          <w:t>C</w:t>
                                        </w:r>
                                        <w:proofErr w:type="spellEnd"/>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517" name="Rectangle 517"/>
                                  <wps:cNvSpPr/>
                                  <wps:spPr>
                                    <a:xfrm>
                                      <a:off x="1820848" y="500932"/>
                                      <a:ext cx="651510" cy="2222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101F47" w:rsidRDefault="00584F9A" w:rsidP="001C172D">
                                        <w:pPr>
                                          <w:pStyle w:val="ChartBoldText"/>
                                          <w:rPr>
                                            <w:color w:val="000000" w:themeColor="text1"/>
                                          </w:rPr>
                                        </w:pPr>
                                        <w:proofErr w:type="spellStart"/>
                                        <w:r w:rsidRPr="00101F47">
                                          <w:rPr>
                                            <w:color w:val="000000" w:themeColor="text1"/>
                                          </w:rPr>
                                          <w:t>P</w:t>
                                        </w:r>
                                        <w:r>
                                          <w:rPr>
                                            <w:color w:val="000000" w:themeColor="text1"/>
                                          </w:rPr>
                                          <w:t>o</w:t>
                                        </w:r>
                                        <w:r w:rsidRPr="00101F47">
                                          <w:rPr>
                                            <w:color w:val="000000" w:themeColor="text1"/>
                                          </w:rPr>
                                          <w:t>C</w:t>
                                        </w:r>
                                        <w:proofErr w:type="spellEnd"/>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s:wsp>
                              <wps:cNvPr id="518" name="Rectangle 518"/>
                              <wps:cNvSpPr/>
                              <wps:spPr>
                                <a:xfrm>
                                  <a:off x="1311965" y="0"/>
                                  <a:ext cx="1423035" cy="3416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8E76A9" w:rsidRDefault="00584F9A" w:rsidP="001C172D">
                                    <w:pPr>
                                      <w:pStyle w:val="ChartBoldText"/>
                                      <w:rPr>
                                        <w:rFonts w:ascii="Franklin Gothic Book" w:hAnsi="Franklin Gothic Book"/>
                                        <w:color w:val="000000" w:themeColor="text1"/>
                                      </w:rPr>
                                    </w:pPr>
                                    <w:r w:rsidRPr="008E76A9">
                                      <w:rPr>
                                        <w:rFonts w:ascii="Franklin Gothic Book" w:hAnsi="Franklin Gothic Book"/>
                                        <w:color w:val="000000" w:themeColor="text1"/>
                                      </w:rPr>
                                      <w:t xml:space="preserve">TNS </w:t>
                                    </w:r>
                                    <w:proofErr w:type="gramStart"/>
                                    <w:r w:rsidRPr="008E76A9">
                                      <w:rPr>
                                        <w:rFonts w:ascii="Franklin Gothic Book" w:hAnsi="Franklin Gothic Book"/>
                                        <w:color w:val="000000" w:themeColor="text1"/>
                                      </w:rPr>
                                      <w:t>are fully meshed</w:t>
                                    </w:r>
                                    <w:proofErr w:type="gramEnd"/>
                                    <w:r w:rsidRPr="008E76A9">
                                      <w:rPr>
                                        <w:rFonts w:ascii="Franklin Gothic Book" w:hAnsi="Franklin Gothic Book"/>
                                        <w:color w:val="000000" w:themeColor="text1"/>
                                      </w:rPr>
                                      <w:t xml:space="preserve"> on distinct physical rings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70" name="Rectangle 70"/>
                              <wps:cNvSpPr/>
                              <wps:spPr>
                                <a:xfrm>
                                  <a:off x="0" y="516835"/>
                                  <a:ext cx="779145" cy="4768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8E76A9" w:rsidRDefault="00584F9A" w:rsidP="001C172D">
                                    <w:pPr>
                                      <w:pStyle w:val="ChartBoldText"/>
                                      <w:jc w:val="left"/>
                                      <w:rPr>
                                        <w:rFonts w:ascii="Franklin Gothic Book" w:hAnsi="Franklin Gothic Book"/>
                                        <w:color w:val="000000" w:themeColor="text1"/>
                                      </w:rPr>
                                    </w:pPr>
                                    <w:r>
                                      <w:rPr>
                                        <w:rFonts w:ascii="Franklin Gothic Book" w:hAnsi="Franklin Gothic Book"/>
                                        <w:color w:val="000000" w:themeColor="text1"/>
                                      </w:rPr>
                                      <w:t>LAS parented by two TNS, on LAS rings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71" name="Rectangle 71"/>
                              <wps:cNvSpPr/>
                              <wps:spPr>
                                <a:xfrm>
                                  <a:off x="0" y="1327868"/>
                                  <a:ext cx="969010" cy="412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8E76A9" w:rsidRDefault="00584F9A" w:rsidP="001C172D">
                                    <w:pPr>
                                      <w:pStyle w:val="ChartBoldText"/>
                                      <w:jc w:val="left"/>
                                      <w:rPr>
                                        <w:rFonts w:ascii="Franklin Gothic Book" w:hAnsi="Franklin Gothic Book"/>
                                        <w:color w:val="000000" w:themeColor="text1"/>
                                      </w:rPr>
                                    </w:pPr>
                                    <w:proofErr w:type="spellStart"/>
                                    <w:r>
                                      <w:rPr>
                                        <w:rFonts w:ascii="Franklin Gothic Book" w:hAnsi="Franklin Gothic Book"/>
                                        <w:color w:val="000000" w:themeColor="text1"/>
                                      </w:rPr>
                                      <w:t>PoC</w:t>
                                    </w:r>
                                    <w:proofErr w:type="spellEnd"/>
                                    <w:r>
                                      <w:rPr>
                                        <w:rFonts w:ascii="Franklin Gothic Book" w:hAnsi="Franklin Gothic Book"/>
                                        <w:color w:val="000000" w:themeColor="text1"/>
                                      </w:rPr>
                                      <w:t xml:space="preserve"> parented </w:t>
                                    </w:r>
                                    <w:proofErr w:type="gramStart"/>
                                    <w:r>
                                      <w:rPr>
                                        <w:rFonts w:ascii="Franklin Gothic Book" w:hAnsi="Franklin Gothic Book"/>
                                        <w:color w:val="000000" w:themeColor="text1"/>
                                      </w:rPr>
                                      <w:t>by a LAS</w:t>
                                    </w:r>
                                    <w:proofErr w:type="gramEnd"/>
                                    <w:r>
                                      <w:rPr>
                                        <w:rFonts w:ascii="Franklin Gothic Book" w:hAnsi="Franklin Gothic Book"/>
                                        <w:color w:val="000000" w:themeColor="text1"/>
                                      </w:rPr>
                                      <w:t xml:space="preserve"> on a ring</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72" name="Rectangle 72"/>
                              <wps:cNvSpPr/>
                              <wps:spPr>
                                <a:xfrm>
                                  <a:off x="0" y="1860605"/>
                                  <a:ext cx="779145" cy="4768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8E76A9" w:rsidRDefault="00584F9A" w:rsidP="001C172D">
                                    <w:pPr>
                                      <w:pStyle w:val="ChartBoldText"/>
                                      <w:jc w:val="left"/>
                                      <w:rPr>
                                        <w:rFonts w:ascii="Franklin Gothic Book" w:hAnsi="Franklin Gothic Book"/>
                                        <w:color w:val="000000" w:themeColor="text1"/>
                                      </w:rPr>
                                    </w:pPr>
                                    <w:proofErr w:type="gramStart"/>
                                    <w:r>
                                      <w:rPr>
                                        <w:rFonts w:ascii="Franklin Gothic Book" w:hAnsi="Franklin Gothic Book"/>
                                        <w:color w:val="000000" w:themeColor="text1"/>
                                      </w:rPr>
                                      <w:t xml:space="preserve">Each LE is parented by a </w:t>
                                    </w:r>
                                    <w:proofErr w:type="spellStart"/>
                                    <w:r>
                                      <w:rPr>
                                        <w:rFonts w:ascii="Franklin Gothic Book" w:hAnsi="Franklin Gothic Book"/>
                                        <w:color w:val="000000" w:themeColor="text1"/>
                                      </w:rPr>
                                      <w:t>PoC</w:t>
                                    </w:r>
                                    <w:proofErr w:type="spellEnd"/>
                                    <w:proofErr w:type="gramEnd"/>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73" name="Rectangle 73"/>
                              <wps:cNvSpPr/>
                              <wps:spPr>
                                <a:xfrm>
                                  <a:off x="4253947" y="365760"/>
                                  <a:ext cx="650875" cy="30099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8E76A9" w:rsidRDefault="00584F9A" w:rsidP="001C172D">
                                    <w:pPr>
                                      <w:pStyle w:val="ChartBoldText"/>
                                      <w:spacing w:after="0"/>
                                      <w:rPr>
                                        <w:rFonts w:ascii="Franklin Gothic Book" w:hAnsi="Franklin Gothic Book"/>
                                        <w:color w:val="006B7A" w:themeColor="accent1"/>
                                        <w:sz w:val="20"/>
                                        <w:szCs w:val="20"/>
                                      </w:rPr>
                                    </w:pPr>
                                    <w:proofErr w:type="gramStart"/>
                                    <w:r>
                                      <w:rPr>
                                        <w:rFonts w:ascii="Franklin Gothic Book" w:hAnsi="Franklin Gothic Book"/>
                                        <w:color w:val="006B7A" w:themeColor="accent1"/>
                                        <w:sz w:val="20"/>
                                        <w:szCs w:val="20"/>
                                      </w:rPr>
                                      <w:t>14</w:t>
                                    </w:r>
                                    <w:proofErr w:type="gramEnd"/>
                                    <w:r>
                                      <w:rPr>
                                        <w:rFonts w:ascii="Franklin Gothic Book" w:hAnsi="Franklin Gothic Book"/>
                                        <w:color w:val="006B7A" w:themeColor="accent1"/>
                                        <w:sz w:val="20"/>
                                        <w:szCs w:val="20"/>
                                      </w:rPr>
                                      <w:t xml:space="preserve"> TNS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74" name="Rectangle 74"/>
                              <wps:cNvSpPr/>
                              <wps:spPr>
                                <a:xfrm>
                                  <a:off x="4253947" y="946205"/>
                                  <a:ext cx="650875" cy="30099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8E76A9" w:rsidRDefault="00584F9A" w:rsidP="001C172D">
                                    <w:pPr>
                                      <w:pStyle w:val="ChartBoldText"/>
                                      <w:spacing w:after="0"/>
                                      <w:rPr>
                                        <w:rFonts w:ascii="Franklin Gothic Book" w:hAnsi="Franklin Gothic Book"/>
                                        <w:color w:val="9B917E" w:themeColor="accent4"/>
                                        <w:sz w:val="20"/>
                                        <w:szCs w:val="20"/>
                                      </w:rPr>
                                    </w:pPr>
                                    <w:proofErr w:type="gramStart"/>
                                    <w:r w:rsidRPr="008E76A9">
                                      <w:rPr>
                                        <w:rFonts w:ascii="Franklin Gothic Book" w:hAnsi="Franklin Gothic Book"/>
                                        <w:color w:val="9B917E" w:themeColor="accent4"/>
                                        <w:sz w:val="20"/>
                                        <w:szCs w:val="20"/>
                                      </w:rPr>
                                      <w:t>133</w:t>
                                    </w:r>
                                    <w:proofErr w:type="gramEnd"/>
                                    <w:r w:rsidRPr="008E76A9">
                                      <w:rPr>
                                        <w:rFonts w:ascii="Franklin Gothic Book" w:hAnsi="Franklin Gothic Book"/>
                                        <w:color w:val="9B917E" w:themeColor="accent4"/>
                                        <w:sz w:val="20"/>
                                        <w:szCs w:val="20"/>
                                      </w:rPr>
                                      <w:t xml:space="preserve"> LAS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75" name="Rectangle 75"/>
                              <wps:cNvSpPr/>
                              <wps:spPr>
                                <a:xfrm>
                                  <a:off x="4253947" y="1995777"/>
                                  <a:ext cx="650875" cy="30099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8E76A9" w:rsidRDefault="00584F9A" w:rsidP="001C172D">
                                    <w:pPr>
                                      <w:pStyle w:val="ChartBoldText"/>
                                      <w:spacing w:after="0"/>
                                      <w:rPr>
                                        <w:rFonts w:ascii="Franklin Gothic Book" w:hAnsi="Franklin Gothic Book"/>
                                        <w:color w:val="F61D12" w:themeColor="accent2"/>
                                        <w:sz w:val="20"/>
                                        <w:szCs w:val="20"/>
                                      </w:rPr>
                                    </w:pPr>
                                    <w:r w:rsidRPr="008E76A9">
                                      <w:rPr>
                                        <w:rFonts w:ascii="Franklin Gothic Book" w:hAnsi="Franklin Gothic Book"/>
                                        <w:color w:val="F61D12" w:themeColor="accent2"/>
                                        <w:sz w:val="20"/>
                                        <w:szCs w:val="20"/>
                                      </w:rPr>
                                      <w:t>5070 LE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76" name="Right Brace 76"/>
                              <wps:cNvSpPr/>
                              <wps:spPr>
                                <a:xfrm>
                                  <a:off x="4079019" y="1741336"/>
                                  <a:ext cx="143703" cy="818018"/>
                                </a:xfrm>
                                <a:prstGeom prst="rightBrac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 o:spid="_x0000_s1072" alt="Chart providing an overview of the inter-exchange network (IEN) modelled in the Analysis Cost Model." style="width:386.2pt;height:201.5pt;mso-position-horizontal-relative:char;mso-position-vertical-relative:line" coordsize="49048,2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">
                      <v:group id="Group 13" o:spid="_x0000_s1073" style="position:absolute;left:3737;top:3578;width:36804;height:22015" coordsize="36808,2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9" o:spid="_x0000_s1074" style="position:absolute;left:4055;width:24720;height:3016" coordsize="24723,3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24" o:spid="_x0000_s1075" style="position:absolute;left:4770;width:14949;height:3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OOcUA&#10;AADbAAAADwAAAGRycy9kb3ducmV2LnhtbESPQWvCQBSE70L/w/IKvemmoYikrlKkgpSSYiyU3h67&#10;zyQ0+zZk1yT6692C4HGYmW+Y5Xq0jeip87VjBc+zBASxdqbmUsH3YTtdgPAB2WDjmBScycN69TBZ&#10;YmbcwHvqi1CKCGGfoYIqhDaT0uuKLPqZa4mjd3SdxRBlV0rT4RDhtpFpksylxZrjQoUtbSrSf8XJ&#10;Kvj9/EoPyaDTy353LN+Ln/yDN7lST4/j2yuIQGO4h2/tnVGQvsD/l/g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o45xQAAANsAAAAPAAAAAAAAAAAAAAAAAJgCAABkcnMv&#10;ZG93bnJldi54bWxQSwUGAAAAAAQABAD1AAAAigMAAAAA&#10;" filled="f" strokecolor="#006b7a [3204]" strokeweight="1pt"/>
                          <v:rect id="Rectangle 25" o:spid="_x0000_s1076" style="position:absolute;width:6515;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i1sQA&#10;AADbAAAADwAAAGRycy9kb3ducmV2LnhtbESPQWvCQBSE70L/w/IKvemmQkWiq9g2Kb21Jgoen9ln&#10;Ept9G7LbGP99tyB4HGbmG2a5HkwjeupcbVnB8yQCQVxYXXOpYJen4zkI55E1NpZJwZUcrFcPoyXG&#10;2l54S33mSxEg7GJUUHnfxlK6oiKDbmJb4uCdbGfQB9mVUnd4CXDTyGkUzaTBmsNChS29VVT8ZL9G&#10;wfe1SGn2vk++DsfkgyOdb16Ts1JPj8NmAcLT4O/hW/tTK5i+wP+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otbEAAAA2wAAAA8AAAAAAAAAAAAAAAAAmAIAAGRycy9k&#10;b3ducmV2LnhtbFBLBQYAAAAABAAEAPUAAACJAwAAAAA=&#10;" fillcolor="#006b7a [3204]" stroked="f" strokeweight="2pt">
                            <v:textbox inset="2mm,1mm,2mm,1mm">
                              <w:txbxContent>
                                <w:p w:rsidR="00584F9A" w:rsidRPr="00DA2AB5" w:rsidRDefault="00584F9A" w:rsidP="001C172D">
                                  <w:pPr>
                                    <w:pStyle w:val="ChartBoldText"/>
                                    <w:spacing w:after="0"/>
                                  </w:pPr>
                                  <w:r>
                                    <w:t>TNS</w:t>
                                  </w:r>
                                </w:p>
                              </w:txbxContent>
                            </v:textbox>
                          </v:rect>
                          <v:rect id="Rectangle 26" o:spid="_x0000_s1077" style="position:absolute;left:18208;width:6515;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8ocQA&#10;AADbAAAADwAAAGRycy9kb3ducmV2LnhtbESPQWvCQBSE70L/w/IKvemmHoKk2YjWKL3Vagsen9ln&#10;kjb7NmS3Sfz3rlDocZiZb5h0OZpG9NS52rKC51kEgriwuuZSwedxO12AcB5ZY2OZFFzJwTJ7mKSY&#10;aDvwB/UHX4oAYZeggsr7NpHSFRUZdDPbEgfvYjuDPsiulLrDIcBNI+dRFEuDNYeFClt6raj4Ofwa&#10;BftrsaV485W/n875jiN9XK3zb6WeHsfVCwhPo/8P/7XftIJ5DPcv4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DPKHEAAAA2wAAAA8AAAAAAAAAAAAAAAAAmAIAAGRycy9k&#10;b3ducmV2LnhtbFBLBQYAAAAABAAEAPUAAACJAwAAAAA=&#10;" fillcolor="#006b7a [3204]" stroked="f" strokeweight="2pt">
                            <v:textbox inset="2mm,1mm,2mm,1mm">
                              <w:txbxContent>
                                <w:p w:rsidR="00584F9A" w:rsidRPr="00DA2AB5" w:rsidRDefault="00584F9A" w:rsidP="001C172D">
                                  <w:pPr>
                                    <w:pStyle w:val="ChartBoldText"/>
                                    <w:spacing w:after="0"/>
                                  </w:pPr>
                                  <w:r>
                                    <w:t>TNS</w:t>
                                  </w:r>
                                </w:p>
                              </w:txbxContent>
                            </v:textbox>
                          </v:rect>
                        </v:group>
                        <v:group id="Group 27" o:spid="_x0000_s1078" style="position:absolute;top:3101;width:32912;height:5480" coordsize="32913,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27" o:spid="_x0000_s1079" style="position:absolute;width:32913;height:5482" coordsize="32913,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rect id="Rectangle 228" o:spid="_x0000_s1080" style="position:absolute;top:3260;width:6515;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zdL8EA&#10;AADcAAAADwAAAGRycy9kb3ducmV2LnhtbERPTYvCMBC9C/6HMII3m1pwcbvGUgRZXURc9bK3oRnb&#10;YjMpTVbrvzcHwePjfS+y3jTiRp2rLSuYRjEI4sLqmksF59N6MgfhPLLGxjIpeJCDbDkcLDDV9s6/&#10;dDv6UoQQdikqqLxvUyldUZFBF9mWOHAX2xn0AXal1B3eQ7hpZBLHH9JgzaGhwpZWFRXX479R8Lnn&#10;/MKHU/P984drnO5m9nHeKjUe9fkXCE+9f4tf7o1WkCRhbTgTj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c3S/BAAAA3AAAAA8AAAAAAAAAAAAAAAAAmAIAAGRycy9kb3du&#10;cmV2LnhtbFBLBQYAAAAABAAEAPUAAACGAwAAAAA=&#10;" fillcolor="#c6bfab [3206]" stroked="f" strokeweight="2pt">
                              <v:textbox inset="2mm,1mm,2mm,1mm">
                                <w:txbxContent>
                                  <w:p w:rsidR="00584F9A" w:rsidRPr="00101F47" w:rsidRDefault="00584F9A" w:rsidP="001C172D">
                                    <w:pPr>
                                      <w:pStyle w:val="ChartBoldText"/>
                                      <w:rPr>
                                        <w:color w:val="000000" w:themeColor="text1"/>
                                      </w:rPr>
                                    </w:pPr>
                                    <w:r w:rsidRPr="00101F47">
                                      <w:rPr>
                                        <w:color w:val="000000" w:themeColor="text1"/>
                                      </w:rPr>
                                      <w:t>LAS</w:t>
                                    </w:r>
                                  </w:p>
                                </w:txbxContent>
                              </v:textbox>
                            </v:rect>
                            <v:rect id="Rectangle 232" o:spid="_x0000_s1081" style="position:absolute;left:8030;top:3260;width:6515;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18GMQA&#10;AADcAAAADwAAAGRycy9kb3ducmV2LnhtbESPT4vCMBTE74LfITzBm02t7OJ2jSKC+IdFXPWyt0fz&#10;bIvNS2mi1m+/EQSPw8z8hpnMWlOJGzWutKxgGMUgiDOrS84VnI7LwRiE88gaK8uk4EEOZtNuZ4Kp&#10;tnf+pdvB5yJA2KWooPC+TqV0WUEGXWRr4uCdbWPQB9nkUjd4D3BTySSOP6XBksNCgTUtCsouh6tR&#10;8LXj+Zn3x2q1/cMlDn8+7OO0Uarfa+ffIDy1/h1+tddaQTJK4HkmHAE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tfBjEAAAA3AAAAA8AAAAAAAAAAAAAAAAAmAIAAGRycy9k&#10;b3ducmV2LnhtbFBLBQYAAAAABAAEAPUAAACJAwAAAAA=&#10;" fillcolor="#c6bfab [3206]" stroked="f" strokeweight="2pt">
                              <v:textbox inset="2mm,1mm,2mm,1mm">
                                <w:txbxContent>
                                  <w:p w:rsidR="00584F9A" w:rsidRPr="00101F47" w:rsidRDefault="00584F9A" w:rsidP="001C172D">
                                    <w:pPr>
                                      <w:pStyle w:val="ChartBoldText"/>
                                      <w:rPr>
                                        <w:color w:val="000000" w:themeColor="text1"/>
                                      </w:rPr>
                                    </w:pPr>
                                    <w:r w:rsidRPr="00101F47">
                                      <w:rPr>
                                        <w:color w:val="000000" w:themeColor="text1"/>
                                      </w:rPr>
                                      <w:t>LAS</w:t>
                                    </w:r>
                                  </w:p>
                                </w:txbxContent>
                              </v:textbox>
                            </v:rect>
                            <v:rect id="Rectangle 236" o:spid="_x0000_s1082" style="position:absolute;left:18367;top:3260;width:6515;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Z6G8MA&#10;AADcAAAADwAAAGRycy9kb3ducmV2LnhtbESPzarCMBSE94LvEI7gTlOVK1qNIoLolYv4t3F3aI5t&#10;sTkpTdT69uaC4HKYmW+Y6bw2hXhQ5XLLCnrdCARxYnXOqYLzadUZgXAeWWNhmRS8yMF81mxMMdb2&#10;yQd6HH0qAoRdjAoy78tYSpdkZNB1bUkcvKutDPogq1TqCp8BbgrZj6KhNJhzWMiwpGVGye14NwrG&#10;O15ceX8q1tsLrrD392Nf51+l2q16MQHhqfbf8Ke90Qr6gyH8nwlHQM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Z6G8MAAADcAAAADwAAAAAAAAAAAAAAAACYAgAAZHJzL2Rv&#10;d25yZXYueG1sUEsFBgAAAAAEAAQA9QAAAIgDAAAAAA==&#10;" fillcolor="#c6bfab [3206]" stroked="f" strokeweight="2pt">
                              <v:textbox inset="2mm,1mm,2mm,1mm">
                                <w:txbxContent>
                                  <w:p w:rsidR="00584F9A" w:rsidRPr="00101F47" w:rsidRDefault="00584F9A" w:rsidP="001C172D">
                                    <w:pPr>
                                      <w:pStyle w:val="ChartBoldText"/>
                                      <w:rPr>
                                        <w:color w:val="000000" w:themeColor="text1"/>
                                      </w:rPr>
                                    </w:pPr>
                                    <w:r w:rsidRPr="00101F47">
                                      <w:rPr>
                                        <w:color w:val="000000" w:themeColor="text1"/>
                                      </w:rPr>
                                      <w:t>LAS</w:t>
                                    </w:r>
                                  </w:p>
                                </w:txbxContent>
                              </v:textbox>
                            </v:rect>
                            <v:rect id="Rectangle 244" o:spid="_x0000_s1083" style="position:absolute;left:26398;top:3260;width:6515;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4yisMA&#10;AADcAAAADwAAAGRycy9kb3ducmV2LnhtbESPzarCMBSE94LvEI5wd5oqKlqNIhfkqoj4t3F3aI5t&#10;sTkpTa7WtzeC4HKYmW+Y6bw2hbhT5XLLCrqdCARxYnXOqYLzadkegXAeWWNhmRQ8ycF81mxMMdb2&#10;wQe6H30qAoRdjAoy78tYSpdkZNB1bEkcvKutDPogq1TqCh8BbgrZi6KhNJhzWMiwpN+Mktvx3ygY&#10;73hx5f2p+NtccInd7cA+z2ulflr1YgLCU+2/4U97pRX0+n1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4yisMAAADcAAAADwAAAAAAAAAAAAAAAACYAgAAZHJzL2Rv&#10;d25yZXYueG1sUEsFBgAAAAAEAAQA9QAAAIgDAAAAAA==&#10;" fillcolor="#c6bfab [3206]" stroked="f" strokeweight="2pt">
                              <v:textbox inset="2mm,1mm,2mm,1mm">
                                <w:txbxContent>
                                  <w:p w:rsidR="00584F9A" w:rsidRPr="00101F47" w:rsidRDefault="00584F9A" w:rsidP="001C172D">
                                    <w:pPr>
                                      <w:pStyle w:val="ChartBoldText"/>
                                      <w:rPr>
                                        <w:color w:val="000000" w:themeColor="text1"/>
                                      </w:rPr>
                                    </w:pPr>
                                    <w:r w:rsidRPr="00101F47">
                                      <w:rPr>
                                        <w:color w:val="000000" w:themeColor="text1"/>
                                      </w:rPr>
                                      <w:t>LAS</w:t>
                                    </w:r>
                                  </w:p>
                                </w:txbxContent>
                              </v:textbox>
                            </v:rect>
                            <v:group id="Group 245" o:spid="_x0000_s1084" style="position:absolute;left:3101;width:26787;height:3265" coordsize="26787,3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line id="Straight Connector 246" o:spid="_x0000_s1085" style="position:absolute;flip:x;visibility:visible;mso-wrap-style:square" from="0,0" to="4371,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isYAAADcAAAADwAAAGRycy9kb3ducmV2LnhtbESPW2sCMRSE3wX/QzhCX0SzFVl0NYoU&#10;esFLoVqKj4fNcXdxc7IkqW7/fSMIPg4z8w0zX7amFhdyvrKs4HmYgCDOra64UPB9eB1MQPiArLG2&#10;TAr+yMNy0e3MMdP2yl902YdCRAj7DBWUITSZlD4vyaAf2oY4eifrDIYoXSG1w2uEm1qOkiSVBiuO&#10;CyU29FJSft7/GgU/7qj9Z77drHfbt0P/PQ3TzVEr9dRrVzMQgdrwCN/bH1rBaJzC7Uw8AnL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2IrGAAAA3AAAAA8AAAAAAAAA&#10;AAAAAAAAoQIAAGRycy9kb3ducmV2LnhtbFBLBQYAAAAABAAEAPkAAACUAwAAAAA=&#10;" strokecolor="#c6bfab [3206]" strokeweight="1pt"/>
                              <v:line id="Straight Connector 247" o:spid="_x0000_s1086" style="position:absolute;visibility:visible;mso-wrap-style:square" from="4373,0" to="8499,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GLXcMAAADcAAAADwAAAGRycy9kb3ducmV2LnhtbESPS4vCQBCE74L/YWhhbzox+IyOIguy&#10;4p58gNcm0ybBTE/MzGr01zvCgseiqr6i5svGlOJGtSssK+j3IhDEqdUFZwqOh3V3AsJ5ZI2lZVLw&#10;IAfLRbs1x0TbO+/otveZCBB2CSrIva8SKV2ak0HXsxVx8M62NuiDrDOpa7wHuCllHEUjabDgsJBj&#10;Rd85pZf9n1FQxLstj36uBycfv8PnacpTfWKlvjrNagbCU+M/4f/2RiuIB2N4nwlH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Bi13DAAAA3AAAAA8AAAAAAAAAAAAA&#10;AAAAoQIAAGRycy9kb3ducmV2LnhtbFBLBQYAAAAABAAEAPkAAACRAwAAAAA=&#10;" strokecolor="#c6bfab [3206]" strokeweight="1pt"/>
                              <v:line id="Straight Connector 248" o:spid="_x0000_s1087" style="position:absolute;visibility:visible;mso-wrap-style:square" from="4373,0" to="18606,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4fL8EAAADcAAAADwAAAGRycy9kb3ducmV2LnhtbERPTWvCQBC9F/oflil4qxuDDRpdpQhS&#10;aU+JgtchOybB7Gya3ZrEX989CB4f73u9HUwjbtS52rKC2TQCQVxYXXOp4HTcvy9AOI+ssbFMCkZy&#10;sN28vqwx1bbnjG65L0UIYZeigsr7NpXSFRUZdFPbEgfuYjuDPsCulLrDPoSbRsZRlEiDNYeGClva&#10;VVRc8z+joI6zb06+fo9Ojj8f9/OSl/rMSk3ehs8VCE+Df4of7oNWEM/D2nAmHAG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3h8vwQAAANwAAAAPAAAAAAAAAAAAAAAA&#10;AKECAABkcnMvZG93bnJldi54bWxQSwUGAAAAAAQABAD5AAAAjwMAAAAA&#10;" strokecolor="#c6bfab [3206]" strokeweight="1pt"/>
                              <v:line id="Straight Connector 249" o:spid="_x0000_s1088" style="position:absolute;visibility:visible;mso-wrap-style:square" from="4373,0" to="26787,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K6tMMAAADcAAAADwAAAGRycy9kb3ducmV2LnhtbESPT4vCMBTE74LfITxhb5padsVWo8jC&#10;oqwn/4DXR/Nsi81LbaJWP70RBI/DzPyGmc5bU4krNa60rGA4iEAQZ1aXnCvY7/76YxDOI2usLJOC&#10;OzmYz7qdKaba3nhD163PRYCwS1FB4X2dSumyggy6ga2Jg3e0jUEfZJNL3eAtwE0l4ygaSYMlh4UC&#10;a/otKDttL0ZBGW/+ebQ875y8r38eh4QTfWClvnrtYgLCU+s/4Xd7pRXE3wm8zoQjIG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SurTDAAAA3AAAAA8AAAAAAAAAAAAA&#10;AAAAoQIAAGRycy9kb3ducmV2LnhtbFBLBQYAAAAABAAEAPkAAACRAwAAAAA=&#10;" strokecolor="#c6bfab [3206]" strokeweight="1pt"/>
                            </v:group>
                          </v:group>
                          <v:group id="Group 250" o:spid="_x0000_s1089" style="position:absolute;left:3101;width:26784;height:3265;flip:x" coordsize="26787,3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PQmBcEAAADcAAAADwAA&#10;AAAAAAAAAAAAAACqAgAAZHJzL2Rvd25yZXYueG1sUEsFBgAAAAAEAAQA+gAAAJgDAAAAAA==&#10;">
                            <v:line id="Straight Connector 251" o:spid="_x0000_s1090" style="position:absolute;flip:x;visibility:visible;mso-wrap-style:square" from="0,0" to="4371,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WI8YAAADcAAAADwAAAGRycy9kb3ducmV2LnhtbESP3WoCMRSE7wu+QzhCb0SzCordGqUU&#10;tOIfVKV4edgcdxc3J0sSdfv2jSD0cpiZb5jJrDGVuJHzpWUF/V4CgjizuuRcwfEw745B+ICssbJM&#10;Cn7Jw2zaeplgqu2dv+m2D7mIEPYpKihCqFMpfVaQQd+zNXH0ztYZDFG6XGqH9wg3lRwkyUgaLDku&#10;FFjTZ0HZZX81Cn7cSftdtlmvtpvFofM1Cm/rk1bqtd18vIMI1IT/8LO91AoGwz48zsQjIK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P1iPGAAAA3AAAAA8AAAAAAAAA&#10;AAAAAAAAoQIAAGRycy9kb3ducmV2LnhtbFBLBQYAAAAABAAEAPkAAACUAwAAAAA=&#10;" strokecolor="#c6bfab [3206]" strokeweight="1pt"/>
                            <v:line id="Straight Connector 252" o:spid="_x0000_s1091" style="position:absolute;visibility:visible;mso-wrap-style:square" from="4373,0" to="8499,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GMQAAADcAAAADwAAAGRycy9kb3ducmV2LnhtbESPQWuDQBSE74X8h+UVemvWCkpjskoI&#10;hJb2ZAzk+nBfVOK+Ne420f76bqHQ4zAz3zCbYjK9uNHoOssKXpYRCOLa6o4bBcdq//wKwnlkjb1l&#10;UjCTgyJfPGww0/bOJd0OvhEBwi5DBa33Qyalq1sy6JZ2IA7e2Y4GfZBjI/WI9wA3vYyjKJUGOw4L&#10;LQ60a6m+HL6Mgi4uPzh9u1ZOzp/J92nFK31ipZ4ep+0ahKfJ/4f/2u9aQZzE8HsmHAG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774YxAAAANwAAAAPAAAAAAAAAAAA&#10;AAAAAKECAABkcnMvZG93bnJldi54bWxQSwUGAAAAAAQABAD5AAAAkgMAAAAA&#10;" strokecolor="#c6bfab [3206]" strokeweight="1pt"/>
                            <v:line id="Straight Connector 253" o:spid="_x0000_s1092" style="position:absolute;visibility:visible;mso-wrap-style:square" from="4373,0" to="18606,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Mbg8IAAADcAAAADwAAAGRycy9kb3ducmV2LnhtbESPzarCMBSE94LvEI5wd5paUbQaRYSL&#10;F135A24PzbEtNie1ydXq0xtBcDnMzDfMbNGYUtyodoVlBf1eBII4tbrgTMHx8Nsdg3AeWWNpmRQ8&#10;yMFi3m7NMNH2zju67X0mAoRdggpy76tESpfmZND1bEUcvLOtDfog60zqGu8BbkoZR9FIGiw4LORY&#10;0Sqn9LL/NwqKeLfh0fp6cPKxHT5PE57oEyv102mWUxCeGv8Nf9p/WkE8HMD7TDgC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Mbg8IAAADcAAAADwAAAAAAAAAAAAAA&#10;AAChAgAAZHJzL2Rvd25yZXYueG1sUEsFBgAAAAAEAAQA+QAAAJADAAAAAA==&#10;" strokecolor="#c6bfab [3206]" strokeweight="1pt"/>
                            <v:line id="Straight Connector 254" o:spid="_x0000_s1093" style="position:absolute;visibility:visible;mso-wrap-style:square" from="4373,0" to="26787,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qD98IAAADcAAAADwAAAGRycy9kb3ducmV2LnhtbESPzarCMBSE94LvEI5wd5paVLQaRYSL&#10;F135A24PzbEtNie1ydXq0xtBcDnMzDfMbNGYUtyodoVlBf1eBII4tbrgTMHx8Nsdg3AeWWNpmRQ8&#10;yMFi3m7NMNH2zju67X0mAoRdggpy76tESpfmZND1bEUcvLOtDfog60zqGu8BbkoZR9FIGiw4LORY&#10;0Sqn9LL/NwqKeLfh0fp6cPKxHT5PE57oEyv102mWUxCeGv8Nf9p/WkE8HMD7TDgC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qD98IAAADcAAAADwAAAAAAAAAAAAAA&#10;AAChAgAAZHJzL2Rvd25yZXYueG1sUEsFBgAAAAAEAAQA+QAAAJADAAAAAA==&#10;" strokecolor="#c6bfab [3206]" strokeweight="1pt"/>
                          </v:group>
                        </v:group>
                        <v:group id="Group 255" o:spid="_x0000_s1094" style="position:absolute;left:1828;top:15823;width:33471;height:6197" coordsize="33470,6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group id="Group 32" o:spid="_x0000_s1095" style="position:absolute;left:18288;top:3975;width:15182;height:2223" coordsize="15186,2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33" o:spid="_x0000_s1096" style="position:absolute;left:5645;width:4128;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WgscA&#10;AADbAAAADwAAAGRycy9kb3ducmV2LnhtbESP3WoCMRSE7wt9h3AKvavZqhVZjVIERSot+MOid4fN&#10;6Wbr5mTZpLr69I1Q8HKYmW+Y8bS1lThR40vHCl47CQji3OmSCwW77fxlCMIHZI2VY1JwIQ/TyePD&#10;GFPtzrym0yYUIkLYp6jAhFCnUvrckEXfcTVx9L5dYzFE2RRSN3iOcFvJbpIMpMWS44LBmmaG8uPm&#10;1yro/1wX+0tulh8uOxzXXyH7fFtlSj0/te8jEIHacA//t5daQa8Hty/xB8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AloLHAAAA2wAAAA8AAAAAAAAAAAAAAAAAmAIAAGRy&#10;cy9kb3ducmV2LnhtbFBLBQYAAAAABAAEAPUAAACMAwAAAAA=&#10;" filled="f" stroked="f" strokeweight="2pt">
                              <v:textbox inset="2mm,1mm,2mm,1mm">
                                <w:txbxContent>
                                  <w:p w:rsidR="00584F9A" w:rsidRPr="00DA2AB5" w:rsidRDefault="00584F9A" w:rsidP="001C172D">
                                    <w:pPr>
                                      <w:pStyle w:val="ChartBoldText"/>
                                    </w:pPr>
                                    <w:r>
                                      <w:t>LE</w:t>
                                    </w:r>
                                  </w:p>
                                </w:txbxContent>
                              </v:textbox>
                            </v:rect>
                            <v:rect id="Rectangle 34" o:spid="_x0000_s1097" style="position:absolute;left:11211;width:3975;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O9scA&#10;AADbAAAADwAAAGRycy9kb3ducmV2LnhtbESPW2sCMRSE3wv9D+EUfKvZekNWoxRBkRYLXlj07bA5&#10;3WzdnCybVNf++qZQ8HGYmW+Y6by1lbhQ40vHCl66CQji3OmSCwWH/fJ5DMIHZI2VY1JwIw/z2ePD&#10;FFPtrrylyy4UIkLYp6jAhFCnUvrckEXfdTVx9D5dYzFE2RRSN3iNcFvJXpKMpMWS44LBmhaG8vPu&#10;2yoYfP2sjrfcrN9cdjpvP0K2Gb5nSnWe2tcJiEBtuIf/22utoD+Avy/xB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pDvbHAAAA2wAAAA8AAAAAAAAAAAAAAAAAmAIAAGRy&#10;cy9kb3ducmV2LnhtbFBLBQYAAAAABAAEAPUAAACMAwAAAAA=&#10;" filled="f" stroked="f" strokeweight="2pt">
                              <v:textbox inset="2mm,1mm,2mm,1mm">
                                <w:txbxContent>
                                  <w:p w:rsidR="00584F9A" w:rsidRPr="00DA2AB5" w:rsidRDefault="00584F9A" w:rsidP="001C172D">
                                    <w:pPr>
                                      <w:pStyle w:val="ChartBoldText"/>
                                    </w:pPr>
                                    <w:r>
                                      <w:t>LE</w:t>
                                    </w:r>
                                  </w:p>
                                </w:txbxContent>
                              </v:textbox>
                            </v:rect>
                            <v:rect id="Rectangle 35" o:spid="_x0000_s1098" style="position:absolute;width:4128;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WrbccA&#10;AADbAAAADwAAAGRycy9kb3ducmV2LnhtbESP3WoCMRSE7wt9h3AK3tVstYqsRimCIi0W/GHRu8Pm&#10;dLN1c7JsUl19+qZQ8HKYmW+Yyay1lThT40vHCl66CQji3OmSCwX73eJ5BMIHZI2VY1JwJQ+z6ePD&#10;BFPtLryh8zYUIkLYp6jAhFCnUvrckEXfdTVx9L5cYzFE2RRSN3iJcFvJXpIMpcWS44LBmuaG8tP2&#10;xyp4/b4tD9fcrN5ddjxtPkO2HnxkSnWe2rcxiEBtuIf/2yutoD+Avy/xB8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lq23HAAAA2wAAAA8AAAAAAAAAAAAAAAAAmAIAAGRy&#10;cy9kb3ducmV2LnhtbFBLBQYAAAAABAAEAPUAAACMAwAAAAA=&#10;" filled="f" stroked="f" strokeweight="2pt">
                              <v:textbox inset="2mm,1mm,2mm,1mm">
                                <w:txbxContent>
                                  <w:p w:rsidR="00584F9A" w:rsidRPr="00DA2AB5" w:rsidRDefault="00584F9A" w:rsidP="001C172D">
                                    <w:pPr>
                                      <w:pStyle w:val="ChartBoldText"/>
                                    </w:pPr>
                                    <w:r>
                                      <w:t>LE</w:t>
                                    </w:r>
                                  </w:p>
                                </w:txbxContent>
                              </v:textbox>
                            </v:rect>
                          </v:group>
                          <v:group id="Group 36" o:spid="_x0000_s1099" style="position:absolute;top:3975;width:15182;height:2223" coordsize="15186,2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37" o:spid="_x0000_s1100" style="position:absolute;left:5645;width:4128;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QgccA&#10;AADbAAAADwAAAGRycy9kb3ducmV2LnhtbESP3WoCMRSE7wt9h3AK3tWsVWvZGqUULFJR8IelvTts&#10;jputm5NlE3X16ZtCwcthZr5hxtPWVuJEjS8dK+h1ExDEudMlFwp229njCwgfkDVWjknBhTxMJ/d3&#10;Y0y1O/OaTptQiAhhn6ICE0KdSulzQxZ919XE0du7xmKIsimkbvAc4baST0nyLC2WHBcM1vRuKD9s&#10;jlbB4Of68XXJzfzTZd+H9Spky+EiU6rz0L69ggjUhlv4vz3XCvoj+PsSf4C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7kIHHAAAA2wAAAA8AAAAAAAAAAAAAAAAAmAIAAGRy&#10;cy9kb3ducmV2LnhtbFBLBQYAAAAABAAEAPUAAACMAwAAAAA=&#10;" filled="f" stroked="f" strokeweight="2pt">
                              <v:textbox inset="2mm,1mm,2mm,1mm">
                                <w:txbxContent>
                                  <w:p w:rsidR="00584F9A" w:rsidRPr="00DA2AB5" w:rsidRDefault="00584F9A" w:rsidP="001C172D">
                                    <w:pPr>
                                      <w:pStyle w:val="ChartBoldText"/>
                                    </w:pPr>
                                    <w:r>
                                      <w:t>LE</w:t>
                                    </w:r>
                                  </w:p>
                                </w:txbxContent>
                              </v:textbox>
                            </v:rect>
                            <v:rect id="Rectangle 38" o:spid="_x0000_s1101" style="position:absolute;left:11211;width:3975;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QE88MA&#10;AADbAAAADwAAAGRycy9kb3ducmV2LnhtbERPW2vCMBR+F/YfwhnsTdNdFOmMIsKGTCZYpejboTlr&#10;OpuT0mRa9+vNg+Djx3efzDpbixO1vnKs4HmQgCAunK64VLDbfvTHIHxA1lg7JgUX8jCbPvQmmGp3&#10;5g2dslCKGMI+RQUmhCaV0heGLPqBa4gj9+NaiyHCtpS6xXMMt7V8SZKRtFhxbDDY0MJQccz+rIK3&#10;3//P/aUwyy+XH46bdci/h6tcqafHbv4OIlAX7uKbe6kVvMax8Uv8A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QE88MAAADbAAAADwAAAAAAAAAAAAAAAACYAgAAZHJzL2Rv&#10;d25yZXYueG1sUEsFBgAAAAAEAAQA9QAAAIgDAAAAAA==&#10;" filled="f" stroked="f" strokeweight="2pt">
                              <v:textbox inset="2mm,1mm,2mm,1mm">
                                <w:txbxContent>
                                  <w:p w:rsidR="00584F9A" w:rsidRPr="00DA2AB5" w:rsidRDefault="00584F9A" w:rsidP="001C172D">
                                    <w:pPr>
                                      <w:pStyle w:val="ChartBoldText"/>
                                    </w:pPr>
                                    <w:r>
                                      <w:t>LE</w:t>
                                    </w:r>
                                  </w:p>
                                </w:txbxContent>
                              </v:textbox>
                            </v:rect>
                            <v:rect id="Rectangle 39" o:spid="_x0000_s1102" style="position:absolute;width:4128;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haMcA&#10;AADbAAAADwAAAGRycy9kb3ducmV2LnhtbESP3WoCMRSE7wt9h3AK3tWsVYvdGqUULFJR8IelvTts&#10;jputm5NlE3X16ZtCwcthZr5hxtPWVuJEjS8dK+h1ExDEudMlFwp229njCIQPyBorx6TgQh6mk/u7&#10;MabanXlNp00oRISwT1GBCaFOpfS5IYu+62ri6O1dYzFE2RRSN3iOcFvJpyR5lhZLjgsGa3o3lB82&#10;R6tg8HP9+LrkZv7psu/DehWy5XCRKdV5aN9eQQRqwy38355rBf0X+PsSf4C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ooWjHAAAA2wAAAA8AAAAAAAAAAAAAAAAAmAIAAGRy&#10;cy9kb3ducmV2LnhtbFBLBQYAAAAABAAEAPUAAACMAwAAAAA=&#10;" filled="f" stroked="f" strokeweight="2pt">
                              <v:textbox inset="2mm,1mm,2mm,1mm">
                                <w:txbxContent>
                                  <w:p w:rsidR="00584F9A" w:rsidRPr="00DA2AB5" w:rsidRDefault="00584F9A" w:rsidP="001C172D">
                                    <w:pPr>
                                      <w:pStyle w:val="ChartBoldText"/>
                                    </w:pPr>
                                    <w:r>
                                      <w:t>LE</w:t>
                                    </w:r>
                                  </w:p>
                                </w:txbxContent>
                              </v:textbox>
                            </v:rect>
                          </v:group>
                          <v:group id="Group 40" o:spid="_x0000_s1103" style="position:absolute;left:2226;top:79;width:10884;height:3975" coordsize="10883,3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Straight Connector 41" o:spid="_x0000_s1104" style="position:absolute;flip:x;visibility:visible;mso-wrap-style:square" from="0,0" to="3175,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mawcIAAADbAAAADwAAAGRycy9kb3ducmV2LnhtbESPzWoCMRSF9wXfIVzBXU1GpNSpUYoo&#10;uHBTOwvd3U5uJ4OTmyGJOr59Uyh0eTg/H2e5HlwnbhRi61lDMVUgiGtvWm40VJ+751cQMSEb7DyT&#10;hgdFWK9GT0ssjb/zB92OqRF5hGOJGmxKfSllrC05jFPfE2fv2weHKcvQSBPwnsddJ2dKvUiHLWeC&#10;xZ42lurL8eoyFy/Xr9NZbqQtDmpbDaYKaqH1ZDy8v4FINKT/8F97bzTMC/j9kn+A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mawcIAAADbAAAADwAAAAAAAAAAAAAA&#10;AAChAgAAZHJzL2Rvd25yZXYueG1sUEsFBgAAAAAEAAQA+QAAAJADAAAAAA==&#10;" strokecolor="#f61d12 [3205]" strokeweight="1pt"/>
                            <v:line id="Straight Connector 42" o:spid="_x0000_s1105" style="position:absolute;visibility:visible;mso-wrap-style:square" from="3180,0" to="5561,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ixHMIAAADbAAAADwAAAGRycy9kb3ducmV2LnhtbESPS4vCMBSF9wP+h3AFd2OqFh06pqKC&#10;oqvxMZvZXZprW2xuahO1/nszILg8nMfHmc5aU4kbNa60rGDQj0AQZ1aXnCv4Pa4+v0A4j6yxskwK&#10;HuRglnY+pphoe+c93Q4+F2GEXYIKCu/rREqXFWTQ9W1NHLyTbQz6IJtc6gbvYdxUchhFY2mw5EAo&#10;sKZlQdn5cDUBsskmi5X8Ge3XMRv3p3fl9rJTqtdt598gPLX+HX61N1pBPIT/L+EHyPQ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ixHMIAAADbAAAADwAAAAAAAAAAAAAA&#10;AAChAgAAZHJzL2Rvd25yZXYueG1sUEsFBgAAAAAEAAQA+QAAAJADAAAAAA==&#10;" strokecolor="#f61d12 [3205]" strokeweight="1pt"/>
                            <v:line id="Straight Connector 43" o:spid="_x0000_s1106" style="position:absolute;visibility:visible;mso-wrap-style:square" from="3178,0" to="10883,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QUh8IAAADbAAAADwAAAGRycy9kb3ducmV2LnhtbESPS4vCMBSF9wP+h3AFd2OqFh06pqKC&#10;oqvxMZvZXZprW2xuahO1/nszILg8nMfHmc5aU4kbNa60rGDQj0AQZ1aXnCv4Pa4+v0A4j6yxskwK&#10;HuRglnY+pphoe+c93Q4+F2GEXYIKCu/rREqXFWTQ9W1NHLyTbQz6IJtc6gbvYdxUchhFY2mw5EAo&#10;sKZlQdn5cDUBsskmi5X8Ge3XMRv3p3fl9rJTqtdt598gPLX+HX61N1pBPIL/L+EHyPQ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4QUh8IAAADbAAAADwAAAAAAAAAAAAAA&#10;AAChAgAAZHJzL2Rvd25yZXYueG1sUEsFBgAAAAAEAAQA+QAAAJADAAAAAA==&#10;" strokecolor="#f61d12 [3205]" strokeweight="1pt"/>
                          </v:group>
                          <v:group id="Group 44" o:spid="_x0000_s1107" style="position:absolute;left:20434;width:10884;height:3975" coordsize="10883,3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52" o:spid="_x0000_s1108" style="position:absolute;flip:x;visibility:visible;mso-wrap-style:square" from="0,0" to="3175,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KSa8IAAADbAAAADwAAAGRycy9kb3ducmV2LnhtbESPzWoCMRSF9wXfIVzBXU0ULHU0ioiF&#10;LtzUzkJ318l1Mji5GZKo49s3hUKXh/PzcZbr3rXiTiE2njVMxgoEceVNw7WG8vvj9R1ETMgGW8+k&#10;4UkR1qvByxIL4x/8RfdDqkUe4VigBptSV0gZK0sO49h3xNm7+OAwZRlqaQI+8rhr5VSpN+mw4Uyw&#10;2NHWUnU93Fzm4vV2Pp7kVtrJXu3K3pRBzbUeDfvNAkSiPv2H/9qfRsNsCr9f8g+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5KSa8IAAADbAAAADwAAAAAAAAAAAAAA&#10;AAChAgAAZHJzL2Rvd25yZXYueG1sUEsFBgAAAAAEAAQA+QAAAJADAAAAAA==&#10;" strokecolor="#f61d12 [3205]" strokeweight="1pt"/>
                            <v:line id="Straight Connector 53" o:spid="_x0000_s1109" style="position:absolute;visibility:visible;mso-wrap-style:square" from="3180,0" to="5561,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2CWsIAAADbAAAADwAAAGRycy9kb3ducmV2LnhtbESPS4vCMBSF94L/IVxhdpr6nKEaRQXF&#10;WWmd2bi7NNe22NzUJqP135sBweXhPD7ObNGYUtyodoVlBf1eBII4tbrgTMHvz6b7BcJ5ZI2lZVLw&#10;IAeLebs1w1jbOyd0O/pMhBF2MSrIva9iKV2ak0HXsxVx8M62NuiDrDOpa7yHcVPKQRRNpMGCAyHH&#10;itY5pZfjnwmQXfq52sj9MNmO2LiTPhTf14NSH51mOQXhqfHv8Ku90wrGQ/j/En6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2CWsIAAADbAAAADwAAAAAAAAAAAAAA&#10;AAChAgAAZHJzL2Rvd25yZXYueG1sUEsFBgAAAAAEAAQA+QAAAJADAAAAAA==&#10;" strokecolor="#f61d12 [3205]" strokeweight="1pt"/>
                            <v:line id="Straight Connector 54" o:spid="_x0000_s1110" style="position:absolute;visibility:visible;mso-wrap-style:square" from="3178,0" to="10883,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aLsQAAADbAAAADwAAAGRycy9kb3ducmV2LnhtbESPzWrCQBSF94W+w3AL3dVJbVolOkpb&#10;iMSVRt24u2SuSTBzJ2ZGk759Ryh0eTg/H2e+HEwjbtS52rKC11EEgriwuuZSwWGfvkxBOI+ssbFM&#10;Cn7IwXLx+DDHRNuec7rtfCnCCLsEFVTet4mUrqjIoBvZljh4J9sZ9EF2pdQd9mHcNHIcRR/SYM2B&#10;UGFL3xUV593VBEhWTL5SuXnLVzEbd9Tben3ZKvX8NHzOQHga/H/4r51pBe8x3L+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tBouxAAAANsAAAAPAAAAAAAAAAAA&#10;AAAAAKECAABkcnMvZG93bnJldi54bWxQSwUGAAAAAAQABAD5AAAAkgMAAAAA&#10;" strokecolor="#f61d12 [3205]" strokeweight="1pt"/>
                          </v:group>
                        </v:group>
                        <v:group id="Group 55" o:spid="_x0000_s1111" style="position:absolute;left:4055;top:8587;width:32753;height:7309" coordsize="32754,7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56" o:spid="_x0000_s1112" style="position:absolute;left:2862;width:8494;height:6202" coordsize="8494,6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Straight Connector 57" o:spid="_x0000_s1113" style="position:absolute;flip:x;visibility:visible;mso-wrap-style:square" from="0,0" to="4362,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0PLMEAAADbAAAADwAAAGRycy9kb3ducmV2LnhtbESPQWsCMRSE7wX/Q3iCt5pVWStbo4go&#10;eCu19f7YvG6Wbl7WJO6u/94UCh6HmfmGWW8H24iOfKgdK5hNMxDEpdM1Vwq+v46vKxAhImtsHJOC&#10;OwXYbkYvayy06/mTunOsRIJwKFCBibEtpAylIYth6lri5P04bzEm6SupPfYJbhs5z7KltFhzWjDY&#10;0t5Q+Xu+WQUh96trjovhks/LD8N9dzm0nVKT8bB7BxFpiM/wf/ukFeRv8Pcl/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DQ8swQAAANsAAAAPAAAAAAAAAAAAAAAA&#10;AKECAABkcnMvZG93bnJldi54bWxQSwUGAAAAAAQABAD5AAAAjwMAAAAA&#10;" strokecolor="#9ac2c4 [3209]" strokeweight="1pt"/>
                            <v:line id="Straight Connector 60" o:spid="_x0000_s1114" style="position:absolute;visibility:visible;mso-wrap-style:square" from="4373,0" to="8494,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5aVMEAAADbAAAADwAAAGRycy9kb3ducmV2LnhtbERPz2vCMBS+D/Y/hCd4W9PKkNE1ypwI&#10;O8hwVaTHR/PWdDYvpYm2++/NYbDjx/e7WE+2EzcafOtYQZakIIhrp1tuFJyOu6cXED4ga+wck4Jf&#10;8rBePT4UmGs38hfdytCIGMI+RwUmhD6X0teGLPrE9cSR+3aDxRDh0Eg94BjDbScXabqUFluODQZ7&#10;ejdUX8qrVVCl20q3uDnjZcz2zz9mzD7DQan5bHp7BRFoCv/iP/eHVrCM6+OX+AP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rlpUwQAAANsAAAAPAAAAAAAAAAAAAAAA&#10;AKECAABkcnMvZG93bnJldi54bWxQSwUGAAAAAAQABAD5AAAAjwMAAAAA&#10;" strokecolor="#9ac2c4 [3209]" strokeweight="1pt"/>
                            <v:line id="Straight Connector 61" o:spid="_x0000_s1115" style="position:absolute;flip:x;visibility:visible;mso-wrap-style:square" from="0,6202" to="8489,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T4fsEAAADbAAAADwAAAGRycy9kb3ducmV2LnhtbESPQWvCQBSE74L/YXlCb7rREgmpq4i0&#10;0Jto9f7IvmaD2bdxd5uk/74rCD0OM/MNs9mNthU9+dA4VrBcZCCIK6cbrhVcvj7mBYgQkTW2jknB&#10;LwXYbaeTDZbaDXyi/hxrkSAcSlRgYuxKKUNlyGJYuI44ed/OW4xJ+lpqj0OC21ausmwtLTacFgx2&#10;dDBU3c4/VkHIfXHP8XW85qvqaHjor+9dr9TLbNy/gYg0xv/ws/2pFayX8PiSfoD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xPh+wQAAANsAAAAPAAAAAAAAAAAAAAAA&#10;AKECAABkcnMvZG93bnJldi54bWxQSwUGAAAAAAQABAD5AAAAjwMAAAAA&#10;" strokecolor="#9ac2c4 [3209]" strokeweight="1pt"/>
                          </v:group>
                          <v:rect id="Rectangle 62" o:spid="_x0000_s1116" style="position:absolute;left:8348;top:5088;width:6515;height:2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9M8UA&#10;AADbAAAADwAAAGRycy9kb3ducmV2LnhtbESPT2vCQBTE7wW/w/IEb3VjENHoKrYotD1UjH/w+Mg+&#10;k2D2bchuNfn2XaHQ4zAzv2EWq9ZU4k6NKy0rGA0jEMSZ1SXnCo6H7esUhPPIGivLpKAjB6tl72WB&#10;ibYP3tM99bkIEHYJKii8rxMpXVaQQTe0NXHwrrYx6INscqkbfAS4qWQcRRNpsOSwUGBN7wVlt/TH&#10;KDh32eXzOBt3cUffeNro3fnrTSo16LfrOQhPrf8P/7U/tIJJDM8v4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D0zxQAAANsAAAAPAAAAAAAAAAAAAAAAAJgCAABkcnMv&#10;ZG93bnJldi54bWxQSwUGAAAAAAQABAD1AAAAigMAAAAA&#10;" fillcolor="#9ac2c4 [3209]" stroked="f" strokeweight="2pt">
                            <v:textbox inset="2mm,1mm,2mm,1mm">
                              <w:txbxContent>
                                <w:p w:rsidR="00584F9A" w:rsidRPr="00101F47" w:rsidRDefault="00584F9A" w:rsidP="001C172D">
                                  <w:pPr>
                                    <w:pStyle w:val="ChartBoldText"/>
                                    <w:rPr>
                                      <w:color w:val="000000" w:themeColor="text1"/>
                                    </w:rPr>
                                  </w:pPr>
                                  <w:proofErr w:type="spellStart"/>
                                  <w:r w:rsidRPr="00101F47">
                                    <w:rPr>
                                      <w:color w:val="000000" w:themeColor="text1"/>
                                    </w:rPr>
                                    <w:t>P</w:t>
                                  </w:r>
                                  <w:r>
                                    <w:rPr>
                                      <w:color w:val="000000" w:themeColor="text1"/>
                                    </w:rPr>
                                    <w:t>o</w:t>
                                  </w:r>
                                  <w:r w:rsidRPr="00101F47">
                                    <w:rPr>
                                      <w:color w:val="000000" w:themeColor="text1"/>
                                    </w:rPr>
                                    <w:t>C</w:t>
                                  </w:r>
                                  <w:proofErr w:type="spellEnd"/>
                                </w:p>
                              </w:txbxContent>
                            </v:textbox>
                          </v:rect>
                          <v:group id="Group 63" o:spid="_x0000_s1117" style="position:absolute;left:21150;width:8494;height:6202" coordsize="8494,6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line id="Straight Connector 512" o:spid="_x0000_s1118" style="position:absolute;flip:x;visibility:visible;mso-wrap-style:square" from="0,0" to="4362,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8bWcIAAADcAAAADwAAAGRycy9kb3ducmV2LnhtbESPQWvCQBSE7wX/w/KE3urGSERSV5FS&#10;wVup1vsj+8wGs2/j7pqk/75bEDwOM/MNs96OthU9+dA4VjCfZSCIK6cbrhX8nPZvKxAhImtsHZOC&#10;Xwqw3Uxe1lhqN/A39cdYiwThUKICE2NXShkqQxbDzHXEybs4bzEm6WupPQ4JbluZZ9lSWmw4LRjs&#10;6MNQdT3erYJQ+NWtwMV4LvLqy/DQnz+7XqnX6bh7BxFpjM/wo33QCop5Dv9n0hG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8bWcIAAADcAAAADwAAAAAAAAAAAAAA&#10;AAChAgAAZHJzL2Rvd25yZXYueG1sUEsFBgAAAAAEAAQA+QAAAJADAAAAAA==&#10;" strokecolor="#9ac2c4 [3209]" strokeweight="1pt"/>
                            <v:line id="Straight Connector 513" o:spid="_x0000_s1119" style="position:absolute;visibility:visible;mso-wrap-style:square" from="4373,0" to="8494,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7ebMUAAADcAAAADwAAAGRycy9kb3ducmV2LnhtbESPT2vCQBTE74LfYXlCb3WTtopEV7Et&#10;hR6K+A/x+Mg+s9Hs25DdmvTbu0LB4zAzv2Fmi85W4kqNLx0rSIcJCOLc6ZILBfvd1/MEhA/IGivH&#10;pOCPPCzm/d4MM+1a3tB1GwoRIewzVGBCqDMpfW7Ioh+6mjh6J9dYDFE2hdQNthFuK/mSJGNpseS4&#10;YLCmD0P5ZftrFRyTz6Mu8f2Alzb9eTubNl2FtVJPg245BRGoC4/wf/tbKxilr3A/E4+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7ebMUAAADcAAAADwAAAAAAAAAA&#10;AAAAAAChAgAAZHJzL2Rvd25yZXYueG1sUEsFBgAAAAAEAAQA+QAAAJMDAAAAAA==&#10;" strokecolor="#9ac2c4 [3209]" strokeweight="1pt"/>
                            <v:line id="Straight Connector 514" o:spid="_x0000_s1120" style="position:absolute;flip:x;visibility:visible;mso-wrap-style:square" from="0,6202" to="8489,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omtsIAAADcAAAADwAAAGRycy9kb3ducmV2LnhtbESPT2sCMRTE7wW/Q3hCbzWrdkVWo5RS&#10;wVupf+6PzXOzuHlZk3R3++2NIPQ4zMxvmPV2sI3oyIfasYLpJANBXDpdc6XgdNy9LUGEiKyxcUwK&#10;/ijAdjN6WWOhXc8/1B1iJRKEQ4EKTIxtIWUoDVkME9cSJ+/ivMWYpK+k9tgnuG3kLMsW0mLNacFg&#10;S5+Gyuvh1yoIuV/ecpwP53xWfhvuu/NX2yn1Oh4+ViAiDfE//GzvtYJ8+g6PM+kI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omtsIAAADcAAAADwAAAAAAAAAAAAAA&#10;AAChAgAAZHJzL2Rvd25yZXYueG1sUEsFBgAAAAAEAAQA+QAAAJADAAAAAA==&#10;" strokecolor="#9ac2c4 [3209]" strokeweight="1pt"/>
                          </v:group>
                          <v:rect id="Rectangle 515" o:spid="_x0000_s1121" style="position:absolute;left:26239;top:5009;width:6515;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fTV8YA&#10;AADcAAAADwAAAGRycy9kb3ducmV2LnhtbESPQWvCQBSE74L/YXmF3pqNUsWmWaUVBe1BqbWhx0f2&#10;NQlm34bsqsm/7woFj8PMfMOki87U4kKtqywrGEUxCOLc6ooLBcev9dMMhPPIGmvLpKAnB4v5cJBi&#10;ou2VP+ly8IUIEHYJKii9bxIpXV6SQRfZhjh4v7Y16INsC6lbvAa4qeU4jqfSYMVhocSGliXlp8PZ&#10;KMj6/Gd7fHnuxz3t8Hul99nHu1Tq8aF7ewXhqfP38H97oxVMRhO4nQ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fTV8YAAADcAAAADwAAAAAAAAAAAAAAAACYAgAAZHJz&#10;L2Rvd25yZXYueG1sUEsFBgAAAAAEAAQA9QAAAIsDAAAAAA==&#10;" fillcolor="#9ac2c4 [3209]" stroked="f" strokeweight="2pt">
                            <v:textbox inset="2mm,1mm,2mm,1mm">
                              <w:txbxContent>
                                <w:p w:rsidR="00584F9A" w:rsidRPr="00101F47" w:rsidRDefault="00584F9A" w:rsidP="001C172D">
                                  <w:pPr>
                                    <w:pStyle w:val="ChartBoldText"/>
                                    <w:rPr>
                                      <w:color w:val="000000" w:themeColor="text1"/>
                                    </w:rPr>
                                  </w:pPr>
                                  <w:proofErr w:type="spellStart"/>
                                  <w:r w:rsidRPr="00101F47">
                                    <w:rPr>
                                      <w:color w:val="000000" w:themeColor="text1"/>
                                    </w:rPr>
                                    <w:t>P</w:t>
                                  </w:r>
                                  <w:r>
                                    <w:rPr>
                                      <w:color w:val="000000" w:themeColor="text1"/>
                                    </w:rPr>
                                    <w:t>o</w:t>
                                  </w:r>
                                  <w:r w:rsidRPr="00101F47">
                                    <w:rPr>
                                      <w:color w:val="000000" w:themeColor="text1"/>
                                    </w:rPr>
                                    <w:t>C</w:t>
                                  </w:r>
                                  <w:proofErr w:type="spellEnd"/>
                                </w:p>
                              </w:txbxContent>
                            </v:textbox>
                          </v:rect>
                          <v:rect id="Rectangle 516" o:spid="_x0000_s1122" style="position:absolute;top:5088;width:6515;height:2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NIMYA&#10;AADcAAAADwAAAGRycy9kb3ducmV2LnhtbESPQWvCQBSE7wX/w/IKvZmNUsWmWUVFwfag1NrQ4yP7&#10;mgSzb0N21eTfdwtCj8PMfMOki87U4kqtqywrGEUxCOLc6ooLBafP7XAGwnlkjbVlUtCTg8V88JBi&#10;ou2NP+h69IUIEHYJKii9bxIpXV6SQRfZhjh4P7Y16INsC6lbvAW4qeU4jqfSYMVhocSG1iXl5+PF&#10;KMj6/Pvt9PLcj3va49dGH7L3lVTq6bFbvoLw1Pn/8L290womoyn8nQ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VNIMYAAADcAAAADwAAAAAAAAAAAAAAAACYAgAAZHJz&#10;L2Rvd25yZXYueG1sUEsFBgAAAAAEAAQA9QAAAIsDAAAAAA==&#10;" fillcolor="#9ac2c4 [3209]" stroked="f" strokeweight="2pt">
                            <v:textbox inset="2mm,1mm,2mm,1mm">
                              <w:txbxContent>
                                <w:p w:rsidR="00584F9A" w:rsidRPr="00101F47" w:rsidRDefault="00584F9A" w:rsidP="001C172D">
                                  <w:pPr>
                                    <w:pStyle w:val="ChartBoldText"/>
                                    <w:rPr>
                                      <w:color w:val="000000" w:themeColor="text1"/>
                                    </w:rPr>
                                  </w:pPr>
                                  <w:proofErr w:type="spellStart"/>
                                  <w:r w:rsidRPr="00101F47">
                                    <w:rPr>
                                      <w:color w:val="000000" w:themeColor="text1"/>
                                    </w:rPr>
                                    <w:t>P</w:t>
                                  </w:r>
                                  <w:r>
                                    <w:rPr>
                                      <w:color w:val="000000" w:themeColor="text1"/>
                                    </w:rPr>
                                    <w:t>o</w:t>
                                  </w:r>
                                  <w:r w:rsidRPr="00101F47">
                                    <w:rPr>
                                      <w:color w:val="000000" w:themeColor="text1"/>
                                    </w:rPr>
                                    <w:t>C</w:t>
                                  </w:r>
                                  <w:proofErr w:type="spellEnd"/>
                                </w:p>
                              </w:txbxContent>
                            </v:textbox>
                          </v:rect>
                          <v:rect id="Rectangle 517" o:spid="_x0000_s1123" style="position:absolute;left:18208;top:5009;width:6515;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ou8YA&#10;AADcAAAADwAAAGRycy9kb3ducmV2LnhtbESPQWvCQBSE7wX/w/IEb3UTUdumrqEVBfXQUmulx0f2&#10;mQSzb0N21eTfu0Khx2FmvmFmaWsqcaHGlZYVxMMIBHFmdcm5gv336vEZhPPIGivLpKAjB+m89zDD&#10;RNsrf9Fl53MRIOwSVFB4XydSuqwgg25oa+LgHW1j0AfZ5FI3eA1wU8lRFE2lwZLDQoE1LQrKTruz&#10;UXDost/N/mXcjTr6wJ+l/jxs36VSg3779grCU+v/w3/ttVYwiZ/gfiYc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nou8YAAADcAAAADwAAAAAAAAAAAAAAAACYAgAAZHJz&#10;L2Rvd25yZXYueG1sUEsFBgAAAAAEAAQA9QAAAIsDAAAAAA==&#10;" fillcolor="#9ac2c4 [3209]" stroked="f" strokeweight="2pt">
                            <v:textbox inset="2mm,1mm,2mm,1mm">
                              <w:txbxContent>
                                <w:p w:rsidR="00584F9A" w:rsidRPr="00101F47" w:rsidRDefault="00584F9A" w:rsidP="001C172D">
                                  <w:pPr>
                                    <w:pStyle w:val="ChartBoldText"/>
                                    <w:rPr>
                                      <w:color w:val="000000" w:themeColor="text1"/>
                                    </w:rPr>
                                  </w:pPr>
                                  <w:proofErr w:type="spellStart"/>
                                  <w:r w:rsidRPr="00101F47">
                                    <w:rPr>
                                      <w:color w:val="000000" w:themeColor="text1"/>
                                    </w:rPr>
                                    <w:t>P</w:t>
                                  </w:r>
                                  <w:r>
                                    <w:rPr>
                                      <w:color w:val="000000" w:themeColor="text1"/>
                                    </w:rPr>
                                    <w:t>o</w:t>
                                  </w:r>
                                  <w:r w:rsidRPr="00101F47">
                                    <w:rPr>
                                      <w:color w:val="000000" w:themeColor="text1"/>
                                    </w:rPr>
                                    <w:t>C</w:t>
                                  </w:r>
                                  <w:proofErr w:type="spellEnd"/>
                                </w:p>
                              </w:txbxContent>
                            </v:textbox>
                          </v:rect>
                        </v:group>
                      </v:group>
                      <v:rect id="Rectangle 518" o:spid="_x0000_s1124" style="position:absolute;left:13119;width:14231;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9CX8QA&#10;AADcAAAADwAAAGRycy9kb3ducmV2LnhtbERPXWvCMBR9F/Yfwh3sTVPHlFFNyxhsyERBN4q+XZpr&#10;09nclCbT6q83D8IeD+d7nve2ESfqfO1YwXiUgCAuna65UvDz/TF8BeEDssbGMSm4kIc8exjMMdXu&#10;zBs6bUMlYgj7FBWYENpUSl8asuhHriWO3MF1FkOEXSV1h+cYbhv5nCRTabHm2GCwpXdD5XH7ZxW8&#10;/F4/d5fSLL5csT9u1qFYTZaFUk+P/dsMRKA+/Ivv7oVWMBnHtfFMPAI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Ql/EAAAA3AAAAA8AAAAAAAAAAAAAAAAAmAIAAGRycy9k&#10;b3ducmV2LnhtbFBLBQYAAAAABAAEAPUAAACJAwAAAAA=&#10;" filled="f" stroked="f" strokeweight="2pt">
                        <v:textbox inset="2mm,1mm,2mm,1mm">
                          <w:txbxContent>
                            <w:p w:rsidR="00584F9A" w:rsidRPr="008E76A9" w:rsidRDefault="00584F9A" w:rsidP="001C172D">
                              <w:pPr>
                                <w:pStyle w:val="ChartBoldText"/>
                                <w:rPr>
                                  <w:rFonts w:ascii="Franklin Gothic Book" w:hAnsi="Franklin Gothic Book"/>
                                  <w:color w:val="000000" w:themeColor="text1"/>
                                </w:rPr>
                              </w:pPr>
                              <w:r w:rsidRPr="008E76A9">
                                <w:rPr>
                                  <w:rFonts w:ascii="Franklin Gothic Book" w:hAnsi="Franklin Gothic Book"/>
                                  <w:color w:val="000000" w:themeColor="text1"/>
                                </w:rPr>
                                <w:t xml:space="preserve">TNS </w:t>
                              </w:r>
                              <w:proofErr w:type="gramStart"/>
                              <w:r w:rsidRPr="008E76A9">
                                <w:rPr>
                                  <w:rFonts w:ascii="Franklin Gothic Book" w:hAnsi="Franklin Gothic Book"/>
                                  <w:color w:val="000000" w:themeColor="text1"/>
                                </w:rPr>
                                <w:t>are fully meshed</w:t>
                              </w:r>
                              <w:proofErr w:type="gramEnd"/>
                              <w:r w:rsidRPr="008E76A9">
                                <w:rPr>
                                  <w:rFonts w:ascii="Franklin Gothic Book" w:hAnsi="Franklin Gothic Book"/>
                                  <w:color w:val="000000" w:themeColor="text1"/>
                                </w:rPr>
                                <w:t xml:space="preserve"> on distinct physical rings</w:t>
                              </w:r>
                            </w:p>
                          </w:txbxContent>
                        </v:textbox>
                      </v:rect>
                      <v:rect id="Rectangle 70" o:spid="_x0000_s1125" style="position:absolute;top:5168;width:7791;height: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xNcMA&#10;AADbAAAADwAAAGRycy9kb3ducmV2LnhtbERPXWvCMBR9F/Yfwh3sTdONTaUziggbMplglaJvl+au&#10;6WxuSpNp3a83D4KPh/M9mXW2FidqfeVYwfMgAUFcOF1xqWC3/eiPQfiArLF2TAou5GE2fehNMNXu&#10;zBs6ZaEUMYR9igpMCE0qpS8MWfQD1xBH7se1FkOEbSl1i+cYbmv5kiRDabHi2GCwoYWh4pj9WQWv&#10;v/+f+0thll8uPxw365B/v61ypZ4eu/k7iEBduItv7qVWMIrr45f4A+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ixNcMAAADbAAAADwAAAAAAAAAAAAAAAACYAgAAZHJzL2Rv&#10;d25yZXYueG1sUEsFBgAAAAAEAAQA9QAAAIgDAAAAAA==&#10;" filled="f" stroked="f" strokeweight="2pt">
                        <v:textbox inset="2mm,1mm,2mm,1mm">
                          <w:txbxContent>
                            <w:p w:rsidR="00584F9A" w:rsidRPr="008E76A9" w:rsidRDefault="00584F9A" w:rsidP="001C172D">
                              <w:pPr>
                                <w:pStyle w:val="ChartBoldText"/>
                                <w:jc w:val="left"/>
                                <w:rPr>
                                  <w:rFonts w:ascii="Franklin Gothic Book" w:hAnsi="Franklin Gothic Book"/>
                                  <w:color w:val="000000" w:themeColor="text1"/>
                                </w:rPr>
                              </w:pPr>
                              <w:r>
                                <w:rPr>
                                  <w:rFonts w:ascii="Franklin Gothic Book" w:hAnsi="Franklin Gothic Book"/>
                                  <w:color w:val="000000" w:themeColor="text1"/>
                                </w:rPr>
                                <w:t>LAS parented by two TNS, on LAS rings</w:t>
                              </w:r>
                            </w:p>
                          </w:txbxContent>
                        </v:textbox>
                      </v:rect>
                      <v:rect id="Rectangle 71" o:spid="_x0000_s1126" style="position:absolute;top:13278;width:9690;height:4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UrsYA&#10;AADbAAAADwAAAGRycy9kb3ducmV2LnhtbESPQWsCMRSE7wX/Q3iCt5q1WFu2RhGhIi0K2rK0t8fm&#10;uVndvCybqKu/vhGEHoeZ+YYZT1tbiRM1vnSsYNBPQBDnTpdcKPj+en98BeEDssbKMSm4kIfppPMw&#10;xlS7M2/otA2FiBD2KSowIdSplD43ZNH3XU0cvZ1rLIYom0LqBs8Rbiv5lCQjabHkuGCwprmh/LA9&#10;WgXD/XXxc8nN8sNlv4fNOmSr589MqV63nb2BCNSG//C9vdQKXgZw+xJ/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QUrsYAAADbAAAADwAAAAAAAAAAAAAAAACYAgAAZHJz&#10;L2Rvd25yZXYueG1sUEsFBgAAAAAEAAQA9QAAAIsDAAAAAA==&#10;" filled="f" stroked="f" strokeweight="2pt">
                        <v:textbox inset="2mm,1mm,2mm,1mm">
                          <w:txbxContent>
                            <w:p w:rsidR="00584F9A" w:rsidRPr="008E76A9" w:rsidRDefault="00584F9A" w:rsidP="001C172D">
                              <w:pPr>
                                <w:pStyle w:val="ChartBoldText"/>
                                <w:jc w:val="left"/>
                                <w:rPr>
                                  <w:rFonts w:ascii="Franklin Gothic Book" w:hAnsi="Franklin Gothic Book"/>
                                  <w:color w:val="000000" w:themeColor="text1"/>
                                </w:rPr>
                              </w:pPr>
                              <w:proofErr w:type="spellStart"/>
                              <w:r>
                                <w:rPr>
                                  <w:rFonts w:ascii="Franklin Gothic Book" w:hAnsi="Franklin Gothic Book"/>
                                  <w:color w:val="000000" w:themeColor="text1"/>
                                </w:rPr>
                                <w:t>PoC</w:t>
                              </w:r>
                              <w:proofErr w:type="spellEnd"/>
                              <w:r>
                                <w:rPr>
                                  <w:rFonts w:ascii="Franklin Gothic Book" w:hAnsi="Franklin Gothic Book"/>
                                  <w:color w:val="000000" w:themeColor="text1"/>
                                </w:rPr>
                                <w:t xml:space="preserve"> parented </w:t>
                              </w:r>
                              <w:proofErr w:type="gramStart"/>
                              <w:r>
                                <w:rPr>
                                  <w:rFonts w:ascii="Franklin Gothic Book" w:hAnsi="Franklin Gothic Book"/>
                                  <w:color w:val="000000" w:themeColor="text1"/>
                                </w:rPr>
                                <w:t>by a LAS</w:t>
                              </w:r>
                              <w:proofErr w:type="gramEnd"/>
                              <w:r>
                                <w:rPr>
                                  <w:rFonts w:ascii="Franklin Gothic Book" w:hAnsi="Franklin Gothic Book"/>
                                  <w:color w:val="000000" w:themeColor="text1"/>
                                </w:rPr>
                                <w:t xml:space="preserve"> on a ring</w:t>
                              </w:r>
                            </w:p>
                          </w:txbxContent>
                        </v:textbox>
                      </v:rect>
                      <v:rect id="Rectangle 72" o:spid="_x0000_s1127" style="position:absolute;top:18606;width:7791;height:4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aK2cYA&#10;AADbAAAADwAAAGRycy9kb3ducmV2LnhtbESPW2sCMRSE34X+h3AKvmm20otsjVIEi1gqeGGxb4fN&#10;6Wbr5mTZRF399UYQ+jjMzDfMaNLaShyp8aVjBU/9BARx7nTJhYLtZtYbgvABWWPlmBScycNk/NAZ&#10;YardiVd0XIdCRAj7FBWYEOpUSp8bsuj7riaO3q9rLIYom0LqBk8Rbis5SJJXabHkuGCwpqmhfL8+&#10;WAXPf5fP3Tk384XLfvarZci+X74ypbqP7cc7iEBt+A/f23Ot4G0Aty/xB8jx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aK2cYAAADbAAAADwAAAAAAAAAAAAAAAACYAgAAZHJz&#10;L2Rvd25yZXYueG1sUEsFBgAAAAAEAAQA9QAAAIsDAAAAAA==&#10;" filled="f" stroked="f" strokeweight="2pt">
                        <v:textbox inset="2mm,1mm,2mm,1mm">
                          <w:txbxContent>
                            <w:p w:rsidR="00584F9A" w:rsidRPr="008E76A9" w:rsidRDefault="00584F9A" w:rsidP="001C172D">
                              <w:pPr>
                                <w:pStyle w:val="ChartBoldText"/>
                                <w:jc w:val="left"/>
                                <w:rPr>
                                  <w:rFonts w:ascii="Franklin Gothic Book" w:hAnsi="Franklin Gothic Book"/>
                                  <w:color w:val="000000" w:themeColor="text1"/>
                                </w:rPr>
                              </w:pPr>
                              <w:proofErr w:type="gramStart"/>
                              <w:r>
                                <w:rPr>
                                  <w:rFonts w:ascii="Franklin Gothic Book" w:hAnsi="Franklin Gothic Book"/>
                                  <w:color w:val="000000" w:themeColor="text1"/>
                                </w:rPr>
                                <w:t xml:space="preserve">Each LE is parented by a </w:t>
                              </w:r>
                              <w:proofErr w:type="spellStart"/>
                              <w:r>
                                <w:rPr>
                                  <w:rFonts w:ascii="Franklin Gothic Book" w:hAnsi="Franklin Gothic Book"/>
                                  <w:color w:val="000000" w:themeColor="text1"/>
                                </w:rPr>
                                <w:t>PoC</w:t>
                              </w:r>
                              <w:proofErr w:type="spellEnd"/>
                              <w:proofErr w:type="gramEnd"/>
                            </w:p>
                          </w:txbxContent>
                        </v:textbox>
                      </v:rect>
                      <v:rect id="Rectangle 73" o:spid="_x0000_s1128" style="position:absolute;left:42539;top:3657;width:6509;height:3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7cLcQA&#10;AADbAAAADwAAAGRycy9kb3ducmV2LnhtbESP3WrCQBSE7wu+w3IEb0rd+FdDdBXxj94VbR/gmD0m&#10;wezZkF1N9OldodDLYWa+YebL1pTiRrUrLCsY9CMQxKnVBWcKfn92HzEI55E1lpZJwZ0cLBedtzkm&#10;2jZ8oNvRZyJA2CWoIPe+SqR0aU4GXd9WxME729qgD7LOpK6xCXBTymEUfUqDBYeFHCta55Rejlej&#10;YPw40fq8L+PH5n2yatw93sbfTqlet13NQHhq/X/4r/2lFUxH8PoSf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u3C3EAAAA2wAAAA8AAAAAAAAAAAAAAAAAmAIAAGRycy9k&#10;b3ducmV2LnhtbFBLBQYAAAAABAAEAPUAAACJAwAAAAA=&#10;" filled="f" strokecolor="#006b7a [3204]" strokeweight="2pt">
                        <v:textbox inset="2mm,1mm,2mm,1mm">
                          <w:txbxContent>
                            <w:p w:rsidR="00584F9A" w:rsidRPr="008E76A9" w:rsidRDefault="00584F9A" w:rsidP="001C172D">
                              <w:pPr>
                                <w:pStyle w:val="ChartBoldText"/>
                                <w:spacing w:after="0"/>
                                <w:rPr>
                                  <w:rFonts w:ascii="Franklin Gothic Book" w:hAnsi="Franklin Gothic Book"/>
                                  <w:color w:val="006B7A" w:themeColor="accent1"/>
                                  <w:sz w:val="20"/>
                                  <w:szCs w:val="20"/>
                                </w:rPr>
                              </w:pPr>
                              <w:proofErr w:type="gramStart"/>
                              <w:r>
                                <w:rPr>
                                  <w:rFonts w:ascii="Franklin Gothic Book" w:hAnsi="Franklin Gothic Book"/>
                                  <w:color w:val="006B7A" w:themeColor="accent1"/>
                                  <w:sz w:val="20"/>
                                  <w:szCs w:val="20"/>
                                </w:rPr>
                                <w:t>14</w:t>
                              </w:r>
                              <w:proofErr w:type="gramEnd"/>
                              <w:r>
                                <w:rPr>
                                  <w:rFonts w:ascii="Franklin Gothic Book" w:hAnsi="Franklin Gothic Book"/>
                                  <w:color w:val="006B7A" w:themeColor="accent1"/>
                                  <w:sz w:val="20"/>
                                  <w:szCs w:val="20"/>
                                </w:rPr>
                                <w:t xml:space="preserve"> TNS</w:t>
                              </w:r>
                            </w:p>
                          </w:txbxContent>
                        </v:textbox>
                      </v:rect>
                      <v:rect id="Rectangle 74" o:spid="_x0000_s1129" style="position:absolute;left:42539;top:9462;width:6509;height:3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ZCsUA&#10;AADbAAAADwAAAGRycy9kb3ducmV2LnhtbESPQWsCMRCF74L/IYzQm2Yt0rVbo1ilUHspaul52Iyb&#10;xc1km2R1669vCoUeH2/e9+YtVr1txIV8qB0rmE4yEMSl0zVXCj6OL+M5iBCRNTaOScE3BVgth4MF&#10;FtpdeU+XQ6xEgnAoUIGJsS2kDKUhi2HiWuLknZy3GJP0ldQerwluG3mfZQ/SYs2pwWBLG0Pl+dDZ&#10;9MbX7nnemW3uH2fVpsvftubz/abU3ahfP4GI1Mf/47/0q1aQz+B3SwK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9pkKxQAAANsAAAAPAAAAAAAAAAAAAAAAAJgCAABkcnMv&#10;ZG93bnJldi54bWxQSwUGAAAAAAQABAD1AAAAigMAAAAA&#10;" filled="f" strokecolor="#c6bfab [3206]" strokeweight="2pt">
                        <v:textbox inset="2mm,1mm,2mm,1mm">
                          <w:txbxContent>
                            <w:p w:rsidR="00584F9A" w:rsidRPr="008E76A9" w:rsidRDefault="00584F9A" w:rsidP="001C172D">
                              <w:pPr>
                                <w:pStyle w:val="ChartBoldText"/>
                                <w:spacing w:after="0"/>
                                <w:rPr>
                                  <w:rFonts w:ascii="Franklin Gothic Book" w:hAnsi="Franklin Gothic Book"/>
                                  <w:color w:val="9B917E" w:themeColor="accent4"/>
                                  <w:sz w:val="20"/>
                                  <w:szCs w:val="20"/>
                                </w:rPr>
                              </w:pPr>
                              <w:proofErr w:type="gramStart"/>
                              <w:r w:rsidRPr="008E76A9">
                                <w:rPr>
                                  <w:rFonts w:ascii="Franklin Gothic Book" w:hAnsi="Franklin Gothic Book"/>
                                  <w:color w:val="9B917E" w:themeColor="accent4"/>
                                  <w:sz w:val="20"/>
                                  <w:szCs w:val="20"/>
                                </w:rPr>
                                <w:t>133</w:t>
                              </w:r>
                              <w:proofErr w:type="gramEnd"/>
                              <w:r w:rsidRPr="008E76A9">
                                <w:rPr>
                                  <w:rFonts w:ascii="Franklin Gothic Book" w:hAnsi="Franklin Gothic Book"/>
                                  <w:color w:val="9B917E" w:themeColor="accent4"/>
                                  <w:sz w:val="20"/>
                                  <w:szCs w:val="20"/>
                                </w:rPr>
                                <w:t xml:space="preserve"> LAS</w:t>
                              </w:r>
                            </w:p>
                          </w:txbxContent>
                        </v:textbox>
                      </v:rect>
                      <v:rect id="Rectangle 75" o:spid="_x0000_s1130" style="position:absolute;left:42539;top:19957;width:6509;height:3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nVqMIA&#10;AADbAAAADwAAAGRycy9kb3ducmV2LnhtbESPQWsCMRSE74X+h/AK3mq2SlvdGkWEgvQgdFt6fmye&#10;u8HNy5K8rtt/3wiCx2FmvmFWm9F3aqCYXGADT9MCFHEdrOPGwPfX++MCVBJki11gMvBHCTbr+7sV&#10;ljac+ZOGShqVIZxKNNCK9KXWqW7JY5qGnjh7xxA9Spax0TbiOcN9p2dF8aI9Os4LLfa0a6k+Vb/e&#10;wC7OZfzBYbmMH/bk5FDtm+iMmTyM2zdQQqPcwtf23hp4fYbLl/wD9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dWowgAAANsAAAAPAAAAAAAAAAAAAAAAAJgCAABkcnMvZG93&#10;bnJldi54bWxQSwUGAAAAAAQABAD1AAAAhwMAAAAA&#10;" filled="f" strokecolor="#f61d12 [3205]" strokeweight="2pt">
                        <v:textbox inset="2mm,1mm,2mm,1mm">
                          <w:txbxContent>
                            <w:p w:rsidR="00584F9A" w:rsidRPr="008E76A9" w:rsidRDefault="00584F9A" w:rsidP="001C172D">
                              <w:pPr>
                                <w:pStyle w:val="ChartBoldText"/>
                                <w:spacing w:after="0"/>
                                <w:rPr>
                                  <w:rFonts w:ascii="Franklin Gothic Book" w:hAnsi="Franklin Gothic Book"/>
                                  <w:color w:val="F61D12" w:themeColor="accent2"/>
                                  <w:sz w:val="20"/>
                                  <w:szCs w:val="20"/>
                                </w:rPr>
                              </w:pPr>
                              <w:r w:rsidRPr="008E76A9">
                                <w:rPr>
                                  <w:rFonts w:ascii="Franklin Gothic Book" w:hAnsi="Franklin Gothic Book"/>
                                  <w:color w:val="F61D12" w:themeColor="accent2"/>
                                  <w:sz w:val="20"/>
                                  <w:szCs w:val="20"/>
                                </w:rPr>
                                <w:t>5070 LE</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6" o:spid="_x0000_s1131" type="#_x0000_t88" style="position:absolute;left:40790;top:17413;width:1437;height:8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bt8IA&#10;AADbAAAADwAAAGRycy9kb3ducmV2LnhtbESPT4vCMBTE7wt+h/AEb2uqB12qUfwLiqdVL94ezbMp&#10;Ni+lSW399psFweMwM79h5svOluJJtS8cKxgNExDEmdMF5wqul/33DwgfkDWWjknBizwsF72vOaba&#10;tfxLz3PIRYSwT1GBCaFKpfSZIYt+6Cri6N1dbTFEWedS19hGuC3lOEkm0mLBccFgRRtD2ePcWAXN&#10;sWpvO7Nu8q1+dYmebk+n40WpQb9bzUAE6sIn/G4ftILpBP6/x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9Ru3wgAAANsAAAAPAAAAAAAAAAAAAAAAAJgCAABkcnMvZG93&#10;bnJldi54bWxQSwUGAAAAAAQABAD1AAAAhwMAAAAA&#10;" adj="316" strokecolor="#f61d12 [3205]"/>
                      <w10:anchorlock/>
                    </v:group>
                  </w:pict>
                </mc:Fallback>
              </mc:AlternateContent>
            </w:r>
          </w:p>
        </w:tc>
      </w:tr>
    </w:tbl>
    <w:p w:rsidR="00A906FD" w:rsidRDefault="00A906FD" w:rsidP="004660B8">
      <w:pPr>
        <w:pStyle w:val="Source"/>
      </w:pPr>
      <w:proofErr w:type="gramStart"/>
      <w:r>
        <w:rPr>
          <w:i/>
        </w:rPr>
        <w:t>Data source</w:t>
      </w:r>
      <w:r w:rsidRPr="00A67576">
        <w:rPr>
          <w:i/>
        </w:rPr>
        <w:t>:</w:t>
      </w:r>
      <w:r>
        <w:t xml:space="preserve"> </w:t>
      </w:r>
      <w:proofErr w:type="spellStart"/>
      <w:r>
        <w:t>Analysys</w:t>
      </w:r>
      <w:proofErr w:type="spellEnd"/>
      <w:r>
        <w:t xml:space="preserve"> Mason 2014.</w:t>
      </w:r>
      <w:proofErr w:type="gramEnd"/>
    </w:p>
    <w:p w:rsidR="00F40817" w:rsidRPr="00F40817" w:rsidRDefault="00F40817" w:rsidP="00F40817">
      <w:pPr>
        <w:pStyle w:val="BodyText"/>
      </w:pPr>
      <w:r w:rsidRPr="00F40817">
        <w:t xml:space="preserve">In particular, the ACM assumed that local exchanges (LE) </w:t>
      </w:r>
      <w:proofErr w:type="gramStart"/>
      <w:r w:rsidRPr="00F40817">
        <w:t>were linked</w:t>
      </w:r>
      <w:proofErr w:type="gramEnd"/>
      <w:r w:rsidRPr="00F40817">
        <w:t xml:space="preserve"> to parent transmission hubs called points of confluence (</w:t>
      </w:r>
      <w:proofErr w:type="spellStart"/>
      <w:r w:rsidRPr="00F40817">
        <w:t>PoCs</w:t>
      </w:r>
      <w:proofErr w:type="spellEnd"/>
      <w:r w:rsidRPr="00F40817">
        <w:t xml:space="preserve">) using tree systems of trench and fibre. Each </w:t>
      </w:r>
      <w:proofErr w:type="spellStart"/>
      <w:r w:rsidRPr="00F40817">
        <w:t>PoC</w:t>
      </w:r>
      <w:proofErr w:type="spellEnd"/>
      <w:r w:rsidRPr="00F40817">
        <w:t xml:space="preserve"> served up to a maximum number of lines and up to a maximum number of local exchanges for resilience purposes. </w:t>
      </w:r>
      <w:proofErr w:type="spellStart"/>
      <w:r w:rsidRPr="00F40817">
        <w:t>PoCs</w:t>
      </w:r>
      <w:proofErr w:type="spellEnd"/>
      <w:r w:rsidRPr="00F40817">
        <w:t xml:space="preserve"> were then joined into resilient ring systems of </w:t>
      </w:r>
      <w:proofErr w:type="gramStart"/>
      <w:r w:rsidRPr="00F40817">
        <w:t>trench and fibre to the local access switches (LAS)</w:t>
      </w:r>
      <w:proofErr w:type="gramEnd"/>
      <w:r w:rsidRPr="00F40817">
        <w:t xml:space="preserve"> and transit network switches (TNS). The assets at each node </w:t>
      </w:r>
      <w:proofErr w:type="gramStart"/>
      <w:r w:rsidRPr="00F40817">
        <w:t>were modelled</w:t>
      </w:r>
      <w:proofErr w:type="gramEnd"/>
      <w:r w:rsidRPr="00F40817">
        <w:t xml:space="preserve"> individually.</w:t>
      </w:r>
    </w:p>
    <w:p w:rsidR="00A906FD" w:rsidRDefault="00F40817" w:rsidP="00F40817">
      <w:pPr>
        <w:pStyle w:val="BodyText"/>
      </w:pPr>
      <w:r w:rsidRPr="00F40817">
        <w:t xml:space="preserve">The fundamental building block in the ACM was the exchange service area (ESA), of which there were 5070 nationwide, as in Telstra’s network. These ESAs had at least one LE, with 5254 LE in total. For the purposes of the price regulation of ULLS, the ACCC had historically allocated each ESA to one ULLS “Band”, as summarised below in </w:t>
      </w:r>
      <w:r w:rsidR="00402DB3">
        <w:t>table </w:t>
      </w:r>
      <w:fldSimple w:instr=" REF _Caption5872 ">
        <w:r w:rsidR="00304215">
          <w:rPr>
            <w:noProof/>
          </w:rPr>
          <w:t>B</w:t>
        </w:r>
        <w:r w:rsidR="00304215" w:rsidRPr="00695C93">
          <w:rPr>
            <w:noProof/>
          </w:rPr>
          <w:t>.</w:t>
        </w:r>
        <w:r w:rsidR="00304215">
          <w:rPr>
            <w:noProof/>
          </w:rPr>
          <w:t>2</w:t>
        </w:r>
      </w:fldSimple>
      <w:r w:rsidRPr="00F40817">
        <w:t>.</w:t>
      </w:r>
    </w:p>
    <w:p w:rsidR="00A906FD" w:rsidRDefault="00A906FD" w:rsidP="00A906FD">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B</w:instrText>
        </w:r>
      </w:fldSimple>
      <w:r w:rsidRPr="00695C93">
        <w:instrText xml:space="preserve"> = 0 "</w:instrText>
      </w:r>
      <w:r w:rsidRPr="00695C93">
        <w:fldChar w:fldCharType="begin"/>
      </w:r>
      <w:r w:rsidRPr="00695C93">
        <w:instrText xml:space="preserve"> IF </w:instrText>
      </w:r>
      <w:fldSimple w:instr=" STYLEREF &quot;Heading 1&quot; \l \n ">
        <w:r>
          <w:rPr>
            <w:noProof/>
          </w:rPr>
          <w:instrText>0</w:instrText>
        </w:r>
      </w:fldSimple>
      <w:r w:rsidRPr="00695C93">
        <w:instrText xml:space="preserve"> = 0 "" "</w:instrText>
      </w:r>
      <w:fldSimple w:instr=" STYLEREF &quot;Heading 1&quot; \l \n ">
        <w:r>
          <w:rPr>
            <w:noProof/>
          </w:rPr>
          <w:instrText>2</w:instrText>
        </w:r>
      </w:fldSimple>
      <w:r w:rsidRPr="00695C93">
        <w:instrText xml:space="preserve">." </w:instrText>
      </w:r>
      <w:r w:rsidRPr="00695C93">
        <w:fldChar w:fldCharType="end"/>
      </w:r>
      <w:r w:rsidRPr="00695C93">
        <w:instrText>" "</w:instrText>
      </w:r>
      <w:fldSimple w:instr=" STYLEREF &quot;Heading 6&quot; \l \n ">
        <w:r w:rsidR="00304215">
          <w:rPr>
            <w:noProof/>
          </w:rPr>
          <w:instrText>B</w:instrText>
        </w:r>
      </w:fldSimple>
      <w:r w:rsidRPr="00695C93">
        <w:instrText xml:space="preserve">." </w:instrText>
      </w:r>
      <w:r w:rsidRPr="00695C93">
        <w:fldChar w:fldCharType="separate"/>
      </w:r>
      <w:r w:rsidR="00304215">
        <w:rPr>
          <w:noProof/>
        </w:rPr>
        <w:instrText>B</w:instrText>
      </w:r>
      <w:r w:rsidR="00304215"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B</w:instrText>
        </w:r>
      </w:fldSimple>
      <w:r w:rsidRPr="00695C93">
        <w:instrText xml:space="preserve"> = 0 "</w:instrText>
      </w:r>
      <w:r w:rsidRPr="00695C93">
        <w:fldChar w:fldCharType="begin"/>
      </w:r>
      <w:r w:rsidRPr="00695C93">
        <w:instrText xml:space="preserve"> IF </w:instrText>
      </w:r>
      <w:fldSimple w:instr=" STYLEREF &quot;Heading 1&quot; \l \n ">
        <w:r>
          <w:rPr>
            <w:noProof/>
          </w:rPr>
          <w:instrText>0</w:instrText>
        </w:r>
      </w:fldSimple>
      <w:r w:rsidRPr="00695C93">
        <w:instrText xml:space="preserve"> = 0 "" "1" </w:instrText>
      </w:r>
      <w:r w:rsidRPr="00695C93">
        <w:fldChar w:fldCharType="end"/>
      </w:r>
      <w:r w:rsidRPr="00695C93">
        <w:instrText xml:space="preserve">" "6" </w:instrText>
      </w:r>
      <w:r w:rsidRPr="00695C93">
        <w:fldChar w:fldCharType="separate"/>
      </w:r>
      <w:r w:rsidR="00304215" w:rsidRPr="00695C93">
        <w:rPr>
          <w:noProof/>
        </w:rPr>
        <w:instrText>6</w:instrText>
      </w:r>
      <w:r w:rsidRPr="00695C93">
        <w:fldChar w:fldCharType="end"/>
      </w:r>
      <w:r w:rsidRPr="00695C93">
        <w:instrText xml:space="preserve"> </w:instrText>
      </w:r>
      <w:r w:rsidRPr="00695C93">
        <w:fldChar w:fldCharType="separate"/>
      </w:r>
      <w:r w:rsidR="00304215">
        <w:rPr>
          <w:noProof/>
        </w:rPr>
        <w:instrText>2</w:instrText>
      </w:r>
      <w:r w:rsidRPr="00695C93">
        <w:fldChar w:fldCharType="end"/>
      </w:r>
      <w:r w:rsidRPr="00695C93">
        <w:instrText xml:space="preserve">" "" </w:instrText>
      </w:r>
      <w:r w:rsidRPr="00695C93">
        <w:fldChar w:fldCharType="separate"/>
      </w:r>
      <w:bookmarkStart w:id="1681" w:name="_Caption6151"/>
      <w:bookmarkStart w:id="1682" w:name="_Caption4123"/>
      <w:bookmarkStart w:id="1683" w:name="_Caption5075"/>
      <w:bookmarkStart w:id="1684" w:name="_Caption9701"/>
      <w:bookmarkStart w:id="1685" w:name="_Caption8443"/>
      <w:bookmarkStart w:id="1686" w:name="_Caption5872"/>
      <w:bookmarkStart w:id="1687" w:name="_Caption3646"/>
      <w:bookmarkStart w:id="1688" w:name="_Caption1923"/>
      <w:bookmarkStart w:id="1689" w:name="_Caption9310"/>
      <w:bookmarkStart w:id="1690" w:name="_Caption7917"/>
      <w:bookmarkStart w:id="1691" w:name="_Caption4048"/>
      <w:bookmarkStart w:id="1692" w:name="_Caption2288"/>
      <w:bookmarkStart w:id="1693" w:name="_Toc391972986"/>
      <w:r w:rsidR="00584F9A">
        <w:rPr>
          <w:noProof/>
        </w:rPr>
        <w:t>B</w:t>
      </w:r>
      <w:r w:rsidR="00584F9A" w:rsidRPr="00695C93">
        <w:rPr>
          <w:noProof/>
        </w:rPr>
        <w:t>.</w:t>
      </w:r>
      <w:r w:rsidR="00584F9A">
        <w:rPr>
          <w:noProof/>
        </w:rPr>
        <w:t>2</w:t>
      </w:r>
      <w:bookmarkEnd w:id="1681"/>
      <w:bookmarkEnd w:id="1682"/>
      <w:bookmarkEnd w:id="1683"/>
      <w:bookmarkEnd w:id="1684"/>
      <w:bookmarkEnd w:id="1685"/>
      <w:bookmarkEnd w:id="1686"/>
      <w:bookmarkEnd w:id="1687"/>
      <w:bookmarkEnd w:id="1688"/>
      <w:bookmarkEnd w:id="1689"/>
      <w:bookmarkEnd w:id="1690"/>
      <w:bookmarkEnd w:id="1691"/>
      <w:bookmarkEnd w:id="1692"/>
      <w:r w:rsidRPr="00695C93">
        <w:fldChar w:fldCharType="end"/>
      </w:r>
      <w:r w:rsidRPr="00695C93">
        <w:tab/>
      </w:r>
      <w:r w:rsidRPr="00F40817">
        <w:t>Summary of ULLS Band definitions used by the ACCC</w:t>
      </w:r>
      <w:bookmarkEnd w:id="1693"/>
    </w:p>
    <w:tbl>
      <w:tblPr>
        <w:tblStyle w:val="MediumShading2-Accent1"/>
        <w:tblW w:w="7938" w:type="dxa"/>
        <w:tblInd w:w="57" w:type="dxa"/>
        <w:tblBorders>
          <w:top w:val="none" w:sz="0" w:space="0" w:color="auto"/>
          <w:bottom w:val="none" w:sz="0" w:space="0" w:color="auto"/>
        </w:tblBorders>
        <w:tblLook w:val="0420" w:firstRow="1" w:lastRow="0" w:firstColumn="0" w:lastColumn="0" w:noHBand="0" w:noVBand="1"/>
      </w:tblPr>
      <w:tblGrid>
        <w:gridCol w:w="1986"/>
        <w:gridCol w:w="1984"/>
        <w:gridCol w:w="1984"/>
        <w:gridCol w:w="1984"/>
      </w:tblGrid>
      <w:tr w:rsidR="00A906FD" w:rsidRPr="002B2E3B" w:rsidTr="002B2E3B">
        <w:trPr>
          <w:cnfStyle w:val="100000000000" w:firstRow="1" w:lastRow="0" w:firstColumn="0" w:lastColumn="0" w:oddVBand="0" w:evenVBand="0" w:oddHBand="0" w:evenHBand="0" w:firstRowFirstColumn="0" w:firstRowLastColumn="0" w:lastRowFirstColumn="0" w:lastRowLastColumn="0"/>
        </w:trPr>
        <w:tc>
          <w:tcPr>
            <w:tcW w:w="1986" w:type="dxa"/>
            <w:tcBorders>
              <w:top w:val="none" w:sz="0" w:space="0" w:color="auto"/>
              <w:left w:val="none" w:sz="0" w:space="0" w:color="auto"/>
              <w:bottom w:val="single" w:sz="8" w:space="0" w:color="FFFFFF" w:themeColor="background1"/>
              <w:right w:val="none" w:sz="0" w:space="0" w:color="auto"/>
            </w:tcBorders>
            <w:shd w:val="clear" w:color="221F72" w:fill="6F6652" w:themeFill="accent5"/>
            <w:tcMar>
              <w:left w:w="57" w:type="dxa"/>
              <w:right w:w="57" w:type="dxa"/>
            </w:tcMar>
            <w:hideMark/>
          </w:tcPr>
          <w:p w:rsidR="00A906FD" w:rsidRPr="002B2E3B" w:rsidRDefault="00A906FD" w:rsidP="002B2E3B">
            <w:pPr>
              <w:pStyle w:val="TableDataColumnHeading"/>
              <w:jc w:val="left"/>
              <w:rPr>
                <w:b w:val="0"/>
              </w:rPr>
            </w:pPr>
            <w:r w:rsidRPr="002B2E3B">
              <w:rPr>
                <w:b w:val="0"/>
              </w:rPr>
              <w:t>ULLS Band</w:t>
            </w:r>
          </w:p>
        </w:tc>
        <w:tc>
          <w:tcPr>
            <w:tcW w:w="1984" w:type="dxa"/>
            <w:tcBorders>
              <w:top w:val="none" w:sz="0" w:space="0" w:color="auto"/>
              <w:left w:val="none" w:sz="0" w:space="0" w:color="auto"/>
              <w:bottom w:val="single" w:sz="8" w:space="0" w:color="FFFFFF" w:themeColor="background1"/>
              <w:right w:val="none" w:sz="0" w:space="0" w:color="auto"/>
            </w:tcBorders>
            <w:shd w:val="clear" w:color="221F72" w:fill="6F6652" w:themeFill="accent5"/>
            <w:tcMar>
              <w:left w:w="57" w:type="dxa"/>
              <w:right w:w="57" w:type="dxa"/>
            </w:tcMar>
            <w:hideMark/>
          </w:tcPr>
          <w:p w:rsidR="00A906FD" w:rsidRPr="002B2E3B" w:rsidRDefault="00A906FD" w:rsidP="002B2E3B">
            <w:pPr>
              <w:pStyle w:val="TableDataColumnHeading"/>
              <w:rPr>
                <w:b w:val="0"/>
              </w:rPr>
            </w:pPr>
            <w:r w:rsidRPr="002B2E3B">
              <w:rPr>
                <w:b w:val="0"/>
              </w:rPr>
              <w:t>Exchange service areas</w:t>
            </w:r>
          </w:p>
        </w:tc>
        <w:tc>
          <w:tcPr>
            <w:tcW w:w="1984" w:type="dxa"/>
            <w:tcBorders>
              <w:top w:val="none" w:sz="0" w:space="0" w:color="auto"/>
              <w:left w:val="none" w:sz="0" w:space="0" w:color="auto"/>
              <w:bottom w:val="single" w:sz="8" w:space="0" w:color="FFFFFF" w:themeColor="background1"/>
              <w:right w:val="none" w:sz="0" w:space="0" w:color="auto"/>
            </w:tcBorders>
            <w:shd w:val="clear" w:color="221F72" w:fill="6F6652" w:themeFill="accent5"/>
            <w:tcMar>
              <w:left w:w="57" w:type="dxa"/>
              <w:right w:w="57" w:type="dxa"/>
            </w:tcMar>
            <w:hideMark/>
          </w:tcPr>
          <w:p w:rsidR="00A906FD" w:rsidRPr="002B2E3B" w:rsidRDefault="00A906FD" w:rsidP="002B2E3B">
            <w:pPr>
              <w:pStyle w:val="TableDataColumnHeading"/>
              <w:rPr>
                <w:b w:val="0"/>
              </w:rPr>
            </w:pPr>
            <w:r w:rsidRPr="002B2E3B">
              <w:rPr>
                <w:b w:val="0"/>
              </w:rPr>
              <w:t>Proportion of premises</w:t>
            </w:r>
          </w:p>
        </w:tc>
        <w:tc>
          <w:tcPr>
            <w:tcW w:w="1984" w:type="dxa"/>
            <w:tcBorders>
              <w:top w:val="none" w:sz="0" w:space="0" w:color="auto"/>
              <w:left w:val="none" w:sz="0" w:space="0" w:color="auto"/>
              <w:bottom w:val="single" w:sz="8" w:space="0" w:color="FFFFFF" w:themeColor="background1"/>
              <w:right w:val="none" w:sz="0" w:space="0" w:color="auto"/>
            </w:tcBorders>
            <w:shd w:val="clear" w:color="221F72" w:fill="6F6652" w:themeFill="accent5"/>
            <w:tcMar>
              <w:left w:w="57" w:type="dxa"/>
              <w:right w:w="57" w:type="dxa"/>
            </w:tcMar>
            <w:hideMark/>
          </w:tcPr>
          <w:p w:rsidR="00A906FD" w:rsidRPr="002B2E3B" w:rsidRDefault="00A906FD" w:rsidP="002B2E3B">
            <w:pPr>
              <w:pStyle w:val="TableDataColumnHeading"/>
              <w:rPr>
                <w:b w:val="0"/>
              </w:rPr>
            </w:pPr>
            <w:r w:rsidRPr="002B2E3B">
              <w:rPr>
                <w:b w:val="0"/>
              </w:rPr>
              <w:t>Proportion of lines</w:t>
            </w:r>
          </w:p>
        </w:tc>
      </w:tr>
      <w:tr w:rsidR="002B2E3B" w:rsidTr="002B2E3B">
        <w:trPr>
          <w:cnfStyle w:val="000000100000" w:firstRow="0" w:lastRow="0" w:firstColumn="0" w:lastColumn="0" w:oddVBand="0" w:evenVBand="0" w:oddHBand="1" w:evenHBand="0" w:firstRowFirstColumn="0" w:firstRowLastColumn="0" w:lastRowFirstColumn="0" w:lastRowLastColumn="0"/>
        </w:trPr>
        <w:tc>
          <w:tcPr>
            <w:tcW w:w="1986" w:type="dxa"/>
            <w:tcBorders>
              <w:top w:val="single" w:sz="8" w:space="0" w:color="FFFFFF" w:themeColor="background1"/>
              <w:bottom w:val="single" w:sz="8" w:space="0" w:color="FFFFFF" w:themeColor="background1"/>
            </w:tcBorders>
            <w:shd w:val="clear" w:color="auto" w:fill="auto"/>
            <w:tcMar>
              <w:left w:w="57" w:type="dxa"/>
              <w:right w:w="57" w:type="dxa"/>
            </w:tcMar>
          </w:tcPr>
          <w:p w:rsidR="002B2E3B" w:rsidRDefault="002B2E3B" w:rsidP="002B2E3B">
            <w:pPr>
              <w:pStyle w:val="TableDataEntries"/>
            </w:pPr>
          </w:p>
        </w:tc>
        <w:tc>
          <w:tcPr>
            <w:tcW w:w="1984" w:type="dxa"/>
            <w:tcBorders>
              <w:top w:val="single" w:sz="8" w:space="0" w:color="FFFFFF" w:themeColor="background1"/>
              <w:bottom w:val="single" w:sz="8" w:space="0" w:color="FFFFFF" w:themeColor="background1"/>
            </w:tcBorders>
            <w:shd w:val="clear" w:color="auto" w:fill="auto"/>
            <w:tcMar>
              <w:left w:w="57" w:type="dxa"/>
              <w:right w:w="57" w:type="dxa"/>
            </w:tcMar>
          </w:tcPr>
          <w:p w:rsidR="002B2E3B" w:rsidRDefault="002B2E3B" w:rsidP="002B2E3B">
            <w:pPr>
              <w:pStyle w:val="TableDataEntries"/>
            </w:pPr>
          </w:p>
        </w:tc>
        <w:tc>
          <w:tcPr>
            <w:tcW w:w="1984" w:type="dxa"/>
            <w:tcBorders>
              <w:top w:val="single" w:sz="8" w:space="0" w:color="FFFFFF" w:themeColor="background1"/>
              <w:bottom w:val="single" w:sz="8" w:space="0" w:color="FFFFFF" w:themeColor="background1"/>
            </w:tcBorders>
            <w:shd w:val="clear" w:color="auto" w:fill="auto"/>
            <w:tcMar>
              <w:left w:w="57" w:type="dxa"/>
              <w:right w:w="57" w:type="dxa"/>
            </w:tcMar>
          </w:tcPr>
          <w:p w:rsidR="002B2E3B" w:rsidRDefault="002B2E3B" w:rsidP="002B2E3B">
            <w:pPr>
              <w:pStyle w:val="TableDataEntries"/>
            </w:pPr>
            <w:r>
              <w:t>Per cent</w:t>
            </w:r>
          </w:p>
        </w:tc>
        <w:tc>
          <w:tcPr>
            <w:tcW w:w="1984" w:type="dxa"/>
            <w:tcBorders>
              <w:top w:val="single" w:sz="8" w:space="0" w:color="FFFFFF" w:themeColor="background1"/>
              <w:bottom w:val="single" w:sz="8" w:space="0" w:color="FFFFFF" w:themeColor="background1"/>
            </w:tcBorders>
            <w:shd w:val="clear" w:color="auto" w:fill="auto"/>
            <w:tcMar>
              <w:left w:w="57" w:type="dxa"/>
              <w:right w:w="57" w:type="dxa"/>
            </w:tcMar>
          </w:tcPr>
          <w:p w:rsidR="002B2E3B" w:rsidRDefault="002B2E3B" w:rsidP="002B2E3B">
            <w:pPr>
              <w:pStyle w:val="TableDataEntries"/>
            </w:pPr>
            <w:r>
              <w:t>Per cent</w:t>
            </w:r>
          </w:p>
        </w:tc>
      </w:tr>
      <w:tr w:rsidR="00A906FD" w:rsidTr="002B2E3B">
        <w:tc>
          <w:tcPr>
            <w:tcW w:w="198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2B2E3B">
            <w:pPr>
              <w:pStyle w:val="TableUnit"/>
              <w:jc w:val="left"/>
            </w:pPr>
            <w:r>
              <w:t>Band 1</w:t>
            </w:r>
          </w:p>
        </w:tc>
        <w:tc>
          <w:tcPr>
            <w:tcW w:w="198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2B2E3B">
            <w:pPr>
              <w:pStyle w:val="TableUnit"/>
            </w:pPr>
            <w:r>
              <w:t>17</w:t>
            </w:r>
          </w:p>
        </w:tc>
        <w:tc>
          <w:tcPr>
            <w:tcW w:w="198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2B2E3B">
            <w:pPr>
              <w:pStyle w:val="TableUnit"/>
            </w:pPr>
            <w:r>
              <w:t>0.5</w:t>
            </w:r>
          </w:p>
        </w:tc>
        <w:tc>
          <w:tcPr>
            <w:tcW w:w="198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2B2E3B">
            <w:pPr>
              <w:pStyle w:val="TableUnit"/>
            </w:pPr>
            <w:r>
              <w:t>2.5</w:t>
            </w:r>
          </w:p>
        </w:tc>
      </w:tr>
      <w:tr w:rsidR="00A906FD" w:rsidTr="002B2E3B">
        <w:trPr>
          <w:cnfStyle w:val="000000100000" w:firstRow="0" w:lastRow="0" w:firstColumn="0" w:lastColumn="0" w:oddVBand="0" w:evenVBand="0" w:oddHBand="1" w:evenHBand="0" w:firstRowFirstColumn="0" w:firstRowLastColumn="0" w:lastRowFirstColumn="0" w:lastRowLastColumn="0"/>
        </w:trPr>
        <w:tc>
          <w:tcPr>
            <w:tcW w:w="198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2B2E3B">
            <w:pPr>
              <w:pStyle w:val="TableDataEntries"/>
              <w:jc w:val="left"/>
            </w:pPr>
            <w:r>
              <w:t>Band 2</w:t>
            </w:r>
          </w:p>
        </w:tc>
        <w:tc>
          <w:tcPr>
            <w:tcW w:w="198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2B2E3B">
            <w:pPr>
              <w:pStyle w:val="TableDataEntries"/>
            </w:pPr>
            <w:r>
              <w:t>585</w:t>
            </w:r>
          </w:p>
        </w:tc>
        <w:tc>
          <w:tcPr>
            <w:tcW w:w="198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2B2E3B">
            <w:pPr>
              <w:pStyle w:val="TableDataEntries"/>
            </w:pPr>
            <w:r>
              <w:t>64.0</w:t>
            </w:r>
          </w:p>
        </w:tc>
        <w:tc>
          <w:tcPr>
            <w:tcW w:w="198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2B2E3B">
            <w:pPr>
              <w:pStyle w:val="TableDataEntries"/>
            </w:pPr>
            <w:r>
              <w:t>67.5</w:t>
            </w:r>
          </w:p>
        </w:tc>
      </w:tr>
      <w:tr w:rsidR="00A906FD" w:rsidTr="002B2E3B">
        <w:tc>
          <w:tcPr>
            <w:tcW w:w="198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2B2E3B">
            <w:pPr>
              <w:pStyle w:val="TableDataEntries"/>
              <w:jc w:val="left"/>
            </w:pPr>
            <w:r>
              <w:t>Band 3</w:t>
            </w:r>
          </w:p>
        </w:tc>
        <w:tc>
          <w:tcPr>
            <w:tcW w:w="198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2B2E3B">
            <w:pPr>
              <w:pStyle w:val="TableDataEntries"/>
            </w:pPr>
            <w:r>
              <w:t>750</w:t>
            </w:r>
          </w:p>
        </w:tc>
        <w:tc>
          <w:tcPr>
            <w:tcW w:w="198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2B2E3B">
            <w:pPr>
              <w:pStyle w:val="TableDataEntries"/>
            </w:pPr>
            <w:r>
              <w:t>22.5</w:t>
            </w:r>
          </w:p>
        </w:tc>
        <w:tc>
          <w:tcPr>
            <w:tcW w:w="198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2B2E3B">
            <w:pPr>
              <w:pStyle w:val="TableDataEntries"/>
            </w:pPr>
            <w:r>
              <w:t>19.5</w:t>
            </w:r>
          </w:p>
        </w:tc>
      </w:tr>
      <w:tr w:rsidR="00A906FD" w:rsidTr="002B2E3B">
        <w:trPr>
          <w:cnfStyle w:val="000000100000" w:firstRow="0" w:lastRow="0" w:firstColumn="0" w:lastColumn="0" w:oddVBand="0" w:evenVBand="0" w:oddHBand="1" w:evenHBand="0" w:firstRowFirstColumn="0" w:firstRowLastColumn="0" w:lastRowFirstColumn="0" w:lastRowLastColumn="0"/>
        </w:trPr>
        <w:tc>
          <w:tcPr>
            <w:tcW w:w="198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2B2E3B">
            <w:pPr>
              <w:pStyle w:val="TableDataEntries"/>
              <w:jc w:val="left"/>
            </w:pPr>
            <w:r>
              <w:t>Band 4</w:t>
            </w:r>
          </w:p>
        </w:tc>
        <w:tc>
          <w:tcPr>
            <w:tcW w:w="198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2B2E3B">
            <w:pPr>
              <w:pStyle w:val="TableDataEntries"/>
            </w:pPr>
            <w:r>
              <w:t>3718</w:t>
            </w:r>
          </w:p>
        </w:tc>
        <w:tc>
          <w:tcPr>
            <w:tcW w:w="198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2B2E3B">
            <w:pPr>
              <w:pStyle w:val="TableDataEntries"/>
            </w:pPr>
            <w:r>
              <w:t>13.0</w:t>
            </w:r>
          </w:p>
        </w:tc>
        <w:tc>
          <w:tcPr>
            <w:tcW w:w="198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2B2E3B">
            <w:pPr>
              <w:pStyle w:val="TableDataEntries"/>
            </w:pPr>
            <w:r>
              <w:t>10.5</w:t>
            </w:r>
          </w:p>
        </w:tc>
      </w:tr>
      <w:tr w:rsidR="002B2E3B" w:rsidRPr="002B2E3B" w:rsidTr="002B2E3B">
        <w:tc>
          <w:tcPr>
            <w:tcW w:w="1986" w:type="dxa"/>
            <w:tcBorders>
              <w:top w:val="single" w:sz="8" w:space="0" w:color="FFFFFF" w:themeColor="background1"/>
              <w:bottom w:val="single" w:sz="6" w:space="0" w:color="6F6652"/>
            </w:tcBorders>
            <w:shd w:val="clear" w:color="auto" w:fill="C2DADB" w:themeFill="accent6" w:themeFillTint="99"/>
            <w:tcMar>
              <w:left w:w="57" w:type="dxa"/>
              <w:right w:w="57" w:type="dxa"/>
            </w:tcMar>
            <w:hideMark/>
          </w:tcPr>
          <w:p w:rsidR="00A906FD" w:rsidRPr="002B2E3B" w:rsidRDefault="00A906FD" w:rsidP="001C172D">
            <w:pPr>
              <w:pStyle w:val="TableDataEntries"/>
              <w:spacing w:before="80" w:after="20" w:line="240" w:lineRule="auto"/>
              <w:jc w:val="left"/>
              <w:rPr>
                <w:rFonts w:ascii="Franklin Gothic Demi" w:hAnsi="Franklin Gothic Demi"/>
              </w:rPr>
            </w:pPr>
            <w:r w:rsidRPr="002B2E3B">
              <w:rPr>
                <w:rFonts w:ascii="Franklin Gothic Demi" w:hAnsi="Franklin Gothic Demi"/>
              </w:rPr>
              <w:t>Total</w:t>
            </w:r>
          </w:p>
        </w:tc>
        <w:tc>
          <w:tcPr>
            <w:tcW w:w="1984" w:type="dxa"/>
            <w:tcBorders>
              <w:top w:val="single" w:sz="8" w:space="0" w:color="FFFFFF" w:themeColor="background1"/>
              <w:bottom w:val="single" w:sz="6" w:space="0" w:color="6F6652"/>
            </w:tcBorders>
            <w:shd w:val="clear" w:color="auto" w:fill="C2DADB" w:themeFill="accent6" w:themeFillTint="99"/>
            <w:tcMar>
              <w:left w:w="57" w:type="dxa"/>
              <w:right w:w="57" w:type="dxa"/>
            </w:tcMar>
            <w:hideMark/>
          </w:tcPr>
          <w:p w:rsidR="00A906FD" w:rsidRPr="002B2E3B" w:rsidRDefault="00A906FD" w:rsidP="001C172D">
            <w:pPr>
              <w:pStyle w:val="TableDataEntries"/>
              <w:spacing w:before="80" w:after="20" w:line="240" w:lineRule="auto"/>
              <w:rPr>
                <w:rFonts w:ascii="Franklin Gothic Demi" w:hAnsi="Franklin Gothic Demi"/>
              </w:rPr>
            </w:pPr>
            <w:r w:rsidRPr="002B2E3B">
              <w:rPr>
                <w:rFonts w:ascii="Franklin Gothic Demi" w:hAnsi="Franklin Gothic Demi"/>
              </w:rPr>
              <w:t>5070</w:t>
            </w:r>
          </w:p>
        </w:tc>
        <w:tc>
          <w:tcPr>
            <w:tcW w:w="1984" w:type="dxa"/>
            <w:tcBorders>
              <w:top w:val="single" w:sz="8" w:space="0" w:color="FFFFFF" w:themeColor="background1"/>
              <w:bottom w:val="single" w:sz="6" w:space="0" w:color="6F6652"/>
            </w:tcBorders>
            <w:shd w:val="clear" w:color="auto" w:fill="C2DADB" w:themeFill="accent6" w:themeFillTint="99"/>
            <w:tcMar>
              <w:left w:w="57" w:type="dxa"/>
              <w:right w:w="57" w:type="dxa"/>
            </w:tcMar>
            <w:hideMark/>
          </w:tcPr>
          <w:p w:rsidR="00A906FD" w:rsidRPr="002B2E3B" w:rsidRDefault="00A906FD" w:rsidP="001C172D">
            <w:pPr>
              <w:pStyle w:val="TableDataEntries"/>
              <w:spacing w:before="80" w:after="20" w:line="240" w:lineRule="auto"/>
              <w:rPr>
                <w:rFonts w:ascii="Franklin Gothic Demi" w:hAnsi="Franklin Gothic Demi"/>
              </w:rPr>
            </w:pPr>
            <w:r w:rsidRPr="002B2E3B">
              <w:rPr>
                <w:rFonts w:ascii="Franklin Gothic Demi" w:hAnsi="Franklin Gothic Demi"/>
              </w:rPr>
              <w:t>100.0</w:t>
            </w:r>
          </w:p>
        </w:tc>
        <w:tc>
          <w:tcPr>
            <w:tcW w:w="1984" w:type="dxa"/>
            <w:tcBorders>
              <w:top w:val="single" w:sz="8" w:space="0" w:color="FFFFFF" w:themeColor="background1"/>
              <w:bottom w:val="single" w:sz="6" w:space="0" w:color="6F6652"/>
            </w:tcBorders>
            <w:shd w:val="clear" w:color="auto" w:fill="C2DADB" w:themeFill="accent6" w:themeFillTint="99"/>
            <w:tcMar>
              <w:left w:w="57" w:type="dxa"/>
              <w:right w:w="57" w:type="dxa"/>
            </w:tcMar>
            <w:hideMark/>
          </w:tcPr>
          <w:p w:rsidR="00A906FD" w:rsidRPr="002B2E3B" w:rsidRDefault="00A906FD" w:rsidP="001C172D">
            <w:pPr>
              <w:pStyle w:val="TableDataEntries"/>
              <w:spacing w:before="80" w:after="20" w:line="240" w:lineRule="auto"/>
              <w:rPr>
                <w:rFonts w:ascii="Franklin Gothic Demi" w:hAnsi="Franklin Gothic Demi"/>
              </w:rPr>
            </w:pPr>
            <w:r w:rsidRPr="002B2E3B">
              <w:rPr>
                <w:rFonts w:ascii="Franklin Gothic Demi" w:hAnsi="Franklin Gothic Demi"/>
              </w:rPr>
              <w:t>100.0</w:t>
            </w:r>
          </w:p>
        </w:tc>
      </w:tr>
    </w:tbl>
    <w:p w:rsidR="00A906FD" w:rsidRDefault="00A906FD" w:rsidP="00A906FD">
      <w:pPr>
        <w:pStyle w:val="Source"/>
      </w:pPr>
      <w:proofErr w:type="gramStart"/>
      <w:r>
        <w:rPr>
          <w:i/>
        </w:rPr>
        <w:t>Source</w:t>
      </w:r>
      <w:r w:rsidRPr="00E4232C">
        <w:rPr>
          <w:i/>
        </w:rPr>
        <w:t>:</w:t>
      </w:r>
      <w:r>
        <w:t xml:space="preserve"> ACM 2009.</w:t>
      </w:r>
      <w:proofErr w:type="gramEnd"/>
    </w:p>
    <w:p w:rsidR="00F40817" w:rsidRPr="00F40817" w:rsidRDefault="00F40817" w:rsidP="00F40817">
      <w:pPr>
        <w:pStyle w:val="BodyText"/>
      </w:pPr>
      <w:r w:rsidRPr="00F40817">
        <w:t xml:space="preserve">Even within these four Bands, the variation in line density and population density was considerable. Therefore, when undertaking the </w:t>
      </w:r>
      <w:proofErr w:type="spellStart"/>
      <w:r w:rsidRPr="00F40817">
        <w:t>geoanalysis</w:t>
      </w:r>
      <w:proofErr w:type="spellEnd"/>
      <w:r w:rsidRPr="00F40817">
        <w:t xml:space="preserve"> for the ACM, </w:t>
      </w:r>
      <w:proofErr w:type="spellStart"/>
      <w:r w:rsidRPr="00F40817">
        <w:t>Analysys</w:t>
      </w:r>
      <w:proofErr w:type="spellEnd"/>
      <w:r w:rsidRPr="00F40817">
        <w:t xml:space="preserve"> Mason defined </w:t>
      </w:r>
      <w:proofErr w:type="gramStart"/>
      <w:r w:rsidRPr="00F40817">
        <w:t>a total of 16</w:t>
      </w:r>
      <w:proofErr w:type="gramEnd"/>
      <w:r w:rsidRPr="00F40817">
        <w:t xml:space="preserve"> </w:t>
      </w:r>
      <w:proofErr w:type="spellStart"/>
      <w:r w:rsidRPr="00F40817">
        <w:t>geotypes</w:t>
      </w:r>
      <w:proofErr w:type="spellEnd"/>
      <w:r w:rsidRPr="00F40817">
        <w:t xml:space="preserve">, so that each contained ESAs that were more geographically similar. </w:t>
      </w:r>
      <w:proofErr w:type="spellStart"/>
      <w:r w:rsidRPr="00F40817">
        <w:t>Geotypes</w:t>
      </w:r>
      <w:proofErr w:type="spellEnd"/>
      <w:r w:rsidRPr="00F40817">
        <w:t xml:space="preserve"> 1 and 2 subdivided Band 1, whilst </w:t>
      </w:r>
      <w:proofErr w:type="spellStart"/>
      <w:r w:rsidRPr="00F40817">
        <w:t>geotypes</w:t>
      </w:r>
      <w:proofErr w:type="spellEnd"/>
      <w:r w:rsidRPr="00F40817">
        <w:t xml:space="preserve"> 3 </w:t>
      </w:r>
      <w:proofErr w:type="gramStart"/>
      <w:r w:rsidRPr="00F40817">
        <w:t>6</w:t>
      </w:r>
      <w:proofErr w:type="gramEnd"/>
      <w:r w:rsidRPr="00F40817">
        <w:t xml:space="preserve"> subdivided Band 2. Each of the remaining ten </w:t>
      </w:r>
      <w:proofErr w:type="spellStart"/>
      <w:r w:rsidRPr="00F40817">
        <w:t>geotypes</w:t>
      </w:r>
      <w:proofErr w:type="spellEnd"/>
      <w:r w:rsidRPr="00F40817">
        <w:t xml:space="preserve"> had some members from both Bands 3 and 4, based on whether most households </w:t>
      </w:r>
      <w:proofErr w:type="gramStart"/>
      <w:r w:rsidRPr="00F40817">
        <w:t>were clustered</w:t>
      </w:r>
      <w:proofErr w:type="gramEnd"/>
      <w:r w:rsidRPr="00F40817">
        <w:t xml:space="preserve"> around the copper centre, or were spread more sparsely around the LE. </w:t>
      </w:r>
      <w:proofErr w:type="gramStart"/>
      <w:r w:rsidRPr="00F40817">
        <w:t>Therefore</w:t>
      </w:r>
      <w:proofErr w:type="gramEnd"/>
      <w:r w:rsidRPr="00F40817">
        <w:t xml:space="preserve"> the ACM can consider potential cost variations with significant granularity.</w:t>
      </w:r>
    </w:p>
    <w:p w:rsidR="00F40817" w:rsidRPr="00F40817" w:rsidRDefault="00F40817" w:rsidP="00F40817">
      <w:pPr>
        <w:pStyle w:val="BodyText"/>
      </w:pPr>
      <w:r w:rsidRPr="00F40817">
        <w:t xml:space="preserve">Telstra also developed its own cost model at the time called the TEA model. A third building block model (‘BBM’) </w:t>
      </w:r>
      <w:proofErr w:type="gramStart"/>
      <w:r w:rsidRPr="00F40817">
        <w:t>was ultimately used</w:t>
      </w:r>
      <w:proofErr w:type="gramEnd"/>
      <w:r w:rsidRPr="00F40817">
        <w:t xml:space="preserve"> by the ACCC for pricing ULLS. Nevertheless, the ACM provides the most detail in service costs by geography in the public domain and therefore we believe it is the most relevant for our analysis.</w:t>
      </w:r>
    </w:p>
    <w:p w:rsidR="00F40817" w:rsidRPr="00F40817" w:rsidRDefault="00F40817" w:rsidP="00F40817">
      <w:pPr>
        <w:pStyle w:val="BodyText"/>
      </w:pPr>
      <w:r w:rsidRPr="00F40817">
        <w:t xml:space="preserve">The published ACM </w:t>
      </w:r>
      <w:proofErr w:type="gramStart"/>
      <w:r w:rsidRPr="00F40817">
        <w:t>was calculated</w:t>
      </w:r>
      <w:proofErr w:type="gramEnd"/>
      <w:r w:rsidRPr="00F40817">
        <w:t xml:space="preserve"> for the year 2010. Therefore, all calculated costs </w:t>
      </w:r>
      <w:proofErr w:type="gramStart"/>
      <w:r w:rsidRPr="00F40817">
        <w:t>are presented</w:t>
      </w:r>
      <w:proofErr w:type="gramEnd"/>
      <w:r w:rsidRPr="00F40817">
        <w:t xml:space="preserve"> for that year, and fully replicable using the published model.</w:t>
      </w:r>
    </w:p>
    <w:p w:rsidR="00F40817" w:rsidRPr="004B5925" w:rsidRDefault="00F40817" w:rsidP="004B5925">
      <w:pPr>
        <w:pStyle w:val="Heading7"/>
        <w:rPr>
          <w:color w:val="FF0000"/>
        </w:rPr>
      </w:pPr>
      <w:r w:rsidRPr="004B5925">
        <w:rPr>
          <w:color w:val="FF0000"/>
        </w:rPr>
        <w:t>Cost and prices of selected access services</w:t>
      </w:r>
    </w:p>
    <w:p w:rsidR="00F40817" w:rsidRPr="00F40817" w:rsidRDefault="00F40817" w:rsidP="00F40817">
      <w:pPr>
        <w:pStyle w:val="BodyText"/>
      </w:pPr>
      <w:r w:rsidRPr="00F40817">
        <w:t xml:space="preserve">At the </w:t>
      </w:r>
      <w:proofErr w:type="gramStart"/>
      <w:r w:rsidRPr="00F40817">
        <w:t>outset</w:t>
      </w:r>
      <w:proofErr w:type="gramEnd"/>
      <w:r w:rsidRPr="00F40817">
        <w:t xml:space="preserve"> it is worth noting that the ACCC has now for several years decided to allow geographically differentiated pricing for the ULLS wholesale service offered by Telstra. The current price regulation of ULLS </w:t>
      </w:r>
      <w:proofErr w:type="gramStart"/>
      <w:r w:rsidRPr="00F40817">
        <w:t>is defined</w:t>
      </w:r>
      <w:proofErr w:type="gramEnd"/>
      <w:r w:rsidRPr="00F40817">
        <w:t xml:space="preserve"> for each ESA in Australia according to the ULLS Band to which it is allocated. ULLS in any ESA in Bands 1 3 </w:t>
      </w:r>
      <w:proofErr w:type="gramStart"/>
      <w:r w:rsidRPr="00F40817">
        <w:t>currently  has</w:t>
      </w:r>
      <w:proofErr w:type="gramEnd"/>
      <w:r w:rsidRPr="00F40817">
        <w:t xml:space="preserve"> a monthly price of </w:t>
      </w:r>
      <w:r w:rsidR="00402DB3">
        <w:t>$</w:t>
      </w:r>
      <w:r w:rsidRPr="00F40817">
        <w:t xml:space="preserve">16.21 per line, whilst all other ESAs (in Band 4) have a monthly price of </w:t>
      </w:r>
      <w:r w:rsidR="00402DB3">
        <w:t>$</w:t>
      </w:r>
      <w:r w:rsidRPr="00F40817">
        <w:t xml:space="preserve">48.19 per line. Other ULLS charges also vary by band. Wholesale line rental (WLR) </w:t>
      </w:r>
      <w:proofErr w:type="gramStart"/>
      <w:r w:rsidRPr="00F40817">
        <w:t>is charged</w:t>
      </w:r>
      <w:proofErr w:type="gramEnd"/>
      <w:r w:rsidRPr="00F40817">
        <w:t xml:space="preserve"> as a national average, as are fixed origination and fixed termination.</w:t>
      </w:r>
    </w:p>
    <w:p w:rsidR="00F40817" w:rsidRPr="00F40817" w:rsidRDefault="00F40817" w:rsidP="00F40817">
      <w:pPr>
        <w:pStyle w:val="BodyText"/>
      </w:pPr>
      <w:r w:rsidRPr="00F40817">
        <w:t xml:space="preserve">This decision reflects significant variations in the underlying costs of providing the service, which the ACM calculates for </w:t>
      </w:r>
      <w:proofErr w:type="spellStart"/>
      <w:r w:rsidRPr="00F40817">
        <w:t>geotypes</w:t>
      </w:r>
      <w:proofErr w:type="spellEnd"/>
      <w:r w:rsidRPr="00F40817">
        <w:t xml:space="preserve"> 1 </w:t>
      </w:r>
      <w:proofErr w:type="gramStart"/>
      <w:r w:rsidRPr="00F40817">
        <w:t>14 ,</w:t>
      </w:r>
      <w:proofErr w:type="gramEnd"/>
      <w:r w:rsidRPr="00F40817">
        <w:t xml:space="preserve"> which we show below in </w:t>
      </w:r>
      <w:r w:rsidR="00402DB3">
        <w:t>chart </w:t>
      </w:r>
      <w:fldSimple w:instr=" REF _Caption4580 ">
        <w:r w:rsidR="00304215">
          <w:rPr>
            <w:noProof/>
          </w:rPr>
          <w:t>B</w:t>
        </w:r>
        <w:r w:rsidR="00304215" w:rsidRPr="00695C93">
          <w:rPr>
            <w:noProof/>
          </w:rPr>
          <w:t>.</w:t>
        </w:r>
        <w:r w:rsidR="00304215">
          <w:rPr>
            <w:noProof/>
          </w:rPr>
          <w:t>3</w:t>
        </w:r>
      </w:fldSimple>
      <w:r w:rsidRPr="00F40817">
        <w:t xml:space="preserve">. It also illustrates the blended average cost for the </w:t>
      </w:r>
      <w:proofErr w:type="gramStart"/>
      <w:r w:rsidRPr="00F40817">
        <w:t xml:space="preserve">four </w:t>
      </w:r>
      <w:proofErr w:type="spellStart"/>
      <w:r w:rsidRPr="00F40817">
        <w:t>geotype</w:t>
      </w:r>
      <w:proofErr w:type="spellEnd"/>
      <w:proofErr w:type="gramEnd"/>
      <w:r w:rsidRPr="00F40817">
        <w:t xml:space="preserve"> groups (the pink lines).</w:t>
      </w:r>
    </w:p>
    <w:p w:rsidR="00A906FD" w:rsidRPr="00695C93" w:rsidRDefault="00A906FD" w:rsidP="004660B8">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B</w:instrText>
        </w:r>
      </w:fldSimple>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b/>
          <w:bCs/>
          <w:noProof/>
          <w:lang w:val="en-US"/>
        </w:rPr>
        <w:instrText>Error! No text of specified style in document.</w:instrText>
      </w:r>
      <w:r>
        <w:rPr>
          <w:noProof/>
        </w:rPr>
        <w:fldChar w:fldCharType="end"/>
      </w:r>
      <w:r w:rsidRPr="00695C93">
        <w:instrText xml:space="preserve"> = 0 "" "</w:instrText>
      </w:r>
      <w:r>
        <w:fldChar w:fldCharType="begin"/>
      </w:r>
      <w:r>
        <w:instrText xml:space="preserve"> STYLEREF "Heading 1" \l \n </w:instrText>
      </w:r>
      <w:r>
        <w:fldChar w:fldCharType="separate"/>
      </w:r>
      <w:r>
        <w:rPr>
          <w:b/>
          <w:bCs/>
          <w:noProof/>
          <w:lang w:val="en-US"/>
        </w:rPr>
        <w:instrText>Error! No text of specified style in document.</w:instrText>
      </w:r>
      <w:r>
        <w:rPr>
          <w:noProof/>
        </w:rPr>
        <w:fldChar w:fldCharType="end"/>
      </w:r>
      <w:r w:rsidRPr="00695C93">
        <w:instrText xml:space="preserve">." </w:instrText>
      </w:r>
      <w:r w:rsidRPr="00695C93">
        <w:fldChar w:fldCharType="separate"/>
      </w:r>
      <w:r>
        <w:rPr>
          <w:b/>
          <w:bCs/>
          <w:noProof/>
          <w:lang w:val="en-US"/>
        </w:rPr>
        <w:instrText>Error! No text of specified style in document.</w:instrText>
      </w:r>
      <w:r w:rsidRPr="00695C93">
        <w:rPr>
          <w:noProof/>
        </w:rPr>
        <w:instrText>.</w:instrText>
      </w:r>
      <w:r w:rsidRPr="00695C93">
        <w:fldChar w:fldCharType="end"/>
      </w:r>
      <w:r w:rsidRPr="00695C93">
        <w:instrText>" "</w:instrText>
      </w:r>
      <w:fldSimple w:instr=" STYLEREF &quot;Heading 6&quot; \l \n ">
        <w:r w:rsidR="00304215">
          <w:rPr>
            <w:noProof/>
          </w:rPr>
          <w:instrText>B</w:instrText>
        </w:r>
      </w:fldSimple>
      <w:r w:rsidRPr="00695C93">
        <w:instrText xml:space="preserve">." </w:instrText>
      </w:r>
      <w:r w:rsidRPr="00695C93">
        <w:fldChar w:fldCharType="separate"/>
      </w:r>
      <w:r w:rsidR="00304215">
        <w:rPr>
          <w:noProof/>
        </w:rPr>
        <w:instrText>B</w:instrText>
      </w:r>
      <w:r w:rsidR="00304215"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B</w:instrText>
        </w:r>
      </w:fldSimple>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b/>
          <w:bCs/>
          <w:noProof/>
          <w:lang w:val="en-US"/>
        </w:rPr>
        <w:instrText>Error! No text of specified style in document.</w:instrText>
      </w:r>
      <w:r>
        <w:rPr>
          <w:noProof/>
        </w:rPr>
        <w:fldChar w:fldCharType="end"/>
      </w:r>
      <w:r w:rsidRPr="00695C93">
        <w:instrText xml:space="preserve"> = 0 "" "1" </w:instrText>
      </w:r>
      <w:r w:rsidRPr="00695C93">
        <w:fldChar w:fldCharType="separate"/>
      </w:r>
      <w:r w:rsidRPr="00695C93">
        <w:rPr>
          <w:noProof/>
        </w:rPr>
        <w:instrText>1</w:instrText>
      </w:r>
      <w:r w:rsidRPr="00695C93">
        <w:fldChar w:fldCharType="end"/>
      </w:r>
      <w:r w:rsidRPr="00695C93">
        <w:instrText xml:space="preserve">" "6" </w:instrText>
      </w:r>
      <w:r w:rsidRPr="00695C93">
        <w:fldChar w:fldCharType="separate"/>
      </w:r>
      <w:r w:rsidR="00304215" w:rsidRPr="00695C93">
        <w:rPr>
          <w:noProof/>
        </w:rPr>
        <w:instrText>6</w:instrText>
      </w:r>
      <w:r w:rsidRPr="00695C93">
        <w:fldChar w:fldCharType="end"/>
      </w:r>
      <w:r w:rsidRPr="00695C93">
        <w:instrText xml:space="preserve"> </w:instrText>
      </w:r>
      <w:r w:rsidRPr="00695C93">
        <w:fldChar w:fldCharType="separate"/>
      </w:r>
      <w:r w:rsidR="00304215">
        <w:rPr>
          <w:noProof/>
        </w:rPr>
        <w:instrText>3</w:instrText>
      </w:r>
      <w:r w:rsidRPr="00695C93">
        <w:fldChar w:fldCharType="end"/>
      </w:r>
      <w:r w:rsidRPr="00695C93">
        <w:instrText xml:space="preserve">" "" </w:instrText>
      </w:r>
      <w:r w:rsidRPr="00695C93">
        <w:fldChar w:fldCharType="separate"/>
      </w:r>
      <w:bookmarkStart w:id="1694" w:name="_Caption9480"/>
      <w:bookmarkStart w:id="1695" w:name="_Caption8017"/>
      <w:bookmarkStart w:id="1696" w:name="_Caption6313"/>
      <w:bookmarkStart w:id="1697" w:name="_Caption2394"/>
      <w:bookmarkStart w:id="1698" w:name="_Caption4580"/>
      <w:bookmarkStart w:id="1699" w:name="_Caption2941"/>
      <w:bookmarkStart w:id="1700" w:name="_Caption8394"/>
      <w:bookmarkStart w:id="1701" w:name="_Caption8361"/>
      <w:bookmarkStart w:id="1702" w:name="_Caption0320"/>
      <w:bookmarkStart w:id="1703" w:name="_Caption0610"/>
      <w:bookmarkStart w:id="1704" w:name="_Caption0357"/>
      <w:bookmarkStart w:id="1705" w:name="_Caption6414"/>
      <w:bookmarkStart w:id="1706" w:name="_Toc391972987"/>
      <w:r w:rsidR="00584F9A">
        <w:rPr>
          <w:noProof/>
        </w:rPr>
        <w:t>B</w:t>
      </w:r>
      <w:r w:rsidR="00584F9A" w:rsidRPr="00695C93">
        <w:rPr>
          <w:noProof/>
        </w:rPr>
        <w:t>.</w:t>
      </w:r>
      <w:r w:rsidR="00584F9A">
        <w:rPr>
          <w:noProof/>
        </w:rPr>
        <w:t>3</w:t>
      </w:r>
      <w:bookmarkEnd w:id="1694"/>
      <w:bookmarkEnd w:id="1695"/>
      <w:bookmarkEnd w:id="1696"/>
      <w:bookmarkEnd w:id="1697"/>
      <w:bookmarkEnd w:id="1698"/>
      <w:bookmarkEnd w:id="1699"/>
      <w:bookmarkEnd w:id="1700"/>
      <w:bookmarkEnd w:id="1701"/>
      <w:bookmarkEnd w:id="1702"/>
      <w:bookmarkEnd w:id="1703"/>
      <w:bookmarkEnd w:id="1704"/>
      <w:bookmarkEnd w:id="1705"/>
      <w:r w:rsidRPr="00695C93">
        <w:fldChar w:fldCharType="end"/>
      </w:r>
      <w:r w:rsidRPr="00695C93">
        <w:tab/>
      </w:r>
      <w:r w:rsidRPr="00F40817">
        <w:t xml:space="preserve">Average costs of ULLS by </w:t>
      </w:r>
      <w:proofErr w:type="spellStart"/>
      <w:r w:rsidRPr="00F40817">
        <w:t>geotype</w:t>
      </w:r>
      <w:proofErr w:type="spellEnd"/>
      <w:r w:rsidRPr="00F40817">
        <w:t xml:space="preserve"> and by ULLS Band</w:t>
      </w:r>
      <w:bookmarkEnd w:id="1706"/>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Look w:val="04A0" w:firstRow="1" w:lastRow="0" w:firstColumn="1" w:lastColumn="0" w:noHBand="0" w:noVBand="1"/>
      </w:tblPr>
      <w:tblGrid>
        <w:gridCol w:w="7938"/>
      </w:tblGrid>
      <w:tr w:rsidR="00A906FD" w:rsidTr="00B01898">
        <w:trPr>
          <w:cantSplit/>
          <w:tblHeader/>
        </w:trPr>
        <w:tc>
          <w:tcPr>
            <w:tcW w:w="7938" w:type="dxa"/>
            <w:shd w:val="clear" w:color="auto" w:fill="E9E8E5" w:themeFill="background2"/>
          </w:tcPr>
          <w:p w:rsidR="00A906FD" w:rsidRDefault="00BE0A38" w:rsidP="00BE0A38">
            <w:pPr>
              <w:pStyle w:val="Chart"/>
              <w:jc w:val="center"/>
            </w:pPr>
            <w:r>
              <w:rPr>
                <w:noProof/>
                <w:lang w:eastAsia="en-AU"/>
              </w:rPr>
              <w:drawing>
                <wp:inline distT="0" distB="0" distL="0" distR="0" wp14:anchorId="0E7E0ABA" wp14:editId="146E4B87">
                  <wp:extent cx="4858385" cy="2520315"/>
                  <wp:effectExtent l="0" t="0" r="0" b="0"/>
                  <wp:docPr id="231" name="Picture 231" descr="Bar Graph outlining the avaerage costs of Unconditioned Local Loop Services by geotype and by Unconditioned Local Loop Servic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58385" cy="2520315"/>
                          </a:xfrm>
                          <a:prstGeom prst="rect">
                            <a:avLst/>
                          </a:prstGeom>
                          <a:noFill/>
                          <a:ln>
                            <a:noFill/>
                          </a:ln>
                        </pic:spPr>
                      </pic:pic>
                    </a:graphicData>
                  </a:graphic>
                </wp:inline>
              </w:drawing>
            </w:r>
          </w:p>
        </w:tc>
      </w:tr>
    </w:tbl>
    <w:p w:rsidR="00A906FD" w:rsidRDefault="00A906FD" w:rsidP="004660B8">
      <w:pPr>
        <w:pStyle w:val="Source"/>
      </w:pPr>
      <w:proofErr w:type="gramStart"/>
      <w:r>
        <w:rPr>
          <w:i/>
        </w:rPr>
        <w:t>Data source</w:t>
      </w:r>
      <w:r w:rsidRPr="00A67576">
        <w:rPr>
          <w:i/>
        </w:rPr>
        <w:t>:</w:t>
      </w:r>
      <w:r>
        <w:t xml:space="preserve"> </w:t>
      </w:r>
      <w:proofErr w:type="spellStart"/>
      <w:r>
        <w:t>Analysys</w:t>
      </w:r>
      <w:proofErr w:type="spellEnd"/>
      <w:r>
        <w:t xml:space="preserve"> Mason 2014.</w:t>
      </w:r>
      <w:proofErr w:type="gramEnd"/>
    </w:p>
    <w:p w:rsidR="00F40817" w:rsidRPr="00F40817" w:rsidRDefault="00F40817" w:rsidP="00F40817">
      <w:pPr>
        <w:pStyle w:val="BodyText"/>
      </w:pPr>
      <w:r w:rsidRPr="00F40817">
        <w:t xml:space="preserve">As can be seen above, the unit costs of ULLS within Band 1 and within Band 2 can vary significantly (for example, the unit costs in </w:t>
      </w:r>
      <w:proofErr w:type="spellStart"/>
      <w:r w:rsidRPr="00F40817">
        <w:t>geotype</w:t>
      </w:r>
      <w:proofErr w:type="spellEnd"/>
      <w:r w:rsidRPr="00F40817">
        <w:t xml:space="preserve"> 6 are almost double those in </w:t>
      </w:r>
      <w:proofErr w:type="spellStart"/>
      <w:r w:rsidRPr="00F40817">
        <w:t>geotype</w:t>
      </w:r>
      <w:proofErr w:type="spellEnd"/>
      <w:r w:rsidRPr="00F40817">
        <w:t xml:space="preserve"> 3). There is less variation in the three </w:t>
      </w:r>
      <w:proofErr w:type="spellStart"/>
      <w:r w:rsidRPr="00F40817">
        <w:t>geotypes</w:t>
      </w:r>
      <w:proofErr w:type="spellEnd"/>
      <w:r w:rsidRPr="00F40817">
        <w:t xml:space="preserve"> within the clustered Band 3/4 ESAs, but the unit cost of ULLS in the spread Band 3/4 ESAs is not only significantly higher than the other categories, but also significantly more varied between </w:t>
      </w:r>
      <w:proofErr w:type="spellStart"/>
      <w:r w:rsidRPr="00F40817">
        <w:t>geotypes</w:t>
      </w:r>
      <w:proofErr w:type="spellEnd"/>
      <w:r w:rsidRPr="00F40817">
        <w:t>.</w:t>
      </w:r>
    </w:p>
    <w:p w:rsidR="00F40817" w:rsidRPr="00F40817" w:rsidRDefault="00F40817" w:rsidP="00F40817">
      <w:pPr>
        <w:pStyle w:val="BodyText"/>
      </w:pPr>
      <w:r w:rsidRPr="00F40817">
        <w:t xml:space="preserve">The ACM model provides additional information on the network costs of other services, such as PSTN/ISDN access lines, ULLS and WLR. This can done be done by transforming average costs by </w:t>
      </w:r>
      <w:proofErr w:type="spellStart"/>
      <w:r w:rsidRPr="00F40817">
        <w:t>geotype</w:t>
      </w:r>
      <w:proofErr w:type="spellEnd"/>
      <w:r w:rsidRPr="00F40817">
        <w:t xml:space="preserve"> to average costs by band, as shown in </w:t>
      </w:r>
      <w:r w:rsidR="00402DB3">
        <w:t>chart </w:t>
      </w:r>
      <w:fldSimple w:instr=" REF _Caption0873 ">
        <w:r w:rsidR="00304215">
          <w:rPr>
            <w:noProof/>
          </w:rPr>
          <w:t>B</w:t>
        </w:r>
        <w:r w:rsidR="00304215" w:rsidRPr="00695C93">
          <w:rPr>
            <w:noProof/>
          </w:rPr>
          <w:t>.</w:t>
        </w:r>
        <w:r w:rsidR="00304215">
          <w:rPr>
            <w:noProof/>
          </w:rPr>
          <w:t>4</w:t>
        </w:r>
      </w:fldSimple>
      <w:r w:rsidRPr="00F40817">
        <w:t xml:space="preserve"> below.</w:t>
      </w:r>
    </w:p>
    <w:p w:rsidR="00A906FD" w:rsidRPr="00695C93" w:rsidRDefault="00A906FD" w:rsidP="004660B8">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B</w:instrText>
        </w:r>
      </w:fldSimple>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b/>
          <w:bCs/>
          <w:noProof/>
          <w:lang w:val="en-US"/>
        </w:rPr>
        <w:instrText>Error! No text of specified style in document.</w:instrText>
      </w:r>
      <w:r>
        <w:rPr>
          <w:noProof/>
        </w:rPr>
        <w:fldChar w:fldCharType="end"/>
      </w:r>
      <w:r w:rsidRPr="00695C93">
        <w:instrText xml:space="preserve"> = 0 "" "</w:instrText>
      </w:r>
      <w:r>
        <w:fldChar w:fldCharType="begin"/>
      </w:r>
      <w:r>
        <w:instrText xml:space="preserve"> STYLEREF "Heading 1" \l \n </w:instrText>
      </w:r>
      <w:r>
        <w:fldChar w:fldCharType="separate"/>
      </w:r>
      <w:r>
        <w:rPr>
          <w:b/>
          <w:bCs/>
          <w:noProof/>
          <w:lang w:val="en-US"/>
        </w:rPr>
        <w:instrText>Error! No text of specified style in document.</w:instrText>
      </w:r>
      <w:r>
        <w:rPr>
          <w:noProof/>
        </w:rPr>
        <w:fldChar w:fldCharType="end"/>
      </w:r>
      <w:r w:rsidRPr="00695C93">
        <w:instrText xml:space="preserve">." </w:instrText>
      </w:r>
      <w:r w:rsidRPr="00695C93">
        <w:fldChar w:fldCharType="separate"/>
      </w:r>
      <w:r>
        <w:rPr>
          <w:b/>
          <w:bCs/>
          <w:noProof/>
          <w:lang w:val="en-US"/>
        </w:rPr>
        <w:instrText>Error! No text of specified style in document.</w:instrText>
      </w:r>
      <w:r w:rsidRPr="00695C93">
        <w:rPr>
          <w:noProof/>
        </w:rPr>
        <w:instrText>.</w:instrText>
      </w:r>
      <w:r w:rsidRPr="00695C93">
        <w:fldChar w:fldCharType="end"/>
      </w:r>
      <w:r w:rsidRPr="00695C93">
        <w:instrText>" "</w:instrText>
      </w:r>
      <w:fldSimple w:instr=" STYLEREF &quot;Heading 6&quot; \l \n ">
        <w:r w:rsidR="00304215">
          <w:rPr>
            <w:noProof/>
          </w:rPr>
          <w:instrText>B</w:instrText>
        </w:r>
      </w:fldSimple>
      <w:r w:rsidRPr="00695C93">
        <w:instrText xml:space="preserve">." </w:instrText>
      </w:r>
      <w:r w:rsidRPr="00695C93">
        <w:fldChar w:fldCharType="separate"/>
      </w:r>
      <w:r w:rsidR="00304215">
        <w:rPr>
          <w:noProof/>
        </w:rPr>
        <w:instrText>B</w:instrText>
      </w:r>
      <w:r w:rsidR="00304215"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B</w:instrText>
        </w:r>
      </w:fldSimple>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b/>
          <w:bCs/>
          <w:noProof/>
          <w:lang w:val="en-US"/>
        </w:rPr>
        <w:instrText>Error! No text of specified style in document.</w:instrText>
      </w:r>
      <w:r>
        <w:rPr>
          <w:noProof/>
        </w:rPr>
        <w:fldChar w:fldCharType="end"/>
      </w:r>
      <w:r w:rsidRPr="00695C93">
        <w:instrText xml:space="preserve"> = 0 "" "1" </w:instrText>
      </w:r>
      <w:r w:rsidRPr="00695C93">
        <w:fldChar w:fldCharType="separate"/>
      </w:r>
      <w:r w:rsidRPr="00695C93">
        <w:rPr>
          <w:noProof/>
        </w:rPr>
        <w:instrText>1</w:instrText>
      </w:r>
      <w:r w:rsidRPr="00695C93">
        <w:fldChar w:fldCharType="end"/>
      </w:r>
      <w:r w:rsidRPr="00695C93">
        <w:instrText xml:space="preserve">" "6" </w:instrText>
      </w:r>
      <w:r w:rsidRPr="00695C93">
        <w:fldChar w:fldCharType="separate"/>
      </w:r>
      <w:r w:rsidR="00304215" w:rsidRPr="00695C93">
        <w:rPr>
          <w:noProof/>
        </w:rPr>
        <w:instrText>6</w:instrText>
      </w:r>
      <w:r w:rsidRPr="00695C93">
        <w:fldChar w:fldCharType="end"/>
      </w:r>
      <w:r w:rsidRPr="00695C93">
        <w:instrText xml:space="preserve"> </w:instrText>
      </w:r>
      <w:r w:rsidRPr="00695C93">
        <w:fldChar w:fldCharType="separate"/>
      </w:r>
      <w:r w:rsidR="00304215">
        <w:rPr>
          <w:noProof/>
        </w:rPr>
        <w:instrText>4</w:instrText>
      </w:r>
      <w:r w:rsidRPr="00695C93">
        <w:fldChar w:fldCharType="end"/>
      </w:r>
      <w:r w:rsidRPr="00695C93">
        <w:instrText xml:space="preserve">" "" </w:instrText>
      </w:r>
      <w:r w:rsidRPr="00695C93">
        <w:fldChar w:fldCharType="separate"/>
      </w:r>
      <w:bookmarkStart w:id="1707" w:name="_Caption4968"/>
      <w:bookmarkStart w:id="1708" w:name="_Caption8205"/>
      <w:bookmarkStart w:id="1709" w:name="_Caption9157"/>
      <w:bookmarkStart w:id="1710" w:name="_Caption0873"/>
      <w:bookmarkStart w:id="1711" w:name="_Caption7424"/>
      <w:bookmarkStart w:id="1712" w:name="_Caption0551"/>
      <w:bookmarkStart w:id="1713" w:name="_Caption8674"/>
      <w:bookmarkStart w:id="1714" w:name="_Caption4079"/>
      <w:bookmarkStart w:id="1715" w:name="_Caption9907"/>
      <w:bookmarkStart w:id="1716" w:name="_Caption7680"/>
      <w:bookmarkStart w:id="1717" w:name="_Caption0972"/>
      <w:bookmarkStart w:id="1718" w:name="_Caption6002"/>
      <w:bookmarkStart w:id="1719" w:name="_Toc391972988"/>
      <w:r w:rsidR="00584F9A">
        <w:rPr>
          <w:noProof/>
        </w:rPr>
        <w:t>B</w:t>
      </w:r>
      <w:r w:rsidR="00584F9A" w:rsidRPr="00695C93">
        <w:rPr>
          <w:noProof/>
        </w:rPr>
        <w:t>.</w:t>
      </w:r>
      <w:r w:rsidR="00584F9A">
        <w:rPr>
          <w:noProof/>
        </w:rPr>
        <w:t>4</w:t>
      </w:r>
      <w:bookmarkEnd w:id="1707"/>
      <w:bookmarkEnd w:id="1708"/>
      <w:bookmarkEnd w:id="1709"/>
      <w:bookmarkEnd w:id="1710"/>
      <w:bookmarkEnd w:id="1711"/>
      <w:bookmarkEnd w:id="1712"/>
      <w:bookmarkEnd w:id="1713"/>
      <w:bookmarkEnd w:id="1714"/>
      <w:bookmarkEnd w:id="1715"/>
      <w:bookmarkEnd w:id="1716"/>
      <w:bookmarkEnd w:id="1717"/>
      <w:bookmarkEnd w:id="1718"/>
      <w:r w:rsidRPr="00695C93">
        <w:fldChar w:fldCharType="end"/>
      </w:r>
      <w:r w:rsidRPr="00695C93">
        <w:tab/>
      </w:r>
      <w:r w:rsidRPr="00F40817">
        <w:t>Comparison of average costs per line by ULLS Band for different types of access line</w:t>
      </w:r>
      <w:bookmarkEnd w:id="1719"/>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Look w:val="04A0" w:firstRow="1" w:lastRow="0" w:firstColumn="1" w:lastColumn="0" w:noHBand="0" w:noVBand="1"/>
      </w:tblPr>
      <w:tblGrid>
        <w:gridCol w:w="7938"/>
      </w:tblGrid>
      <w:tr w:rsidR="00A906FD" w:rsidTr="00B01898">
        <w:trPr>
          <w:cantSplit/>
          <w:tblHeader/>
        </w:trPr>
        <w:tc>
          <w:tcPr>
            <w:tcW w:w="7938" w:type="dxa"/>
            <w:shd w:val="clear" w:color="auto" w:fill="E9E8E5" w:themeFill="background2"/>
          </w:tcPr>
          <w:p w:rsidR="00A906FD" w:rsidRDefault="00BE0A38" w:rsidP="00BE0A38">
            <w:pPr>
              <w:pStyle w:val="Chart"/>
              <w:jc w:val="center"/>
            </w:pPr>
            <w:r>
              <w:rPr>
                <w:noProof/>
                <w:lang w:eastAsia="en-AU"/>
              </w:rPr>
              <w:drawing>
                <wp:inline distT="0" distB="0" distL="0" distR="0" wp14:anchorId="7C17A1A9" wp14:editId="31A1D432">
                  <wp:extent cx="4858385" cy="2520315"/>
                  <wp:effectExtent l="0" t="0" r="0" b="0"/>
                  <wp:docPr id="230" name="Picture 230" descr="Bar Graph comparing the average costs per line by Unconditioned Local Loop Service Band for different types of access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58385" cy="2520315"/>
                          </a:xfrm>
                          <a:prstGeom prst="rect">
                            <a:avLst/>
                          </a:prstGeom>
                          <a:noFill/>
                          <a:ln>
                            <a:noFill/>
                          </a:ln>
                        </pic:spPr>
                      </pic:pic>
                    </a:graphicData>
                  </a:graphic>
                </wp:inline>
              </w:drawing>
            </w:r>
          </w:p>
        </w:tc>
      </w:tr>
    </w:tbl>
    <w:p w:rsidR="00A906FD" w:rsidRDefault="00A906FD" w:rsidP="004660B8">
      <w:pPr>
        <w:pStyle w:val="Source"/>
      </w:pPr>
      <w:proofErr w:type="gramStart"/>
      <w:r>
        <w:rPr>
          <w:i/>
        </w:rPr>
        <w:t>Data source</w:t>
      </w:r>
      <w:r w:rsidRPr="00A67576">
        <w:rPr>
          <w:i/>
        </w:rPr>
        <w:t>:</w:t>
      </w:r>
      <w:r>
        <w:t xml:space="preserve"> </w:t>
      </w:r>
      <w:proofErr w:type="spellStart"/>
      <w:r>
        <w:t>Analysys</w:t>
      </w:r>
      <w:proofErr w:type="spellEnd"/>
      <w:r>
        <w:t xml:space="preserve"> Mason 2014.</w:t>
      </w:r>
      <w:proofErr w:type="gramEnd"/>
    </w:p>
    <w:p w:rsidR="00F40817" w:rsidRPr="00F40817" w:rsidRDefault="00F40817" w:rsidP="00F40817">
      <w:pPr>
        <w:pStyle w:val="BodyText"/>
      </w:pPr>
      <w:proofErr w:type="gramStart"/>
      <w:r w:rsidRPr="00F40817">
        <w:lastRenderedPageBreak/>
        <w:t>There is little difference in the cost of each type of access line within a Band, with the exception of Band 4 where there is considerable variation.</w:t>
      </w:r>
      <w:proofErr w:type="gramEnd"/>
      <w:r w:rsidRPr="00F40817">
        <w:t xml:space="preserve"> The unit cost of a PSTN line is the highest of the four services, since these lines include contributions from all access technologies (copper, wireless radio and satellite). The unit costs of WLR are lower since they exclude satellite connections. The unit costs of ISDN are lower still since they exclude both wireless and satellite connections. The unit costs of ULLS can be higher than ISDN/WLR since they exclude not only wireless/satellite connections, but also the assets and lines associated with LPGS. Lines served by LPGS can be lower cost on average than other lines in the CAN since they use fibre cable between the LPGS and the local exchange.</w:t>
      </w:r>
    </w:p>
    <w:p w:rsidR="00F40817" w:rsidRPr="00F40817" w:rsidRDefault="00F40817" w:rsidP="00F40817">
      <w:pPr>
        <w:pStyle w:val="BodyText"/>
      </w:pPr>
      <w:r w:rsidRPr="00F40817">
        <w:t>We note that these costs only include network costs, and exclude retail costs. Retail costs may also be higher in areas with lower density of lines, because of the localised fixed costs involved (e.g. regional office or shops, debt collection, etc.). On this basis, we believe a focus on network costs does provide an adequate view of the variability of costs between different geographic areas (</w:t>
      </w:r>
      <w:proofErr w:type="spellStart"/>
      <w:r w:rsidRPr="00F40817">
        <w:t>geotypes</w:t>
      </w:r>
      <w:proofErr w:type="spellEnd"/>
      <w:r w:rsidRPr="00F40817">
        <w:t xml:space="preserve"> and ULLS Bands).</w:t>
      </w:r>
    </w:p>
    <w:p w:rsidR="00F40817" w:rsidRPr="00F40817" w:rsidRDefault="00F40817" w:rsidP="00F40817">
      <w:pPr>
        <w:pStyle w:val="BodyText"/>
      </w:pPr>
      <w:r w:rsidRPr="00F40817">
        <w:t>Our primary findings in this section are therefore that:</w:t>
      </w:r>
    </w:p>
    <w:p w:rsidR="00F40817" w:rsidRPr="00F40817" w:rsidRDefault="00F40817" w:rsidP="00402DB3">
      <w:pPr>
        <w:pStyle w:val="KeyPoint"/>
      </w:pPr>
      <w:r w:rsidRPr="00F40817">
        <w:t>The ACCC price-regulates ULLS separately for the remote ESAs in Band 4 compared with elsewhere in Australia</w:t>
      </w:r>
    </w:p>
    <w:p w:rsidR="00F40817" w:rsidRPr="00F40817" w:rsidRDefault="00F40817" w:rsidP="00402DB3">
      <w:pPr>
        <w:pStyle w:val="KeyPoint"/>
      </w:pPr>
      <w:r w:rsidRPr="00F40817">
        <w:t xml:space="preserve">Our previous cost modelling for the ACCC indicates that the network unit costs of ULLS is significantly different between Bands, and even in different </w:t>
      </w:r>
      <w:proofErr w:type="spellStart"/>
      <w:r w:rsidRPr="00F40817">
        <w:t>geotypes</w:t>
      </w:r>
      <w:proofErr w:type="spellEnd"/>
      <w:r w:rsidRPr="00F40817">
        <w:t xml:space="preserve"> within each Bands</w:t>
      </w:r>
    </w:p>
    <w:p w:rsidR="00F40817" w:rsidRPr="00F40817" w:rsidRDefault="00F40817" w:rsidP="00402DB3">
      <w:pPr>
        <w:pStyle w:val="KeyPoint"/>
      </w:pPr>
      <w:r w:rsidRPr="00F40817">
        <w:t>In Band 4 ESAs, the costs of PSTN/ISDN/WLR/ULLS lines can differ significantly. The network unit costs of an access line are more consistent within the other Bands.</w:t>
      </w:r>
    </w:p>
    <w:p w:rsidR="00F40817" w:rsidRPr="00F40817" w:rsidRDefault="00F40817" w:rsidP="00402DB3">
      <w:pPr>
        <w:pStyle w:val="KeyPoint"/>
      </w:pPr>
      <w:r w:rsidRPr="00F40817">
        <w:t>Retail costs are also likely to be higher in areas where line density is lower, although the ACM does not attempt to quantify them.</w:t>
      </w:r>
    </w:p>
    <w:p w:rsidR="00F40817" w:rsidRPr="004B5925" w:rsidRDefault="00F40817" w:rsidP="004B5925">
      <w:pPr>
        <w:pStyle w:val="Heading7"/>
        <w:rPr>
          <w:color w:val="FF0000"/>
        </w:rPr>
      </w:pPr>
      <w:r w:rsidRPr="004B5925">
        <w:rPr>
          <w:color w:val="FF0000"/>
        </w:rPr>
        <w:t>Cost of core transmission</w:t>
      </w:r>
    </w:p>
    <w:p w:rsidR="00F40817" w:rsidRPr="00F40817" w:rsidRDefault="00F40817" w:rsidP="00F40817">
      <w:pPr>
        <w:pStyle w:val="BodyText"/>
      </w:pPr>
      <w:r w:rsidRPr="00F40817">
        <w:t xml:space="preserve">We have adapted the Core module of the public version of the ACM to model the costs of the ‘middle-mile’ transmission in the modelled network. The two services we use to demonstrate the difference in cost are the ‘PSTN local traffic (on-net traffic)’ service and the ‘Mbit/s in LE-LTH’ transmission service. The latter </w:t>
      </w:r>
      <w:proofErr w:type="gramStart"/>
      <w:r w:rsidRPr="00F40817">
        <w:t>is defined</w:t>
      </w:r>
      <w:proofErr w:type="gramEnd"/>
      <w:r w:rsidRPr="00F40817">
        <w:t xml:space="preserve"> as the transmission of data between the local exchange and the local transmission hub (i.e. the </w:t>
      </w:r>
      <w:proofErr w:type="spellStart"/>
      <w:r w:rsidRPr="00F40817">
        <w:t>PoC</w:t>
      </w:r>
      <w:proofErr w:type="spellEnd"/>
      <w:r w:rsidRPr="00F40817">
        <w:t xml:space="preserve"> shown below in </w:t>
      </w:r>
      <w:r w:rsidR="00402DB3">
        <w:t>chart </w:t>
      </w:r>
      <w:fldSimple w:instr=" REF _Caption1249 ">
        <w:r w:rsidR="00304215">
          <w:rPr>
            <w:noProof/>
          </w:rPr>
          <w:t>B</w:t>
        </w:r>
        <w:r w:rsidR="00304215" w:rsidRPr="00695C93">
          <w:rPr>
            <w:noProof/>
          </w:rPr>
          <w:t>.</w:t>
        </w:r>
        <w:r w:rsidR="00304215">
          <w:rPr>
            <w:noProof/>
          </w:rPr>
          <w:t>5</w:t>
        </w:r>
      </w:fldSimple>
      <w:r w:rsidRPr="00F40817">
        <w:t xml:space="preserve">). Therefore, both these services primarily use only the assets in the IEN between the LE and the </w:t>
      </w:r>
      <w:proofErr w:type="spellStart"/>
      <w:r w:rsidRPr="00F40817">
        <w:t>PoC</w:t>
      </w:r>
      <w:proofErr w:type="spellEnd"/>
      <w:r w:rsidRPr="00F40817">
        <w:t>. The two services are both relevant since the latter only considers assets upstream of the LE, whereas the former also considers costs within the LE (i.e. the line card).</w:t>
      </w:r>
    </w:p>
    <w:p w:rsidR="00A906FD" w:rsidRPr="00695C93" w:rsidRDefault="00A906FD" w:rsidP="004660B8">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B</w:instrText>
        </w:r>
      </w:fldSimple>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b/>
          <w:bCs/>
          <w:noProof/>
          <w:lang w:val="en-US"/>
        </w:rPr>
        <w:instrText>Error! No text of specified style in document.</w:instrText>
      </w:r>
      <w:r>
        <w:rPr>
          <w:noProof/>
        </w:rPr>
        <w:fldChar w:fldCharType="end"/>
      </w:r>
      <w:r w:rsidRPr="00695C93">
        <w:instrText xml:space="preserve"> = 0 "" "</w:instrText>
      </w:r>
      <w:r>
        <w:fldChar w:fldCharType="begin"/>
      </w:r>
      <w:r>
        <w:instrText xml:space="preserve"> STYLEREF "Heading 1" \l \n </w:instrText>
      </w:r>
      <w:r>
        <w:fldChar w:fldCharType="separate"/>
      </w:r>
      <w:r>
        <w:rPr>
          <w:b/>
          <w:bCs/>
          <w:noProof/>
          <w:lang w:val="en-US"/>
        </w:rPr>
        <w:instrText>Error! No text of specified style in document.</w:instrText>
      </w:r>
      <w:r>
        <w:rPr>
          <w:noProof/>
        </w:rPr>
        <w:fldChar w:fldCharType="end"/>
      </w:r>
      <w:r w:rsidRPr="00695C93">
        <w:instrText xml:space="preserve">." </w:instrText>
      </w:r>
      <w:r w:rsidRPr="00695C93">
        <w:fldChar w:fldCharType="separate"/>
      </w:r>
      <w:r>
        <w:rPr>
          <w:b/>
          <w:bCs/>
          <w:noProof/>
          <w:lang w:val="en-US"/>
        </w:rPr>
        <w:instrText>Error! No text of specified style in document.</w:instrText>
      </w:r>
      <w:r w:rsidRPr="00695C93">
        <w:rPr>
          <w:noProof/>
        </w:rPr>
        <w:instrText>.</w:instrText>
      </w:r>
      <w:r w:rsidRPr="00695C93">
        <w:fldChar w:fldCharType="end"/>
      </w:r>
      <w:r w:rsidRPr="00695C93">
        <w:instrText>" "</w:instrText>
      </w:r>
      <w:fldSimple w:instr=" STYLEREF &quot;Heading 6&quot; \l \n ">
        <w:r w:rsidR="00304215">
          <w:rPr>
            <w:noProof/>
          </w:rPr>
          <w:instrText>B</w:instrText>
        </w:r>
      </w:fldSimple>
      <w:r w:rsidRPr="00695C93">
        <w:instrText xml:space="preserve">." </w:instrText>
      </w:r>
      <w:r w:rsidRPr="00695C93">
        <w:fldChar w:fldCharType="separate"/>
      </w:r>
      <w:r w:rsidR="00304215">
        <w:rPr>
          <w:noProof/>
        </w:rPr>
        <w:instrText>B</w:instrText>
      </w:r>
      <w:r w:rsidR="00304215"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B</w:instrText>
        </w:r>
      </w:fldSimple>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b/>
          <w:bCs/>
          <w:noProof/>
          <w:lang w:val="en-US"/>
        </w:rPr>
        <w:instrText>Error! No text of specified style in document.</w:instrText>
      </w:r>
      <w:r>
        <w:rPr>
          <w:noProof/>
        </w:rPr>
        <w:fldChar w:fldCharType="end"/>
      </w:r>
      <w:r w:rsidRPr="00695C93">
        <w:instrText xml:space="preserve"> = 0 "" "1" </w:instrText>
      </w:r>
      <w:r w:rsidRPr="00695C93">
        <w:fldChar w:fldCharType="separate"/>
      </w:r>
      <w:r w:rsidRPr="00695C93">
        <w:rPr>
          <w:noProof/>
        </w:rPr>
        <w:instrText>1</w:instrText>
      </w:r>
      <w:r w:rsidRPr="00695C93">
        <w:fldChar w:fldCharType="end"/>
      </w:r>
      <w:r w:rsidRPr="00695C93">
        <w:instrText xml:space="preserve">" "6" </w:instrText>
      </w:r>
      <w:r w:rsidRPr="00695C93">
        <w:fldChar w:fldCharType="separate"/>
      </w:r>
      <w:r w:rsidR="00304215" w:rsidRPr="00695C93">
        <w:rPr>
          <w:noProof/>
        </w:rPr>
        <w:instrText>6</w:instrText>
      </w:r>
      <w:r w:rsidRPr="00695C93">
        <w:fldChar w:fldCharType="end"/>
      </w:r>
      <w:r w:rsidRPr="00695C93">
        <w:instrText xml:space="preserve"> </w:instrText>
      </w:r>
      <w:r w:rsidRPr="00695C93">
        <w:fldChar w:fldCharType="separate"/>
      </w:r>
      <w:r w:rsidR="00304215">
        <w:rPr>
          <w:noProof/>
        </w:rPr>
        <w:instrText>5</w:instrText>
      </w:r>
      <w:r w:rsidRPr="00695C93">
        <w:fldChar w:fldCharType="end"/>
      </w:r>
      <w:r w:rsidRPr="00695C93">
        <w:instrText xml:space="preserve">" "" </w:instrText>
      </w:r>
      <w:r w:rsidRPr="00695C93">
        <w:fldChar w:fldCharType="separate"/>
      </w:r>
      <w:bookmarkStart w:id="1720" w:name="_Caption7717"/>
      <w:bookmarkStart w:id="1721" w:name="_Caption0297"/>
      <w:bookmarkStart w:id="1722" w:name="_Caption1249"/>
      <w:bookmarkStart w:id="1723" w:name="_Caption8092"/>
      <w:bookmarkStart w:id="1724" w:name="_Caption6861"/>
      <w:bookmarkStart w:id="1725" w:name="_Caption2020"/>
      <w:bookmarkStart w:id="1726" w:name="_Caption7834"/>
      <w:bookmarkStart w:id="1727" w:name="_Caption1288"/>
      <w:bookmarkStart w:id="1728" w:name="_Caption0522"/>
      <w:bookmarkStart w:id="1729" w:name="_Caption4276"/>
      <w:bookmarkStart w:id="1730" w:name="_Caption8504"/>
      <w:bookmarkStart w:id="1731" w:name="_Caption3961"/>
      <w:bookmarkStart w:id="1732" w:name="_Toc391972989"/>
      <w:r w:rsidR="00584F9A">
        <w:rPr>
          <w:noProof/>
        </w:rPr>
        <w:t>B</w:t>
      </w:r>
      <w:r w:rsidR="00584F9A" w:rsidRPr="00695C93">
        <w:rPr>
          <w:noProof/>
        </w:rPr>
        <w:t>.</w:t>
      </w:r>
      <w:r w:rsidR="00584F9A">
        <w:rPr>
          <w:noProof/>
        </w:rPr>
        <w:t>5</w:t>
      </w:r>
      <w:bookmarkEnd w:id="1720"/>
      <w:bookmarkEnd w:id="1721"/>
      <w:bookmarkEnd w:id="1722"/>
      <w:bookmarkEnd w:id="1723"/>
      <w:bookmarkEnd w:id="1724"/>
      <w:bookmarkEnd w:id="1725"/>
      <w:bookmarkEnd w:id="1726"/>
      <w:bookmarkEnd w:id="1727"/>
      <w:bookmarkEnd w:id="1728"/>
      <w:bookmarkEnd w:id="1729"/>
      <w:bookmarkEnd w:id="1730"/>
      <w:bookmarkEnd w:id="1731"/>
      <w:r w:rsidRPr="00695C93">
        <w:fldChar w:fldCharType="end"/>
      </w:r>
      <w:r w:rsidRPr="00695C93">
        <w:tab/>
      </w:r>
      <w:r w:rsidRPr="00F40817">
        <w:t xml:space="preserve">Overview of the LE and </w:t>
      </w:r>
      <w:proofErr w:type="spellStart"/>
      <w:r w:rsidRPr="00F40817">
        <w:t>PoC</w:t>
      </w:r>
      <w:proofErr w:type="spellEnd"/>
      <w:r w:rsidRPr="00F40817">
        <w:t xml:space="preserve"> nodes we have considered in our analysis of the ACM</w:t>
      </w:r>
      <w:bookmarkEnd w:id="1732"/>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A906FD" w:rsidTr="00B01898">
        <w:trPr>
          <w:cantSplit/>
          <w:tblHeader/>
        </w:trPr>
        <w:tc>
          <w:tcPr>
            <w:tcW w:w="7938" w:type="dxa"/>
            <w:shd w:val="clear" w:color="auto" w:fill="E9E8E5" w:themeFill="background2"/>
          </w:tcPr>
          <w:p w:rsidR="00A906FD" w:rsidRDefault="00402DB3" w:rsidP="002B2E3B">
            <w:pPr>
              <w:pStyle w:val="Chart"/>
              <w:spacing w:before="120" w:after="120"/>
              <w:jc w:val="center"/>
            </w:pPr>
            <w:r>
              <w:rPr>
                <w:noProof/>
                <w:lang w:eastAsia="en-AU"/>
              </w:rPr>
              <mc:AlternateContent>
                <mc:Choice Requires="wpg">
                  <w:drawing>
                    <wp:inline distT="0" distB="0" distL="0" distR="0" wp14:anchorId="63B7A0C3" wp14:editId="169F481C">
                      <wp:extent cx="4904822" cy="1891518"/>
                      <wp:effectExtent l="0" t="0" r="10160" b="13970"/>
                      <wp:docPr id="264" name="Group 264" descr="Chart outlining the local exchanges and points of confluence that the Centre for International Economics considered in its analsis of the Analysis Cost Model."/>
                      <wp:cNvGraphicFramePr/>
                      <a:graphic xmlns:a="http://schemas.openxmlformats.org/drawingml/2006/main">
                        <a:graphicData uri="http://schemas.microsoft.com/office/word/2010/wordprocessingGroup">
                          <wpg:wgp>
                            <wpg:cNvGrpSpPr/>
                            <wpg:grpSpPr>
                              <a:xfrm>
                                <a:off x="0" y="0"/>
                                <a:ext cx="4904822" cy="1891518"/>
                                <a:chOff x="0" y="667836"/>
                                <a:chExt cx="4904822" cy="1891518"/>
                              </a:xfrm>
                            </wpg:grpSpPr>
                            <wpg:grpSp>
                              <wpg:cNvPr id="265" name="Group 265"/>
                              <wpg:cNvGrpSpPr/>
                              <wpg:grpSpPr>
                                <a:xfrm>
                                  <a:off x="373711" y="667836"/>
                                  <a:ext cx="3680460" cy="1891518"/>
                                  <a:chOff x="0" y="310101"/>
                                  <a:chExt cx="3680847" cy="1891968"/>
                                </a:xfrm>
                              </wpg:grpSpPr>
                              <wpg:grpSp>
                                <wpg:cNvPr id="270" name="Group 270"/>
                                <wpg:cNvGrpSpPr/>
                                <wpg:grpSpPr>
                                  <a:xfrm>
                                    <a:off x="0" y="310101"/>
                                    <a:ext cx="3291205" cy="548005"/>
                                    <a:chOff x="0" y="0"/>
                                    <a:chExt cx="3291343" cy="548253"/>
                                  </a:xfrm>
                                </wpg:grpSpPr>
                                <wpg:grpSp>
                                  <wpg:cNvPr id="271" name="Group 271"/>
                                  <wpg:cNvGrpSpPr/>
                                  <wpg:grpSpPr>
                                    <a:xfrm>
                                      <a:off x="0" y="0"/>
                                      <a:ext cx="3291343" cy="548253"/>
                                      <a:chOff x="0" y="0"/>
                                      <a:chExt cx="3291343" cy="548253"/>
                                    </a:xfrm>
                                  </wpg:grpSpPr>
                                  <wps:wsp>
                                    <wps:cNvPr id="272" name="Rectangle 272"/>
                                    <wps:cNvSpPr/>
                                    <wps:spPr>
                                      <a:xfrm>
                                        <a:off x="0" y="326003"/>
                                        <a:ext cx="651510" cy="2222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101F47" w:rsidRDefault="00584F9A" w:rsidP="00402DB3">
                                          <w:pPr>
                                            <w:pStyle w:val="ChartBoldText"/>
                                            <w:rPr>
                                              <w:color w:val="000000" w:themeColor="text1"/>
                                            </w:rPr>
                                          </w:pPr>
                                          <w:r w:rsidRPr="00101F47">
                                            <w:rPr>
                                              <w:color w:val="000000" w:themeColor="text1"/>
                                            </w:rPr>
                                            <w:t>LAS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73" name="Rectangle 273"/>
                                    <wps:cNvSpPr/>
                                    <wps:spPr>
                                      <a:xfrm>
                                        <a:off x="803082" y="326003"/>
                                        <a:ext cx="651510" cy="2222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101F47" w:rsidRDefault="00584F9A" w:rsidP="00402DB3">
                                          <w:pPr>
                                            <w:pStyle w:val="ChartBoldText"/>
                                            <w:rPr>
                                              <w:color w:val="000000" w:themeColor="text1"/>
                                            </w:rPr>
                                          </w:pPr>
                                          <w:r w:rsidRPr="00101F47">
                                            <w:rPr>
                                              <w:color w:val="000000" w:themeColor="text1"/>
                                            </w:rPr>
                                            <w:t>LAS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74" name="Rectangle 274"/>
                                    <wps:cNvSpPr/>
                                    <wps:spPr>
                                      <a:xfrm>
                                        <a:off x="1836752" y="326003"/>
                                        <a:ext cx="651510" cy="2222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101F47" w:rsidRDefault="00584F9A" w:rsidP="00402DB3">
                                          <w:pPr>
                                            <w:pStyle w:val="ChartBoldText"/>
                                            <w:rPr>
                                              <w:color w:val="000000" w:themeColor="text1"/>
                                            </w:rPr>
                                          </w:pPr>
                                          <w:r w:rsidRPr="00101F47">
                                            <w:rPr>
                                              <w:color w:val="000000" w:themeColor="text1"/>
                                            </w:rPr>
                                            <w:t>LAS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75" name="Rectangle 275"/>
                                    <wps:cNvSpPr/>
                                    <wps:spPr>
                                      <a:xfrm>
                                        <a:off x="2639833" y="326003"/>
                                        <a:ext cx="651510" cy="2222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101F47" w:rsidRDefault="00584F9A" w:rsidP="00402DB3">
                                          <w:pPr>
                                            <w:pStyle w:val="ChartBoldText"/>
                                            <w:rPr>
                                              <w:color w:val="000000" w:themeColor="text1"/>
                                            </w:rPr>
                                          </w:pPr>
                                          <w:r w:rsidRPr="00101F47">
                                            <w:rPr>
                                              <w:color w:val="000000" w:themeColor="text1"/>
                                            </w:rPr>
                                            <w:t>LAS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cNvPr id="276" name="Group 276"/>
                                    <wpg:cNvGrpSpPr/>
                                    <wpg:grpSpPr>
                                      <a:xfrm>
                                        <a:off x="310101" y="0"/>
                                        <a:ext cx="2678724" cy="326528"/>
                                        <a:chOff x="0" y="0"/>
                                        <a:chExt cx="2678724" cy="326528"/>
                                      </a:xfrm>
                                    </wpg:grpSpPr>
                                    <wps:wsp>
                                      <wps:cNvPr id="277" name="Straight Connector 277"/>
                                      <wps:cNvCnPr/>
                                      <wps:spPr>
                                        <a:xfrm flipH="1">
                                          <a:off x="0" y="0"/>
                                          <a:ext cx="437189" cy="326528"/>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278" name="Straight Connector 278"/>
                                      <wps:cNvCnPr/>
                                      <wps:spPr>
                                        <a:xfrm>
                                          <a:off x="437322" y="0"/>
                                          <a:ext cx="412602" cy="326003"/>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279" name="Straight Connector 279"/>
                                      <wps:cNvCnPr/>
                                      <wps:spPr>
                                        <a:xfrm>
                                          <a:off x="437322" y="0"/>
                                          <a:ext cx="1423283" cy="326003"/>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280" name="Straight Connector 280"/>
                                      <wps:cNvCnPr/>
                                      <wps:spPr>
                                        <a:xfrm>
                                          <a:off x="437322" y="0"/>
                                          <a:ext cx="2241402" cy="325755"/>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wpg:grpSp>
                                </wpg:grpSp>
                                <wpg:grpSp>
                                  <wpg:cNvPr id="281" name="Group 281"/>
                                  <wpg:cNvGrpSpPr/>
                                  <wpg:grpSpPr>
                                    <a:xfrm flipH="1">
                                      <a:off x="310101" y="0"/>
                                      <a:ext cx="2678400" cy="326528"/>
                                      <a:chOff x="0" y="0"/>
                                      <a:chExt cx="2678724" cy="326528"/>
                                    </a:xfrm>
                                  </wpg:grpSpPr>
                                  <wps:wsp>
                                    <wps:cNvPr id="282" name="Straight Connector 282"/>
                                    <wps:cNvCnPr/>
                                    <wps:spPr>
                                      <a:xfrm flipH="1">
                                        <a:off x="0" y="0"/>
                                        <a:ext cx="437189" cy="326528"/>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283" name="Straight Connector 283"/>
                                    <wps:cNvCnPr/>
                                    <wps:spPr>
                                      <a:xfrm>
                                        <a:off x="437322" y="0"/>
                                        <a:ext cx="412602" cy="326003"/>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284" name="Straight Connector 284"/>
                                    <wps:cNvCnPr/>
                                    <wps:spPr>
                                      <a:xfrm>
                                        <a:off x="437322" y="0"/>
                                        <a:ext cx="1423283" cy="326003"/>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285" name="Straight Connector 285"/>
                                    <wps:cNvCnPr/>
                                    <wps:spPr>
                                      <a:xfrm>
                                        <a:off x="437322" y="0"/>
                                        <a:ext cx="2241402" cy="325755"/>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wpg:grpSp>
                              </wpg:grpSp>
                              <wpg:grpSp>
                                <wpg:cNvPr id="286" name="Group 286"/>
                                <wpg:cNvGrpSpPr/>
                                <wpg:grpSpPr>
                                  <a:xfrm>
                                    <a:off x="182880" y="1582309"/>
                                    <a:ext cx="3347085" cy="619760"/>
                                    <a:chOff x="0" y="0"/>
                                    <a:chExt cx="3347085" cy="619816"/>
                                  </a:xfrm>
                                </wpg:grpSpPr>
                                <wpg:grpSp>
                                  <wpg:cNvPr id="287" name="Group 287"/>
                                  <wpg:cNvGrpSpPr/>
                                  <wpg:grpSpPr>
                                    <a:xfrm>
                                      <a:off x="1828800" y="397566"/>
                                      <a:ext cx="1518285" cy="222250"/>
                                      <a:chOff x="0" y="0"/>
                                      <a:chExt cx="1518644" cy="222250"/>
                                    </a:xfrm>
                                    <a:solidFill>
                                      <a:schemeClr val="accent2"/>
                                    </a:solidFill>
                                  </wpg:grpSpPr>
                                  <wps:wsp>
                                    <wps:cNvPr id="288" name="Rectangle 288"/>
                                    <wps:cNvSpPr/>
                                    <wps:spPr>
                                      <a:xfrm>
                                        <a:off x="564543" y="0"/>
                                        <a:ext cx="412833" cy="2222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DA2AB5" w:rsidRDefault="00584F9A" w:rsidP="00402DB3">
                                          <w:pPr>
                                            <w:pStyle w:val="ChartBoldText"/>
                                          </w:pPr>
                                          <w:r>
                                            <w:t>LE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89" name="Rectangle 289"/>
                                    <wps:cNvSpPr/>
                                    <wps:spPr>
                                      <a:xfrm>
                                        <a:off x="1121134" y="0"/>
                                        <a:ext cx="397510" cy="2222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DA2AB5" w:rsidRDefault="00584F9A" w:rsidP="00402DB3">
                                          <w:pPr>
                                            <w:pStyle w:val="ChartBoldText"/>
                                          </w:pPr>
                                          <w:r>
                                            <w:t>LE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90" name="Rectangle 290"/>
                                    <wps:cNvSpPr/>
                                    <wps:spPr>
                                      <a:xfrm>
                                        <a:off x="0" y="0"/>
                                        <a:ext cx="412833" cy="2222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DA2AB5" w:rsidRDefault="00584F9A" w:rsidP="00402DB3">
                                          <w:pPr>
                                            <w:pStyle w:val="ChartBoldText"/>
                                          </w:pPr>
                                          <w:r>
                                            <w:t>LE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291" name="Group 291"/>
                                  <wpg:cNvGrpSpPr/>
                                  <wpg:grpSpPr>
                                    <a:xfrm>
                                      <a:off x="0" y="397566"/>
                                      <a:ext cx="1518285" cy="222250"/>
                                      <a:chOff x="0" y="0"/>
                                      <a:chExt cx="1518644" cy="222250"/>
                                    </a:xfrm>
                                    <a:solidFill>
                                      <a:schemeClr val="accent2"/>
                                    </a:solidFill>
                                  </wpg:grpSpPr>
                                  <wps:wsp>
                                    <wps:cNvPr id="292" name="Rectangle 292"/>
                                    <wps:cNvSpPr/>
                                    <wps:spPr>
                                      <a:xfrm>
                                        <a:off x="564543" y="0"/>
                                        <a:ext cx="412833" cy="2222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DA2AB5" w:rsidRDefault="00584F9A" w:rsidP="00402DB3">
                                          <w:pPr>
                                            <w:pStyle w:val="ChartBoldText"/>
                                          </w:pPr>
                                          <w:r>
                                            <w:t>LE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93" name="Rectangle 293"/>
                                    <wps:cNvSpPr/>
                                    <wps:spPr>
                                      <a:xfrm>
                                        <a:off x="1121134" y="0"/>
                                        <a:ext cx="397510" cy="2222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DA2AB5" w:rsidRDefault="00584F9A" w:rsidP="00402DB3">
                                          <w:pPr>
                                            <w:pStyle w:val="ChartBoldText"/>
                                          </w:pPr>
                                          <w:r>
                                            <w:t>LE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94" name="Rectangle 294"/>
                                    <wps:cNvSpPr/>
                                    <wps:spPr>
                                      <a:xfrm>
                                        <a:off x="0" y="0"/>
                                        <a:ext cx="412833" cy="2222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DA2AB5" w:rsidRDefault="00584F9A" w:rsidP="00402DB3">
                                          <w:pPr>
                                            <w:pStyle w:val="ChartBoldText"/>
                                          </w:pPr>
                                          <w:r>
                                            <w:t>LE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295" name="Group 295"/>
                                  <wpg:cNvGrpSpPr/>
                                  <wpg:grpSpPr>
                                    <a:xfrm>
                                      <a:off x="222637" y="7952"/>
                                      <a:ext cx="1088390" cy="397510"/>
                                      <a:chOff x="0" y="0"/>
                                      <a:chExt cx="1088390" cy="397566"/>
                                    </a:xfrm>
                                  </wpg:grpSpPr>
                                  <wps:wsp>
                                    <wps:cNvPr id="296" name="Straight Connector 296"/>
                                    <wps:cNvCnPr/>
                                    <wps:spPr>
                                      <a:xfrm flipH="1">
                                        <a:off x="0" y="0"/>
                                        <a:ext cx="317500" cy="39751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97" name="Straight Connector 297"/>
                                    <wps:cNvCnPr/>
                                    <wps:spPr>
                                      <a:xfrm>
                                        <a:off x="318052" y="0"/>
                                        <a:ext cx="238125" cy="39751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98" name="Straight Connector 298"/>
                                    <wps:cNvCnPr/>
                                    <wps:spPr>
                                      <a:xfrm>
                                        <a:off x="317891" y="0"/>
                                        <a:ext cx="770499" cy="397566"/>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g:grpSp>
                                  <wpg:cNvPr id="299" name="Group 299"/>
                                  <wpg:cNvGrpSpPr/>
                                  <wpg:grpSpPr>
                                    <a:xfrm>
                                      <a:off x="2043485" y="0"/>
                                      <a:ext cx="1088390" cy="397510"/>
                                      <a:chOff x="0" y="0"/>
                                      <a:chExt cx="1088390" cy="397566"/>
                                    </a:xfrm>
                                  </wpg:grpSpPr>
                                  <wps:wsp>
                                    <wps:cNvPr id="300" name="Straight Connector 300"/>
                                    <wps:cNvCnPr/>
                                    <wps:spPr>
                                      <a:xfrm flipH="1">
                                        <a:off x="0" y="0"/>
                                        <a:ext cx="317500" cy="39751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301" name="Straight Connector 301"/>
                                    <wps:cNvCnPr/>
                                    <wps:spPr>
                                      <a:xfrm>
                                        <a:off x="318052" y="0"/>
                                        <a:ext cx="238125" cy="39751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302" name="Straight Connector 302"/>
                                    <wps:cNvCnPr/>
                                    <wps:spPr>
                                      <a:xfrm>
                                        <a:off x="317891" y="0"/>
                                        <a:ext cx="770499" cy="397566"/>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g:grpSp>
                              <wpg:grpSp>
                                <wpg:cNvPr id="303" name="Group 303"/>
                                <wpg:cNvGrpSpPr/>
                                <wpg:grpSpPr>
                                  <a:xfrm>
                                    <a:off x="405517" y="858741"/>
                                    <a:ext cx="3275330" cy="730885"/>
                                    <a:chOff x="0" y="0"/>
                                    <a:chExt cx="3275440" cy="731133"/>
                                  </a:xfrm>
                                </wpg:grpSpPr>
                                <wpg:grpSp>
                                  <wpg:cNvPr id="304" name="Group 304"/>
                                  <wpg:cNvGrpSpPr/>
                                  <wpg:grpSpPr>
                                    <a:xfrm>
                                      <a:off x="286247" y="0"/>
                                      <a:ext cx="849436" cy="620201"/>
                                      <a:chOff x="0" y="0"/>
                                      <a:chExt cx="849436" cy="620201"/>
                                    </a:xfrm>
                                  </wpg:grpSpPr>
                                  <wps:wsp>
                                    <wps:cNvPr id="305" name="Straight Connector 305"/>
                                    <wps:cNvCnPr/>
                                    <wps:spPr>
                                      <a:xfrm flipH="1">
                                        <a:off x="0" y="0"/>
                                        <a:ext cx="436245" cy="61976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306" name="Straight Connector 306"/>
                                    <wps:cNvCnPr/>
                                    <wps:spPr>
                                      <a:xfrm>
                                        <a:off x="437321" y="0"/>
                                        <a:ext cx="412115" cy="61976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307" name="Straight Connector 307"/>
                                    <wps:cNvCnPr/>
                                    <wps:spPr>
                                      <a:xfrm flipH="1">
                                        <a:off x="0" y="620201"/>
                                        <a:ext cx="848941"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g:grpSp>
                                <wps:wsp>
                                  <wps:cNvPr id="308" name="Rectangle 308"/>
                                  <wps:cNvSpPr/>
                                  <wps:spPr>
                                    <a:xfrm>
                                      <a:off x="834887" y="508883"/>
                                      <a:ext cx="651510" cy="2222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101F47" w:rsidRDefault="00584F9A" w:rsidP="00402DB3">
                                        <w:pPr>
                                          <w:pStyle w:val="ChartBoldText"/>
                                          <w:rPr>
                                            <w:color w:val="000000" w:themeColor="text1"/>
                                          </w:rPr>
                                        </w:pPr>
                                        <w:proofErr w:type="spellStart"/>
                                        <w:r w:rsidRPr="00101F47">
                                          <w:rPr>
                                            <w:color w:val="000000" w:themeColor="text1"/>
                                          </w:rPr>
                                          <w:t>P</w:t>
                                        </w:r>
                                        <w:r>
                                          <w:rPr>
                                            <w:color w:val="000000" w:themeColor="text1"/>
                                          </w:rPr>
                                          <w:t>o</w:t>
                                        </w:r>
                                        <w:r w:rsidRPr="00101F47">
                                          <w:rPr>
                                            <w:color w:val="000000" w:themeColor="text1"/>
                                          </w:rPr>
                                          <w:t>C</w:t>
                                        </w:r>
                                        <w:proofErr w:type="spellEnd"/>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cNvPr id="309" name="Group 309"/>
                                  <wpg:cNvGrpSpPr/>
                                  <wpg:grpSpPr>
                                    <a:xfrm>
                                      <a:off x="2115047" y="0"/>
                                      <a:ext cx="849436" cy="620201"/>
                                      <a:chOff x="0" y="0"/>
                                      <a:chExt cx="849436" cy="620201"/>
                                    </a:xfrm>
                                  </wpg:grpSpPr>
                                  <wps:wsp>
                                    <wps:cNvPr id="310" name="Straight Connector 310"/>
                                    <wps:cNvCnPr/>
                                    <wps:spPr>
                                      <a:xfrm flipH="1">
                                        <a:off x="0" y="0"/>
                                        <a:ext cx="436245" cy="61976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311" name="Straight Connector 311"/>
                                    <wps:cNvCnPr/>
                                    <wps:spPr>
                                      <a:xfrm>
                                        <a:off x="437321" y="0"/>
                                        <a:ext cx="412115" cy="61976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312" name="Straight Connector 312"/>
                                    <wps:cNvCnPr/>
                                    <wps:spPr>
                                      <a:xfrm flipH="1">
                                        <a:off x="0" y="620201"/>
                                        <a:ext cx="848941"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g:grpSp>
                                <wps:wsp>
                                  <wps:cNvPr id="313" name="Rectangle 313"/>
                                  <wps:cNvSpPr/>
                                  <wps:spPr>
                                    <a:xfrm>
                                      <a:off x="2623930" y="500932"/>
                                      <a:ext cx="651510" cy="2222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101F47" w:rsidRDefault="00584F9A" w:rsidP="00402DB3">
                                        <w:pPr>
                                          <w:pStyle w:val="ChartBoldText"/>
                                          <w:rPr>
                                            <w:color w:val="000000" w:themeColor="text1"/>
                                          </w:rPr>
                                        </w:pPr>
                                        <w:proofErr w:type="spellStart"/>
                                        <w:r w:rsidRPr="00101F47">
                                          <w:rPr>
                                            <w:color w:val="000000" w:themeColor="text1"/>
                                          </w:rPr>
                                          <w:t>P</w:t>
                                        </w:r>
                                        <w:r>
                                          <w:rPr>
                                            <w:color w:val="000000" w:themeColor="text1"/>
                                          </w:rPr>
                                          <w:t>o</w:t>
                                        </w:r>
                                        <w:r w:rsidRPr="00101F47">
                                          <w:rPr>
                                            <w:color w:val="000000" w:themeColor="text1"/>
                                          </w:rPr>
                                          <w:t>C</w:t>
                                        </w:r>
                                        <w:proofErr w:type="spellEnd"/>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314" name="Rectangle 314"/>
                                  <wps:cNvSpPr/>
                                  <wps:spPr>
                                    <a:xfrm>
                                      <a:off x="0" y="508883"/>
                                      <a:ext cx="651510" cy="2222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101F47" w:rsidRDefault="00584F9A" w:rsidP="00402DB3">
                                        <w:pPr>
                                          <w:pStyle w:val="ChartBoldText"/>
                                          <w:rPr>
                                            <w:color w:val="000000" w:themeColor="text1"/>
                                          </w:rPr>
                                        </w:pPr>
                                        <w:proofErr w:type="spellStart"/>
                                        <w:r w:rsidRPr="00101F47">
                                          <w:rPr>
                                            <w:color w:val="000000" w:themeColor="text1"/>
                                          </w:rPr>
                                          <w:t>P</w:t>
                                        </w:r>
                                        <w:r>
                                          <w:rPr>
                                            <w:color w:val="000000" w:themeColor="text1"/>
                                          </w:rPr>
                                          <w:t>o</w:t>
                                        </w:r>
                                        <w:r w:rsidRPr="00101F47">
                                          <w:rPr>
                                            <w:color w:val="000000" w:themeColor="text1"/>
                                          </w:rPr>
                                          <w:t>C</w:t>
                                        </w:r>
                                        <w:proofErr w:type="spellEnd"/>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315" name="Rectangle 315"/>
                                  <wps:cNvSpPr/>
                                  <wps:spPr>
                                    <a:xfrm>
                                      <a:off x="1820848" y="500932"/>
                                      <a:ext cx="651510" cy="2222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101F47" w:rsidRDefault="00584F9A" w:rsidP="00402DB3">
                                        <w:pPr>
                                          <w:pStyle w:val="ChartBoldText"/>
                                          <w:rPr>
                                            <w:color w:val="000000" w:themeColor="text1"/>
                                          </w:rPr>
                                        </w:pPr>
                                        <w:proofErr w:type="spellStart"/>
                                        <w:r w:rsidRPr="00101F47">
                                          <w:rPr>
                                            <w:color w:val="000000" w:themeColor="text1"/>
                                          </w:rPr>
                                          <w:t>P</w:t>
                                        </w:r>
                                        <w:r>
                                          <w:rPr>
                                            <w:color w:val="000000" w:themeColor="text1"/>
                                          </w:rPr>
                                          <w:t>o</w:t>
                                        </w:r>
                                        <w:r w:rsidRPr="00101F47">
                                          <w:rPr>
                                            <w:color w:val="000000" w:themeColor="text1"/>
                                          </w:rPr>
                                          <w:t>C</w:t>
                                        </w:r>
                                        <w:proofErr w:type="spellEnd"/>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s:wsp>
                              <wps:cNvPr id="318" name="Rectangle 318"/>
                              <wps:cNvSpPr/>
                              <wps:spPr>
                                <a:xfrm>
                                  <a:off x="0" y="1327868"/>
                                  <a:ext cx="969010" cy="412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8E76A9" w:rsidRDefault="00584F9A" w:rsidP="00402DB3">
                                    <w:pPr>
                                      <w:pStyle w:val="ChartBoldText"/>
                                      <w:jc w:val="left"/>
                                      <w:rPr>
                                        <w:rFonts w:ascii="Franklin Gothic Book" w:hAnsi="Franklin Gothic Book"/>
                                        <w:color w:val="000000" w:themeColor="text1"/>
                                      </w:rPr>
                                    </w:pPr>
                                    <w:proofErr w:type="spellStart"/>
                                    <w:r>
                                      <w:rPr>
                                        <w:rFonts w:ascii="Franklin Gothic Book" w:hAnsi="Franklin Gothic Book"/>
                                        <w:color w:val="000000" w:themeColor="text1"/>
                                      </w:rPr>
                                      <w:t>PoC</w:t>
                                    </w:r>
                                    <w:proofErr w:type="spellEnd"/>
                                    <w:r>
                                      <w:rPr>
                                        <w:rFonts w:ascii="Franklin Gothic Book" w:hAnsi="Franklin Gothic Book"/>
                                        <w:color w:val="000000" w:themeColor="text1"/>
                                      </w:rPr>
                                      <w:t xml:space="preserve"> parented </w:t>
                                    </w:r>
                                    <w:proofErr w:type="gramStart"/>
                                    <w:r>
                                      <w:rPr>
                                        <w:rFonts w:ascii="Franklin Gothic Book" w:hAnsi="Franklin Gothic Book"/>
                                        <w:color w:val="000000" w:themeColor="text1"/>
                                      </w:rPr>
                                      <w:t>by a LAS</w:t>
                                    </w:r>
                                    <w:proofErr w:type="gramEnd"/>
                                    <w:r>
                                      <w:rPr>
                                        <w:rFonts w:ascii="Franklin Gothic Book" w:hAnsi="Franklin Gothic Book"/>
                                        <w:color w:val="000000" w:themeColor="text1"/>
                                      </w:rPr>
                                      <w:t xml:space="preserve"> on a ring</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319" name="Rectangle 319"/>
                              <wps:cNvSpPr/>
                              <wps:spPr>
                                <a:xfrm>
                                  <a:off x="0" y="1860605"/>
                                  <a:ext cx="779145" cy="4768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8E76A9" w:rsidRDefault="00584F9A" w:rsidP="00402DB3">
                                    <w:pPr>
                                      <w:pStyle w:val="ChartBoldText"/>
                                      <w:jc w:val="left"/>
                                      <w:rPr>
                                        <w:rFonts w:ascii="Franklin Gothic Book" w:hAnsi="Franklin Gothic Book"/>
                                        <w:color w:val="000000" w:themeColor="text1"/>
                                      </w:rPr>
                                    </w:pPr>
                                    <w:proofErr w:type="gramStart"/>
                                    <w:r>
                                      <w:rPr>
                                        <w:rFonts w:ascii="Franklin Gothic Book" w:hAnsi="Franklin Gothic Book"/>
                                        <w:color w:val="000000" w:themeColor="text1"/>
                                      </w:rPr>
                                      <w:t xml:space="preserve">Each LE is parented by a </w:t>
                                    </w:r>
                                    <w:proofErr w:type="spellStart"/>
                                    <w:r>
                                      <w:rPr>
                                        <w:rFonts w:ascii="Franklin Gothic Book" w:hAnsi="Franklin Gothic Book"/>
                                        <w:color w:val="000000" w:themeColor="text1"/>
                                      </w:rPr>
                                      <w:t>PoC</w:t>
                                    </w:r>
                                    <w:proofErr w:type="spellEnd"/>
                                    <w:proofErr w:type="gramEnd"/>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321" name="Rectangle 321"/>
                              <wps:cNvSpPr/>
                              <wps:spPr>
                                <a:xfrm>
                                  <a:off x="4253947" y="946205"/>
                                  <a:ext cx="650875" cy="30099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8E76A9" w:rsidRDefault="00584F9A" w:rsidP="00402DB3">
                                    <w:pPr>
                                      <w:pStyle w:val="ChartBoldText"/>
                                      <w:spacing w:after="0"/>
                                      <w:rPr>
                                        <w:rFonts w:ascii="Franklin Gothic Book" w:hAnsi="Franklin Gothic Book"/>
                                        <w:color w:val="9B917E" w:themeColor="accent4"/>
                                        <w:sz w:val="20"/>
                                        <w:szCs w:val="20"/>
                                      </w:rPr>
                                    </w:pPr>
                                    <w:proofErr w:type="gramStart"/>
                                    <w:r w:rsidRPr="008E76A9">
                                      <w:rPr>
                                        <w:rFonts w:ascii="Franklin Gothic Book" w:hAnsi="Franklin Gothic Book"/>
                                        <w:color w:val="9B917E" w:themeColor="accent4"/>
                                        <w:sz w:val="20"/>
                                        <w:szCs w:val="20"/>
                                      </w:rPr>
                                      <w:t>133</w:t>
                                    </w:r>
                                    <w:proofErr w:type="gramEnd"/>
                                    <w:r w:rsidRPr="008E76A9">
                                      <w:rPr>
                                        <w:rFonts w:ascii="Franklin Gothic Book" w:hAnsi="Franklin Gothic Book"/>
                                        <w:color w:val="9B917E" w:themeColor="accent4"/>
                                        <w:sz w:val="20"/>
                                        <w:szCs w:val="20"/>
                                      </w:rPr>
                                      <w:t xml:space="preserve"> LAS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322" name="Rectangle 322"/>
                              <wps:cNvSpPr/>
                              <wps:spPr>
                                <a:xfrm>
                                  <a:off x="4253947" y="1995777"/>
                                  <a:ext cx="650875" cy="30099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8E76A9" w:rsidRDefault="00584F9A" w:rsidP="00402DB3">
                                    <w:pPr>
                                      <w:pStyle w:val="ChartBoldText"/>
                                      <w:spacing w:after="0"/>
                                      <w:rPr>
                                        <w:rFonts w:ascii="Franklin Gothic Book" w:hAnsi="Franklin Gothic Book"/>
                                        <w:color w:val="F61D12" w:themeColor="accent2"/>
                                        <w:sz w:val="20"/>
                                        <w:szCs w:val="20"/>
                                      </w:rPr>
                                    </w:pPr>
                                    <w:r w:rsidRPr="008E76A9">
                                      <w:rPr>
                                        <w:rFonts w:ascii="Franklin Gothic Book" w:hAnsi="Franklin Gothic Book"/>
                                        <w:color w:val="F61D12" w:themeColor="accent2"/>
                                        <w:sz w:val="20"/>
                                        <w:szCs w:val="20"/>
                                      </w:rPr>
                                      <w:t>5070 LE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323" name="Right Brace 323"/>
                              <wps:cNvSpPr/>
                              <wps:spPr>
                                <a:xfrm>
                                  <a:off x="4079019" y="1741336"/>
                                  <a:ext cx="143703" cy="818018"/>
                                </a:xfrm>
                                <a:prstGeom prst="rightBrac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64" o:spid="_x0000_s1132" alt="Chart outlining the local exchanges and points of confluence that the Centre for International Economics considered in its analsis of the Analysis Cost Model." style="width:386.2pt;height:148.95pt;mso-position-horizontal-relative:char;mso-position-vertical-relative:line" coordorigin=",6678" coordsize="49048,1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">
                      <v:group id="Group 265" o:spid="_x0000_s1133" style="position:absolute;left:3737;top:6678;width:36804;height:18915" coordorigin=",3101" coordsize="36808,18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group id="Group 270" o:spid="_x0000_s1134" style="position:absolute;top:3101;width:32912;height:5480" coordsize="32913,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group id="Group 271" o:spid="_x0000_s1135" style="position:absolute;width:32913;height:5482" coordsize="32913,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rect id="Rectangle 272" o:spid="_x0000_s1136" style="position:absolute;top:3260;width:6515;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F2MQA&#10;AADcAAAADwAAAGRycy9kb3ducmV2LnhtbESPT4vCMBTE74LfITzBm00tuOt2jSKC+IdFXPWyt0fz&#10;bIvNS2mi1m+/EQSPw8z8hpnMWlOJGzWutKxgGMUgiDOrS84VnI7LwRiE88gaK8uk4EEOZtNuZ4Kp&#10;tnf+pdvB5yJA2KWooPC+TqV0WUEGXWRr4uCdbWPQB9nkUjd4D3BTySSOP6TBksNCgTUtCsouh6tR&#10;8LXj+Zn3x2q1/cMlDn9G9nHaKNXvtfNvEJ5a/w6/2mutIPlM4HkmHAE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HxdjEAAAA3AAAAA8AAAAAAAAAAAAAAAAAmAIAAGRycy9k&#10;b3ducmV2LnhtbFBLBQYAAAAABAAEAPUAAACJAwAAAAA=&#10;" fillcolor="#c6bfab [3206]" stroked="f" strokeweight="2pt">
                              <v:textbox inset="2mm,1mm,2mm,1mm">
                                <w:txbxContent>
                                  <w:p w:rsidR="00584F9A" w:rsidRPr="00101F47" w:rsidRDefault="00584F9A" w:rsidP="00402DB3">
                                    <w:pPr>
                                      <w:pStyle w:val="ChartBoldText"/>
                                      <w:rPr>
                                        <w:color w:val="000000" w:themeColor="text1"/>
                                      </w:rPr>
                                    </w:pPr>
                                    <w:r w:rsidRPr="00101F47">
                                      <w:rPr>
                                        <w:color w:val="000000" w:themeColor="text1"/>
                                      </w:rPr>
                                      <w:t>LAS</w:t>
                                    </w:r>
                                  </w:p>
                                </w:txbxContent>
                              </v:textbox>
                            </v:rect>
                            <v:rect id="Rectangle 273" o:spid="_x0000_s1137" style="position:absolute;left:8030;top:3260;width:6515;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tgQ8QA&#10;AADcAAAADwAAAGRycy9kb3ducmV2LnhtbESPS4vCQBCE7wv+h6EFb+tExVWjo4ggPhDxdfHWZNok&#10;mOkJmVHjv3cWFvZYVNVX1GRWm0I8qXK5ZQWddgSCOLE651TB5bz8HoJwHlljYZkUvMnBbNr4mmCs&#10;7YuP9Dz5VAQIuxgVZN6XsZQuyciga9uSOHg3Wxn0QVap1BW+AtwUshtFP9JgzmEhw5IWGSX308Mo&#10;GO15fuPDuVhtr7jEzq5v35eNUq1mPR+D8FT7//Bfe60VdAc9+D0TjoCc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LYEPEAAAA3AAAAA8AAAAAAAAAAAAAAAAAmAIAAGRycy9k&#10;b3ducmV2LnhtbFBLBQYAAAAABAAEAPUAAACJAwAAAAA=&#10;" fillcolor="#c6bfab [3206]" stroked="f" strokeweight="2pt">
                              <v:textbox inset="2mm,1mm,2mm,1mm">
                                <w:txbxContent>
                                  <w:p w:rsidR="00584F9A" w:rsidRPr="00101F47" w:rsidRDefault="00584F9A" w:rsidP="00402DB3">
                                    <w:pPr>
                                      <w:pStyle w:val="ChartBoldText"/>
                                      <w:rPr>
                                        <w:color w:val="000000" w:themeColor="text1"/>
                                      </w:rPr>
                                    </w:pPr>
                                    <w:r w:rsidRPr="00101F47">
                                      <w:rPr>
                                        <w:color w:val="000000" w:themeColor="text1"/>
                                      </w:rPr>
                                      <w:t>LAS</w:t>
                                    </w:r>
                                  </w:p>
                                </w:txbxContent>
                              </v:textbox>
                            </v:rect>
                            <v:rect id="Rectangle 274" o:spid="_x0000_s1138" style="position:absolute;left:18367;top:3260;width:6515;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4N8QA&#10;AADcAAAADwAAAGRycy9kb3ducmV2LnhtbESPS4vCQBCE7wv+h6EFb+tE0VWjo4ggPhDxdfHWZNok&#10;mOkJmVHjv3cWFvZYVNVX1GRWm0I8qXK5ZQWddgSCOLE651TB5bz8HoJwHlljYZkUvMnBbNr4mmCs&#10;7YuP9Dz5VAQIuxgVZN6XsZQuyciga9uSOHg3Wxn0QVap1BW+AtwUshtFP9JgzmEhw5IWGSX308Mo&#10;GO15fuPDuVhtr7jEzq5v35eNUq1mPR+D8FT7//Bfe60VdAc9+D0TjoCc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DfEAAAA3AAAAA8AAAAAAAAAAAAAAAAAmAIAAGRycy9k&#10;b3ducmV2LnhtbFBLBQYAAAAABAAEAPUAAACJAwAAAAA=&#10;" fillcolor="#c6bfab [3206]" stroked="f" strokeweight="2pt">
                              <v:textbox inset="2mm,1mm,2mm,1mm">
                                <w:txbxContent>
                                  <w:p w:rsidR="00584F9A" w:rsidRPr="00101F47" w:rsidRDefault="00584F9A" w:rsidP="00402DB3">
                                    <w:pPr>
                                      <w:pStyle w:val="ChartBoldText"/>
                                      <w:rPr>
                                        <w:color w:val="000000" w:themeColor="text1"/>
                                      </w:rPr>
                                    </w:pPr>
                                    <w:r w:rsidRPr="00101F47">
                                      <w:rPr>
                                        <w:color w:val="000000" w:themeColor="text1"/>
                                      </w:rPr>
                                      <w:t>LAS</w:t>
                                    </w:r>
                                  </w:p>
                                </w:txbxContent>
                              </v:textbox>
                            </v:rect>
                            <v:rect id="Rectangle 275" o:spid="_x0000_s1139" style="position:absolute;left:26398;top:3260;width:6515;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drMMA&#10;AADcAAAADwAAAGRycy9kb3ducmV2LnhtbESPS6vCMBSE94L/IRzh7jRV8FWNIhfkqoj42rg7NMe2&#10;2JyUJlfrvzeC4HKYmW+Y6bw2hbhT5XLLCrqdCARxYnXOqYLzadkegXAeWWNhmRQ8ycF81mxMMdb2&#10;wQe6H30qAoRdjAoy78tYSpdkZNB1bEkcvKutDPogq1TqCh8BbgrZi6KBNJhzWMiwpN+Mktvx3ygY&#10;73hx5f2p+NtccIndbd8+z2ulflr1YgLCU+2/4U97pRX0hn1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drMMAAADcAAAADwAAAAAAAAAAAAAAAACYAgAAZHJzL2Rv&#10;d25yZXYueG1sUEsFBgAAAAAEAAQA9QAAAIgDAAAAAA==&#10;" fillcolor="#c6bfab [3206]" stroked="f" strokeweight="2pt">
                              <v:textbox inset="2mm,1mm,2mm,1mm">
                                <w:txbxContent>
                                  <w:p w:rsidR="00584F9A" w:rsidRPr="00101F47" w:rsidRDefault="00584F9A" w:rsidP="00402DB3">
                                    <w:pPr>
                                      <w:pStyle w:val="ChartBoldText"/>
                                      <w:rPr>
                                        <w:color w:val="000000" w:themeColor="text1"/>
                                      </w:rPr>
                                    </w:pPr>
                                    <w:r w:rsidRPr="00101F47">
                                      <w:rPr>
                                        <w:color w:val="000000" w:themeColor="text1"/>
                                      </w:rPr>
                                      <w:t>LAS</w:t>
                                    </w:r>
                                  </w:p>
                                </w:txbxContent>
                              </v:textbox>
                            </v:rect>
                            <v:group id="Group 276" o:spid="_x0000_s1140" style="position:absolute;left:3101;width:26787;height:3265" coordsize="26787,3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line id="Straight Connector 277" o:spid="_x0000_s1141" style="position:absolute;flip:x;visibility:visible;mso-wrap-style:square" from="0,0" to="4371,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3rMcAAADcAAAADwAAAGRycy9kb3ducmV2LnhtbESPW2sCMRSE34X+h3AKfSmarQ9aV6OI&#10;0CpeCl4QHw+b092lm5Mlibr+eyMUfBxm5htmNGlMJS7kfGlZwUcnAUGcWV1yruCw/2p/gvABWWNl&#10;mRTcyMNk/NIaYartlbd02YVcRAj7FBUUIdSplD4ryKDv2Jo4er/WGQxRulxqh9cIN5XsJklPGiw5&#10;LhRY06yg7G93NgqO7qT9T7ZeLTfr7/37vBcGq5NW6u21mQ5BBGrCM/zfXmgF3X4fHmfiEZDj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37esxwAAANwAAAAPAAAAAAAA&#10;AAAAAAAAAKECAABkcnMvZG93bnJldi54bWxQSwUGAAAAAAQABAD5AAAAlQMAAAAA&#10;" strokecolor="#c6bfab [3206]" strokeweight="1pt"/>
                              <v:line id="Straight Connector 278" o:spid="_x0000_s1142" style="position:absolute;visibility:visible;mso-wrap-style:square" from="4373,0" to="8499,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VksEAAADcAAAADwAAAGRycy9kb3ducmV2LnhtbERPTWvCQBC9F/oflil4qxsDphpdpQhS&#10;sadEweuQHZNgdjbNbk3ir3cPhR4f73u9HUwj7tS52rKC2TQCQVxYXXOp4Hzavy9AOI+ssbFMCkZy&#10;sN28vqwx1bbnjO65L0UIYZeigsr7NpXSFRUZdFPbEgfuajuDPsCulLrDPoSbRsZRlEiDNYeGClva&#10;VVTc8l+joI6zIydfPycnx+/547Lkpb6wUpO34XMFwtPg/8V/7oNWEH+EteFMOAJy8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stWSwQAAANwAAAAPAAAAAAAAAAAAAAAA&#10;AKECAABkcnMvZG93bnJldi54bWxQSwUGAAAAAAQABAD5AAAAjwMAAAAA&#10;" strokecolor="#c6bfab [3206]" strokeweight="1pt"/>
                              <v:line id="Straight Connector 279" o:spid="_x0000_s1143" style="position:absolute;visibility:visible;mso-wrap-style:square" from="4373,0" to="18606,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wCcQAAADcAAAADwAAAGRycy9kb3ducmV2LnhtbESPQWvCQBSE7wX/w/IEb82mAW2TuooI&#10;0lJPmkKuj+xrEpp9G7Nbk/TXd4WCx2FmvmHW29G04kq9aywreIpiEMSl1Q1XCj7zw+MLCOeRNbaW&#10;ScFEDrab2cMaM20HPtH17CsRIOwyVFB732VSurImgy6yHXHwvmxv0AfZV1L3OAS4aWUSxytpsOGw&#10;UGNH+5rK7/OPUdAkpw9evV1yJ6fj8rdIOdUFK7WYj7tXEJ5Gfw//t9+1guQ5hduZc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nAJxAAAANwAAAAPAAAAAAAAAAAA&#10;AAAAAKECAABkcnMvZG93bnJldi54bWxQSwUGAAAAAAQABAD5AAAAkgMAAAAA&#10;" strokecolor="#c6bfab [3206]" strokeweight="1pt"/>
                              <v:line id="Straight Connector 280" o:spid="_x0000_s1144" style="position:absolute;visibility:visible;mso-wrap-style:square" from="4373,0" to="26787,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Gps70AAADcAAAADwAAAGRycy9kb3ducmV2LnhtbERPSwrCMBDdC94hjOBOUwuKVqOIIIqu&#10;/IDboRnbYjOpTdTq6c1CcPl4/9miMaV4Uu0KywoG/QgEcWp1wZmC82ndG4NwHlljaZkUvMnBYt5u&#10;zTDR9sUHeh59JkIIuwQV5N5XiZQuzcmg69uKOHBXWxv0AdaZ1DW+QrgpZRxFI2mw4NCQY0WrnNLb&#10;8WEUFPFhx6PN/eTkez/8XCY80RdWqttpllMQnhr/F//cW60gHof54Uw4AnL+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8RqbO9AAAA3AAAAA8AAAAAAAAAAAAAAAAAoQIA&#10;AGRycy9kb3ducmV2LnhtbFBLBQYAAAAABAAEAPkAAACLAwAAAAA=&#10;" strokecolor="#c6bfab [3206]" strokeweight="1pt"/>
                            </v:group>
                          </v:group>
                          <v:group id="Group 281" o:spid="_x0000_s1145" style="position:absolute;left:3101;width:26784;height:3265;flip:x" coordsize="26787,3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HYr9nCAAAA3AAAAA8A&#10;AAAAAAAAAAAAAAAAqgIAAGRycy9kb3ducmV2LnhtbFBLBQYAAAAABAAEAPoAAACZAwAAAAA=&#10;">
                            <v:line id="Straight Connector 282" o:spid="_x0000_s1146" style="position:absolute;flip:x;visibility:visible;mso-wrap-style:square" from="0,0" to="4371,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1kE8YAAADcAAAADwAAAGRycy9kb3ducmV2LnhtbESPQWvCQBSE74L/YXlCL2I25iA2dSNS&#10;qC1VC2opHh/Z1ySYfRt2t5r++25B8DjMzDfMYtmbVlzI+caygmmSgiAurW64UvB5fJnMQfiArLG1&#10;TAp+ycOyGA4WmGt75T1dDqESEcI+RwV1CF0upS9rMugT2xFH79s6gyFKV0nt8BrhppVZms6kwYbj&#10;Qo0dPddUng8/RsGXO2n/UW4377vt+jh+nYXHzUkr9TDqV08gAvXhHr6137SCbJ7B/5l4BGT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99ZBPGAAAA3AAAAA8AAAAAAAAA&#10;AAAAAAAAoQIAAGRycy9kb3ducmV2LnhtbFBLBQYAAAAABAAEAPkAAACUAwAAAAA=&#10;" strokecolor="#c6bfab [3206]" strokeweight="1pt"/>
                            <v:line id="Straight Connector 283" o:spid="_x0000_s1147" style="position:absolute;visibility:visible;mso-wrap-style:square" from="4373,0" to="8499,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M3xMUAAADcAAAADwAAAGRycy9kb3ducmV2LnhtbESPT2vCQBTE70K/w/IKvZmNKYqmWUUK&#10;pcWejILXR/Y1CWbfxuw2f/rpu4WCx2FmfsNku9E0oqfO1ZYVLKIYBHFhdc2lgvPpbb4G4TyyxsYy&#10;KZjIwW77MMsw1XbgI/W5L0WAsEtRQeV9m0rpiooMusi2xMH7sp1BH2RXSt3hEOCmkUkcr6TBmsNC&#10;hS29VlRc82+joE6OB169305OTp/Ln8uGN/rCSj09jvsXEJ5Gfw//tz+0gmT9DH9nw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M3xMUAAADcAAAADwAAAAAAAAAA&#10;AAAAAAChAgAAZHJzL2Rvd25yZXYueG1sUEsFBgAAAAAEAAQA+QAAAJMDAAAAAA==&#10;" strokecolor="#c6bfab [3206]" strokeweight="1pt"/>
                            <v:line id="Straight Connector 284" o:spid="_x0000_s1148" style="position:absolute;visibility:visible;mso-wrap-style:square" from="4373,0" to="18606,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qvsMUAAADcAAAADwAAAGRycy9kb3ducmV2LnhtbESPT2vCQBTE70K/w/IKvZmNoYqmWUUK&#10;pcWejILXR/Y1CWbfxuw2f/rpu4WCx2FmfsNku9E0oqfO1ZYVLKIYBHFhdc2lgvPpbb4G4TyyxsYy&#10;KZjIwW77MMsw1XbgI/W5L0WAsEtRQeV9m0rpiooMusi2xMH7sp1BH2RXSt3hEOCmkUkcr6TBmsNC&#10;hS29VlRc82+joE6OB169305OTp/Ln8uGN/rCSj09jvsXEJ5Gfw//tz+0gmT9DH9nw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CqvsMUAAADcAAAADwAAAAAAAAAA&#10;AAAAAAChAgAAZHJzL2Rvd25yZXYueG1sUEsFBgAAAAAEAAQA+QAAAJMDAAAAAA==&#10;" strokecolor="#c6bfab [3206]" strokeweight="1pt"/>
                            <v:line id="Straight Connector 285" o:spid="_x0000_s1149" style="position:absolute;visibility:visible;mso-wrap-style:square" from="4373,0" to="26787,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YKK8QAAADcAAAADwAAAGRycy9kb3ducmV2LnhtbESPQWvCQBSE7wX/w/IEb3XTQIJGVymC&#10;tNhTjOD1kX1NQrNvY3bVxF/vFgo9DjPzDbPeDqYVN+pdY1nB2zwCQVxa3XCl4FTsXxcgnEfW2Fom&#10;BSM52G4mL2vMtL1zTrejr0SAsMtQQe19l0npypoMurntiIP3bXuDPsi+krrHe4CbVsZRlEqDDYeF&#10;Gjva1VT+HK9GQRPnB04/LoWT41fyOC95qc+s1Gw6vK9AeBr8f/iv/akVxIsEfs+EIyA3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gorxAAAANwAAAAPAAAAAAAAAAAA&#10;AAAAAKECAABkcnMvZG93bnJldi54bWxQSwUGAAAAAAQABAD5AAAAkgMAAAAA&#10;" strokecolor="#c6bfab [3206]" strokeweight="1pt"/>
                          </v:group>
                        </v:group>
                        <v:group id="Group 286" o:spid="_x0000_s1150" style="position:absolute;left:1828;top:15823;width:33471;height:6197" coordsize="33470,6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group id="Group 287" o:spid="_x0000_s1151" style="position:absolute;left:18288;top:3975;width:15182;height:2223" coordsize="15186,2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rect id="Rectangle 288" o:spid="_x0000_s1152" style="position:absolute;left:5645;width:4128;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8avcQA&#10;AADcAAAADwAAAGRycy9kb3ducmV2LnhtbERPXWvCMBR9F/Yfwh3sTdOJE6nGMgYT2Zigk6Jvl+au&#10;6drclCbT6q83D8IeD+d7kfW2ESfqfOVYwfMoAUFcOF1xqWD//T6cgfABWWPjmBRcyEO2fBgsMNXu&#10;zFs67UIpYgj7FBWYENpUSl8YsuhHriWO3I/rLIYIu1LqDs8x3DZynCRTabHi2GCwpTdDRb37swom&#10;v9fV4VKY9YfLj/V2E/Kvl89cqafH/nUOIlAf/sV391orGM/i2ngmHg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PGr3EAAAA3AAAAA8AAAAAAAAAAAAAAAAAmAIAAGRycy9k&#10;b3ducmV2LnhtbFBLBQYAAAAABAAEAPUAAACJAwAAAAA=&#10;" filled="f" stroked="f" strokeweight="2pt">
                              <v:textbox inset="2mm,1mm,2mm,1mm">
                                <w:txbxContent>
                                  <w:p w:rsidR="00584F9A" w:rsidRPr="00DA2AB5" w:rsidRDefault="00584F9A" w:rsidP="00402DB3">
                                    <w:pPr>
                                      <w:pStyle w:val="ChartBoldText"/>
                                    </w:pPr>
                                    <w:r>
                                      <w:t>LE</w:t>
                                    </w:r>
                                  </w:p>
                                </w:txbxContent>
                              </v:textbox>
                            </v:rect>
                            <v:rect id="Rectangle 289" o:spid="_x0000_s1153" style="position:absolute;left:11211;width:3975;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JscA&#10;AADcAAAADwAAAGRycy9kb3ducmV2LnhtbESP3WoCMRSE7wt9h3AE72pWsaJbo5RCi7Qo+MOid4fN&#10;6Wbr5mTZpLr26RtB8HKYmW+Y6by1lThR40vHCvq9BARx7nTJhYLd9v1pDMIHZI2VY1JwIQ/z2ePD&#10;FFPtzrym0yYUIkLYp6jAhFCnUvrckEXfczVx9L5dYzFE2RRSN3iOcFvJQZKMpMWS44LBmt4M5cfN&#10;r1Uw/Pn72F9ys/h02eG4XoVs+fyVKdXttK8vIAK14R6+tRdawWA8geuZeATk7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DvybHAAAA3AAAAA8AAAAAAAAAAAAAAAAAmAIAAGRy&#10;cy9kb3ducmV2LnhtbFBLBQYAAAAABAAEAPUAAACMAwAAAAA=&#10;" filled="f" stroked="f" strokeweight="2pt">
                              <v:textbox inset="2mm,1mm,2mm,1mm">
                                <w:txbxContent>
                                  <w:p w:rsidR="00584F9A" w:rsidRPr="00DA2AB5" w:rsidRDefault="00584F9A" w:rsidP="00402DB3">
                                    <w:pPr>
                                      <w:pStyle w:val="ChartBoldText"/>
                                    </w:pPr>
                                    <w:r>
                                      <w:t>LE</w:t>
                                    </w:r>
                                  </w:p>
                                </w:txbxContent>
                              </v:textbox>
                            </v:rect>
                            <v:rect id="Rectangle 290" o:spid="_x0000_s1154" style="position:absolute;width:4128;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AZsQA&#10;AADcAAAADwAAAGRycy9kb3ducmV2LnhtbERPXWvCMBR9H/gfwhX2NlPFjVmNIoOJbEywStG3S3Nt&#10;qs1NaTKt+/XLw2CPh/M9W3S2FldqfeVYwXCQgCAunK64VLDfvT+9gvABWWPtmBTcycNi3nuYYard&#10;jbd0zUIpYgj7FBWYEJpUSl8YsugHriGO3Mm1FkOEbSl1i7cYbms5SpIXabHi2GCwoTdDxSX7tgrG&#10;55/V4V6Y9YfLj5ftJuRfz5+5Uo/9bjkFEagL/+I/91orGE3i/HgmHg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ggGbEAAAA3AAAAA8AAAAAAAAAAAAAAAAAmAIAAGRycy9k&#10;b3ducmV2LnhtbFBLBQYAAAAABAAEAPUAAACJAwAAAAA=&#10;" filled="f" stroked="f" strokeweight="2pt">
                              <v:textbox inset="2mm,1mm,2mm,1mm">
                                <w:txbxContent>
                                  <w:p w:rsidR="00584F9A" w:rsidRPr="00DA2AB5" w:rsidRDefault="00584F9A" w:rsidP="00402DB3">
                                    <w:pPr>
                                      <w:pStyle w:val="ChartBoldText"/>
                                    </w:pPr>
                                    <w:r>
                                      <w:t>LE</w:t>
                                    </w:r>
                                  </w:p>
                                </w:txbxContent>
                              </v:textbox>
                            </v:rect>
                          </v:group>
                          <v:group id="Group 291" o:spid="_x0000_s1155" style="position:absolute;top:3975;width:15182;height:2223" coordsize="15186,2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rect id="Rectangle 292" o:spid="_x0000_s1156" style="position:absolute;left:5645;width:4128;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67isgA&#10;AADcAAAADwAAAGRycy9kb3ducmV2LnhtbESP3WrCQBSE7wt9h+UUelc3DSo1ukoRFKlY8Iegd4fs&#10;aTY1ezZktxr79N1CoZfDzHzDTGadrcWFWl85VvDcS0AQF05XXCo47BdPLyB8QNZYOyYFN/Iwm97f&#10;TTDT7spbuuxCKSKEfYYKTAhNJqUvDFn0PdcQR+/DtRZDlG0pdYvXCLe1TJNkKC1WHBcMNjQ3VJx3&#10;X1ZB//N7ebwVZvXm8tN5+x7yzWCdK/X40L2OQQTqwn/4r73SCtJRCr9n4hGQ0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ruKyAAAANwAAAAPAAAAAAAAAAAAAAAAAJgCAABk&#10;cnMvZG93bnJldi54bWxQSwUGAAAAAAQABAD1AAAAjQMAAAAA&#10;" filled="f" stroked="f" strokeweight="2pt">
                              <v:textbox inset="2mm,1mm,2mm,1mm">
                                <w:txbxContent>
                                  <w:p w:rsidR="00584F9A" w:rsidRPr="00DA2AB5" w:rsidRDefault="00584F9A" w:rsidP="00402DB3">
                                    <w:pPr>
                                      <w:pStyle w:val="ChartBoldText"/>
                                    </w:pPr>
                                    <w:r>
                                      <w:t>LE</w:t>
                                    </w:r>
                                  </w:p>
                                </w:txbxContent>
                              </v:textbox>
                            </v:rect>
                            <v:rect id="Rectangle 293" o:spid="_x0000_s1157" style="position:absolute;left:11211;width:3975;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eEcgA&#10;AADcAAAADwAAAGRycy9kb3ducmV2LnhtbESP3WoCMRSE7wu+QziF3tVsbSu6GqUUWqRFwR8WvTts&#10;jpvVzcmySXXt0zcFwcthZr5hxtPWVuJEjS8dK3jqJiCIc6dLLhRs1h+PAxA+IGusHJOCC3mYTjp3&#10;Y0y1O/OSTqtQiAhhn6ICE0KdSulzQxZ919XE0du7xmKIsimkbvAc4baSvSTpS4slxwWDNb0byo+r&#10;H6vg5fD7ub3kZvblst1xuQjZ/PU7U+rhvn0bgQjUhlv42p5pBb3hM/yfiUdAT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sh4RyAAAANwAAAAPAAAAAAAAAAAAAAAAAJgCAABk&#10;cnMvZG93bnJldi54bWxQSwUGAAAAAAQABAD1AAAAjQMAAAAA&#10;" filled="f" stroked="f" strokeweight="2pt">
                              <v:textbox inset="2mm,1mm,2mm,1mm">
                                <w:txbxContent>
                                  <w:p w:rsidR="00584F9A" w:rsidRPr="00DA2AB5" w:rsidRDefault="00584F9A" w:rsidP="00402DB3">
                                    <w:pPr>
                                      <w:pStyle w:val="ChartBoldText"/>
                                    </w:pPr>
                                    <w:r>
                                      <w:t>LE</w:t>
                                    </w:r>
                                  </w:p>
                                </w:txbxContent>
                              </v:textbox>
                            </v:rect>
                            <v:rect id="Rectangle 294" o:spid="_x0000_s1158" style="position:absolute;width:4128;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GZccA&#10;AADcAAAADwAAAGRycy9kb3ducmV2LnhtbESP3WoCMRSE7wt9h3AE72pWUalbo5RCi1QU/GHRu8Pm&#10;dLN1c7Jsoq59+qZQ8HKYmW+Y6by1lbhQ40vHCvq9BARx7nTJhYL97v3pGYQPyBorx6TgRh7ms8eH&#10;KabaXXlDl20oRISwT1GBCaFOpfS5IYu+52ri6H25xmKIsimkbvAa4baSgyQZS4slxwWDNb0Zyk/b&#10;s1Uw/P75ONxys/h02fG0WYdsNVpmSnU77esLiEBtuIf/2wutYDAZwt+ZeAT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bhmXHAAAA3AAAAA8AAAAAAAAAAAAAAAAAmAIAAGRy&#10;cy9kb3ducmV2LnhtbFBLBQYAAAAABAAEAPUAAACMAwAAAAA=&#10;" filled="f" stroked="f" strokeweight="2pt">
                              <v:textbox inset="2mm,1mm,2mm,1mm">
                                <w:txbxContent>
                                  <w:p w:rsidR="00584F9A" w:rsidRPr="00DA2AB5" w:rsidRDefault="00584F9A" w:rsidP="00402DB3">
                                    <w:pPr>
                                      <w:pStyle w:val="ChartBoldText"/>
                                    </w:pPr>
                                    <w:r>
                                      <w:t>LE</w:t>
                                    </w:r>
                                  </w:p>
                                </w:txbxContent>
                              </v:textbox>
                            </v:rect>
                          </v:group>
                          <v:group id="Group 295" o:spid="_x0000_s1159" style="position:absolute;left:2226;top:79;width:10884;height:3975" coordsize="10883,3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line id="Straight Connector 296" o:spid="_x0000_s1160" style="position:absolute;flip:x;visibility:visible;mso-wrap-style:square" from="0,0" to="3175,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Gx2MMAAADcAAAADwAAAGRycy9kb3ducmV2LnhtbESPzWoCMRSF94W+Q7iCu5roQurUKCIt&#10;dOFGnYXurpPbyeDkZkgyOn37Rii4PJyfj7NcD64VNwqx8axhOlEgiCtvGq41lMevt3cQMSEbbD2T&#10;hl+KsF69viyxMP7Oe7odUi3yCMcCNdiUukLKWFlyGCe+I87ejw8OU5ahlibgPY+7Vs6UmkuHDWeC&#10;xY62lqrroXeZi9f+cjrLrbTTnfosB1MGtdB6PBo2HyASDekZ/m9/Gw2zxRwe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BsdjDAAAA3AAAAA8AAAAAAAAAAAAA&#10;AAAAoQIAAGRycy9kb3ducmV2LnhtbFBLBQYAAAAABAAEAPkAAACRAwAAAAA=&#10;" strokecolor="#f61d12 [3205]" strokeweight="1pt"/>
                            <v:line id="Straight Connector 297" o:spid="_x0000_s1161" style="position:absolute;visibility:visible;mso-wrap-style:square" from="3180,0" to="5561,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Von8IAAADcAAAADwAAAGRycy9kb3ducmV2LnhtbESPS4vCMBSF9wP+h3AFd2Pqg1GrURxB&#10;0ZXPjbtLc22LzU2niVr/vREGXB7O4+NMZrUpxJ0ql1tW0GlHIIgTq3NOFZyOy+8hCOeRNRaWScGT&#10;HMymja8Jxto+eE/3g09FGGEXo4LM+zKW0iUZGXRtWxIH72Irgz7IKpW6wkcYN4XsRtGPNJhzIGRY&#10;0iKj5Hq4mQBZJ4Pfpdz29qs+G3fWu3zzt1Oq1aznYxCeav8J/7fXWkF3NID3mXAE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Von8IAAADcAAAADwAAAAAAAAAAAAAA&#10;AAChAgAAZHJzL2Rvd25yZXYueG1sUEsFBgAAAAAEAAQA+QAAAJADAAAAAA==&#10;" strokecolor="#f61d12 [3205]" strokeweight="1pt"/>
                            <v:line id="Straight Connector 298" o:spid="_x0000_s1162" style="position:absolute;visibility:visible;mso-wrap-style:square" from="3178,0" to="10883,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r87cIAAADcAAAADwAAAGRycy9kb3ducmV2LnhtbERPTU/CQBC9m/AfNkPCTbaAUSndEiTB&#10;4ElALtwm3bFt7M7W7gLl3zMHE48v7ztb9q5RF+pC7dnAZJyAIi68rbk0cPzaPL6CChHZYuOZDNwo&#10;wDIfPGSYWn/lPV0OsVQSwiFFA1WMbap1KCpyGMa+JRbu23cOo8Cu1LbDq4S7Rk+T5Fk7rFkaKmxp&#10;XVHxczg7KdkWL28b/Tnbvz+xCye7qz9+d8aMhv1qASpSH//Ff+6tNTCdy1o5I0dA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r87cIAAADcAAAADwAAAAAAAAAAAAAA&#10;AAChAgAAZHJzL2Rvd25yZXYueG1sUEsFBgAAAAAEAAQA+QAAAJADAAAAAA==&#10;" strokecolor="#f61d12 [3205]" strokeweight="1pt"/>
                          </v:group>
                          <v:group id="Group 299" o:spid="_x0000_s1163" style="position:absolute;left:20434;width:10884;height:3975" coordsize="10883,3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line id="Straight Connector 300" o:spid="_x0000_s1164" style="position:absolute;flip:x;visibility:visible;mso-wrap-style:square" from="0,0" to="3175,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8WLcEAAADcAAAADwAAAGRycy9kb3ducmV2LnhtbERPTU8CMRC9m/gfmiHxJi2aGFwohBBN&#10;PHgR9qC3cTtsN2ynm7bA+u+dAwnHl/e9XI+hV2dKuYtsYTY1oIib6DpuLdT798c5qFyQHfaRycIf&#10;ZViv7u+WWLl44S8670qrJIRzhRZ8KUOldW48BczTOBALd4gpYBGYWu0SXiQ89PrJmBcdsGNp8DjQ&#10;1lNz3J2C9OLx9Pv9o7fazz7NWz26OplXax8m42YBqtBYbuKr+8NZeDYyX87IEd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zxYtwQAAANwAAAAPAAAAAAAAAAAAAAAA&#10;AKECAABkcnMvZG93bnJldi54bWxQSwUGAAAAAAQABAD5AAAAjwMAAAAA&#10;" strokecolor="#f61d12 [3205]" strokeweight="1pt"/>
                            <v:line id="Straight Connector 301" o:spid="_x0000_s1165" style="position:absolute;visibility:visible;mso-wrap-style:square" from="3180,0" to="5561,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vPasQAAADcAAAADwAAAGRycy9kb3ducmV2LnhtbESPS2vCQBSF94X+h+EWumsmalGJGUUL&#10;Srqqr427S+aaBDN3YmY06b/vFASXh/P4OOmiN7W4U+sqywoGUQyCOLe64kLB8bD+mIJwHlljbZkU&#10;/JKDxfz1JcVE2453dN/7QoQRdgkqKL1vEildXpJBF9mGOHhn2xr0QbaF1C12YdzUchjHY2mw4kAo&#10;saGvkvLL/mYCJMsnq7X8Ge02n2zcSW+r7+tWqfe3fjkD4an3z/CjnWkFo3gA/2fCEZ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O89qxAAAANwAAAAPAAAAAAAAAAAA&#10;AAAAAKECAABkcnMvZG93bnJldi54bWxQSwUGAAAAAAQABAD5AAAAkgMAAAAA&#10;" strokecolor="#f61d12 [3205]" strokeweight="1pt"/>
                            <v:line id="Straight Connector 302" o:spid="_x0000_s1166" style="position:absolute;visibility:visible;mso-wrap-style:square" from="3178,0" to="10883,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HcQAAADcAAAADwAAAGRycy9kb3ducmV2LnhtbESPzWrCQBSF90LfYbgFdzqpFpXoKFVQ&#10;7KomunF3ydwmoZk7cWbU9O07BcHl4fx8nMWqM424kfO1ZQVvwwQEcWF1zaWC03E7mIHwAVljY5kU&#10;/JKH1fKlt8BU2ztndMtDKeII+xQVVCG0qZS+qMigH9qWOHrf1hkMUbpSaof3OG4aOUqSiTRYcyRU&#10;2NKmouInv5oI2RfT9VZ+jbPdOxt/1of683JQqv/afcxBBOrCM/xo77WCcTKC/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VEdxAAAANwAAAAPAAAAAAAAAAAA&#10;AAAAAKECAABkcnMvZG93bnJldi54bWxQSwUGAAAAAAQABAD5AAAAkgMAAAAA&#10;" strokecolor="#f61d12 [3205]" strokeweight="1pt"/>
                          </v:group>
                        </v:group>
                        <v:group id="Group 303" o:spid="_x0000_s1167" style="position:absolute;left:4055;top:8587;width:32753;height:7309" coordsize="32754,7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group id="Group 304" o:spid="_x0000_s1168" style="position:absolute;left:2862;width:8494;height:6202" coordsize="8494,6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line id="Straight Connector 305" o:spid="_x0000_s1169" style="position:absolute;flip:x;visibility:visible;mso-wrap-style:square" from="0,0" to="4362,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XCMIAAADcAAAADwAAAGRycy9kb3ducmV2LnhtbESPQWvCQBSE70L/w/IK3nRTJRJSVynF&#10;Qm+i1vsj+5oNzb5Nd9ck/ntXEDwOM/MNs96OthU9+dA4VvA2z0AQV043XCv4OX3NChAhImtsHZOC&#10;KwXYbl4mayy1G/hA/THWIkE4lKjAxNiVUobKkMUwdx1x8n6dtxiT9LXUHocEt61cZNlKWmw4LRjs&#10;6NNQ9Xe8WAUh98V/jsvxnC+qveGhP++6Xqnp6/jxDiLSGJ/hR/tbK1hmOdzPpCMgN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XCMIAAADcAAAADwAAAAAAAAAAAAAA&#10;AAChAgAAZHJzL2Rvd25yZXYueG1sUEsFBgAAAAAEAAQA+QAAAJADAAAAAA==&#10;" strokecolor="#9ac2c4 [3209]" strokeweight="1pt"/>
                            <v:line id="Straight Connector 306" o:spid="_x0000_s1170" style="position:absolute;visibility:visible;mso-wrap-style:square" from="4373,0" to="8494,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sp0cUAAADcAAAADwAAAGRycy9kb3ducmV2LnhtbESPT2sCMRTE7wW/Q3hCbzXZWkRWo6hF&#10;6KGU+gfx+Ng8N6ubl2WTuttv3xQKPQ4z8xtmvuxdLe7UhsqzhmykQBAX3lRcajgetk9TECEiG6w9&#10;k4ZvCrBcDB7mmBvf8Y7u+1iKBOGQowYbY5NLGQpLDsPIN8TJu/jWYUyyLaVpsUtwV8tnpSbSYcVp&#10;wWJDG0vFbf/lNJzV69lUuD7hrcveX662yz7ip9aPw341AxGpj//hv/ab0TBWE/g9k46AX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sp0cUAAADcAAAADwAAAAAAAAAA&#10;AAAAAAChAgAAZHJzL2Rvd25yZXYueG1sUEsFBgAAAAAEAAQA+QAAAJMDAAAAAA==&#10;" strokecolor="#9ac2c4 [3209]" strokeweight="1pt"/>
                            <v:line id="Straight Connector 307" o:spid="_x0000_s1171" style="position:absolute;flip:x;visibility:visible;mso-wrap-style:square" from="0,6202" to="8489,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s5MIAAADcAAAADwAAAGRycy9kb3ducmV2LnhtbESPT2sCMRTE7wW/Q3hCbzWrslVWo0hR&#10;8Fbqn/tj89wsbl7WJN3dfntTKPQ4zMxvmPV2sI3oyIfasYLpJANBXDpdc6Xgcj68LUGEiKyxcUwK&#10;fijAdjN6WWOhXc9f1J1iJRKEQ4EKTIxtIWUoDVkME9cSJ+/mvMWYpK+k9tgnuG3kLMvepcWa04LB&#10;lj4MlffTt1UQcr985Dgfrvms/DTcd9d92yn1Oh52KxCRhvgf/msftYJ5toDfM+kIyM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s5MIAAADcAAAADwAAAAAAAAAAAAAA&#10;AAChAgAAZHJzL2Rvd25yZXYueG1sUEsFBgAAAAAEAAQA+QAAAJADAAAAAA==&#10;" strokecolor="#9ac2c4 [3209]" strokeweight="1pt"/>
                          </v:group>
                          <v:rect id="Rectangle 308" o:spid="_x0000_s1172" style="position:absolute;left:8348;top:5088;width:6515;height:2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o7MMA&#10;AADcAAAADwAAAGRycy9kb3ducmV2LnhtbERPy2rCQBTdC/2H4Ra6M5OmUjQ6hra0YLtQjA9cXjLX&#10;JDRzJ2Smmvx9ZyG4PJz3IutNIy7UudqygucoBkFcWF1zqWC/+xpPQTiPrLGxTAoGcpAtH0YLTLW9&#10;8pYuuS9FCGGXooLK+zaV0hUVGXSRbYkDd7adQR9gV0rd4TWEm0YmcfwqDdYcGips6aOi4jf/MwqO&#10;Q3H63s8mQzLQGg+fenP8eZdKPT32b3MQnnp/F9/cK63gJQ5rw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Qo7MMAAADcAAAADwAAAAAAAAAAAAAAAACYAgAAZHJzL2Rv&#10;d25yZXYueG1sUEsFBgAAAAAEAAQA9QAAAIgDAAAAAA==&#10;" fillcolor="#9ac2c4 [3209]" stroked="f" strokeweight="2pt">
                            <v:textbox inset="2mm,1mm,2mm,1mm">
                              <w:txbxContent>
                                <w:p w:rsidR="00584F9A" w:rsidRPr="00101F47" w:rsidRDefault="00584F9A" w:rsidP="00402DB3">
                                  <w:pPr>
                                    <w:pStyle w:val="ChartBoldText"/>
                                    <w:rPr>
                                      <w:color w:val="000000" w:themeColor="text1"/>
                                    </w:rPr>
                                  </w:pPr>
                                  <w:proofErr w:type="spellStart"/>
                                  <w:r w:rsidRPr="00101F47">
                                    <w:rPr>
                                      <w:color w:val="000000" w:themeColor="text1"/>
                                    </w:rPr>
                                    <w:t>P</w:t>
                                  </w:r>
                                  <w:r>
                                    <w:rPr>
                                      <w:color w:val="000000" w:themeColor="text1"/>
                                    </w:rPr>
                                    <w:t>o</w:t>
                                  </w:r>
                                  <w:r w:rsidRPr="00101F47">
                                    <w:rPr>
                                      <w:color w:val="000000" w:themeColor="text1"/>
                                    </w:rPr>
                                    <w:t>C</w:t>
                                  </w:r>
                                  <w:proofErr w:type="spellEnd"/>
                                </w:p>
                              </w:txbxContent>
                            </v:textbox>
                          </v:rect>
                          <v:group id="Group 309" o:spid="_x0000_s1173" style="position:absolute;left:21150;width:8494;height:6202" coordsize="8494,6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line id="Straight Connector 310" o:spid="_x0000_s1174" style="position:absolute;flip:x;visibility:visible;mso-wrap-style:square" from="0,0" to="4362,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riTcAAAADcAAAADwAAAGRycy9kb3ducmV2LnhtbERPyWrDMBC9F/oPYgK9NfKCS3CjhFBa&#10;6K3Ebe6DNbFMrJErqbbz99GhkOPj7dv9YgcxkQ+9YwX5OgNB3Drdc6fg5/vjeQMiRGSNg2NScKUA&#10;+93jwxZr7WY+0tTETqQQDjUqMDGOtZShNWQxrN1InLiz8xZjgr6T2uOcwu0giyx7kRZ7Tg0GR3oz&#10;1F6aP6sgVH7zW2G5nKqi/TI8T6f3cVLqabUcXkFEWuJd/O/+1ArKPM1PZ9IRkLs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3a4k3AAAAA3AAAAA8AAAAAAAAAAAAAAAAA&#10;oQIAAGRycy9kb3ducmV2LnhtbFBLBQYAAAAABAAEAPkAAACOAwAAAAA=&#10;" strokecolor="#9ac2c4 [3209]" strokeweight="1pt"/>
                            <v:line id="Straight Connector 311" o:spid="_x0000_s1175" style="position:absolute;visibility:visible;mso-wrap-style:square" from="4373,0" to="8494,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neMQAAADcAAAADwAAAGRycy9kb3ducmV2LnhtbESPQWsCMRSE7wX/Q3iCt5pNlVK2RtGK&#10;4EGkVSkeH5vXzdbNy7KJ7vbfN0Khx2FmvmFmi97V4kZtqDxrUOMMBHHhTcWlhtNx8/gCIkRkg7Vn&#10;0vBDARbzwcMMc+M7/qDbIZYiQTjkqMHG2ORShsKSwzD2DXHyvnzrMCbZltK02CW4q+VTlj1LhxWn&#10;BYsNvVkqLoer03DO1mdT4eoTL53aTb9tp/bxXevRsF++gojUx//wX3trNEyUgvuZdAT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yd4xAAAANwAAAAPAAAAAAAAAAAA&#10;AAAAAKECAABkcnMvZG93bnJldi54bWxQSwUGAAAAAAQABAD5AAAAkgMAAAAA&#10;" strokecolor="#9ac2c4 [3209]" strokeweight="1pt"/>
                            <v:line id="Straight Connector 312" o:spid="_x0000_s1176" style="position:absolute;flip:x;visibility:visible;mso-wrap-style:square" from="0,6202" to="8489,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TZocIAAADcAAAADwAAAGRycy9kb3ducmV2LnhtbESPQWvCQBSE74X+h+UVvNWNkRSJrlJE&#10;wZvU6v2RfWZDs2/j7prEf+8WCj0OM/MNs9qMthU9+dA4VjCbZiCIK6cbrhWcv/fvCxAhImtsHZOC&#10;BwXYrF9fVlhqN/AX9adYiwThUKICE2NXShkqQxbD1HXEybs6bzEm6WupPQ4JbluZZ9mHtNhwWjDY&#10;0dZQ9XO6WwWh8ItbgfPxUuTV0fDQX3Zdr9Tkbfxcgog0xv/wX/ugFcxnOfyeSUd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TZocIAAADcAAAADwAAAAAAAAAAAAAA&#10;AAChAgAAZHJzL2Rvd25yZXYueG1sUEsFBgAAAAAEAAQA+QAAAJADAAAAAA==&#10;" strokecolor="#9ac2c4 [3209]" strokeweight="1pt"/>
                          </v:group>
                          <v:rect id="Rectangle 313" o:spid="_x0000_s1177" style="position:absolute;left:26239;top:5009;width:6515;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sQMUA&#10;AADcAAAADwAAAGRycy9kb3ducmV2LnhtbESPT2vCQBTE7wW/w/IEb7rxD8VGV2lFQT0otVY8PrLP&#10;JJh9G7KrJt/eLQg9DjPzG2Y6r00h7lS53LKCfi8CQZxYnXOq4Piz6o5BOI+ssbBMChpyMJ+13qYY&#10;a/vgb7offCoChF2MCjLvy1hKl2Rk0PVsSRy8i60M+iCrVOoKHwFuCjmIondpMOewkGFJi4yS6+Fm&#10;FJya5Lw5foyaQUM7/F3q/Wn7JZXqtOvPCQhPtf8Pv9prrWDYH8LfmX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SxAxQAAANwAAAAPAAAAAAAAAAAAAAAAAJgCAABkcnMv&#10;ZG93bnJldi54bWxQSwUGAAAAAAQABAD1AAAAigMAAAAA&#10;" fillcolor="#9ac2c4 [3209]" stroked="f" strokeweight="2pt">
                            <v:textbox inset="2mm,1mm,2mm,1mm">
                              <w:txbxContent>
                                <w:p w:rsidR="00584F9A" w:rsidRPr="00101F47" w:rsidRDefault="00584F9A" w:rsidP="00402DB3">
                                  <w:pPr>
                                    <w:pStyle w:val="ChartBoldText"/>
                                    <w:rPr>
                                      <w:color w:val="000000" w:themeColor="text1"/>
                                    </w:rPr>
                                  </w:pPr>
                                  <w:proofErr w:type="spellStart"/>
                                  <w:r w:rsidRPr="00101F47">
                                    <w:rPr>
                                      <w:color w:val="000000" w:themeColor="text1"/>
                                    </w:rPr>
                                    <w:t>P</w:t>
                                  </w:r>
                                  <w:r>
                                    <w:rPr>
                                      <w:color w:val="000000" w:themeColor="text1"/>
                                    </w:rPr>
                                    <w:t>o</w:t>
                                  </w:r>
                                  <w:r w:rsidRPr="00101F47">
                                    <w:rPr>
                                      <w:color w:val="000000" w:themeColor="text1"/>
                                    </w:rPr>
                                    <w:t>C</w:t>
                                  </w:r>
                                  <w:proofErr w:type="spellEnd"/>
                                </w:p>
                              </w:txbxContent>
                            </v:textbox>
                          </v:rect>
                          <v:rect id="Rectangle 314" o:spid="_x0000_s1178" style="position:absolute;top:5088;width:6515;height:2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C0NMYA&#10;AADcAAAADwAAAGRycy9kb3ducmV2LnhtbESPQWvCQBSE74L/YXmF3pqNVsSmWaUVBe1BqbWhx0f2&#10;NQlm34bsqsm/7woFj8PMfMOki87U4kKtqywrGEUxCOLc6ooLBcev9dMMhPPIGmvLpKAnB4v5cJBi&#10;ou2VP+ly8IUIEHYJKii9bxIpXV6SQRfZhjh4v7Y16INsC6lbvAa4qeU4jqfSYMVhocSGliXlp8PZ&#10;KMj6/Gd7fJn04552+L3S++zjXSr1+NC9vYLw1Pl7+L+90QqeRxO4nQ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C0NMYAAADcAAAADwAAAAAAAAAAAAAAAACYAgAAZHJz&#10;L2Rvd25yZXYueG1sUEsFBgAAAAAEAAQA9QAAAIsDAAAAAA==&#10;" fillcolor="#9ac2c4 [3209]" stroked="f" strokeweight="2pt">
                            <v:textbox inset="2mm,1mm,2mm,1mm">
                              <w:txbxContent>
                                <w:p w:rsidR="00584F9A" w:rsidRPr="00101F47" w:rsidRDefault="00584F9A" w:rsidP="00402DB3">
                                  <w:pPr>
                                    <w:pStyle w:val="ChartBoldText"/>
                                    <w:rPr>
                                      <w:color w:val="000000" w:themeColor="text1"/>
                                    </w:rPr>
                                  </w:pPr>
                                  <w:proofErr w:type="spellStart"/>
                                  <w:r w:rsidRPr="00101F47">
                                    <w:rPr>
                                      <w:color w:val="000000" w:themeColor="text1"/>
                                    </w:rPr>
                                    <w:t>P</w:t>
                                  </w:r>
                                  <w:r>
                                    <w:rPr>
                                      <w:color w:val="000000" w:themeColor="text1"/>
                                    </w:rPr>
                                    <w:t>o</w:t>
                                  </w:r>
                                  <w:r w:rsidRPr="00101F47">
                                    <w:rPr>
                                      <w:color w:val="000000" w:themeColor="text1"/>
                                    </w:rPr>
                                    <w:t>C</w:t>
                                  </w:r>
                                  <w:proofErr w:type="spellEnd"/>
                                </w:p>
                              </w:txbxContent>
                            </v:textbox>
                          </v:rect>
                          <v:rect id="Rectangle 315" o:spid="_x0000_s1179" style="position:absolute;left:18208;top:5009;width:6515;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Rr8cA&#10;AADcAAAADwAAAGRycy9kb3ducmV2LnhtbESPT2vCQBTE7wW/w/IEb3UT/5Q2dQ2tKKiHllorPT6y&#10;zySYfRuyqybf3hUKPQ4z8xtmlramEhdqXGlZQTyMQBBnVpecK9h/rx6fQTiPrLGyTAo6cpDOew8z&#10;TLS98hdddj4XAcIuQQWF93UipcsKMuiGtiYO3tE2Bn2QTS51g9cAN5UcRdGTNFhyWCiwpkVB2Wl3&#10;NgoOXfa72b9MulFHH/iz1J+H7btUatBv315BeGr9f/ivvdYKxvEU7mfC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Ea/HAAAA3AAAAA8AAAAAAAAAAAAAAAAAmAIAAGRy&#10;cy9kb3ducmV2LnhtbFBLBQYAAAAABAAEAPUAAACMAwAAAAA=&#10;" fillcolor="#9ac2c4 [3209]" stroked="f" strokeweight="2pt">
                            <v:textbox inset="2mm,1mm,2mm,1mm">
                              <w:txbxContent>
                                <w:p w:rsidR="00584F9A" w:rsidRPr="00101F47" w:rsidRDefault="00584F9A" w:rsidP="00402DB3">
                                  <w:pPr>
                                    <w:pStyle w:val="ChartBoldText"/>
                                    <w:rPr>
                                      <w:color w:val="000000" w:themeColor="text1"/>
                                    </w:rPr>
                                  </w:pPr>
                                  <w:proofErr w:type="spellStart"/>
                                  <w:r w:rsidRPr="00101F47">
                                    <w:rPr>
                                      <w:color w:val="000000" w:themeColor="text1"/>
                                    </w:rPr>
                                    <w:t>P</w:t>
                                  </w:r>
                                  <w:r>
                                    <w:rPr>
                                      <w:color w:val="000000" w:themeColor="text1"/>
                                    </w:rPr>
                                    <w:t>o</w:t>
                                  </w:r>
                                  <w:r w:rsidRPr="00101F47">
                                    <w:rPr>
                                      <w:color w:val="000000" w:themeColor="text1"/>
                                    </w:rPr>
                                    <w:t>C</w:t>
                                  </w:r>
                                  <w:proofErr w:type="spellEnd"/>
                                </w:p>
                              </w:txbxContent>
                            </v:textbox>
                          </v:rect>
                        </v:group>
                      </v:group>
                      <v:rect id="Rectangle 318" o:spid="_x0000_s1180" style="position:absolute;top:13278;width:9690;height:4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Ap8QA&#10;AADcAAAADwAAAGRycy9kb3ducmV2LnhtbERPXWvCMBR9F/wP4Qp701TdZFSjjIEiGwq6Uebbpbk2&#10;1eamNJlWf/3yMPDxcL5ni9ZW4kKNLx0rGA4SEMS50yUXCr6/lv1XED4ga6wck4IbeVjMu50Zptpd&#10;eUeXfShEDGGfogITQp1K6XNDFv3A1cSRO7rGYoiwKaRu8BrDbSVHSTKRFkuODQZrejeUn/e/VsHz&#10;6b76ueVm/eGyw3m3Ddnm5TNT6qnXvk1BBGrDQ/zvXmsF42FcG8/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kgKfEAAAA3AAAAA8AAAAAAAAAAAAAAAAAmAIAAGRycy9k&#10;b3ducmV2LnhtbFBLBQYAAAAABAAEAPUAAACJAwAAAAA=&#10;" filled="f" stroked="f" strokeweight="2pt">
                        <v:textbox inset="2mm,1mm,2mm,1mm">
                          <w:txbxContent>
                            <w:p w:rsidR="00584F9A" w:rsidRPr="008E76A9" w:rsidRDefault="00584F9A" w:rsidP="00402DB3">
                              <w:pPr>
                                <w:pStyle w:val="ChartBoldText"/>
                                <w:jc w:val="left"/>
                                <w:rPr>
                                  <w:rFonts w:ascii="Franklin Gothic Book" w:hAnsi="Franklin Gothic Book"/>
                                  <w:color w:val="000000" w:themeColor="text1"/>
                                </w:rPr>
                              </w:pPr>
                              <w:proofErr w:type="spellStart"/>
                              <w:r>
                                <w:rPr>
                                  <w:rFonts w:ascii="Franklin Gothic Book" w:hAnsi="Franklin Gothic Book"/>
                                  <w:color w:val="000000" w:themeColor="text1"/>
                                </w:rPr>
                                <w:t>PoC</w:t>
                              </w:r>
                              <w:proofErr w:type="spellEnd"/>
                              <w:r>
                                <w:rPr>
                                  <w:rFonts w:ascii="Franklin Gothic Book" w:hAnsi="Franklin Gothic Book"/>
                                  <w:color w:val="000000" w:themeColor="text1"/>
                                </w:rPr>
                                <w:t xml:space="preserve"> parented </w:t>
                              </w:r>
                              <w:proofErr w:type="gramStart"/>
                              <w:r>
                                <w:rPr>
                                  <w:rFonts w:ascii="Franklin Gothic Book" w:hAnsi="Franklin Gothic Book"/>
                                  <w:color w:val="000000" w:themeColor="text1"/>
                                </w:rPr>
                                <w:t>by a LAS</w:t>
                              </w:r>
                              <w:proofErr w:type="gramEnd"/>
                              <w:r>
                                <w:rPr>
                                  <w:rFonts w:ascii="Franklin Gothic Book" w:hAnsi="Franklin Gothic Book"/>
                                  <w:color w:val="000000" w:themeColor="text1"/>
                                </w:rPr>
                                <w:t xml:space="preserve"> on a ring</w:t>
                              </w:r>
                            </w:p>
                          </w:txbxContent>
                        </v:textbox>
                      </v:rect>
                      <v:rect id="Rectangle 319" o:spid="_x0000_s1181" style="position:absolute;top:18606;width:7791;height:4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glPMcA&#10;AADcAAAADwAAAGRycy9kb3ducmV2LnhtbESPQWsCMRSE74X+h/AKvdWs2opdjSKCRVoU1LLo7bF5&#10;blY3L8sm1bW/vikUehxm5htmPG1tJS7U+NKxgm4nAUGcO11yoeBzt3gagvABWWPlmBTcyMN0cn83&#10;xlS7K2/osg2FiBD2KSowIdSplD43ZNF3XE0cvaNrLIYom0LqBq8RbivZS5KBtFhyXDBY09xQft5+&#10;WQXPp++3/S03y3eXHc6bdchWLx+ZUo8P7WwEIlAb/sN/7aVW0O++wu+ZeATk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oJTzHAAAA3AAAAA8AAAAAAAAAAAAAAAAAmAIAAGRy&#10;cy9kb3ducmV2LnhtbFBLBQYAAAAABAAEAPUAAACMAwAAAAA=&#10;" filled="f" stroked="f" strokeweight="2pt">
                        <v:textbox inset="2mm,1mm,2mm,1mm">
                          <w:txbxContent>
                            <w:p w:rsidR="00584F9A" w:rsidRPr="008E76A9" w:rsidRDefault="00584F9A" w:rsidP="00402DB3">
                              <w:pPr>
                                <w:pStyle w:val="ChartBoldText"/>
                                <w:jc w:val="left"/>
                                <w:rPr>
                                  <w:rFonts w:ascii="Franklin Gothic Book" w:hAnsi="Franklin Gothic Book"/>
                                  <w:color w:val="000000" w:themeColor="text1"/>
                                </w:rPr>
                              </w:pPr>
                              <w:proofErr w:type="gramStart"/>
                              <w:r>
                                <w:rPr>
                                  <w:rFonts w:ascii="Franklin Gothic Book" w:hAnsi="Franklin Gothic Book"/>
                                  <w:color w:val="000000" w:themeColor="text1"/>
                                </w:rPr>
                                <w:t xml:space="preserve">Each LE is parented by a </w:t>
                              </w:r>
                              <w:proofErr w:type="spellStart"/>
                              <w:r>
                                <w:rPr>
                                  <w:rFonts w:ascii="Franklin Gothic Book" w:hAnsi="Franklin Gothic Book"/>
                                  <w:color w:val="000000" w:themeColor="text1"/>
                                </w:rPr>
                                <w:t>PoC</w:t>
                              </w:r>
                              <w:proofErr w:type="spellEnd"/>
                              <w:proofErr w:type="gramEnd"/>
                            </w:p>
                          </w:txbxContent>
                        </v:textbox>
                      </v:rect>
                      <v:rect id="Rectangle 321" o:spid="_x0000_s1182" style="position:absolute;left:42539;top:9462;width:6509;height:3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OI8YA&#10;AADcAAAADwAAAGRycy9kb3ducmV2LnhtbESPQWsCMRCF7wX/QxjBW82qpdrVKFYptL2ItvQ8bMbN&#10;4mayTbK69debQqHHx5v3vXmLVWdrcSYfKscKRsMMBHHhdMWlgs+Pl/sZiBCRNdaOScEPBVgte3cL&#10;zLW78J7Oh1iKBOGQowITY5NLGQpDFsPQNcTJOzpvMSbpS6k9XhLc1nKcZY/SYsWpwWBDG0PF6dDa&#10;9Mb32/OsNdupf3ooN+30fWu+dlelBv1uPQcRqYv/x3/pV61gMh7B75hEAL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5gOI8YAAADcAAAADwAAAAAAAAAAAAAAAACYAgAAZHJz&#10;L2Rvd25yZXYueG1sUEsFBgAAAAAEAAQA9QAAAIsDAAAAAA==&#10;" filled="f" strokecolor="#c6bfab [3206]" strokeweight="2pt">
                        <v:textbox inset="2mm,1mm,2mm,1mm">
                          <w:txbxContent>
                            <w:p w:rsidR="00584F9A" w:rsidRPr="008E76A9" w:rsidRDefault="00584F9A" w:rsidP="00402DB3">
                              <w:pPr>
                                <w:pStyle w:val="ChartBoldText"/>
                                <w:spacing w:after="0"/>
                                <w:rPr>
                                  <w:rFonts w:ascii="Franklin Gothic Book" w:hAnsi="Franklin Gothic Book"/>
                                  <w:color w:val="9B917E" w:themeColor="accent4"/>
                                  <w:sz w:val="20"/>
                                  <w:szCs w:val="20"/>
                                </w:rPr>
                              </w:pPr>
                              <w:proofErr w:type="gramStart"/>
                              <w:r w:rsidRPr="008E76A9">
                                <w:rPr>
                                  <w:rFonts w:ascii="Franklin Gothic Book" w:hAnsi="Franklin Gothic Book"/>
                                  <w:color w:val="9B917E" w:themeColor="accent4"/>
                                  <w:sz w:val="20"/>
                                  <w:szCs w:val="20"/>
                                </w:rPr>
                                <w:t>133</w:t>
                              </w:r>
                              <w:proofErr w:type="gramEnd"/>
                              <w:r w:rsidRPr="008E76A9">
                                <w:rPr>
                                  <w:rFonts w:ascii="Franklin Gothic Book" w:hAnsi="Franklin Gothic Book"/>
                                  <w:color w:val="9B917E" w:themeColor="accent4"/>
                                  <w:sz w:val="20"/>
                                  <w:szCs w:val="20"/>
                                </w:rPr>
                                <w:t xml:space="preserve"> LAS</w:t>
                              </w:r>
                            </w:p>
                          </w:txbxContent>
                        </v:textbox>
                      </v:rect>
                      <v:rect id="Rectangle 322" o:spid="_x0000_s1183" style="position:absolute;left:42539;top:19957;width:6509;height:3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d0OcMA&#10;AADcAAAADwAAAGRycy9kb3ducmV2LnhtbESPwWrDMBBE74X+g9hCb41cB0riRgklUAg9BOqEnBdr&#10;a4tYKyNtHffvq0Agx2Fm3jCrzeR7NVJMLrCB11kBirgJ1nFr4Hj4fFmASoJssQ9MBv4owWb9+LDC&#10;yoYLf9NYS6syhFOFBjqRodI6NR15TLMwEGfvJ0SPkmVstY14yXDf67Io3rRHx3mhw4G2HTXn+tcb&#10;2Ma5TCccl8v4Zc9O9vWujc6Y56fp4x2U0CT38K29swbmZQnXM/kI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d0OcMAAADcAAAADwAAAAAAAAAAAAAAAACYAgAAZHJzL2Rv&#10;d25yZXYueG1sUEsFBgAAAAAEAAQA9QAAAIgDAAAAAA==&#10;" filled="f" strokecolor="#f61d12 [3205]" strokeweight="2pt">
                        <v:textbox inset="2mm,1mm,2mm,1mm">
                          <w:txbxContent>
                            <w:p w:rsidR="00584F9A" w:rsidRPr="008E76A9" w:rsidRDefault="00584F9A" w:rsidP="00402DB3">
                              <w:pPr>
                                <w:pStyle w:val="ChartBoldText"/>
                                <w:spacing w:after="0"/>
                                <w:rPr>
                                  <w:rFonts w:ascii="Franklin Gothic Book" w:hAnsi="Franklin Gothic Book"/>
                                  <w:color w:val="F61D12" w:themeColor="accent2"/>
                                  <w:sz w:val="20"/>
                                  <w:szCs w:val="20"/>
                                </w:rPr>
                              </w:pPr>
                              <w:r w:rsidRPr="008E76A9">
                                <w:rPr>
                                  <w:rFonts w:ascii="Franklin Gothic Book" w:hAnsi="Franklin Gothic Book"/>
                                  <w:color w:val="F61D12" w:themeColor="accent2"/>
                                  <w:sz w:val="20"/>
                                  <w:szCs w:val="20"/>
                                </w:rPr>
                                <w:t>5070 LE</w:t>
                              </w:r>
                            </w:p>
                          </w:txbxContent>
                        </v:textbox>
                      </v:rect>
                      <v:shape id="Right Brace 323" o:spid="_x0000_s1184" type="#_x0000_t88" style="position:absolute;left:40790;top:17413;width:1437;height:8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JsQsQA&#10;AADcAAAADwAAAGRycy9kb3ducmV2LnhtbESPzYvCMBTE74L/Q3jC3jRVQaVrFD9WUDz5cdnbo3nb&#10;lG1eSpPa+t+bhQWPw8z8hlmuO1uKB9W+cKxgPEpAEGdOF5wruN8OwwUIH5A1lo5JwZM8rFf93hJT&#10;7Vq+0OMachEh7FNUYEKoUil9ZsiiH7mKOHo/rrYYoqxzqWtsI9yWcpIkM2mx4LhgsKKdoez32lgF&#10;zalqv7/Mtsn3+tkler4/n083pT4G3eYTRKAuvMP/7aNWMJ1M4e9MP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ybELEAAAA3AAAAA8AAAAAAAAAAAAAAAAAmAIAAGRycy9k&#10;b3ducmV2LnhtbFBLBQYAAAAABAAEAPUAAACJAwAAAAA=&#10;" adj="316" strokecolor="#f61d12 [3205]"/>
                      <w10:anchorlock/>
                    </v:group>
                  </w:pict>
                </mc:Fallback>
              </mc:AlternateContent>
            </w:r>
          </w:p>
        </w:tc>
      </w:tr>
    </w:tbl>
    <w:p w:rsidR="00A906FD" w:rsidRDefault="00A906FD" w:rsidP="004660B8">
      <w:pPr>
        <w:pStyle w:val="Source"/>
      </w:pPr>
      <w:proofErr w:type="gramStart"/>
      <w:r>
        <w:rPr>
          <w:i/>
        </w:rPr>
        <w:t>Data source</w:t>
      </w:r>
      <w:r w:rsidRPr="00A67576">
        <w:rPr>
          <w:i/>
        </w:rPr>
        <w:t>:</w:t>
      </w:r>
      <w:r>
        <w:t xml:space="preserve"> </w:t>
      </w:r>
      <w:proofErr w:type="spellStart"/>
      <w:r>
        <w:t>Analysys</w:t>
      </w:r>
      <w:proofErr w:type="spellEnd"/>
      <w:r>
        <w:t xml:space="preserve"> Mason 2014.</w:t>
      </w:r>
      <w:proofErr w:type="gramEnd"/>
    </w:p>
    <w:p w:rsidR="00F40817" w:rsidRPr="00F40817" w:rsidRDefault="00F40817" w:rsidP="00F40817">
      <w:pPr>
        <w:pStyle w:val="BodyText"/>
      </w:pPr>
      <w:r w:rsidRPr="00F40817">
        <w:t xml:space="preserve">We have modified the Core module so that it only considers the assets for one (selected) ULLS Band. Each LE </w:t>
      </w:r>
      <w:proofErr w:type="gramStart"/>
      <w:r w:rsidRPr="00F40817">
        <w:t>is known to be assigned</w:t>
      </w:r>
      <w:proofErr w:type="gramEnd"/>
      <w:r w:rsidRPr="00F40817">
        <w:t xml:space="preserve"> to one ULLS Band and its assets are assigned to that Band. The Core module continues to calculate the assets required at all nodes, but only those for the selected Band </w:t>
      </w:r>
      <w:proofErr w:type="gramStart"/>
      <w:r w:rsidRPr="00F40817">
        <w:t>are sent</w:t>
      </w:r>
      <w:proofErr w:type="gramEnd"/>
      <w:r w:rsidRPr="00F40817">
        <w:t xml:space="preserve"> to the Cost module. The </w:t>
      </w:r>
      <w:proofErr w:type="gramStart"/>
      <w:r w:rsidRPr="00F40817">
        <w:t>demand used in the Cost module is also scaled by the proportion of lines that are in that Band, allowing the Cost module to generate a meaningful unit cost by modelling appropriate economies of scale and scope for the Band in question</w:t>
      </w:r>
      <w:proofErr w:type="gramEnd"/>
      <w:r w:rsidRPr="00F40817">
        <w:t xml:space="preserve">. Assets upstream of the LE-facing ports at the </w:t>
      </w:r>
      <w:proofErr w:type="spellStart"/>
      <w:r w:rsidRPr="00F40817">
        <w:t>PoC</w:t>
      </w:r>
      <w:proofErr w:type="spellEnd"/>
      <w:r w:rsidRPr="00F40817">
        <w:t xml:space="preserve"> are not included. Business overheads are also not included i.e. the unit costs generated include only some network costs. No trench sharing </w:t>
      </w:r>
      <w:proofErr w:type="gramStart"/>
      <w:r w:rsidRPr="00F40817">
        <w:t>has been assumed</w:t>
      </w:r>
      <w:proofErr w:type="gramEnd"/>
      <w:r w:rsidRPr="00F40817">
        <w:t xml:space="preserve"> between the core and access networks for our calculations (the ACM published by the ACCC did assume some trench sharing, but this has been de-activated).</w:t>
      </w:r>
    </w:p>
    <w:p w:rsidR="00F40817" w:rsidRPr="00F40817" w:rsidRDefault="00402DB3" w:rsidP="00F40817">
      <w:pPr>
        <w:pStyle w:val="BodyText"/>
      </w:pPr>
      <w:r>
        <w:t>Table </w:t>
      </w:r>
      <w:fldSimple w:instr=" REF _Caption5266 ">
        <w:r w:rsidR="00304215">
          <w:rPr>
            <w:noProof/>
          </w:rPr>
          <w:t>B</w:t>
        </w:r>
        <w:r w:rsidR="00304215" w:rsidRPr="00695C93">
          <w:rPr>
            <w:noProof/>
          </w:rPr>
          <w:t>.</w:t>
        </w:r>
        <w:r w:rsidR="00304215">
          <w:rPr>
            <w:noProof/>
          </w:rPr>
          <w:t>6</w:t>
        </w:r>
      </w:fldSimple>
      <w:r w:rsidR="00F40817" w:rsidRPr="00F40817">
        <w:t xml:space="preserve"> below illustrates the resulting ‘partial incremental costs’ per service unit by ULLS Band, for both the services modelled, when considering only the subset of assets described above. The table also provides the blended average of these incremental costs across all bands, which </w:t>
      </w:r>
      <w:proofErr w:type="gramStart"/>
      <w:r w:rsidR="00F40817" w:rsidRPr="00F40817">
        <w:t>can be considered</w:t>
      </w:r>
      <w:proofErr w:type="gramEnd"/>
      <w:r w:rsidR="00F40817" w:rsidRPr="00F40817">
        <w:t xml:space="preserve"> a meaningful national average. Finally, also included in the far-right column is the national unit cost of the service including all assets (the long-run average incremental cost including with a mark-up for common costs, or LRAIC+), which is produced by the ACM by considering the end-to-end provision of the service.</w:t>
      </w:r>
    </w:p>
    <w:p w:rsidR="00A906FD" w:rsidRDefault="00A906FD" w:rsidP="00A906FD">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304215">
          <w:rPr>
            <w:noProof/>
          </w:rPr>
          <w:instrText>B</w:instrText>
        </w:r>
      </w:fldSimple>
      <w:r w:rsidRPr="00695C93">
        <w:instrText xml:space="preserve"> = 0 "</w:instrText>
      </w:r>
      <w:r w:rsidRPr="00695C93">
        <w:fldChar w:fldCharType="begin"/>
      </w:r>
      <w:r w:rsidRPr="00695C93">
        <w:instrText xml:space="preserve"> IF </w:instrText>
      </w:r>
      <w:fldSimple w:instr=" STYLEREF &quot;Heading 1&quot; \l \n ">
        <w:r>
          <w:rPr>
            <w:noProof/>
          </w:rPr>
          <w:instrText>0</w:instrText>
        </w:r>
      </w:fldSimple>
      <w:r w:rsidRPr="00695C93">
        <w:instrText xml:space="preserve"> = 0 "" "</w:instrText>
      </w:r>
      <w:fldSimple w:instr=" STYLEREF &quot;Heading 1&quot; \l \n ">
        <w:r>
          <w:rPr>
            <w:noProof/>
          </w:rPr>
          <w:instrText>2</w:instrText>
        </w:r>
      </w:fldSimple>
      <w:r w:rsidRPr="00695C93">
        <w:instrText xml:space="preserve">." </w:instrText>
      </w:r>
      <w:r w:rsidRPr="00695C93">
        <w:fldChar w:fldCharType="end"/>
      </w:r>
      <w:r w:rsidRPr="00695C93">
        <w:instrText>" "</w:instrText>
      </w:r>
      <w:fldSimple w:instr=" STYLEREF &quot;Heading 6&quot; \l \n ">
        <w:r w:rsidR="00304215">
          <w:rPr>
            <w:noProof/>
          </w:rPr>
          <w:instrText>B</w:instrText>
        </w:r>
      </w:fldSimple>
      <w:r w:rsidRPr="00695C93">
        <w:instrText xml:space="preserve">." </w:instrText>
      </w:r>
      <w:r w:rsidRPr="00695C93">
        <w:fldChar w:fldCharType="separate"/>
      </w:r>
      <w:r w:rsidR="00304215">
        <w:rPr>
          <w:noProof/>
        </w:rPr>
        <w:instrText>B</w:instrText>
      </w:r>
      <w:r w:rsidR="00304215"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304215">
          <w:rPr>
            <w:noProof/>
          </w:rPr>
          <w:instrText>B</w:instrText>
        </w:r>
      </w:fldSimple>
      <w:r w:rsidRPr="00695C93">
        <w:instrText xml:space="preserve"> = 0 "</w:instrText>
      </w:r>
      <w:r w:rsidRPr="00695C93">
        <w:fldChar w:fldCharType="begin"/>
      </w:r>
      <w:r w:rsidRPr="00695C93">
        <w:instrText xml:space="preserve"> IF </w:instrText>
      </w:r>
      <w:fldSimple w:instr=" STYLEREF &quot;Heading 1&quot; \l \n ">
        <w:r>
          <w:rPr>
            <w:noProof/>
          </w:rPr>
          <w:instrText>0</w:instrText>
        </w:r>
      </w:fldSimple>
      <w:r w:rsidRPr="00695C93">
        <w:instrText xml:space="preserve"> = 0 "" "1" </w:instrText>
      </w:r>
      <w:r w:rsidRPr="00695C93">
        <w:fldChar w:fldCharType="end"/>
      </w:r>
      <w:r w:rsidRPr="00695C93">
        <w:instrText xml:space="preserve">" "6" </w:instrText>
      </w:r>
      <w:r w:rsidRPr="00695C93">
        <w:fldChar w:fldCharType="separate"/>
      </w:r>
      <w:r w:rsidR="00304215" w:rsidRPr="00695C93">
        <w:rPr>
          <w:noProof/>
        </w:rPr>
        <w:instrText>6</w:instrText>
      </w:r>
      <w:r w:rsidRPr="00695C93">
        <w:fldChar w:fldCharType="end"/>
      </w:r>
      <w:r w:rsidRPr="00695C93">
        <w:instrText xml:space="preserve"> </w:instrText>
      </w:r>
      <w:r w:rsidRPr="00695C93">
        <w:fldChar w:fldCharType="separate"/>
      </w:r>
      <w:r w:rsidR="00304215">
        <w:rPr>
          <w:noProof/>
        </w:rPr>
        <w:instrText>6</w:instrText>
      </w:r>
      <w:r w:rsidRPr="00695C93">
        <w:fldChar w:fldCharType="end"/>
      </w:r>
      <w:r w:rsidRPr="00695C93">
        <w:instrText xml:space="preserve">" "" </w:instrText>
      </w:r>
      <w:r w:rsidRPr="00695C93">
        <w:fldChar w:fldCharType="separate"/>
      </w:r>
      <w:bookmarkStart w:id="1733" w:name="_Caption0388"/>
      <w:bookmarkStart w:id="1734" w:name="_Caption5266"/>
      <w:bookmarkStart w:id="1735" w:name="_Caption0689"/>
      <w:bookmarkStart w:id="1736" w:name="_Caption0335"/>
      <w:bookmarkStart w:id="1737" w:name="_Caption4485"/>
      <w:bookmarkStart w:id="1738" w:name="_Caption7612"/>
      <w:bookmarkStart w:id="1739" w:name="_Caption7698"/>
      <w:bookmarkStart w:id="1740" w:name="_Caption0286"/>
      <w:bookmarkStart w:id="1741" w:name="_Caption0710"/>
      <w:bookmarkStart w:id="1742" w:name="_Caption3864"/>
      <w:bookmarkStart w:id="1743" w:name="_Caption9973"/>
      <w:bookmarkStart w:id="1744" w:name="_Caption0246"/>
      <w:bookmarkStart w:id="1745" w:name="_Toc391972990"/>
      <w:r w:rsidR="00304215">
        <w:rPr>
          <w:noProof/>
        </w:rPr>
        <w:t>B</w:t>
      </w:r>
      <w:r w:rsidR="00304215" w:rsidRPr="00695C93">
        <w:rPr>
          <w:noProof/>
        </w:rPr>
        <w:t>.</w:t>
      </w:r>
      <w:r w:rsidR="00304215">
        <w:rPr>
          <w:noProof/>
        </w:rPr>
        <w:t>6</w:t>
      </w:r>
      <w:bookmarkEnd w:id="1733"/>
      <w:bookmarkEnd w:id="1734"/>
      <w:bookmarkEnd w:id="1735"/>
      <w:bookmarkEnd w:id="1736"/>
      <w:bookmarkEnd w:id="1737"/>
      <w:bookmarkEnd w:id="1738"/>
      <w:bookmarkEnd w:id="1739"/>
      <w:bookmarkEnd w:id="1740"/>
      <w:bookmarkEnd w:id="1741"/>
      <w:bookmarkEnd w:id="1742"/>
      <w:bookmarkEnd w:id="1743"/>
      <w:bookmarkEnd w:id="1744"/>
      <w:r w:rsidRPr="00695C93">
        <w:fldChar w:fldCharType="end"/>
      </w:r>
      <w:r w:rsidRPr="00695C93">
        <w:tab/>
      </w:r>
      <w:r w:rsidRPr="00F40817">
        <w:t>Comparison of partial incremental unit costs by ULLS Band (AUD)</w:t>
      </w:r>
      <w:bookmarkEnd w:id="1745"/>
    </w:p>
    <w:tbl>
      <w:tblPr>
        <w:tblStyle w:val="MediumShading2-Accent1"/>
        <w:tblW w:w="8025" w:type="dxa"/>
        <w:tblInd w:w="57" w:type="dxa"/>
        <w:tblBorders>
          <w:top w:val="none" w:sz="0" w:space="0" w:color="auto"/>
          <w:bottom w:val="none" w:sz="0" w:space="0" w:color="auto"/>
        </w:tblBorders>
        <w:tblLook w:val="0420" w:firstRow="1" w:lastRow="0" w:firstColumn="0" w:lastColumn="0" w:noHBand="0" w:noVBand="1"/>
      </w:tblPr>
      <w:tblGrid>
        <w:gridCol w:w="1400"/>
        <w:gridCol w:w="830"/>
        <w:gridCol w:w="930"/>
        <w:gridCol w:w="930"/>
        <w:gridCol w:w="930"/>
        <w:gridCol w:w="980"/>
        <w:gridCol w:w="1040"/>
        <w:gridCol w:w="985"/>
      </w:tblGrid>
      <w:tr w:rsidR="00A906FD" w:rsidRPr="002B2E3B" w:rsidTr="002B2E3B">
        <w:trPr>
          <w:cnfStyle w:val="100000000000" w:firstRow="1" w:lastRow="0" w:firstColumn="0" w:lastColumn="0" w:oddVBand="0" w:evenVBand="0" w:oddHBand="0" w:evenHBand="0" w:firstRowFirstColumn="0" w:firstRowLastColumn="0" w:lastRowFirstColumn="0" w:lastRowLastColumn="0"/>
        </w:trPr>
        <w:tc>
          <w:tcPr>
            <w:tcW w:w="1400" w:type="dxa"/>
            <w:tcBorders>
              <w:top w:val="none" w:sz="0" w:space="0" w:color="auto"/>
              <w:left w:val="none" w:sz="0" w:space="0" w:color="auto"/>
              <w:bottom w:val="single" w:sz="8" w:space="0" w:color="FFFFFF" w:themeColor="background1"/>
              <w:right w:val="none" w:sz="0" w:space="0" w:color="auto"/>
            </w:tcBorders>
            <w:shd w:val="clear" w:color="221F72" w:fill="6F6652" w:themeFill="accent5"/>
            <w:tcMar>
              <w:left w:w="57" w:type="dxa"/>
              <w:right w:w="57" w:type="dxa"/>
            </w:tcMar>
            <w:hideMark/>
          </w:tcPr>
          <w:p w:rsidR="00A906FD" w:rsidRPr="002B2E3B" w:rsidRDefault="00A906FD" w:rsidP="00A906FD">
            <w:pPr>
              <w:pStyle w:val="TableDataColumnHeading"/>
              <w:jc w:val="left"/>
              <w:rPr>
                <w:b w:val="0"/>
              </w:rPr>
            </w:pPr>
            <w:bookmarkStart w:id="1746" w:name="_GoBack" w:colFirst="0" w:colLast="8"/>
            <w:r w:rsidRPr="002B2E3B">
              <w:rPr>
                <w:b w:val="0"/>
              </w:rPr>
              <w:t>Service</w:t>
            </w:r>
          </w:p>
        </w:tc>
        <w:tc>
          <w:tcPr>
            <w:tcW w:w="830" w:type="dxa"/>
            <w:tcBorders>
              <w:top w:val="none" w:sz="0" w:space="0" w:color="auto"/>
              <w:left w:val="none" w:sz="0" w:space="0" w:color="auto"/>
              <w:bottom w:val="single" w:sz="8" w:space="0" w:color="FFFFFF" w:themeColor="background1"/>
              <w:right w:val="none" w:sz="0" w:space="0" w:color="auto"/>
            </w:tcBorders>
            <w:shd w:val="clear" w:color="221F72" w:fill="6F6652" w:themeFill="accent5"/>
            <w:tcMar>
              <w:left w:w="57" w:type="dxa"/>
              <w:right w:w="57" w:type="dxa"/>
            </w:tcMar>
            <w:hideMark/>
          </w:tcPr>
          <w:p w:rsidR="00A906FD" w:rsidRPr="002B2E3B" w:rsidRDefault="00A906FD" w:rsidP="00A906FD">
            <w:pPr>
              <w:pStyle w:val="TableDataColumnHeading"/>
              <w:rPr>
                <w:b w:val="0"/>
              </w:rPr>
            </w:pPr>
            <w:r w:rsidRPr="002B2E3B">
              <w:rPr>
                <w:b w:val="0"/>
              </w:rPr>
              <w:t>Unit</w:t>
            </w:r>
          </w:p>
        </w:tc>
        <w:tc>
          <w:tcPr>
            <w:tcW w:w="930" w:type="dxa"/>
            <w:tcBorders>
              <w:top w:val="none" w:sz="0" w:space="0" w:color="auto"/>
              <w:left w:val="none" w:sz="0" w:space="0" w:color="auto"/>
              <w:bottom w:val="single" w:sz="8" w:space="0" w:color="FFFFFF" w:themeColor="background1"/>
              <w:right w:val="none" w:sz="0" w:space="0" w:color="auto"/>
            </w:tcBorders>
            <w:shd w:val="clear" w:color="221F72" w:fill="6F6652" w:themeFill="accent5"/>
            <w:tcMar>
              <w:left w:w="57" w:type="dxa"/>
              <w:right w:w="57" w:type="dxa"/>
            </w:tcMar>
            <w:hideMark/>
          </w:tcPr>
          <w:p w:rsidR="00A906FD" w:rsidRPr="002B2E3B" w:rsidRDefault="00A906FD" w:rsidP="00A906FD">
            <w:pPr>
              <w:pStyle w:val="TableDataColumnHeading"/>
              <w:rPr>
                <w:b w:val="0"/>
              </w:rPr>
            </w:pPr>
            <w:r w:rsidRPr="002B2E3B">
              <w:rPr>
                <w:b w:val="0"/>
              </w:rPr>
              <w:t>Band 1</w:t>
            </w:r>
          </w:p>
        </w:tc>
        <w:tc>
          <w:tcPr>
            <w:tcW w:w="930" w:type="dxa"/>
            <w:tcBorders>
              <w:top w:val="none" w:sz="0" w:space="0" w:color="auto"/>
              <w:left w:val="none" w:sz="0" w:space="0" w:color="auto"/>
              <w:bottom w:val="single" w:sz="8" w:space="0" w:color="FFFFFF" w:themeColor="background1"/>
              <w:right w:val="none" w:sz="0" w:space="0" w:color="auto"/>
            </w:tcBorders>
            <w:shd w:val="clear" w:color="221F72" w:fill="6F6652" w:themeFill="accent5"/>
            <w:tcMar>
              <w:left w:w="57" w:type="dxa"/>
              <w:right w:w="57" w:type="dxa"/>
            </w:tcMar>
            <w:hideMark/>
          </w:tcPr>
          <w:p w:rsidR="00A906FD" w:rsidRPr="002B2E3B" w:rsidRDefault="00A906FD" w:rsidP="00A906FD">
            <w:pPr>
              <w:pStyle w:val="TableDataColumnHeading"/>
              <w:rPr>
                <w:b w:val="0"/>
              </w:rPr>
            </w:pPr>
            <w:r w:rsidRPr="002B2E3B">
              <w:rPr>
                <w:b w:val="0"/>
              </w:rPr>
              <w:t>Band 2</w:t>
            </w:r>
          </w:p>
        </w:tc>
        <w:tc>
          <w:tcPr>
            <w:tcW w:w="930" w:type="dxa"/>
            <w:tcBorders>
              <w:top w:val="none" w:sz="0" w:space="0" w:color="auto"/>
              <w:left w:val="none" w:sz="0" w:space="0" w:color="auto"/>
              <w:bottom w:val="single" w:sz="8" w:space="0" w:color="FFFFFF" w:themeColor="background1"/>
              <w:right w:val="none" w:sz="0" w:space="0" w:color="auto"/>
            </w:tcBorders>
            <w:shd w:val="clear" w:color="221F72" w:fill="6F6652" w:themeFill="accent5"/>
            <w:tcMar>
              <w:left w:w="57" w:type="dxa"/>
              <w:right w:w="57" w:type="dxa"/>
            </w:tcMar>
            <w:hideMark/>
          </w:tcPr>
          <w:p w:rsidR="00A906FD" w:rsidRPr="002B2E3B" w:rsidRDefault="00A906FD" w:rsidP="00A906FD">
            <w:pPr>
              <w:pStyle w:val="TableDataColumnHeading"/>
              <w:rPr>
                <w:b w:val="0"/>
              </w:rPr>
            </w:pPr>
            <w:r w:rsidRPr="002B2E3B">
              <w:rPr>
                <w:b w:val="0"/>
              </w:rPr>
              <w:t>Band 3</w:t>
            </w:r>
          </w:p>
        </w:tc>
        <w:tc>
          <w:tcPr>
            <w:tcW w:w="980" w:type="dxa"/>
            <w:tcBorders>
              <w:top w:val="none" w:sz="0" w:space="0" w:color="auto"/>
              <w:left w:val="none" w:sz="0" w:space="0" w:color="auto"/>
              <w:bottom w:val="single" w:sz="8" w:space="0" w:color="FFFFFF" w:themeColor="background1"/>
              <w:right w:val="none" w:sz="0" w:space="0" w:color="auto"/>
            </w:tcBorders>
            <w:shd w:val="clear" w:color="221F72" w:fill="6F6652" w:themeFill="accent5"/>
            <w:tcMar>
              <w:left w:w="57" w:type="dxa"/>
              <w:right w:w="57" w:type="dxa"/>
            </w:tcMar>
            <w:hideMark/>
          </w:tcPr>
          <w:p w:rsidR="00A906FD" w:rsidRPr="002B2E3B" w:rsidRDefault="00A906FD" w:rsidP="00A906FD">
            <w:pPr>
              <w:pStyle w:val="TableDataColumnHeading"/>
              <w:rPr>
                <w:b w:val="0"/>
              </w:rPr>
            </w:pPr>
            <w:r w:rsidRPr="002B2E3B">
              <w:rPr>
                <w:b w:val="0"/>
              </w:rPr>
              <w:t>Band 4</w:t>
            </w:r>
          </w:p>
        </w:tc>
        <w:tc>
          <w:tcPr>
            <w:tcW w:w="1040" w:type="dxa"/>
            <w:tcBorders>
              <w:top w:val="none" w:sz="0" w:space="0" w:color="auto"/>
              <w:left w:val="none" w:sz="0" w:space="0" w:color="auto"/>
              <w:bottom w:val="single" w:sz="8" w:space="0" w:color="FFFFFF" w:themeColor="background1"/>
              <w:right w:val="none" w:sz="0" w:space="0" w:color="auto"/>
            </w:tcBorders>
            <w:shd w:val="clear" w:color="221F72" w:fill="6F6652" w:themeFill="accent5"/>
            <w:tcMar>
              <w:left w:w="57" w:type="dxa"/>
              <w:right w:w="57" w:type="dxa"/>
            </w:tcMar>
            <w:hideMark/>
          </w:tcPr>
          <w:p w:rsidR="00A906FD" w:rsidRPr="002B2E3B" w:rsidRDefault="00A906FD" w:rsidP="00A906FD">
            <w:pPr>
              <w:pStyle w:val="TableDataColumnHeading"/>
              <w:rPr>
                <w:b w:val="0"/>
              </w:rPr>
            </w:pPr>
            <w:r w:rsidRPr="002B2E3B">
              <w:rPr>
                <w:b w:val="0"/>
              </w:rPr>
              <w:t>Blended</w:t>
            </w:r>
          </w:p>
        </w:tc>
        <w:tc>
          <w:tcPr>
            <w:tcW w:w="985" w:type="dxa"/>
            <w:tcBorders>
              <w:top w:val="none" w:sz="0" w:space="0" w:color="auto"/>
              <w:left w:val="none" w:sz="0" w:space="0" w:color="auto"/>
              <w:bottom w:val="single" w:sz="8" w:space="0" w:color="FFFFFF" w:themeColor="background1"/>
              <w:right w:val="none" w:sz="0" w:space="0" w:color="auto"/>
            </w:tcBorders>
            <w:shd w:val="clear" w:color="221F72" w:fill="6F6652" w:themeFill="accent5"/>
            <w:tcMar>
              <w:left w:w="57" w:type="dxa"/>
              <w:right w:w="57" w:type="dxa"/>
            </w:tcMar>
            <w:hideMark/>
          </w:tcPr>
          <w:p w:rsidR="00A906FD" w:rsidRPr="002B2E3B" w:rsidRDefault="00A906FD" w:rsidP="00A906FD">
            <w:pPr>
              <w:pStyle w:val="TableDataColumnHeading"/>
              <w:rPr>
                <w:b w:val="0"/>
              </w:rPr>
            </w:pPr>
            <w:r w:rsidRPr="002B2E3B">
              <w:rPr>
                <w:b w:val="0"/>
              </w:rPr>
              <w:t>LRAIC+</w:t>
            </w:r>
          </w:p>
        </w:tc>
      </w:tr>
      <w:bookmarkEnd w:id="1746"/>
      <w:tr w:rsidR="002B2E3B" w:rsidTr="002B2E3B">
        <w:trPr>
          <w:cnfStyle w:val="000000100000" w:firstRow="0" w:lastRow="0" w:firstColumn="0" w:lastColumn="0" w:oddVBand="0" w:evenVBand="0" w:oddHBand="1" w:evenHBand="0" w:firstRowFirstColumn="0" w:firstRowLastColumn="0" w:lastRowFirstColumn="0" w:lastRowLastColumn="0"/>
        </w:trPr>
        <w:tc>
          <w:tcPr>
            <w:tcW w:w="140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A906FD">
            <w:pPr>
              <w:pStyle w:val="TableUnit"/>
              <w:jc w:val="left"/>
            </w:pPr>
            <w:r>
              <w:t>On-net PSTN voice</w:t>
            </w:r>
          </w:p>
        </w:tc>
        <w:tc>
          <w:tcPr>
            <w:tcW w:w="83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A906FD">
            <w:pPr>
              <w:pStyle w:val="TableUnit"/>
            </w:pPr>
            <w:r>
              <w:t>AUD cents per call</w:t>
            </w:r>
          </w:p>
        </w:tc>
        <w:tc>
          <w:tcPr>
            <w:tcW w:w="93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A906FD">
            <w:pPr>
              <w:pStyle w:val="TableUnit"/>
            </w:pPr>
            <w:r>
              <w:t>0.004</w:t>
            </w:r>
          </w:p>
        </w:tc>
        <w:tc>
          <w:tcPr>
            <w:tcW w:w="93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A906FD">
            <w:pPr>
              <w:pStyle w:val="TableUnit"/>
            </w:pPr>
            <w:r>
              <w:t>0.010</w:t>
            </w:r>
          </w:p>
        </w:tc>
        <w:tc>
          <w:tcPr>
            <w:tcW w:w="93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A906FD">
            <w:pPr>
              <w:pStyle w:val="TableUnit"/>
            </w:pPr>
            <w:r>
              <w:t>0.023</w:t>
            </w:r>
          </w:p>
        </w:tc>
        <w:tc>
          <w:tcPr>
            <w:tcW w:w="98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A906FD">
            <w:pPr>
              <w:pStyle w:val="TableUnit"/>
            </w:pPr>
            <w:r>
              <w:t>0.168</w:t>
            </w:r>
          </w:p>
        </w:tc>
        <w:tc>
          <w:tcPr>
            <w:tcW w:w="104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A906FD">
            <w:pPr>
              <w:pStyle w:val="TableUnit"/>
            </w:pPr>
            <w:r>
              <w:t>0.029</w:t>
            </w:r>
          </w:p>
        </w:tc>
        <w:tc>
          <w:tcPr>
            <w:tcW w:w="98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hideMark/>
          </w:tcPr>
          <w:p w:rsidR="00A906FD" w:rsidRDefault="00A906FD" w:rsidP="00A906FD">
            <w:pPr>
              <w:pStyle w:val="TableUnit"/>
            </w:pPr>
            <w:r>
              <w:t>0.065</w:t>
            </w:r>
          </w:p>
        </w:tc>
      </w:tr>
      <w:tr w:rsidR="00A906FD" w:rsidTr="002B2E3B">
        <w:tc>
          <w:tcPr>
            <w:tcW w:w="1400" w:type="dxa"/>
            <w:tcBorders>
              <w:top w:val="single" w:sz="8" w:space="0" w:color="FFFFFF" w:themeColor="background1"/>
              <w:bottom w:val="single" w:sz="4" w:space="0" w:color="6F6652" w:themeColor="accent5"/>
            </w:tcBorders>
            <w:shd w:val="clear" w:color="auto" w:fill="E9E8E5" w:themeFill="background2"/>
            <w:tcMar>
              <w:left w:w="57" w:type="dxa"/>
              <w:right w:w="57" w:type="dxa"/>
            </w:tcMar>
            <w:hideMark/>
          </w:tcPr>
          <w:p w:rsidR="00A906FD" w:rsidRDefault="00A906FD" w:rsidP="00A906FD">
            <w:pPr>
              <w:pStyle w:val="TableDataEntries"/>
              <w:jc w:val="left"/>
            </w:pPr>
            <w:r>
              <w:t>Transmission from LE to LTH</w:t>
            </w:r>
          </w:p>
        </w:tc>
        <w:tc>
          <w:tcPr>
            <w:tcW w:w="830" w:type="dxa"/>
            <w:tcBorders>
              <w:top w:val="single" w:sz="8" w:space="0" w:color="FFFFFF" w:themeColor="background1"/>
              <w:bottom w:val="single" w:sz="4" w:space="0" w:color="6F6652" w:themeColor="accent5"/>
            </w:tcBorders>
            <w:shd w:val="clear" w:color="auto" w:fill="E9E8E5" w:themeFill="background2"/>
            <w:tcMar>
              <w:left w:w="57" w:type="dxa"/>
              <w:right w:w="57" w:type="dxa"/>
            </w:tcMar>
            <w:hideMark/>
          </w:tcPr>
          <w:p w:rsidR="00A906FD" w:rsidRDefault="00A906FD" w:rsidP="00A906FD">
            <w:pPr>
              <w:pStyle w:val="TableDataEntries"/>
            </w:pPr>
            <w:r>
              <w:t>AUD per Mbit/s per month</w:t>
            </w:r>
          </w:p>
        </w:tc>
        <w:tc>
          <w:tcPr>
            <w:tcW w:w="930" w:type="dxa"/>
            <w:tcBorders>
              <w:top w:val="single" w:sz="8" w:space="0" w:color="FFFFFF" w:themeColor="background1"/>
              <w:bottom w:val="single" w:sz="4" w:space="0" w:color="6F6652" w:themeColor="accent5"/>
            </w:tcBorders>
            <w:shd w:val="clear" w:color="auto" w:fill="E9E8E5" w:themeFill="background2"/>
            <w:tcMar>
              <w:left w:w="57" w:type="dxa"/>
              <w:right w:w="57" w:type="dxa"/>
            </w:tcMar>
            <w:hideMark/>
          </w:tcPr>
          <w:p w:rsidR="00A906FD" w:rsidRDefault="00A906FD" w:rsidP="00A906FD">
            <w:pPr>
              <w:pStyle w:val="TableDataEntries"/>
            </w:pPr>
            <w:r>
              <w:noBreakHyphen/>
            </w:r>
          </w:p>
        </w:tc>
        <w:tc>
          <w:tcPr>
            <w:tcW w:w="930" w:type="dxa"/>
            <w:tcBorders>
              <w:top w:val="single" w:sz="8" w:space="0" w:color="FFFFFF" w:themeColor="background1"/>
              <w:bottom w:val="single" w:sz="4" w:space="0" w:color="6F6652" w:themeColor="accent5"/>
            </w:tcBorders>
            <w:shd w:val="clear" w:color="auto" w:fill="E9E8E5" w:themeFill="background2"/>
            <w:tcMar>
              <w:left w:w="57" w:type="dxa"/>
              <w:right w:w="57" w:type="dxa"/>
            </w:tcMar>
            <w:hideMark/>
          </w:tcPr>
          <w:p w:rsidR="00A906FD" w:rsidRDefault="00A906FD" w:rsidP="00A906FD">
            <w:pPr>
              <w:pStyle w:val="TableDataEntries"/>
            </w:pPr>
            <w:r>
              <w:t>1.44</w:t>
            </w:r>
          </w:p>
        </w:tc>
        <w:tc>
          <w:tcPr>
            <w:tcW w:w="930" w:type="dxa"/>
            <w:tcBorders>
              <w:top w:val="single" w:sz="8" w:space="0" w:color="FFFFFF" w:themeColor="background1"/>
              <w:bottom w:val="single" w:sz="4" w:space="0" w:color="6F6652" w:themeColor="accent5"/>
            </w:tcBorders>
            <w:shd w:val="clear" w:color="auto" w:fill="E9E8E5" w:themeFill="background2"/>
            <w:tcMar>
              <w:left w:w="57" w:type="dxa"/>
              <w:right w:w="57" w:type="dxa"/>
            </w:tcMar>
            <w:hideMark/>
          </w:tcPr>
          <w:p w:rsidR="00A906FD" w:rsidRDefault="00A906FD" w:rsidP="00A906FD">
            <w:pPr>
              <w:pStyle w:val="TableDataEntries"/>
            </w:pPr>
            <w:r>
              <w:t>65.97</w:t>
            </w:r>
          </w:p>
        </w:tc>
        <w:tc>
          <w:tcPr>
            <w:tcW w:w="980" w:type="dxa"/>
            <w:tcBorders>
              <w:top w:val="single" w:sz="8" w:space="0" w:color="FFFFFF" w:themeColor="background1"/>
              <w:bottom w:val="single" w:sz="4" w:space="0" w:color="6F6652" w:themeColor="accent5"/>
            </w:tcBorders>
            <w:shd w:val="clear" w:color="auto" w:fill="E9E8E5" w:themeFill="background2"/>
            <w:tcMar>
              <w:left w:w="57" w:type="dxa"/>
              <w:right w:w="57" w:type="dxa"/>
            </w:tcMar>
            <w:hideMark/>
          </w:tcPr>
          <w:p w:rsidR="00A906FD" w:rsidRDefault="00A906FD" w:rsidP="00A906FD">
            <w:pPr>
              <w:pStyle w:val="TableDataEntries"/>
            </w:pPr>
            <w:r>
              <w:t>1511.46</w:t>
            </w:r>
          </w:p>
        </w:tc>
        <w:tc>
          <w:tcPr>
            <w:tcW w:w="1040" w:type="dxa"/>
            <w:tcBorders>
              <w:top w:val="single" w:sz="8" w:space="0" w:color="FFFFFF" w:themeColor="background1"/>
              <w:bottom w:val="single" w:sz="4" w:space="0" w:color="6F6652" w:themeColor="accent5"/>
            </w:tcBorders>
            <w:shd w:val="clear" w:color="auto" w:fill="E9E8E5" w:themeFill="background2"/>
            <w:tcMar>
              <w:left w:w="57" w:type="dxa"/>
              <w:right w:w="57" w:type="dxa"/>
            </w:tcMar>
            <w:hideMark/>
          </w:tcPr>
          <w:p w:rsidR="00A906FD" w:rsidRDefault="00A906FD" w:rsidP="00A906FD">
            <w:pPr>
              <w:pStyle w:val="TableDataEntries"/>
            </w:pPr>
            <w:r>
              <w:t>172.54</w:t>
            </w:r>
          </w:p>
        </w:tc>
        <w:tc>
          <w:tcPr>
            <w:tcW w:w="985" w:type="dxa"/>
            <w:tcBorders>
              <w:top w:val="single" w:sz="8" w:space="0" w:color="FFFFFF" w:themeColor="background1"/>
              <w:bottom w:val="single" w:sz="4" w:space="0" w:color="6F6652" w:themeColor="accent5"/>
            </w:tcBorders>
            <w:shd w:val="clear" w:color="auto" w:fill="E9E8E5" w:themeFill="background2"/>
            <w:tcMar>
              <w:left w:w="57" w:type="dxa"/>
              <w:right w:w="57" w:type="dxa"/>
            </w:tcMar>
            <w:hideMark/>
          </w:tcPr>
          <w:p w:rsidR="00A906FD" w:rsidRDefault="00A906FD" w:rsidP="00A906FD">
            <w:pPr>
              <w:pStyle w:val="TableDataEntries"/>
            </w:pPr>
            <w:r>
              <w:t>433.02</w:t>
            </w:r>
          </w:p>
        </w:tc>
      </w:tr>
    </w:tbl>
    <w:p w:rsidR="00A906FD" w:rsidRDefault="00A906FD" w:rsidP="00A906FD">
      <w:pPr>
        <w:pStyle w:val="Source"/>
      </w:pPr>
      <w:proofErr w:type="gramStart"/>
      <w:r>
        <w:rPr>
          <w:i/>
        </w:rPr>
        <w:t>Source</w:t>
      </w:r>
      <w:r w:rsidRPr="00E4232C">
        <w:rPr>
          <w:i/>
        </w:rPr>
        <w:t>:</w:t>
      </w:r>
      <w:r>
        <w:t xml:space="preserve"> </w:t>
      </w:r>
      <w:proofErr w:type="spellStart"/>
      <w:r>
        <w:t>Analysys</w:t>
      </w:r>
      <w:proofErr w:type="spellEnd"/>
      <w:r>
        <w:t xml:space="preserve"> Mason 2014.</w:t>
      </w:r>
      <w:proofErr w:type="gramEnd"/>
    </w:p>
    <w:p w:rsidR="00F40817" w:rsidRPr="00F40817" w:rsidRDefault="00F40817" w:rsidP="00F40817">
      <w:pPr>
        <w:pStyle w:val="BodyText"/>
      </w:pPr>
      <w:r w:rsidRPr="00F40817">
        <w:t xml:space="preserve">As can be seen above, the variation in transmission costs is significant between Bands, with three orders of magnitude between the cost of transmission services between Bands </w:t>
      </w:r>
      <w:r w:rsidRPr="00F40817">
        <w:lastRenderedPageBreak/>
        <w:t>2 and 4. In comparison, there is only one order of magnitude difference between Bands 2 and 4 in the cost of voice services. In both cases, the network costs of providing the middle-mile transmission in Band 4 is significantly higher than the blended national average, even when considering the total LRAIC+ which included end-to-end network costs.</w:t>
      </w:r>
    </w:p>
    <w:p w:rsidR="00F40817" w:rsidRPr="00F40817" w:rsidRDefault="00F40817" w:rsidP="00F40817">
      <w:pPr>
        <w:pStyle w:val="BodyText"/>
      </w:pPr>
      <w:r w:rsidRPr="00F40817">
        <w:t xml:space="preserve">The ratio between the blended cost and the LRAIC+ indicates that approximately 40% of the total core network costs </w:t>
      </w:r>
      <w:proofErr w:type="gramStart"/>
      <w:r w:rsidRPr="00F40817">
        <w:t>are being captured</w:t>
      </w:r>
      <w:proofErr w:type="gramEnd"/>
      <w:r w:rsidRPr="00F40817">
        <w:t xml:space="preserve"> by our calculation. It is not trivial to allocate higher levels of network assets, due to them sitting across several Bands. For example, there are 218 ring systems used to connect the </w:t>
      </w:r>
      <w:proofErr w:type="spellStart"/>
      <w:r w:rsidRPr="00F40817">
        <w:t>P</w:t>
      </w:r>
      <w:r w:rsidR="00402DB3">
        <w:t>oC</w:t>
      </w:r>
      <w:proofErr w:type="spellEnd"/>
      <w:r w:rsidR="00402DB3">
        <w:t xml:space="preserve"> to the LAS. However, only 35 per cent</w:t>
      </w:r>
      <w:r w:rsidRPr="00F40817">
        <w:t xml:space="preserve"> of these rings have nodes from only one Band (most of these are Band 2). The remainder have nodes from two (39</w:t>
      </w:r>
      <w:r w:rsidR="00402DB3">
        <w:t xml:space="preserve"> per cent</w:t>
      </w:r>
      <w:r w:rsidRPr="00F40817">
        <w:t>) or even three (26</w:t>
      </w:r>
      <w:r w:rsidR="00402DB3">
        <w:t xml:space="preserve"> per cent</w:t>
      </w:r>
      <w:r w:rsidRPr="00F40817">
        <w:t xml:space="preserve">) of the Bands, making any allocation of these costs to the Bands non-trivial. Therefore, we have not attempted to allocate any network costs upstream of the </w:t>
      </w:r>
      <w:proofErr w:type="spellStart"/>
      <w:r w:rsidRPr="00F40817">
        <w:t>PoC</w:t>
      </w:r>
      <w:proofErr w:type="spellEnd"/>
      <w:r w:rsidRPr="00F40817">
        <w:t xml:space="preserve"> LE-facing ports.</w:t>
      </w:r>
    </w:p>
    <w:p w:rsidR="00F40817" w:rsidRPr="00F40817" w:rsidRDefault="00F40817" w:rsidP="00F40817">
      <w:pPr>
        <w:pStyle w:val="BodyText"/>
      </w:pPr>
      <w:r w:rsidRPr="00F40817">
        <w:t xml:space="preserve">The zero value for LE LTH transmission in Band 1 is a result of the fact that each LE in Band 1 is its own </w:t>
      </w:r>
      <w:proofErr w:type="spellStart"/>
      <w:r w:rsidRPr="00F40817">
        <w:t>PoC</w:t>
      </w:r>
      <w:proofErr w:type="spellEnd"/>
      <w:r w:rsidRPr="00F40817">
        <w:t xml:space="preserve"> given the number of lines they serve, meaning </w:t>
      </w:r>
      <w:proofErr w:type="gramStart"/>
      <w:r w:rsidRPr="00F40817">
        <w:t xml:space="preserve">that there is no LE </w:t>
      </w:r>
      <w:proofErr w:type="spellStart"/>
      <w:r w:rsidRPr="00F40817">
        <w:t>PoC</w:t>
      </w:r>
      <w:proofErr w:type="spellEnd"/>
      <w:r w:rsidRPr="00F40817">
        <w:t xml:space="preserve"> transmission assets required</w:t>
      </w:r>
      <w:proofErr w:type="gramEnd"/>
      <w:r w:rsidRPr="00F40817">
        <w:t xml:space="preserve">. The unit costs in Band 4 are much higher given that most LEs each serve relatively few lines and yet are remote, thus many require significant trench/fibre deployments to reach their parent </w:t>
      </w:r>
      <w:proofErr w:type="spellStart"/>
      <w:r w:rsidRPr="00F40817">
        <w:t>PoC</w:t>
      </w:r>
      <w:proofErr w:type="spellEnd"/>
      <w:r w:rsidRPr="00F40817">
        <w:t xml:space="preserve">. By comparison, the urban LEs in Band 2 will either be their own </w:t>
      </w:r>
      <w:proofErr w:type="spellStart"/>
      <w:r w:rsidRPr="00F40817">
        <w:t>PoC</w:t>
      </w:r>
      <w:proofErr w:type="spellEnd"/>
      <w:r w:rsidRPr="00F40817">
        <w:t xml:space="preserve"> or will be relatively close to their parent </w:t>
      </w:r>
      <w:proofErr w:type="spellStart"/>
      <w:r w:rsidRPr="00F40817">
        <w:t>PoC</w:t>
      </w:r>
      <w:proofErr w:type="spellEnd"/>
      <w:r w:rsidRPr="00F40817">
        <w:t>, thereby requiring less trench.</w:t>
      </w:r>
    </w:p>
    <w:p w:rsidR="00F40817" w:rsidRPr="00F40817" w:rsidRDefault="00F40817" w:rsidP="00F40817">
      <w:pPr>
        <w:pStyle w:val="BodyText"/>
      </w:pPr>
      <w:r w:rsidRPr="00F40817">
        <w:t>The ACM indicates that the cost of core network services, and transmission in the ‘middle-mile’ between the access network and the first point of traffic aggregation in the core network, varies very significantly by geography in Australia, more so even than the costs of access services.</w:t>
      </w:r>
    </w:p>
    <w:p w:rsidR="00F40817" w:rsidRDefault="00F40817" w:rsidP="00F543C4">
      <w:pPr>
        <w:pStyle w:val="BodyText"/>
        <w:sectPr w:rsidR="00F40817" w:rsidSect="00EB5D1D">
          <w:headerReference w:type="even" r:id="rId67"/>
          <w:headerReference w:type="default" r:id="rId68"/>
          <w:footerReference w:type="even" r:id="rId69"/>
          <w:footerReference w:type="default" r:id="rId70"/>
          <w:pgSz w:w="11906" w:h="16838" w:code="9"/>
          <w:pgMar w:top="2268" w:right="1701" w:bottom="1418" w:left="2268" w:header="680" w:footer="680" w:gutter="0"/>
          <w:cols w:space="708"/>
          <w:docGrid w:linePitch="360"/>
        </w:sectPr>
      </w:pPr>
    </w:p>
    <w:p w:rsidR="005D56D7" w:rsidRPr="00884722" w:rsidRDefault="005D56D7" w:rsidP="00F543C4">
      <w:pPr>
        <w:pStyle w:val="BodyText"/>
      </w:pPr>
      <w:r>
        <w:rPr>
          <w:noProof/>
        </w:rPr>
        <w:lastRenderedPageBreak/>
        <w:drawing>
          <wp:anchor distT="0" distB="0" distL="114300" distR="114300" simplePos="0" relativeHeight="251704320" behindDoc="0" locked="0" layoutInCell="0" allowOverlap="1" wp14:anchorId="26F20911" wp14:editId="2E529330">
            <wp:simplePos x="0" y="0"/>
            <wp:positionH relativeFrom="page">
              <wp:posOffset>0</wp:posOffset>
            </wp:positionH>
            <wp:positionV relativeFrom="page">
              <wp:posOffset>0</wp:posOffset>
            </wp:positionV>
            <wp:extent cx="7559675" cy="10691495"/>
            <wp:effectExtent l="0" t="0" r="3175" b="0"/>
            <wp:wrapNone/>
            <wp:docPr id="15" name="Picture 15" descr="Logo for the Centre for International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lients\CIE, New templates\Logo &amp; cover options\Final artwork\report cover graphics\backcover_600dpi.png"/>
                    <pic:cNvPicPr>
                      <a:picLocks noChangeAspect="1" noChangeArrowheads="1"/>
                    </pic:cNvPicPr>
                  </pic:nvPicPr>
                  <pic:blipFill>
                    <a:blip r:embed="rId71" cstate="print">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56D7" w:rsidRDefault="005D56D7" w:rsidP="00F543C4">
      <w:pPr>
        <w:pStyle w:val="BodyText"/>
      </w:pPr>
      <w:r>
        <w:rPr>
          <w:noProof/>
        </w:rPr>
        <mc:AlternateContent>
          <mc:Choice Requires="wps">
            <w:drawing>
              <wp:anchor distT="0" distB="0" distL="114300" distR="114300" simplePos="0" relativeHeight="251705344" behindDoc="0" locked="0" layoutInCell="0" allowOverlap="1" wp14:anchorId="30E57340" wp14:editId="6D833DC8">
                <wp:simplePos x="0" y="0"/>
                <wp:positionH relativeFrom="page">
                  <wp:posOffset>1231265</wp:posOffset>
                </wp:positionH>
                <wp:positionV relativeFrom="page">
                  <wp:posOffset>7164705</wp:posOffset>
                </wp:positionV>
                <wp:extent cx="3351600" cy="540000"/>
                <wp:effectExtent l="0" t="0" r="1270" b="12700"/>
                <wp:wrapNone/>
                <wp:docPr id="4" name="Text Box 4"/>
                <wp:cNvGraphicFramePr/>
                <a:graphic xmlns:a="http://schemas.openxmlformats.org/drawingml/2006/main">
                  <a:graphicData uri="http://schemas.microsoft.com/office/word/2010/wordprocessingShape">
                    <wps:wsp>
                      <wps:cNvSpPr txBox="1"/>
                      <wps:spPr>
                        <a:xfrm>
                          <a:off x="0" y="0"/>
                          <a:ext cx="33516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F9A" w:rsidRPr="003E1F01" w:rsidRDefault="00584F9A" w:rsidP="00F543C4">
                            <w:pPr>
                              <w:pStyle w:val="BodyText"/>
                              <w:spacing w:before="0" w:line="240" w:lineRule="auto"/>
                              <w:rPr>
                                <w:rFonts w:ascii="Franklin Gothic Demi" w:hAnsi="Franklin Gothic Demi"/>
                                <w:caps/>
                                <w:spacing w:val="10"/>
                                <w:sz w:val="18"/>
                              </w:rPr>
                            </w:pPr>
                            <w:r w:rsidRPr="003E1F01">
                              <w:rPr>
                                <w:rFonts w:ascii="Franklin Gothic Demi" w:hAnsi="Franklin Gothic Demi"/>
                                <w:caps/>
                                <w:spacing w:val="10"/>
                                <w:sz w:val="18"/>
                              </w:rPr>
                              <w:t>The Centre for International Economics</w:t>
                            </w:r>
                          </w:p>
                          <w:p w:rsidR="00584F9A" w:rsidRPr="003E1F01" w:rsidRDefault="00584F9A" w:rsidP="00F543C4">
                            <w:pPr>
                              <w:pStyle w:val="BodyText"/>
                              <w:spacing w:before="0" w:line="240" w:lineRule="auto"/>
                              <w:rPr>
                                <w:i/>
                                <w:sz w:val="22"/>
                              </w:rPr>
                            </w:pPr>
                            <w:r w:rsidRPr="003E1F01">
                              <w:rPr>
                                <w:i/>
                                <w:sz w:val="22"/>
                              </w:rPr>
                              <w:t>www.TheCIE.com.au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185" type="#_x0000_t202" style="position:absolute;margin-left:96.95pt;margin-top:564.15pt;width:263.9pt;height:42.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" o:allowincell="f" filled="f" stroked="f" strokeweight=".5pt">
                <v:textbox inset="0,0,0,0">
                  <w:txbxContent>
                    <w:p w:rsidR="00584F9A" w:rsidRPr="003E1F01" w:rsidRDefault="00584F9A" w:rsidP="00F543C4">
                      <w:pPr>
                        <w:pStyle w:val="BodyText"/>
                        <w:spacing w:before="0" w:line="240" w:lineRule="auto"/>
                        <w:rPr>
                          <w:rFonts w:ascii="Franklin Gothic Demi" w:hAnsi="Franklin Gothic Demi"/>
                          <w:caps/>
                          <w:spacing w:val="10"/>
                          <w:sz w:val="18"/>
                        </w:rPr>
                      </w:pPr>
                      <w:r w:rsidRPr="003E1F01">
                        <w:rPr>
                          <w:rFonts w:ascii="Franklin Gothic Demi" w:hAnsi="Franklin Gothic Demi"/>
                          <w:caps/>
                          <w:spacing w:val="10"/>
                          <w:sz w:val="18"/>
                        </w:rPr>
                        <w:t>The Centre for International Economics</w:t>
                      </w:r>
                    </w:p>
                    <w:p w:rsidR="00584F9A" w:rsidRPr="003E1F01" w:rsidRDefault="00584F9A" w:rsidP="00F543C4">
                      <w:pPr>
                        <w:pStyle w:val="BodyText"/>
                        <w:spacing w:before="0" w:line="240" w:lineRule="auto"/>
                        <w:rPr>
                          <w:i/>
                          <w:sz w:val="22"/>
                        </w:rPr>
                      </w:pPr>
                      <w:r w:rsidRPr="003E1F01">
                        <w:rPr>
                          <w:i/>
                          <w:sz w:val="22"/>
                        </w:rPr>
                        <w:t>www.TheCIE.com.au</w:t>
                      </w:r>
                    </w:p>
                  </w:txbxContent>
                </v:textbox>
                <w10:wrap anchorx="page" anchory="page"/>
              </v:shape>
            </w:pict>
          </mc:Fallback>
        </mc:AlternateContent>
      </w:r>
    </w:p>
    <w:p w:rsidR="005D56D7" w:rsidRDefault="005D56D7" w:rsidP="00F543C4">
      <w:pPr>
        <w:pStyle w:val="BodyText"/>
      </w:pPr>
    </w:p>
    <w:p w:rsidR="005D56D7" w:rsidRDefault="005D56D7" w:rsidP="00F543C4">
      <w:pPr>
        <w:pStyle w:val="BodyText"/>
      </w:pPr>
    </w:p>
    <w:p w:rsidR="005D56D7" w:rsidRPr="005D56D7" w:rsidRDefault="005D56D7" w:rsidP="005D56D7">
      <w:pPr>
        <w:pStyle w:val="BodyText"/>
        <w:rPr>
          <w:lang w:eastAsia="en-US"/>
        </w:rPr>
      </w:pPr>
    </w:p>
    <w:p w:rsidR="00DB0E84" w:rsidRDefault="00DB0E84" w:rsidP="00DB0E84">
      <w:pPr>
        <w:pStyle w:val="BodyText"/>
      </w:pPr>
    </w:p>
    <w:sectPr w:rsidR="00DB0E84" w:rsidSect="005D56D7">
      <w:headerReference w:type="even" r:id="rId72"/>
      <w:headerReference w:type="default" r:id="rId73"/>
      <w:footerReference w:type="even" r:id="rId74"/>
      <w:footerReference w:type="default" r:id="rId75"/>
      <w:type w:val="evenPage"/>
      <w:pgSz w:w="11906" w:h="16838" w:code="9"/>
      <w:pgMar w:top="2268" w:right="1701" w:bottom="1418" w:left="226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F9A" w:rsidRDefault="00584F9A" w:rsidP="00996DC5">
      <w:pPr>
        <w:spacing w:line="240" w:lineRule="auto"/>
      </w:pPr>
    </w:p>
  </w:endnote>
  <w:endnote w:type="continuationSeparator" w:id="0">
    <w:p w:rsidR="00584F9A" w:rsidRDefault="00584F9A" w:rsidP="0099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NeueLT Std Lt">
    <w:altName w:val="Univers 45 Light"/>
    <w:panose1 w:val="00000000000000000000"/>
    <w:charset w:val="00"/>
    <w:family w:val="swiss"/>
    <w:notTrueType/>
    <w:pitch w:val="variable"/>
    <w:sig w:usb0="00000003" w:usb1="4000204A" w:usb2="00000000" w:usb3="00000000" w:csb0="00000001" w:csb1="00000000"/>
  </w:font>
  <w:font w:name="HelveticaNeueLTStd-Md">
    <w:altName w:val="HelveticaNeueLT Std Med"/>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9C5A0E" w:rsidRDefault="00584F9A" w:rsidP="00675046">
    <w:pPr>
      <w:pStyle w:val="Footer"/>
    </w:pPr>
    <w:r>
      <w:t>www.TheCIE.com.au</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Default="00584F9A">
    <w:pPr>
      <w:pStyle w:val="Footer"/>
    </w:pPr>
    <w:r>
      <w:t>www.TheCIE.com.au</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Default="00584F9A" w:rsidP="00F543C4">
    <w:pPr>
      <w:pStyle w:val="Footer"/>
      <w:jc w:val="right"/>
    </w:pPr>
    <w:r>
      <w:t>www.TheCIE.com.au</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Default="00584F9A">
    <w:pPr>
      <w:pStyle w:val="Footer"/>
    </w:pPr>
    <w:r>
      <w:t>www.TheCIE.com.au</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Default="00584F9A" w:rsidP="007C4C46">
    <w:pPr>
      <w:pStyle w:val="Footer"/>
      <w:jc w:val="right"/>
    </w:pPr>
    <w:r>
      <w:t>www.TheCIE.com.au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9C5A0E" w:rsidRDefault="00584F9A" w:rsidP="00675046">
    <w:pPr>
      <w:pStyle w:val="Footer"/>
      <w:jc w:val="right"/>
    </w:pPr>
    <w:r>
      <w:t>www.TheCIE.com.au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A731D9" w:rsidRDefault="00584F9A" w:rsidP="006750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Default="00584F9A">
    <w:pPr>
      <w:pStyle w:val="Footer"/>
    </w:pPr>
    <w:r>
      <w:t>www.TheCIE.com.au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Default="00584F9A" w:rsidP="00675046">
    <w:pPr>
      <w:pStyle w:val="Footer"/>
      <w:jc w:val="right"/>
    </w:pPr>
    <w:r>
      <w:t>www.TheCIE.com.au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3D6FA5" w:rsidRDefault="00584F9A" w:rsidP="00F376BC">
    <w:pPr>
      <w:pStyle w:val="Footer"/>
    </w:pPr>
    <w:r>
      <w:t>www.TheCIE.com.au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3D6FA5" w:rsidRDefault="00584F9A" w:rsidP="00F376BC">
    <w:pPr>
      <w:pStyle w:val="Footer"/>
      <w:jc w:val="right"/>
    </w:pPr>
    <w:r>
      <w:t>www.TheCIE.com.au</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3D6FA5" w:rsidRDefault="00584F9A" w:rsidP="00F376BC">
    <w:pPr>
      <w:pStyle w:val="Footer"/>
    </w:pPr>
    <w:r>
      <w:rPr>
        <w:noProof/>
      </w:rPr>
      <mc:AlternateContent>
        <mc:Choice Requires="wps">
          <w:drawing>
            <wp:anchor distT="0" distB="0" distL="114300" distR="114300" simplePos="0" relativeHeight="251664384" behindDoc="0" locked="0" layoutInCell="0" allowOverlap="1" wp14:anchorId="423DCAD2" wp14:editId="579AA358">
              <wp:simplePos x="0" y="0"/>
              <wp:positionH relativeFrom="page">
                <wp:posOffset>396240</wp:posOffset>
              </wp:positionH>
              <wp:positionV relativeFrom="page">
                <wp:posOffset>1440180</wp:posOffset>
              </wp:positionV>
              <wp:extent cx="180000" cy="5040000"/>
              <wp:effectExtent l="0" t="0" r="0" b="8255"/>
              <wp:wrapNone/>
              <wp:docPr id="47" name="Rectangle 47"/>
              <wp:cNvGraphicFramePr/>
              <a:graphic xmlns:a="http://schemas.openxmlformats.org/drawingml/2006/main">
                <a:graphicData uri="http://schemas.microsoft.com/office/word/2010/wordprocessingShape">
                  <wps:wsp>
                    <wps:cNvSpPr/>
                    <wps:spPr>
                      <a:xfrm>
                        <a:off x="0" y="0"/>
                        <a:ext cx="180000" cy="504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9C5A0E" w:rsidRDefault="00584F9A" w:rsidP="00F376BC">
                          <w:pPr>
                            <w:pStyle w:val="Footer"/>
                          </w:pPr>
                          <w:r>
                            <w:t>www.TheCIE.com.au</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191" style="position:absolute;margin-left:31.2pt;margin-top:113.4pt;width:14.15pt;height:39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" o:allowincell="f" filled="f" stroked="f" strokeweight="2pt">
              <v:textbox style="layout-flow:vertical" inset="0,0,0,0">
                <w:txbxContent>
                  <w:p w:rsidR="00584F9A" w:rsidRPr="009C5A0E" w:rsidRDefault="00584F9A" w:rsidP="00F376BC">
                    <w:pPr>
                      <w:pStyle w:val="Footer"/>
                    </w:pPr>
                    <w:r>
                      <w:t>www.TheCIE.com.au</w:t>
                    </w:r>
                  </w:p>
                </w:txbxContent>
              </v:textbox>
              <w10:wrap anchorx="page" anchory="page"/>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3D6FA5" w:rsidRDefault="00584F9A" w:rsidP="00F37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F9A" w:rsidRDefault="00584F9A" w:rsidP="00996DC5">
      <w:pPr>
        <w:spacing w:line="240" w:lineRule="auto"/>
      </w:pPr>
      <w:r w:rsidRPr="00B75719">
        <w:rPr>
          <w:color w:val="6F6652" w:themeColor="text2"/>
        </w:rPr>
        <w:separator/>
      </w:r>
    </w:p>
  </w:footnote>
  <w:footnote w:type="continuationSeparator" w:id="0">
    <w:p w:rsidR="00584F9A" w:rsidRDefault="00584F9A" w:rsidP="00996DC5">
      <w:pPr>
        <w:spacing w:line="240" w:lineRule="auto"/>
      </w:pPr>
      <w:r>
        <w:continuationSeparator/>
      </w:r>
    </w:p>
  </w:footnote>
  <w:footnote w:id="1">
    <w:p w:rsidR="00584F9A" w:rsidRDefault="00584F9A" w:rsidP="00675046">
      <w:pPr>
        <w:pStyle w:val="FootnoteText"/>
      </w:pPr>
      <w:r>
        <w:rPr>
          <w:rStyle w:val="FootnoteReference"/>
        </w:rPr>
        <w:footnoteRef/>
      </w:r>
      <w:r>
        <w:t xml:space="preserve"> </w:t>
      </w:r>
      <w:r>
        <w:tab/>
        <w:t xml:space="preserve">The basket of 10 connection services </w:t>
      </w:r>
      <w:proofErr w:type="gramStart"/>
      <w:r>
        <w:t>was introduced</w:t>
      </w:r>
      <w:proofErr w:type="gramEnd"/>
      <w:r>
        <w:t xml:space="preserve"> by the </w:t>
      </w:r>
      <w:r w:rsidRPr="003702E1">
        <w:t xml:space="preserve">2012 amendment and </w:t>
      </w:r>
      <w:r>
        <w:t>replaced a single price cap for all connection services</w:t>
      </w:r>
      <w:r w:rsidRPr="003702E1">
        <w:t>.</w:t>
      </w:r>
    </w:p>
  </w:footnote>
  <w:footnote w:id="2">
    <w:p w:rsidR="00584F9A" w:rsidRDefault="00584F9A" w:rsidP="00341986">
      <w:pPr>
        <w:pStyle w:val="FootnoteText"/>
      </w:pPr>
      <w:r>
        <w:rPr>
          <w:rStyle w:val="FootnoteReference"/>
        </w:rPr>
        <w:footnoteRef/>
      </w:r>
      <w:r>
        <w:t xml:space="preserve"> </w:t>
      </w:r>
      <w:r w:rsidRPr="00CB2BB9">
        <w:rPr>
          <w:sz w:val="18"/>
        </w:rPr>
        <w:t xml:space="preserve">The </w:t>
      </w:r>
      <w:proofErr w:type="gramStart"/>
      <w:r w:rsidRPr="00CB2BB9">
        <w:rPr>
          <w:sz w:val="18"/>
        </w:rPr>
        <w:t xml:space="preserve">2011 review of Telstra price controls was conducted by the Department of </w:t>
      </w:r>
      <w:r w:rsidRPr="00CB2BB9">
        <w:rPr>
          <w:sz w:val="18"/>
          <w:lang w:val="en"/>
        </w:rPr>
        <w:t>Broadband, Communications and the Digital Economy</w:t>
      </w:r>
      <w:proofErr w:type="gramEnd"/>
      <w:r w:rsidRPr="00CB2BB9">
        <w:rPr>
          <w:sz w:val="18"/>
          <w:lang w:val="en"/>
        </w:rPr>
        <w:t>.</w:t>
      </w:r>
      <w:r>
        <w:t xml:space="preserve"> </w:t>
      </w:r>
    </w:p>
  </w:footnote>
  <w:footnote w:id="3">
    <w:p w:rsidR="00584F9A" w:rsidRDefault="00584F9A">
      <w:pPr>
        <w:pStyle w:val="FootnoteText"/>
      </w:pPr>
      <w:r>
        <w:rPr>
          <w:rStyle w:val="FootnoteReference"/>
        </w:rPr>
        <w:footnoteRef/>
      </w:r>
      <w:r>
        <w:t xml:space="preserve"> </w:t>
      </w:r>
      <w:r>
        <w:tab/>
        <w:t xml:space="preserve">ACCC 2010, </w:t>
      </w:r>
      <w:r w:rsidRPr="00402F0D">
        <w:rPr>
          <w:i/>
        </w:rPr>
        <w:t xml:space="preserve">Review of Telstra’s </w:t>
      </w:r>
      <w:proofErr w:type="gramStart"/>
      <w:r w:rsidRPr="00402F0D">
        <w:rPr>
          <w:i/>
        </w:rPr>
        <w:t>retail price control arrangements</w:t>
      </w:r>
      <w:proofErr w:type="gramEnd"/>
      <w:r>
        <w:t xml:space="preserve">, March; Department of Broadband, Communications and the Digital Economy 2012, </w:t>
      </w:r>
      <w:r>
        <w:rPr>
          <w:i/>
        </w:rPr>
        <w:t>Retail price controls review.</w:t>
      </w:r>
      <w:r>
        <w:t xml:space="preserve"> </w:t>
      </w:r>
    </w:p>
  </w:footnote>
  <w:footnote w:id="4">
    <w:p w:rsidR="00584F9A" w:rsidRDefault="00584F9A">
      <w:pPr>
        <w:pStyle w:val="FootnoteText"/>
      </w:pPr>
      <w:r>
        <w:rPr>
          <w:rStyle w:val="FootnoteReference"/>
        </w:rPr>
        <w:footnoteRef/>
      </w:r>
      <w:r>
        <w:t xml:space="preserve"> </w:t>
      </w:r>
      <w:r>
        <w:tab/>
        <w:t xml:space="preserve">The ACCC recommended that CPI-4 per cent </w:t>
      </w:r>
      <w:proofErr w:type="gramStart"/>
      <w:r>
        <w:t>be applied</w:t>
      </w:r>
      <w:proofErr w:type="gramEnd"/>
      <w:r>
        <w:t xml:space="preserve"> to this basket in 2005 (ACCC 2005, </w:t>
      </w:r>
      <w:r>
        <w:rPr>
          <w:i/>
        </w:rPr>
        <w:t>Review of Telstra’s retail price control arrangements,</w:t>
      </w:r>
      <w:r>
        <w:t xml:space="preserve"> February). In 2010 it recommended CPI-0 be applied (ACCC 2010, </w:t>
      </w:r>
      <w:r w:rsidRPr="008B3EB6">
        <w:rPr>
          <w:i/>
        </w:rPr>
        <w:t>Review of Telstra’s retail price control arrangements</w:t>
      </w:r>
      <w:r>
        <w:t>, March).</w:t>
      </w:r>
    </w:p>
  </w:footnote>
  <w:footnote w:id="5">
    <w:p w:rsidR="00584F9A" w:rsidRDefault="00584F9A">
      <w:pPr>
        <w:pStyle w:val="FootnoteText"/>
      </w:pPr>
      <w:r>
        <w:rPr>
          <w:rStyle w:val="FootnoteReference"/>
        </w:rPr>
        <w:footnoteRef/>
      </w:r>
      <w:r>
        <w:t xml:space="preserve"> </w:t>
      </w:r>
      <w:r>
        <w:tab/>
        <w:t xml:space="preserve">Office of Best Practice Regulation, Post implementation review guidance notes, </w:t>
      </w:r>
      <w:hyperlink r:id="rId1" w:history="1">
        <w:r w:rsidRPr="00126A63">
          <w:rPr>
            <w:rStyle w:val="Hyperlink"/>
          </w:rPr>
          <w:t>http://ris.dpmc.gov.au/files/2012/03/pir_guidance_note.pdf</w:t>
        </w:r>
      </w:hyperlink>
      <w:r>
        <w:t xml:space="preserve">. Note that this guidance is likely to change as review processes are under revision. </w:t>
      </w:r>
    </w:p>
  </w:footnote>
  <w:footnote w:id="6">
    <w:p w:rsidR="00584F9A" w:rsidRDefault="00584F9A" w:rsidP="00675046">
      <w:pPr>
        <w:pStyle w:val="FootnoteText"/>
      </w:pPr>
      <w:r>
        <w:rPr>
          <w:rStyle w:val="FootnoteReference"/>
        </w:rPr>
        <w:footnoteRef/>
      </w:r>
      <w:r>
        <w:t xml:space="preserve"> Australian Energy Market Commission, </w:t>
      </w:r>
      <w:r w:rsidRPr="005C0D33">
        <w:rPr>
          <w:i/>
        </w:rPr>
        <w:t>Review of Competition in the Retail Electricity and Natural Gas Markets in New South Wales</w:t>
      </w:r>
      <w:r>
        <w:t>, Final Report, 3 October 2013, pp. 59</w:t>
      </w:r>
      <w:r>
        <w:noBreakHyphen/>
        <w:t>60.</w:t>
      </w:r>
    </w:p>
  </w:footnote>
  <w:footnote w:id="7">
    <w:p w:rsidR="00584F9A" w:rsidRDefault="00584F9A" w:rsidP="00675046">
      <w:pPr>
        <w:pStyle w:val="FootnoteText"/>
      </w:pPr>
      <w:r>
        <w:rPr>
          <w:rStyle w:val="FootnoteReference"/>
        </w:rPr>
        <w:footnoteRef/>
      </w:r>
      <w:r>
        <w:t xml:space="preserve"> Australian Energy Market Commission, </w:t>
      </w:r>
      <w:r w:rsidRPr="005C0D33">
        <w:rPr>
          <w:i/>
        </w:rPr>
        <w:t>Review of Competition in the Retail Electricity and Natural Gas Markets in New South Wales</w:t>
      </w:r>
      <w:r>
        <w:t>, Final Report, 3 October 2013, pp. 59</w:t>
      </w:r>
      <w:r>
        <w:noBreakHyphen/>
        <w:t>60.</w:t>
      </w:r>
    </w:p>
  </w:footnote>
  <w:footnote w:id="8">
    <w:p w:rsidR="00584F9A" w:rsidRDefault="00584F9A" w:rsidP="00675046">
      <w:pPr>
        <w:pStyle w:val="FootnoteText"/>
      </w:pPr>
      <w:r>
        <w:rPr>
          <w:rStyle w:val="FootnoteReference"/>
        </w:rPr>
        <w:footnoteRef/>
      </w:r>
      <w:r>
        <w:t xml:space="preserve"> See </w:t>
      </w:r>
      <w:proofErr w:type="spellStart"/>
      <w:r>
        <w:t>Joskow</w:t>
      </w:r>
      <w:proofErr w:type="spellEnd"/>
      <w:r>
        <w:t>, P.L. California’s Electricity Crisis, National Bureau of Economic Research, Working Paper 8442, August 2001, pp. 26</w:t>
      </w:r>
      <w:r>
        <w:noBreakHyphen/>
        <w:t>42.</w:t>
      </w:r>
    </w:p>
  </w:footnote>
  <w:footnote w:id="9">
    <w:p w:rsidR="00584F9A" w:rsidRDefault="00584F9A">
      <w:pPr>
        <w:pStyle w:val="FootnoteText"/>
      </w:pPr>
      <w:r>
        <w:rPr>
          <w:rStyle w:val="FootnoteReference"/>
        </w:rPr>
        <w:footnoteRef/>
      </w:r>
      <w:r>
        <w:t xml:space="preserve"> </w:t>
      </w:r>
      <w:r>
        <w:tab/>
        <w:t>Information provided by Telstra.</w:t>
      </w:r>
    </w:p>
  </w:footnote>
  <w:footnote w:id="10">
    <w:p w:rsidR="00584F9A" w:rsidRDefault="00584F9A" w:rsidP="00675046">
      <w:pPr>
        <w:pStyle w:val="FootnoteText"/>
      </w:pPr>
      <w:r>
        <w:rPr>
          <w:rStyle w:val="FootnoteReference"/>
        </w:rPr>
        <w:footnoteRef/>
      </w:r>
      <w:r>
        <w:t xml:space="preserve"> </w:t>
      </w:r>
      <w:r>
        <w:tab/>
      </w:r>
      <w:proofErr w:type="spellStart"/>
      <w:r>
        <w:t>Analysys</w:t>
      </w:r>
      <w:proofErr w:type="spellEnd"/>
      <w:r>
        <w:t xml:space="preserve"> Mason, </w:t>
      </w:r>
      <w:r w:rsidRPr="00402F0D">
        <w:rPr>
          <w:i/>
        </w:rPr>
        <w:t>A consideration of geographically differentiated costs of telecoms services</w:t>
      </w:r>
      <w:r>
        <w:t>, Report for the CIE, 31 March 2014, pp. 8</w:t>
      </w:r>
      <w:r>
        <w:noBreakHyphen/>
        <w:t>9.</w:t>
      </w:r>
    </w:p>
  </w:footnote>
  <w:footnote w:id="11">
    <w:p w:rsidR="00584F9A" w:rsidRDefault="00584F9A">
      <w:pPr>
        <w:pStyle w:val="FootnoteText"/>
      </w:pPr>
      <w:r>
        <w:rPr>
          <w:rStyle w:val="FootnoteReference"/>
        </w:rPr>
        <w:footnoteRef/>
      </w:r>
      <w:r>
        <w:t xml:space="preserve"> </w:t>
      </w:r>
      <w:r>
        <w:tab/>
        <w:t xml:space="preserve">See TUSMA website, </w:t>
      </w:r>
      <w:hyperlink r:id="rId2" w:history="1">
        <w:r w:rsidRPr="00126A63">
          <w:rPr>
            <w:rStyle w:val="Hyperlink"/>
          </w:rPr>
          <w:t>http://www.tusma.gov.au/registers?result_148510_result_page=2</w:t>
        </w:r>
      </w:hyperlink>
      <w:r>
        <w:t>.</w:t>
      </w:r>
    </w:p>
  </w:footnote>
  <w:footnote w:id="12">
    <w:p w:rsidR="00584F9A" w:rsidRDefault="00584F9A" w:rsidP="004F2C9F">
      <w:pPr>
        <w:pStyle w:val="FootnoteText"/>
      </w:pPr>
      <w:r>
        <w:rPr>
          <w:rStyle w:val="FootnoteReference"/>
        </w:rPr>
        <w:footnoteRef/>
      </w:r>
      <w:r>
        <w:t xml:space="preserve"> TUSMA website, </w:t>
      </w:r>
      <w:hyperlink r:id="rId3" w:history="1">
        <w:r w:rsidRPr="00A20F80">
          <w:rPr>
            <w:rStyle w:val="Hyperlink"/>
          </w:rPr>
          <w:t>http://www.tusma.gov.au/registers?list_id=148510&amp;result_148510_result_page=2</w:t>
        </w:r>
      </w:hyperlink>
      <w:r>
        <w:t>, accessed 28 April 2014.</w:t>
      </w:r>
    </w:p>
  </w:footnote>
  <w:footnote w:id="13">
    <w:p w:rsidR="00584F9A" w:rsidRPr="00A00F37" w:rsidRDefault="00584F9A" w:rsidP="00675046">
      <w:pPr>
        <w:pStyle w:val="FootnoteText"/>
      </w:pPr>
      <w:r>
        <w:rPr>
          <w:rStyle w:val="FootnoteReference"/>
        </w:rPr>
        <w:footnoteRef/>
      </w:r>
      <w:r>
        <w:t xml:space="preserve"> </w:t>
      </w:r>
      <w:r>
        <w:tab/>
        <w:t xml:space="preserve">ACCC 2012, </w:t>
      </w:r>
      <w:r>
        <w:rPr>
          <w:i/>
        </w:rPr>
        <w:t xml:space="preserve">Telstra’s compliance with the </w:t>
      </w:r>
      <w:proofErr w:type="gramStart"/>
      <w:r>
        <w:rPr>
          <w:i/>
        </w:rPr>
        <w:t>retail price control arrangements</w:t>
      </w:r>
      <w:proofErr w:type="gramEnd"/>
      <w:r>
        <w:rPr>
          <w:i/>
        </w:rPr>
        <w:t xml:space="preserve"> — 1 July 2012 to 30 June 2013,</w:t>
      </w:r>
      <w:r>
        <w:t xml:space="preserve"> Table 1 and Table 2.</w:t>
      </w:r>
    </w:p>
  </w:footnote>
  <w:footnote w:id="14">
    <w:p w:rsidR="00584F9A" w:rsidRDefault="00584F9A">
      <w:pPr>
        <w:pStyle w:val="FootnoteText"/>
      </w:pPr>
      <w:r>
        <w:rPr>
          <w:rStyle w:val="FootnoteReference"/>
        </w:rPr>
        <w:footnoteRef/>
      </w:r>
      <w:r>
        <w:t xml:space="preserve"> </w:t>
      </w:r>
      <w:r>
        <w:tab/>
        <w:t xml:space="preserve">ACCC 2010, </w:t>
      </w:r>
      <w:r w:rsidRPr="00402F0D">
        <w:rPr>
          <w:i/>
        </w:rPr>
        <w:t xml:space="preserve">Review of Telstra’s </w:t>
      </w:r>
      <w:proofErr w:type="gramStart"/>
      <w:r w:rsidRPr="00402F0D">
        <w:rPr>
          <w:i/>
        </w:rPr>
        <w:t>retail price control arrangements</w:t>
      </w:r>
      <w:proofErr w:type="gramEnd"/>
      <w:r>
        <w:t>, March.</w:t>
      </w:r>
    </w:p>
  </w:footnote>
  <w:footnote w:id="15">
    <w:p w:rsidR="00584F9A" w:rsidRDefault="00584F9A" w:rsidP="004F65EB">
      <w:pPr>
        <w:pStyle w:val="FootnoteText"/>
      </w:pPr>
      <w:r>
        <w:rPr>
          <w:rStyle w:val="FootnoteReference"/>
        </w:rPr>
        <w:footnoteRef/>
      </w:r>
      <w:r>
        <w:t xml:space="preserve"> </w:t>
      </w:r>
      <w:r>
        <w:tab/>
        <w:t>ACCC 2011, Submission to DBCDE's review of the retail price control arrangements, December.</w:t>
      </w:r>
    </w:p>
  </w:footnote>
  <w:footnote w:id="16">
    <w:p w:rsidR="00584F9A" w:rsidRDefault="00584F9A" w:rsidP="00392639">
      <w:pPr>
        <w:pStyle w:val="FootnoteText"/>
      </w:pPr>
      <w:r>
        <w:rPr>
          <w:rStyle w:val="FootnoteReference"/>
        </w:rPr>
        <w:footnoteRef/>
      </w:r>
      <w:r>
        <w:t xml:space="preserve"> </w:t>
      </w:r>
      <w:proofErr w:type="gramStart"/>
      <w:r>
        <w:t xml:space="preserve">ACCC, </w:t>
      </w:r>
      <w:r w:rsidRPr="00F819BF">
        <w:rPr>
          <w:i/>
        </w:rPr>
        <w:t>Merger Guidelines</w:t>
      </w:r>
      <w:r>
        <w:t>, November 2008, pp. 15</w:t>
      </w:r>
      <w:r>
        <w:noBreakHyphen/>
        <w:t>19.</w:t>
      </w:r>
      <w:proofErr w:type="gramEnd"/>
    </w:p>
  </w:footnote>
  <w:footnote w:id="17">
    <w:p w:rsidR="00584F9A" w:rsidRPr="00016AE2" w:rsidRDefault="00584F9A">
      <w:pPr>
        <w:pStyle w:val="FootnoteText"/>
      </w:pPr>
      <w:r>
        <w:rPr>
          <w:rStyle w:val="FootnoteReference"/>
        </w:rPr>
        <w:footnoteRef/>
      </w:r>
      <w:r>
        <w:t xml:space="preserve"> </w:t>
      </w:r>
      <w:proofErr w:type="spellStart"/>
      <w:r>
        <w:t>IBISWorld</w:t>
      </w:r>
      <w:proofErr w:type="spellEnd"/>
      <w:r>
        <w:t xml:space="preserve"> 2013, </w:t>
      </w:r>
      <w:proofErr w:type="gramStart"/>
      <w:r>
        <w:rPr>
          <w:i/>
        </w:rPr>
        <w:t>Wired</w:t>
      </w:r>
      <w:proofErr w:type="gramEnd"/>
      <w:r>
        <w:rPr>
          <w:i/>
        </w:rPr>
        <w:t xml:space="preserve"> network telecommunications operations in Australia,</w:t>
      </w:r>
      <w:r>
        <w:t xml:space="preserve"> Industry Report J5801, p. 26.</w:t>
      </w:r>
    </w:p>
  </w:footnote>
  <w:footnote w:id="18">
    <w:p w:rsidR="00584F9A" w:rsidRDefault="00584F9A">
      <w:pPr>
        <w:pStyle w:val="FootnoteText"/>
      </w:pPr>
      <w:r>
        <w:rPr>
          <w:rStyle w:val="FootnoteReference"/>
        </w:rPr>
        <w:footnoteRef/>
      </w:r>
      <w:r>
        <w:t xml:space="preserve"> </w:t>
      </w:r>
      <w:r>
        <w:tab/>
        <w:t xml:space="preserve">Australian Energy Market Commission, </w:t>
      </w:r>
      <w:r w:rsidRPr="005C0D33">
        <w:rPr>
          <w:i/>
        </w:rPr>
        <w:t>Review of Competition in the Retail Electricity and Natural Gas Markets in New South Wales</w:t>
      </w:r>
      <w:r>
        <w:t>, Final Report, 3 October 2013, pp. 59</w:t>
      </w:r>
      <w:r>
        <w:noBreakHyphen/>
        <w:t>60.</w:t>
      </w:r>
    </w:p>
  </w:footnote>
  <w:footnote w:id="19">
    <w:p w:rsidR="00584F9A" w:rsidRDefault="00584F9A" w:rsidP="00392639">
      <w:pPr>
        <w:pStyle w:val="FootnoteText"/>
      </w:pPr>
      <w:r>
        <w:tab/>
        <w:t>D</w:t>
      </w:r>
      <w:r w:rsidRPr="005168FD">
        <w:t>igital subscriber line access multiplexer</w:t>
      </w:r>
      <w:r>
        <w:t>s (DSLAMs) are pieces of switching</w:t>
      </w:r>
      <w:r w:rsidRPr="006B64CE">
        <w:t xml:space="preserve"> equipment </w:t>
      </w:r>
      <w:r>
        <w:t>that aggregate</w:t>
      </w:r>
      <w:r w:rsidRPr="006B64CE">
        <w:t xml:space="preserve"> voice and data traffic sent from connected </w:t>
      </w:r>
      <w:r>
        <w:t xml:space="preserve">consumers’ (or </w:t>
      </w:r>
      <w:r w:rsidRPr="006B64CE">
        <w:t>end-users’</w:t>
      </w:r>
      <w:r>
        <w:t>)</w:t>
      </w:r>
      <w:r w:rsidRPr="006B64CE">
        <w:t xml:space="preserve"> modem ports before sending the traffic to its destination.</w:t>
      </w:r>
    </w:p>
  </w:footnote>
  <w:footnote w:id="20">
    <w:p w:rsidR="00584F9A" w:rsidRDefault="00584F9A" w:rsidP="00392639">
      <w:pPr>
        <w:pStyle w:val="FootnoteText"/>
      </w:pPr>
      <w:r>
        <w:rPr>
          <w:rStyle w:val="FootnoteReference"/>
        </w:rPr>
        <w:footnoteRef/>
      </w:r>
      <w:r>
        <w:t xml:space="preserve"> ACCC, </w:t>
      </w:r>
      <w:r w:rsidRPr="004C044C">
        <w:rPr>
          <w:i/>
        </w:rPr>
        <w:t>Fixed Services Review — Declaration Inquiry</w:t>
      </w:r>
      <w:r>
        <w:t>, Public inquiry into the fixed line services declaration, Final Report, April 2014.</w:t>
      </w:r>
    </w:p>
  </w:footnote>
  <w:footnote w:id="21">
    <w:p w:rsidR="00584F9A" w:rsidRDefault="00584F9A" w:rsidP="00392639">
      <w:pPr>
        <w:pStyle w:val="FootnoteText"/>
      </w:pPr>
      <w:r>
        <w:rPr>
          <w:rStyle w:val="FootnoteReference"/>
        </w:rPr>
        <w:footnoteRef/>
      </w:r>
      <w:r>
        <w:t xml:space="preserve"> ACCC fixed line services inquiry- Final Report April 2014. </w:t>
      </w:r>
    </w:p>
  </w:footnote>
  <w:footnote w:id="22">
    <w:p w:rsidR="00584F9A" w:rsidRDefault="00584F9A" w:rsidP="00392639">
      <w:pPr>
        <w:pStyle w:val="FootnoteText"/>
      </w:pPr>
      <w:r>
        <w:rPr>
          <w:rStyle w:val="FootnoteReference"/>
        </w:rPr>
        <w:footnoteRef/>
      </w:r>
      <w:r>
        <w:t xml:space="preserve"> </w:t>
      </w:r>
      <w:proofErr w:type="spellStart"/>
      <w:proofErr w:type="gramStart"/>
      <w:r>
        <w:t>Iinet</w:t>
      </w:r>
      <w:proofErr w:type="spellEnd"/>
      <w:r>
        <w:t xml:space="preserve"> website.</w:t>
      </w:r>
      <w:proofErr w:type="gramEnd"/>
      <w:r>
        <w:t xml:space="preserve"> </w:t>
      </w:r>
    </w:p>
  </w:footnote>
  <w:footnote w:id="23">
    <w:p w:rsidR="00584F9A" w:rsidRDefault="00584F9A" w:rsidP="00392639">
      <w:pPr>
        <w:pStyle w:val="FootnoteText"/>
      </w:pPr>
      <w:r>
        <w:rPr>
          <w:rStyle w:val="FootnoteReference"/>
        </w:rPr>
        <w:footnoteRef/>
      </w:r>
      <w:r>
        <w:t xml:space="preserve"> ACCC, </w:t>
      </w:r>
      <w:r w:rsidRPr="004C044C">
        <w:rPr>
          <w:i/>
        </w:rPr>
        <w:t>Fixed Services Review — Declaration Inquiry</w:t>
      </w:r>
      <w:r>
        <w:t>, Public inquiry into the fixed line services declaration, Final Report, April 2014, p. 15.</w:t>
      </w:r>
    </w:p>
  </w:footnote>
  <w:footnote w:id="24">
    <w:p w:rsidR="00584F9A" w:rsidRPr="00096BB1" w:rsidRDefault="00584F9A">
      <w:pPr>
        <w:pStyle w:val="FootnoteText"/>
        <w:rPr>
          <w:i/>
        </w:rPr>
      </w:pPr>
      <w:r>
        <w:rPr>
          <w:rStyle w:val="FootnoteReference"/>
        </w:rPr>
        <w:footnoteRef/>
      </w:r>
      <w:r>
        <w:t xml:space="preserve"> </w:t>
      </w:r>
      <w:r>
        <w:tab/>
        <w:t xml:space="preserve">The CIE and </w:t>
      </w:r>
      <w:proofErr w:type="spellStart"/>
      <w:r>
        <w:t>Analysys</w:t>
      </w:r>
      <w:proofErr w:type="spellEnd"/>
      <w:r>
        <w:t xml:space="preserve"> Mason 2014, </w:t>
      </w:r>
      <w:proofErr w:type="gramStart"/>
      <w:r>
        <w:rPr>
          <w:i/>
        </w:rPr>
        <w:t>The</w:t>
      </w:r>
      <w:proofErr w:type="gramEnd"/>
      <w:r>
        <w:rPr>
          <w:i/>
        </w:rPr>
        <w:t xml:space="preserve"> economic impacts of mobile broadband: 2006 to 2013, </w:t>
      </w:r>
      <w:r w:rsidRPr="00096BB1">
        <w:t>prepared for the Australian Communications and Media Authority</w:t>
      </w:r>
      <w:r>
        <w:rPr>
          <w:i/>
        </w:rPr>
        <w:t>.</w:t>
      </w:r>
    </w:p>
  </w:footnote>
  <w:footnote w:id="25">
    <w:p w:rsidR="00584F9A" w:rsidRDefault="00584F9A">
      <w:pPr>
        <w:pStyle w:val="FootnoteText"/>
      </w:pPr>
      <w:r>
        <w:rPr>
          <w:rStyle w:val="FootnoteReference"/>
        </w:rPr>
        <w:footnoteRef/>
      </w:r>
      <w:r>
        <w:t xml:space="preserve"> </w:t>
      </w:r>
      <w:r>
        <w:tab/>
        <w:t xml:space="preserve">ACCC, </w:t>
      </w:r>
      <w:r w:rsidRPr="004C044C">
        <w:rPr>
          <w:i/>
        </w:rPr>
        <w:t>Fixed Services Review — Declaration Inquiry</w:t>
      </w:r>
      <w:r>
        <w:t>, Public inquiry into the fixed line services declaration, Final Report, April 2014.</w:t>
      </w:r>
    </w:p>
  </w:footnote>
  <w:footnote w:id="26">
    <w:p w:rsidR="00584F9A" w:rsidRDefault="00584F9A">
      <w:pPr>
        <w:pStyle w:val="FootnoteText"/>
      </w:pPr>
      <w:r>
        <w:rPr>
          <w:rStyle w:val="FootnoteReference"/>
        </w:rPr>
        <w:footnoteRef/>
      </w:r>
      <w:r>
        <w:t xml:space="preserve"> </w:t>
      </w:r>
      <w:r>
        <w:tab/>
      </w:r>
      <w:proofErr w:type="spellStart"/>
      <w:r>
        <w:t>IBISWorld</w:t>
      </w:r>
      <w:proofErr w:type="spellEnd"/>
      <w:r>
        <w:t xml:space="preserve"> 2013, </w:t>
      </w:r>
      <w:proofErr w:type="gramStart"/>
      <w:r>
        <w:rPr>
          <w:i/>
        </w:rPr>
        <w:t>Wired</w:t>
      </w:r>
      <w:proofErr w:type="gramEnd"/>
      <w:r>
        <w:rPr>
          <w:i/>
        </w:rPr>
        <w:t xml:space="preserve"> network telecommunications operations in Australia,</w:t>
      </w:r>
      <w:r>
        <w:t xml:space="preserve"> Industry Report J5801, p. 6.</w:t>
      </w:r>
    </w:p>
  </w:footnote>
  <w:footnote w:id="27">
    <w:p w:rsidR="00584F9A" w:rsidRDefault="00584F9A">
      <w:pPr>
        <w:pStyle w:val="FootnoteText"/>
      </w:pPr>
      <w:r>
        <w:rPr>
          <w:rStyle w:val="FootnoteReference"/>
        </w:rPr>
        <w:footnoteRef/>
      </w:r>
      <w:r>
        <w:t xml:space="preserve"> </w:t>
      </w:r>
      <w:r>
        <w:tab/>
        <w:t xml:space="preserve">ACCC, </w:t>
      </w:r>
      <w:r w:rsidRPr="004C044C">
        <w:rPr>
          <w:i/>
        </w:rPr>
        <w:t>Fixed Services Review — Declaration Inquiry</w:t>
      </w:r>
      <w:r>
        <w:t>, Public inquiry into the fixed line services declaration, Final Report, April 2014.</w:t>
      </w:r>
    </w:p>
  </w:footnote>
  <w:footnote w:id="28">
    <w:p w:rsidR="00584F9A" w:rsidRDefault="00584F9A" w:rsidP="00392639">
      <w:pPr>
        <w:pStyle w:val="FootnoteText"/>
      </w:pPr>
      <w:r>
        <w:rPr>
          <w:rStyle w:val="FootnoteReference"/>
        </w:rPr>
        <w:footnoteRef/>
      </w:r>
      <w:r>
        <w:t xml:space="preserve"> See Telecommunications (Emergency Call Service) Obligations </w:t>
      </w:r>
    </w:p>
  </w:footnote>
  <w:footnote w:id="29">
    <w:p w:rsidR="00584F9A" w:rsidRDefault="00584F9A" w:rsidP="00392639">
      <w:pPr>
        <w:pStyle w:val="FootnoteText"/>
      </w:pPr>
      <w:r>
        <w:rPr>
          <w:rStyle w:val="FootnoteReference"/>
        </w:rPr>
        <w:footnoteRef/>
      </w:r>
      <w:r>
        <w:t xml:space="preserve"> Internode website </w:t>
      </w:r>
      <w:r w:rsidRPr="000456CE">
        <w:t>http://www.internode.on.net/news/2012/11/297.php</w:t>
      </w:r>
    </w:p>
  </w:footnote>
  <w:footnote w:id="30">
    <w:p w:rsidR="00584F9A" w:rsidRDefault="00584F9A" w:rsidP="00392639">
      <w:pPr>
        <w:pStyle w:val="FootnoteText"/>
      </w:pPr>
      <w:r>
        <w:rPr>
          <w:rStyle w:val="FootnoteReference"/>
        </w:rPr>
        <w:footnoteRef/>
      </w:r>
      <w:r>
        <w:t xml:space="preserve"> Ibid </w:t>
      </w:r>
    </w:p>
  </w:footnote>
  <w:footnote w:id="31">
    <w:p w:rsidR="00584F9A" w:rsidRDefault="00584F9A" w:rsidP="00392639">
      <w:pPr>
        <w:pStyle w:val="FootnoteText"/>
      </w:pPr>
      <w:r>
        <w:rPr>
          <w:rStyle w:val="FootnoteReference"/>
        </w:rPr>
        <w:footnoteRef/>
      </w:r>
      <w:r>
        <w:t xml:space="preserve"> ACCC, </w:t>
      </w:r>
      <w:r w:rsidRPr="004C044C">
        <w:rPr>
          <w:i/>
        </w:rPr>
        <w:t>Fixed Services Review — Declaration Inquiry</w:t>
      </w:r>
      <w:r>
        <w:t>, Public inquiry into the fixed line services declaration, Draft Report, December 2013, pp. 31</w:t>
      </w:r>
      <w:r>
        <w:noBreakHyphen/>
        <w:t xml:space="preserve">32; </w:t>
      </w:r>
    </w:p>
  </w:footnote>
  <w:footnote w:id="32">
    <w:p w:rsidR="00584F9A" w:rsidRDefault="00584F9A" w:rsidP="00392639">
      <w:pPr>
        <w:pStyle w:val="FootnoteText"/>
      </w:pPr>
      <w:r>
        <w:rPr>
          <w:rStyle w:val="FootnoteReference"/>
        </w:rPr>
        <w:footnoteRef/>
      </w:r>
      <w:r>
        <w:t xml:space="preserve"> ACCC, </w:t>
      </w:r>
      <w:r w:rsidRPr="004C044C">
        <w:rPr>
          <w:i/>
        </w:rPr>
        <w:t>Fixed Services Review — Declaration Inquiry</w:t>
      </w:r>
      <w:r>
        <w:t xml:space="preserve">, Public inquiry into the fixed line services declaration, Draft Report, December 2013, p. 33; ACCC, </w:t>
      </w:r>
      <w:r w:rsidRPr="004C044C">
        <w:rPr>
          <w:i/>
        </w:rPr>
        <w:t>Fixed Services Review — Declaration Inquiry</w:t>
      </w:r>
      <w:r>
        <w:t>, Public inquiry into the fixed line services declaration, Final Report, April 2014, p. 18.</w:t>
      </w:r>
    </w:p>
  </w:footnote>
  <w:footnote w:id="33">
    <w:p w:rsidR="00584F9A" w:rsidRDefault="00584F9A">
      <w:pPr>
        <w:pStyle w:val="FootnoteText"/>
      </w:pPr>
      <w:r>
        <w:rPr>
          <w:rStyle w:val="FootnoteReference"/>
        </w:rPr>
        <w:footnoteRef/>
      </w:r>
      <w:r>
        <w:t xml:space="preserve"> </w:t>
      </w:r>
      <w:r>
        <w:tab/>
        <w:t>ACCC 2011, Submission to DBCDE's review of the retail price control arrangements, December.</w:t>
      </w:r>
    </w:p>
  </w:footnote>
  <w:footnote w:id="34">
    <w:p w:rsidR="00584F9A" w:rsidRDefault="00584F9A">
      <w:pPr>
        <w:pStyle w:val="FootnoteText"/>
      </w:pPr>
      <w:r>
        <w:rPr>
          <w:rStyle w:val="FootnoteReference"/>
        </w:rPr>
        <w:footnoteRef/>
      </w:r>
      <w:r>
        <w:t xml:space="preserve"> </w:t>
      </w:r>
      <w:r>
        <w:tab/>
        <w:t xml:space="preserve">Retail/other costs might vary because of unregulated wholesale costs. Retail/other costs may also vary if there is a requirement for local presence to install equipment. </w:t>
      </w:r>
    </w:p>
  </w:footnote>
  <w:footnote w:id="35">
    <w:p w:rsidR="00584F9A" w:rsidRDefault="00584F9A" w:rsidP="00850F5A">
      <w:pPr>
        <w:pStyle w:val="FootnoteText"/>
      </w:pPr>
      <w:r>
        <w:rPr>
          <w:rStyle w:val="FootnoteReference"/>
        </w:rPr>
        <w:footnoteRef/>
      </w:r>
      <w:r>
        <w:t xml:space="preserve">  The AEMC has noted that one of the risks of regulating prices in a potentially competitive market is that it can become self-perpetuating; price regulation can lead to a lack of competition, which drives the need for continuing price regulation. (Australian Energy Market Commission, </w:t>
      </w:r>
      <w:r w:rsidRPr="005C0D33">
        <w:rPr>
          <w:i/>
        </w:rPr>
        <w:t>Review of Competition in the Retail Electricity and Natural Gas Markets in New South Wales</w:t>
      </w:r>
      <w:r>
        <w:t>, Final Report, 3 October 2013, pp. 59</w:t>
      </w:r>
      <w:r>
        <w:noBreakHyphen/>
        <w:t>60.)</w:t>
      </w:r>
    </w:p>
  </w:footnote>
  <w:footnote w:id="36">
    <w:p w:rsidR="00584F9A" w:rsidRDefault="00584F9A">
      <w:pPr>
        <w:pStyle w:val="FootnoteText"/>
      </w:pPr>
      <w:r>
        <w:rPr>
          <w:rStyle w:val="FootnoteReference"/>
        </w:rPr>
        <w:footnoteRef/>
      </w:r>
      <w:r>
        <w:t xml:space="preserve"> </w:t>
      </w:r>
      <w:r>
        <w:tab/>
        <w:t xml:space="preserve">For example, customers in some areas </w:t>
      </w:r>
      <w:proofErr w:type="gramStart"/>
      <w:r>
        <w:t>may be targeted</w:t>
      </w:r>
      <w:proofErr w:type="gramEnd"/>
      <w:r>
        <w:t xml:space="preserve"> with marketing of discounts of offered free devices.</w:t>
      </w:r>
    </w:p>
  </w:footnote>
  <w:footnote w:id="37">
    <w:p w:rsidR="00584F9A" w:rsidRDefault="00584F9A">
      <w:pPr>
        <w:pStyle w:val="FootnoteText"/>
      </w:pPr>
      <w:r>
        <w:rPr>
          <w:rStyle w:val="FootnoteReference"/>
        </w:rPr>
        <w:footnoteRef/>
      </w:r>
      <w:r>
        <w:t xml:space="preserve"> </w:t>
      </w:r>
      <w:r>
        <w:tab/>
        <w:t xml:space="preserve">The extent to which other companies will seek to compete on the copper network is not clear given the </w:t>
      </w:r>
      <w:proofErr w:type="gramStart"/>
      <w:r>
        <w:t>roll-out</w:t>
      </w:r>
      <w:proofErr w:type="gramEnd"/>
      <w:r>
        <w:t xml:space="preserve"> of the NBN.</w:t>
      </w:r>
    </w:p>
  </w:footnote>
  <w:footnote w:id="38">
    <w:p w:rsidR="00584F9A" w:rsidRDefault="00584F9A" w:rsidP="00DB0E84">
      <w:pPr>
        <w:pStyle w:val="FootnoteText"/>
      </w:pPr>
      <w:r>
        <w:rPr>
          <w:rStyle w:val="FootnoteReference"/>
        </w:rPr>
        <w:footnoteRef/>
      </w:r>
      <w:r>
        <w:t xml:space="preserve"> </w:t>
      </w:r>
      <w:r>
        <w:tab/>
      </w:r>
      <w:proofErr w:type="gramStart"/>
      <w:r>
        <w:t>Australian Office of Best Practice Regulation, Best Practice Regulation Handbook, Box 7.1.</w:t>
      </w:r>
      <w:proofErr w:type="gramEnd"/>
      <w:r>
        <w:t xml:space="preserve"> The CIE has included problems relevant for telecommunications retail price controls only.</w:t>
      </w:r>
    </w:p>
  </w:footnote>
  <w:footnote w:id="39">
    <w:p w:rsidR="00584F9A" w:rsidRDefault="00584F9A" w:rsidP="00DB0E84">
      <w:pPr>
        <w:pStyle w:val="FootnoteText"/>
      </w:pPr>
      <w:r>
        <w:rPr>
          <w:rStyle w:val="FootnoteReference"/>
        </w:rPr>
        <w:footnoteRef/>
      </w:r>
      <w:r>
        <w:t xml:space="preserve"> </w:t>
      </w:r>
      <w:r>
        <w:tab/>
      </w:r>
      <w:proofErr w:type="gramStart"/>
      <w:r>
        <w:t>Australian Office of Best Practice Regulation, Best Practice Regulation Handbook, Box 7.2.</w:t>
      </w:r>
      <w:proofErr w:type="gramEnd"/>
    </w:p>
  </w:footnote>
  <w:footnote w:id="40">
    <w:p w:rsidR="00584F9A" w:rsidRDefault="00584F9A" w:rsidP="009B61C3">
      <w:pPr>
        <w:pStyle w:val="FootnoteText"/>
      </w:pPr>
      <w:r>
        <w:rPr>
          <w:rStyle w:val="FootnoteReference"/>
        </w:rPr>
        <w:footnoteRef/>
      </w:r>
      <w:r>
        <w:t xml:space="preserve"> Saunders P, </w:t>
      </w:r>
      <w:r w:rsidRPr="0087041B">
        <w:rPr>
          <w:i/>
        </w:rPr>
        <w:t xml:space="preserve">Development of </w:t>
      </w:r>
      <w:r>
        <w:rPr>
          <w:i/>
        </w:rPr>
        <w:t>I</w:t>
      </w:r>
      <w:r w:rsidRPr="0087041B">
        <w:rPr>
          <w:i/>
        </w:rPr>
        <w:t xml:space="preserve">ndicative </w:t>
      </w:r>
      <w:r>
        <w:rPr>
          <w:i/>
        </w:rPr>
        <w:t>Budget S</w:t>
      </w:r>
      <w:r w:rsidRPr="0087041B">
        <w:rPr>
          <w:i/>
        </w:rPr>
        <w:t>tandards for Australia</w:t>
      </w:r>
      <w:r>
        <w:t>, 1998</w:t>
      </w:r>
    </w:p>
  </w:footnote>
  <w:footnote w:id="41">
    <w:p w:rsidR="00584F9A" w:rsidRDefault="00584F9A" w:rsidP="00FF21CA">
      <w:pPr>
        <w:pStyle w:val="FootnoteText"/>
      </w:pPr>
      <w:r>
        <w:rPr>
          <w:rStyle w:val="FootnoteReference"/>
        </w:rPr>
        <w:footnoteRef/>
      </w:r>
      <w:r>
        <w:t xml:space="preserve"> </w:t>
      </w:r>
      <w:r>
        <w:tab/>
        <w:t xml:space="preserve">For example, retail electricity pricing in Victoria and South Australia and soon to be deregulated in NSW and Queensland and retail gas pricing in Victoria. The distribution networks continue to </w:t>
      </w:r>
      <w:proofErr w:type="gramStart"/>
      <w:r>
        <w:t>be regulated</w:t>
      </w:r>
      <w:proofErr w:type="gramEnd"/>
      <w:r>
        <w:t xml:space="preserve"> by the Australian Energy Regulator.</w:t>
      </w:r>
    </w:p>
  </w:footnote>
  <w:footnote w:id="42">
    <w:p w:rsidR="00584F9A" w:rsidRDefault="00584F9A" w:rsidP="00FF21CA">
      <w:pPr>
        <w:pStyle w:val="FootnoteText"/>
      </w:pPr>
      <w:r>
        <w:rPr>
          <w:rStyle w:val="FootnoteReference"/>
        </w:rPr>
        <w:footnoteRef/>
      </w:r>
      <w:r>
        <w:t xml:space="preserve"> </w:t>
      </w:r>
      <w:r>
        <w:tab/>
        <w:t>Potentially the ACCC has been constrained from regionally differentiating wholesale prices because of a nationally uniform retail price arrangement.</w:t>
      </w:r>
    </w:p>
  </w:footnote>
  <w:footnote w:id="43">
    <w:p w:rsidR="00584F9A" w:rsidRDefault="00584F9A" w:rsidP="00FF21CA">
      <w:pPr>
        <w:pStyle w:val="FootnoteText"/>
      </w:pPr>
      <w:r>
        <w:rPr>
          <w:rStyle w:val="FootnoteReference"/>
        </w:rPr>
        <w:footnoteRef/>
      </w:r>
      <w:r>
        <w:t xml:space="preserve"> </w:t>
      </w:r>
      <w:r>
        <w:tab/>
      </w:r>
      <w:r w:rsidRPr="007F2098">
        <w:t>http://www.humanservices.gov.au/customer/services/centrelink/telephone-allowance</w:t>
      </w:r>
    </w:p>
  </w:footnote>
  <w:footnote w:id="44">
    <w:p w:rsidR="00584F9A" w:rsidRPr="00883B4E" w:rsidRDefault="00584F9A" w:rsidP="00FF21CA">
      <w:pPr>
        <w:pStyle w:val="BodyText"/>
        <w:rPr>
          <w:lang w:val="en"/>
        </w:rPr>
      </w:pPr>
      <w:r>
        <w:rPr>
          <w:rStyle w:val="FootnoteReference"/>
        </w:rPr>
        <w:footnoteRef/>
      </w:r>
      <w:r>
        <w:t xml:space="preserve"> </w:t>
      </w:r>
      <w:r>
        <w:rPr>
          <w:sz w:val="18"/>
          <w:szCs w:val="18"/>
          <w:lang w:val="en"/>
        </w:rPr>
        <w:t>Call c</w:t>
      </w:r>
      <w:r w:rsidRPr="00883B4E">
        <w:rPr>
          <w:sz w:val="18"/>
          <w:szCs w:val="18"/>
          <w:lang w:val="en"/>
        </w:rPr>
        <w:t xml:space="preserve">ontrol allows you to restrict the type of calls made on your phone using a Personal </w:t>
      </w:r>
      <w:r>
        <w:rPr>
          <w:sz w:val="18"/>
          <w:szCs w:val="18"/>
          <w:lang w:val="en"/>
        </w:rPr>
        <w:t>I</w:t>
      </w:r>
      <w:r w:rsidRPr="00883B4E">
        <w:rPr>
          <w:sz w:val="18"/>
          <w:szCs w:val="18"/>
          <w:lang w:val="en"/>
        </w:rPr>
        <w:t>dentification Number (PIN) and can assist with budgeting.</w:t>
      </w:r>
    </w:p>
    <w:p w:rsidR="00584F9A" w:rsidRDefault="00584F9A" w:rsidP="00FF21CA">
      <w:pPr>
        <w:pStyle w:val="FootnoteText"/>
      </w:pPr>
    </w:p>
  </w:footnote>
  <w:footnote w:id="45">
    <w:p w:rsidR="00584F9A" w:rsidRPr="00756197" w:rsidRDefault="00584F9A">
      <w:pPr>
        <w:pStyle w:val="FootnoteText"/>
      </w:pPr>
      <w:r>
        <w:rPr>
          <w:rStyle w:val="FootnoteReference"/>
        </w:rPr>
        <w:footnoteRef/>
      </w:r>
      <w:r>
        <w:t xml:space="preserve"> </w:t>
      </w:r>
      <w:r>
        <w:tab/>
      </w:r>
      <w:proofErr w:type="gramStart"/>
      <w:r>
        <w:t xml:space="preserve">Regional Telecommunications Inquiry 2002, </w:t>
      </w:r>
      <w:r>
        <w:rPr>
          <w:i/>
        </w:rPr>
        <w:t xml:space="preserve">Connecting Regional Australia, </w:t>
      </w:r>
      <w:r>
        <w:t>p. 21.</w:t>
      </w:r>
      <w:proofErr w:type="gramEnd"/>
    </w:p>
  </w:footnote>
  <w:footnote w:id="46">
    <w:p w:rsidR="00584F9A" w:rsidRDefault="00584F9A">
      <w:pPr>
        <w:pStyle w:val="FootnoteText"/>
      </w:pPr>
      <w:r>
        <w:rPr>
          <w:rStyle w:val="FootnoteReference"/>
        </w:rPr>
        <w:footnoteRef/>
      </w:r>
      <w:r>
        <w:t xml:space="preserve"> </w:t>
      </w:r>
      <w:r>
        <w:tab/>
        <w:t>Independent Pricing and Regulatory Tribunal of NSW, Changes in regulated electricity retail prices from 2011, Final report.</w:t>
      </w:r>
    </w:p>
  </w:footnote>
  <w:footnote w:id="47">
    <w:p w:rsidR="00584F9A" w:rsidRDefault="00584F9A" w:rsidP="00FF21CA">
      <w:pPr>
        <w:autoSpaceDE w:val="0"/>
        <w:autoSpaceDN w:val="0"/>
        <w:adjustRightInd w:val="0"/>
        <w:spacing w:line="240" w:lineRule="auto"/>
      </w:pPr>
      <w:r>
        <w:rPr>
          <w:rStyle w:val="FootnoteReference"/>
        </w:rPr>
        <w:footnoteRef/>
      </w:r>
      <w:r>
        <w:t xml:space="preserve"> </w:t>
      </w:r>
      <w:r w:rsidRPr="00A3096D">
        <w:rPr>
          <w:rFonts w:asciiTheme="minorHAnsi" w:hAnsiTheme="minorHAnsi"/>
          <w:sz w:val="18"/>
          <w:szCs w:val="18"/>
        </w:rPr>
        <w:t>The Productivity Commission,</w:t>
      </w:r>
      <w:r>
        <w:t xml:space="preserve"> </w:t>
      </w:r>
      <w:r w:rsidRPr="00A3096D">
        <w:rPr>
          <w:rFonts w:asciiTheme="minorHAnsi" w:hAnsiTheme="minorHAnsi"/>
          <w:i/>
          <w:sz w:val="18"/>
          <w:szCs w:val="18"/>
        </w:rPr>
        <w:t>Review of Australia’s Consumer Policy Framework</w:t>
      </w:r>
      <w:r w:rsidRPr="00A3096D">
        <w:rPr>
          <w:rFonts w:asciiTheme="minorHAnsi" w:hAnsiTheme="minorHAnsi"/>
          <w:sz w:val="18"/>
          <w:szCs w:val="18"/>
        </w:rPr>
        <w:t>, 2008</w:t>
      </w:r>
    </w:p>
  </w:footnote>
  <w:footnote w:id="48">
    <w:p w:rsidR="00584F9A" w:rsidRDefault="00584F9A" w:rsidP="00FF21CA">
      <w:pPr>
        <w:pStyle w:val="FootnoteText"/>
      </w:pPr>
      <w:r>
        <w:rPr>
          <w:rStyle w:val="FootnoteReference"/>
        </w:rPr>
        <w:footnoteRef/>
      </w:r>
      <w:r>
        <w:t xml:space="preserve"> </w:t>
      </w:r>
      <w:r>
        <w:tab/>
        <w:t xml:space="preserve">ACCC 2005, </w:t>
      </w:r>
      <w:r>
        <w:rPr>
          <w:i/>
        </w:rPr>
        <w:t xml:space="preserve">Review of Telstra’s </w:t>
      </w:r>
      <w:proofErr w:type="gramStart"/>
      <w:r>
        <w:rPr>
          <w:i/>
        </w:rPr>
        <w:t>retail price control arrangements</w:t>
      </w:r>
      <w:proofErr w:type="gramEnd"/>
      <w:r>
        <w:rPr>
          <w:i/>
        </w:rPr>
        <w:t>,</w:t>
      </w:r>
      <w:r>
        <w:t xml:space="preserve"> February, p. 14.</w:t>
      </w:r>
    </w:p>
  </w:footnote>
  <w:footnote w:id="49">
    <w:p w:rsidR="00584F9A" w:rsidRDefault="00584F9A" w:rsidP="00FF21CA">
      <w:pPr>
        <w:pStyle w:val="FootnoteText"/>
      </w:pPr>
      <w:r>
        <w:rPr>
          <w:rStyle w:val="FootnoteReference"/>
        </w:rPr>
        <w:footnoteRef/>
      </w:r>
      <w:r>
        <w:t xml:space="preserve"> </w:t>
      </w:r>
      <w:r>
        <w:tab/>
        <w:t xml:space="preserve">ACCC 2005, </w:t>
      </w:r>
      <w:r>
        <w:rPr>
          <w:i/>
        </w:rPr>
        <w:t xml:space="preserve">Review of Telstra’s </w:t>
      </w:r>
      <w:proofErr w:type="gramStart"/>
      <w:r>
        <w:rPr>
          <w:i/>
        </w:rPr>
        <w:t>retail price control arrangements</w:t>
      </w:r>
      <w:proofErr w:type="gramEnd"/>
      <w:r>
        <w:rPr>
          <w:i/>
        </w:rPr>
        <w:t>,</w:t>
      </w:r>
      <w:r>
        <w:t xml:space="preserve"> February. </w:t>
      </w:r>
    </w:p>
  </w:footnote>
  <w:footnote w:id="50">
    <w:p w:rsidR="00584F9A" w:rsidRDefault="00584F9A" w:rsidP="00FF21CA">
      <w:pPr>
        <w:pStyle w:val="FootnoteText"/>
      </w:pPr>
      <w:r>
        <w:rPr>
          <w:rStyle w:val="FootnoteReference"/>
        </w:rPr>
        <w:footnoteRef/>
      </w:r>
      <w:r>
        <w:t xml:space="preserve"> </w:t>
      </w:r>
      <w:r>
        <w:tab/>
        <w:t xml:space="preserve">ACCC 2005, </w:t>
      </w:r>
      <w:r>
        <w:rPr>
          <w:i/>
        </w:rPr>
        <w:t xml:space="preserve">Review of Telstra’s </w:t>
      </w:r>
      <w:proofErr w:type="gramStart"/>
      <w:r>
        <w:rPr>
          <w:i/>
        </w:rPr>
        <w:t>retail price control arrangements</w:t>
      </w:r>
      <w:proofErr w:type="gramEnd"/>
      <w:r>
        <w:rPr>
          <w:i/>
        </w:rPr>
        <w:t>,</w:t>
      </w:r>
      <w:r>
        <w:t xml:space="preserve"> February.</w:t>
      </w:r>
    </w:p>
  </w:footnote>
  <w:footnote w:id="51">
    <w:p w:rsidR="00584F9A" w:rsidRPr="0067692B" w:rsidRDefault="00584F9A" w:rsidP="00FF21CA">
      <w:pPr>
        <w:pStyle w:val="FootnoteText"/>
      </w:pPr>
      <w:r>
        <w:rPr>
          <w:rStyle w:val="FootnoteReference"/>
        </w:rPr>
        <w:footnoteRef/>
      </w:r>
      <w:r>
        <w:t xml:space="preserve"> </w:t>
      </w:r>
      <w:r>
        <w:tab/>
        <w:t xml:space="preserve">NERA Economic Consulting 2007, </w:t>
      </w:r>
      <w:r>
        <w:rPr>
          <w:i/>
        </w:rPr>
        <w:t>Assessment of price monitoring in Australia: a briefing note for the AEMC,</w:t>
      </w:r>
      <w:r>
        <w:t xml:space="preserve"> prepared for the Australian Energy Market Commission, December.</w:t>
      </w:r>
    </w:p>
  </w:footnote>
  <w:footnote w:id="52">
    <w:p w:rsidR="00584F9A" w:rsidRPr="00621741" w:rsidRDefault="00584F9A" w:rsidP="00FF21CA">
      <w:pPr>
        <w:pStyle w:val="FootnoteText"/>
      </w:pPr>
      <w:r>
        <w:rPr>
          <w:rStyle w:val="FootnoteReference"/>
        </w:rPr>
        <w:footnoteRef/>
      </w:r>
      <w:r>
        <w:t xml:space="preserve"> </w:t>
      </w:r>
      <w:r>
        <w:tab/>
      </w:r>
      <w:proofErr w:type="gramStart"/>
      <w:r>
        <w:t xml:space="preserve">ACCC 2013, </w:t>
      </w:r>
      <w:r>
        <w:rPr>
          <w:i/>
        </w:rPr>
        <w:t>Airport monitoring report 2012/13,</w:t>
      </w:r>
      <w:r>
        <w:t xml:space="preserve"> p. xiii.</w:t>
      </w:r>
      <w:proofErr w:type="gramEnd"/>
    </w:p>
  </w:footnote>
  <w:footnote w:id="53">
    <w:p w:rsidR="00584F9A" w:rsidRPr="007366A5" w:rsidRDefault="00584F9A" w:rsidP="00FF21CA">
      <w:pPr>
        <w:pStyle w:val="FootnoteText"/>
      </w:pPr>
      <w:r>
        <w:rPr>
          <w:rStyle w:val="FootnoteReference"/>
        </w:rPr>
        <w:footnoteRef/>
      </w:r>
      <w:r>
        <w:t xml:space="preserve"> </w:t>
      </w:r>
      <w:r>
        <w:tab/>
        <w:t xml:space="preserve">Productivity Commission 2011, </w:t>
      </w:r>
      <w:r>
        <w:rPr>
          <w:i/>
        </w:rPr>
        <w:t>Economic regulation of airport services,</w:t>
      </w:r>
      <w:r>
        <w:t xml:space="preserve"> Inquiry report, p. xx.</w:t>
      </w:r>
    </w:p>
  </w:footnote>
  <w:footnote w:id="54">
    <w:p w:rsidR="00584F9A" w:rsidRDefault="00584F9A">
      <w:pPr>
        <w:pStyle w:val="FootnoteText"/>
      </w:pPr>
      <w:r>
        <w:rPr>
          <w:rStyle w:val="FootnoteReference"/>
        </w:rPr>
        <w:footnoteRef/>
      </w:r>
      <w:r>
        <w:t xml:space="preserve"> </w:t>
      </w:r>
      <w:r>
        <w:tab/>
        <w:t xml:space="preserve">See Telstra website, </w:t>
      </w:r>
      <w:hyperlink r:id="rId4" w:history="1">
        <w:r w:rsidRPr="00126A63">
          <w:rPr>
            <w:rStyle w:val="Hyperlink"/>
          </w:rPr>
          <w:t>http://www.telstra.com.au/abouttelstra/commitments/uso/</w:t>
        </w:r>
      </w:hyperlink>
      <w:r>
        <w:t xml:space="preserve"> accessed 28 April 2014.</w:t>
      </w:r>
    </w:p>
  </w:footnote>
  <w:footnote w:id="55">
    <w:p w:rsidR="00584F9A" w:rsidRDefault="00584F9A">
      <w:pPr>
        <w:pStyle w:val="FootnoteText"/>
      </w:pPr>
      <w:r>
        <w:rPr>
          <w:rStyle w:val="FootnoteReference"/>
        </w:rPr>
        <w:footnoteRef/>
      </w:r>
      <w:r>
        <w:t xml:space="preserve"> </w:t>
      </w:r>
      <w:r>
        <w:tab/>
        <w:t xml:space="preserve">This can be accessed at the ACCC website: </w:t>
      </w:r>
      <w:hyperlink r:id="rId5" w:history="1">
        <w:r>
          <w:rPr>
            <w:rStyle w:val="Hyperlink"/>
          </w:rPr>
          <w:t>http://www.accc.gov.au/regulated-infrastructure/communications/fixed-line-services/fixed-line-services-final-access-determination-fad-2011/final-report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9D4FBD" w:rsidRDefault="00584F9A" w:rsidP="00675046">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fldSimple w:instr=" STYLEREF  Title ">
      <w:r>
        <w:rPr>
          <w:noProof/>
        </w:rPr>
        <w:t>Telstra’s retail price controls</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Default="00584F9A" w:rsidP="00F543C4">
    <w:pPr>
      <w:pStyle w:val="Header"/>
    </w:pPr>
    <w:r>
      <w:rPr>
        <w:b/>
      </w:rPr>
      <w:tab/>
    </w:r>
    <w:sdt>
      <w:sdtPr>
        <w:id w:val="-1120608803"/>
        <w:docPartObj>
          <w:docPartGallery w:val="Page Numbers (Bottom of Page)"/>
          <w:docPartUnique/>
        </w:docPartObj>
      </w:sdtPr>
      <w:sdtEndPr>
        <w:rPr>
          <w:rStyle w:val="PageNumber"/>
          <w:rFonts w:ascii="Franklin Gothic Demi" w:hAnsi="Franklin Gothic Demi"/>
          <w:color w:val="006B7A" w:themeColor="accent1"/>
          <w:sz w:val="20"/>
          <w:szCs w:val="20"/>
        </w:rPr>
      </w:sdtEndPr>
      <w:sdtContent>
        <w:r w:rsidRPr="00D44D70">
          <w:rPr>
            <w:rStyle w:val="PageNumber"/>
          </w:rPr>
          <w:fldChar w:fldCharType="begin"/>
        </w:r>
        <w:r w:rsidRPr="00D44D70">
          <w:rPr>
            <w:rStyle w:val="PageNumber"/>
          </w:rPr>
          <w:instrText xml:space="preserve"> PAGE   \* MERGEFORMAT </w:instrText>
        </w:r>
        <w:r w:rsidRPr="00D44D70">
          <w:rPr>
            <w:rStyle w:val="PageNumber"/>
          </w:rPr>
          <w:fldChar w:fldCharType="separate"/>
        </w:r>
        <w:r w:rsidR="00B01898">
          <w:rPr>
            <w:rStyle w:val="PageNumber"/>
            <w:noProof/>
          </w:rPr>
          <w:t>86</w:t>
        </w:r>
        <w:r w:rsidRPr="00D44D70">
          <w:rPr>
            <w:rStyle w:val="PageNumber"/>
          </w:rPr>
          <w:fldChar w:fldCharType="end"/>
        </w:r>
      </w:sdtContent>
    </w:sdt>
    <w:r>
      <w:rPr>
        <w:b/>
      </w:rPr>
      <w:tab/>
    </w:r>
    <w:fldSimple w:instr=" STYLEREF  Title ">
      <w:r w:rsidR="00B01898">
        <w:rPr>
          <w:noProof/>
        </w:rPr>
        <w:t>Telstra’s retail price controls</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3D2A2B" w:rsidRDefault="00584F9A" w:rsidP="00F543C4">
    <w:pPr>
      <w:pStyle w:val="Header"/>
    </w:pPr>
    <w:r>
      <w:tab/>
    </w:r>
    <w:r>
      <w:tab/>
    </w:r>
    <w:r>
      <w:tab/>
    </w:r>
    <w:fldSimple w:instr=" STYLEREF  Title ">
      <w:r w:rsidR="00B01898">
        <w:rPr>
          <w:noProof/>
        </w:rPr>
        <w:t>Telstra’s retail price controls</w:t>
      </w:r>
    </w:fldSimple>
    <w:r>
      <w:tab/>
    </w:r>
    <w:r>
      <w:rPr>
        <w:rStyle w:val="PageNumber"/>
      </w:rPr>
      <w:fldChar w:fldCharType="begin"/>
    </w:r>
    <w:r>
      <w:rPr>
        <w:rStyle w:val="PageNumber"/>
      </w:rPr>
      <w:instrText xml:space="preserve"> PAGE </w:instrText>
    </w:r>
    <w:r>
      <w:rPr>
        <w:rStyle w:val="PageNumber"/>
      </w:rPr>
      <w:fldChar w:fldCharType="separate"/>
    </w:r>
    <w:r w:rsidR="00B01898">
      <w:rPr>
        <w:rStyle w:val="PageNumber"/>
        <w:noProof/>
      </w:rPr>
      <w:t>85</w:t>
    </w:r>
    <w:r>
      <w:rPr>
        <w:rStyle w:val="PageNumbe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9D4FBD" w:rsidRDefault="00584F9A" w:rsidP="00A43AF7">
    <w:pPr>
      <w:pStyle w:val="Header"/>
    </w:pPr>
    <w:r>
      <w:tab/>
    </w:r>
    <w:r>
      <w:rPr>
        <w:rStyle w:val="PageNumber"/>
      </w:rPr>
      <w:fldChar w:fldCharType="begin"/>
    </w:r>
    <w:r>
      <w:rPr>
        <w:rStyle w:val="PageNumber"/>
      </w:rPr>
      <w:instrText xml:space="preserve"> PAGE </w:instrText>
    </w:r>
    <w:r>
      <w:rPr>
        <w:rStyle w:val="PageNumber"/>
      </w:rPr>
      <w:fldChar w:fldCharType="separate"/>
    </w:r>
    <w:r w:rsidR="007B5CE6">
      <w:rPr>
        <w:rStyle w:val="PageNumber"/>
        <w:noProof/>
      </w:rPr>
      <w:t>88</w:t>
    </w:r>
    <w:r>
      <w:rPr>
        <w:rStyle w:val="PageNumber"/>
      </w:rPr>
      <w:fldChar w:fldCharType="end"/>
    </w:r>
    <w:r>
      <w:tab/>
    </w:r>
    <w:fldSimple w:instr=" STYLEREF  Title ">
      <w:r w:rsidR="007B5CE6">
        <w:rPr>
          <w:noProof/>
        </w:rPr>
        <w:t>Telstra’s retail price controls</w:t>
      </w:r>
    </w:fldSimple>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9D4FBD" w:rsidRDefault="00584F9A" w:rsidP="00A43AF7">
    <w:pPr>
      <w:pStyle w:val="Header"/>
    </w:pPr>
    <w:r>
      <w:tab/>
    </w:r>
    <w:r>
      <w:tab/>
    </w:r>
    <w:r>
      <w:tab/>
    </w:r>
    <w:fldSimple w:instr=" STYLEREF  Title ">
      <w:r w:rsidR="007B5CE6">
        <w:rPr>
          <w:noProof/>
        </w:rPr>
        <w:t>Telstra’s retail price controls</w:t>
      </w:r>
    </w:fldSimple>
    <w:r>
      <w:tab/>
    </w:r>
    <w:r>
      <w:rPr>
        <w:rStyle w:val="PageNumber"/>
      </w:rPr>
      <w:fldChar w:fldCharType="begin"/>
    </w:r>
    <w:r>
      <w:rPr>
        <w:rStyle w:val="PageNumber"/>
      </w:rPr>
      <w:instrText xml:space="preserve"> PAGE </w:instrText>
    </w:r>
    <w:r>
      <w:rPr>
        <w:rStyle w:val="PageNumber"/>
      </w:rPr>
      <w:fldChar w:fldCharType="separate"/>
    </w:r>
    <w:r w:rsidR="007B5CE6">
      <w:rPr>
        <w:rStyle w:val="PageNumber"/>
        <w:noProof/>
      </w:rPr>
      <w:t>87</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E95793" w:rsidRDefault="00584F9A" w:rsidP="00675046">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A731D9" w:rsidRDefault="00584F9A" w:rsidP="0067504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Default="00584F9A" w:rsidP="00675046">
    <w:pPr>
      <w:pStyle w:val="Header"/>
    </w:pPr>
    <w:r>
      <w:rPr>
        <w:b/>
      </w:rPr>
      <w:tab/>
    </w:r>
    <w:sdt>
      <w:sdtPr>
        <w:id w:val="587430190"/>
        <w:docPartObj>
          <w:docPartGallery w:val="Page Numbers (Bottom of Page)"/>
          <w:docPartUnique/>
        </w:docPartObj>
      </w:sdtPr>
      <w:sdtEndPr>
        <w:rPr>
          <w:rStyle w:val="PageNumber"/>
          <w:rFonts w:ascii="Franklin Gothic Demi" w:hAnsi="Franklin Gothic Demi"/>
          <w:color w:val="006B7A" w:themeColor="accent1"/>
          <w:sz w:val="20"/>
          <w:szCs w:val="20"/>
        </w:rPr>
      </w:sdtEndPr>
      <w:sdtContent>
        <w:r w:rsidRPr="00D44D70">
          <w:rPr>
            <w:rStyle w:val="PageNumber"/>
          </w:rPr>
          <w:fldChar w:fldCharType="begin"/>
        </w:r>
        <w:r w:rsidRPr="00D44D70">
          <w:rPr>
            <w:rStyle w:val="PageNumber"/>
          </w:rPr>
          <w:instrText xml:space="preserve"> PAGE   \* MERGEFORMAT </w:instrText>
        </w:r>
        <w:r w:rsidRPr="00D44D70">
          <w:rPr>
            <w:rStyle w:val="PageNumber"/>
          </w:rPr>
          <w:fldChar w:fldCharType="separate"/>
        </w:r>
        <w:r w:rsidR="00B01898">
          <w:rPr>
            <w:rStyle w:val="PageNumber"/>
            <w:noProof/>
          </w:rPr>
          <w:t>iv</w:t>
        </w:r>
        <w:r w:rsidRPr="00D44D70">
          <w:rPr>
            <w:rStyle w:val="PageNumber"/>
          </w:rPr>
          <w:fldChar w:fldCharType="end"/>
        </w:r>
      </w:sdtContent>
    </w:sdt>
    <w:r>
      <w:rPr>
        <w:b/>
      </w:rPr>
      <w:tab/>
    </w:r>
    <w:fldSimple w:instr=" STYLEREF  Title ">
      <w:r w:rsidR="00B01898">
        <w:rPr>
          <w:noProof/>
        </w:rPr>
        <w:t>Telstra’s retail price controls</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3D2A2B" w:rsidRDefault="00584F9A" w:rsidP="00675046">
    <w:pPr>
      <w:pStyle w:val="Header"/>
    </w:pPr>
    <w:r>
      <w:tab/>
    </w:r>
    <w:r>
      <w:tab/>
    </w:r>
    <w:r>
      <w:tab/>
    </w:r>
    <w:fldSimple w:instr=" STYLEREF  Title ">
      <w:r w:rsidR="00B01898">
        <w:rPr>
          <w:noProof/>
        </w:rPr>
        <w:t>Telstra’s retail price controls</w:t>
      </w:r>
    </w:fldSimple>
    <w:r>
      <w:tab/>
    </w:r>
    <w:r>
      <w:rPr>
        <w:rStyle w:val="PageNumber"/>
      </w:rPr>
      <w:fldChar w:fldCharType="begin"/>
    </w:r>
    <w:r>
      <w:rPr>
        <w:rStyle w:val="PageNumber"/>
      </w:rPr>
      <w:instrText xml:space="preserve"> PAGE </w:instrText>
    </w:r>
    <w:r>
      <w:rPr>
        <w:rStyle w:val="PageNumber"/>
      </w:rPr>
      <w:fldChar w:fldCharType="separate"/>
    </w:r>
    <w:r w:rsidR="00B01898">
      <w:rPr>
        <w:rStyle w:val="PageNumber"/>
        <w:noProof/>
      </w:rPr>
      <w:t>iii</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3D6FA5" w:rsidRDefault="00584F9A" w:rsidP="00F376BC">
    <w:pPr>
      <w:pStyle w:val="Header"/>
    </w:pPr>
    <w:r>
      <w:tab/>
    </w:r>
    <w:r>
      <w:rPr>
        <w:rStyle w:val="PageNumber"/>
      </w:rPr>
      <w:fldChar w:fldCharType="begin"/>
    </w:r>
    <w:r>
      <w:rPr>
        <w:rStyle w:val="PageNumber"/>
      </w:rPr>
      <w:instrText xml:space="preserve"> PAGE </w:instrText>
    </w:r>
    <w:r>
      <w:rPr>
        <w:rStyle w:val="PageNumber"/>
      </w:rPr>
      <w:fldChar w:fldCharType="separate"/>
    </w:r>
    <w:r w:rsidR="00B01898">
      <w:rPr>
        <w:rStyle w:val="PageNumber"/>
        <w:noProof/>
      </w:rPr>
      <w:t>46</w:t>
    </w:r>
    <w:r>
      <w:rPr>
        <w:rStyle w:val="PageNumber"/>
      </w:rPr>
      <w:fldChar w:fldCharType="end"/>
    </w:r>
    <w:r>
      <w:tab/>
    </w:r>
    <w:fldSimple w:instr=" STYLEREF  Title ">
      <w:r w:rsidR="00B01898">
        <w:rPr>
          <w:noProof/>
        </w:rPr>
        <w:t>Telstra’s retail price controls</w:t>
      </w:r>
    </w:fldSimple>
    <w:r w:rsidRPr="00CD111E">
      <w:rPr>
        <w:noProof/>
      </w:rPr>
      <mc:AlternateContent>
        <mc:Choice Requires="wps">
          <w:drawing>
            <wp:anchor distT="0" distB="0" distL="114300" distR="114300" simplePos="0" relativeHeight="251668480" behindDoc="0" locked="0" layoutInCell="0" allowOverlap="1" wp14:anchorId="2B965464" wp14:editId="413051DA">
              <wp:simplePos x="0" y="0"/>
              <wp:positionH relativeFrom="page">
                <wp:posOffset>9771380</wp:posOffset>
              </wp:positionH>
              <wp:positionV relativeFrom="page">
                <wp:posOffset>0</wp:posOffset>
              </wp:positionV>
              <wp:extent cx="0" cy="7560000"/>
              <wp:effectExtent l="0" t="0" r="19050" b="22225"/>
              <wp:wrapNone/>
              <wp:docPr id="50" name="Straight Connector 50"/>
              <wp:cNvGraphicFramePr/>
              <a:graphic xmlns:a="http://schemas.openxmlformats.org/drawingml/2006/main">
                <a:graphicData uri="http://schemas.microsoft.com/office/word/2010/wordprocessingShape">
                  <wps:wsp>
                    <wps:cNvCnPr/>
                    <wps:spPr>
                      <a:xfrm>
                        <a:off x="0" y="0"/>
                        <a:ext cx="0" cy="756000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0" o:spid="_x0000_s1026" style="position:absolute;z-index:2516684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69.4pt,0" to="769.4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" o:allowincell="f" strokecolor="#006573 [3044]" strokeweight=".5pt">
              <w10:wrap anchorx="page" anchory="page"/>
            </v:line>
          </w:pict>
        </mc:Fallback>
      </mc:AlternateContent>
    </w:r>
    <w:r w:rsidRPr="00CD111E">
      <w:rPr>
        <w:noProof/>
      </w:rPr>
      <mc:AlternateContent>
        <mc:Choice Requires="wps">
          <w:drawing>
            <wp:anchor distT="0" distB="0" distL="114300" distR="114300" simplePos="0" relativeHeight="251667456" behindDoc="0" locked="0" layoutInCell="0" allowOverlap="1" wp14:anchorId="75C0E3A5" wp14:editId="03EA2DC7">
              <wp:simplePos x="0" y="0"/>
              <wp:positionH relativeFrom="page">
                <wp:posOffset>9757410</wp:posOffset>
              </wp:positionH>
              <wp:positionV relativeFrom="page">
                <wp:posOffset>0</wp:posOffset>
              </wp:positionV>
              <wp:extent cx="216000" cy="7560000"/>
              <wp:effectExtent l="0" t="0" r="0" b="3175"/>
              <wp:wrapNone/>
              <wp:docPr id="51" name="Rectangle 51"/>
              <wp:cNvGraphicFramePr/>
              <a:graphic xmlns:a="http://schemas.openxmlformats.org/drawingml/2006/main">
                <a:graphicData uri="http://schemas.microsoft.com/office/word/2010/wordprocessingShape">
                  <wps:wsp>
                    <wps:cNvSpPr/>
                    <wps:spPr>
                      <a:xfrm>
                        <a:off x="0" y="0"/>
                        <a:ext cx="216000" cy="75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9D4FBD" w:rsidRDefault="00584F9A" w:rsidP="00F376BC">
                          <w:pPr>
                            <w:pStyle w:val="Header"/>
                            <w:tabs>
                              <w:tab w:val="clear" w:pos="-567"/>
                              <w:tab w:val="clear" w:pos="0"/>
                              <w:tab w:val="clear" w:pos="7938"/>
                              <w:tab w:val="clear" w:pos="8505"/>
                              <w:tab w:val="left" w:pos="1701"/>
                              <w:tab w:val="left" w:pos="2268"/>
                              <w:tab w:val="right" w:pos="10206"/>
                              <w:tab w:val="right" w:pos="10773"/>
                            </w:tabs>
                            <w:spacing w:before="0"/>
                            <w:ind w:right="-1701"/>
                          </w:pPr>
                          <w:r>
                            <w:tab/>
                          </w:r>
                          <w:r>
                            <w:rPr>
                              <w:rStyle w:val="PageNumber"/>
                            </w:rPr>
                            <w:fldChar w:fldCharType="begin"/>
                          </w:r>
                          <w:r>
                            <w:rPr>
                              <w:rStyle w:val="PageNumber"/>
                            </w:rPr>
                            <w:instrText xml:space="preserve"> PAGE </w:instrText>
                          </w:r>
                          <w:r>
                            <w:rPr>
                              <w:rStyle w:val="PageNumber"/>
                            </w:rPr>
                            <w:fldChar w:fldCharType="separate"/>
                          </w:r>
                          <w:r w:rsidR="00B01898">
                            <w:rPr>
                              <w:rStyle w:val="PageNumber"/>
                              <w:noProof/>
                            </w:rPr>
                            <w:t>46</w:t>
                          </w:r>
                          <w:r>
                            <w:rPr>
                              <w:rStyle w:val="PageNumber"/>
                            </w:rPr>
                            <w:fldChar w:fldCharType="end"/>
                          </w:r>
                          <w:r>
                            <w:tab/>
                          </w:r>
                          <w:r w:rsidRPr="00CD111E">
                            <w:rPr>
                              <w:color w:val="000000" w:themeColor="text1"/>
                            </w:rPr>
                            <w:fldChar w:fldCharType="begin"/>
                          </w:r>
                          <w:r w:rsidRPr="00CD111E">
                            <w:rPr>
                              <w:color w:val="000000" w:themeColor="text1"/>
                            </w:rPr>
                            <w:instrText xml:space="preserve"> STYLEREF  Title </w:instrText>
                          </w:r>
                          <w:r w:rsidRPr="00CD111E">
                            <w:rPr>
                              <w:color w:val="000000" w:themeColor="text1"/>
                            </w:rPr>
                            <w:fldChar w:fldCharType="separate"/>
                          </w:r>
                          <w:r w:rsidR="00B01898">
                            <w:rPr>
                              <w:noProof/>
                              <w:color w:val="000000" w:themeColor="text1"/>
                            </w:rPr>
                            <w:t>Telstra’s retail price controls</w:t>
                          </w:r>
                          <w:r w:rsidRPr="00CD111E">
                            <w:rPr>
                              <w:noProof/>
                              <w:color w:val="000000" w:themeColor="text1"/>
                            </w:rPr>
                            <w:fldChar w:fldCharType="end"/>
                          </w:r>
                          <w:r w:rsidRPr="00CD111E">
                            <w:rPr>
                              <w:color w:val="000000" w:themeColor="text1"/>
                            </w:rPr>
                            <w:tab/>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186" style="position:absolute;left:0;text-align:left;margin-left:768.3pt;margin-top:0;width:17pt;height:595.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" o:allowincell="f" filled="f" stroked="f" strokeweight="2pt">
              <v:textbox style="layout-flow:vertical" inset="0,0,0,0">
                <w:txbxContent>
                  <w:p w:rsidR="00584F9A" w:rsidRPr="009D4FBD" w:rsidRDefault="00584F9A" w:rsidP="00F376BC">
                    <w:pPr>
                      <w:pStyle w:val="Header"/>
                      <w:tabs>
                        <w:tab w:val="clear" w:pos="-567"/>
                        <w:tab w:val="clear" w:pos="0"/>
                        <w:tab w:val="clear" w:pos="7938"/>
                        <w:tab w:val="clear" w:pos="8505"/>
                        <w:tab w:val="left" w:pos="1701"/>
                        <w:tab w:val="left" w:pos="2268"/>
                        <w:tab w:val="right" w:pos="10206"/>
                        <w:tab w:val="right" w:pos="10773"/>
                      </w:tabs>
                      <w:spacing w:before="0"/>
                      <w:ind w:right="-1701"/>
                    </w:pPr>
                    <w:r>
                      <w:tab/>
                    </w:r>
                    <w:r>
                      <w:rPr>
                        <w:rStyle w:val="PageNumber"/>
                      </w:rPr>
                      <w:fldChar w:fldCharType="begin"/>
                    </w:r>
                    <w:r>
                      <w:rPr>
                        <w:rStyle w:val="PageNumber"/>
                      </w:rPr>
                      <w:instrText xml:space="preserve"> PAGE </w:instrText>
                    </w:r>
                    <w:r>
                      <w:rPr>
                        <w:rStyle w:val="PageNumber"/>
                      </w:rPr>
                      <w:fldChar w:fldCharType="separate"/>
                    </w:r>
                    <w:r w:rsidR="00B01898">
                      <w:rPr>
                        <w:rStyle w:val="PageNumber"/>
                        <w:noProof/>
                      </w:rPr>
                      <w:t>46</w:t>
                    </w:r>
                    <w:r>
                      <w:rPr>
                        <w:rStyle w:val="PageNumber"/>
                      </w:rPr>
                      <w:fldChar w:fldCharType="end"/>
                    </w:r>
                    <w:r>
                      <w:tab/>
                    </w:r>
                    <w:r w:rsidRPr="00CD111E">
                      <w:rPr>
                        <w:color w:val="000000" w:themeColor="text1"/>
                      </w:rPr>
                      <w:fldChar w:fldCharType="begin"/>
                    </w:r>
                    <w:r w:rsidRPr="00CD111E">
                      <w:rPr>
                        <w:color w:val="000000" w:themeColor="text1"/>
                      </w:rPr>
                      <w:instrText xml:space="preserve"> STYLEREF  Title </w:instrText>
                    </w:r>
                    <w:r w:rsidRPr="00CD111E">
                      <w:rPr>
                        <w:color w:val="000000" w:themeColor="text1"/>
                      </w:rPr>
                      <w:fldChar w:fldCharType="separate"/>
                    </w:r>
                    <w:r w:rsidR="00B01898">
                      <w:rPr>
                        <w:noProof/>
                        <w:color w:val="000000" w:themeColor="text1"/>
                      </w:rPr>
                      <w:t>Telstra’s retail price controls</w:t>
                    </w:r>
                    <w:r w:rsidRPr="00CD111E">
                      <w:rPr>
                        <w:noProof/>
                        <w:color w:val="000000" w:themeColor="text1"/>
                      </w:rPr>
                      <w:fldChar w:fldCharType="end"/>
                    </w:r>
                    <w:r w:rsidRPr="00CD111E">
                      <w:rPr>
                        <w:color w:val="000000" w:themeColor="text1"/>
                      </w:rPr>
                      <w:tab/>
                    </w: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3D6FA5" w:rsidRDefault="00584F9A" w:rsidP="00F376BC">
    <w:pPr>
      <w:pStyle w:val="Header"/>
    </w:pPr>
    <w:r>
      <w:tab/>
    </w:r>
    <w:r>
      <w:tab/>
    </w:r>
    <w:r>
      <w:tab/>
    </w:r>
    <w:fldSimple w:instr=" STYLEREF  Title ">
      <w:r w:rsidR="00B01898">
        <w:rPr>
          <w:noProof/>
        </w:rPr>
        <w:t>Telstra’s retail price controls</w:t>
      </w:r>
    </w:fldSimple>
    <w:r>
      <w:tab/>
    </w:r>
    <w:r>
      <w:rPr>
        <w:rStyle w:val="PageNumber"/>
      </w:rPr>
      <w:fldChar w:fldCharType="begin"/>
    </w:r>
    <w:r>
      <w:rPr>
        <w:rStyle w:val="PageNumber"/>
      </w:rPr>
      <w:instrText xml:space="preserve"> PAGE </w:instrText>
    </w:r>
    <w:r>
      <w:rPr>
        <w:rStyle w:val="PageNumber"/>
      </w:rPr>
      <w:fldChar w:fldCharType="separate"/>
    </w:r>
    <w:r w:rsidR="00B01898">
      <w:rPr>
        <w:rStyle w:val="PageNumber"/>
        <w:noProof/>
      </w:rPr>
      <w:t>47</w:t>
    </w:r>
    <w:r>
      <w:rPr>
        <w:rStyle w:val="PageNumber"/>
      </w:rPr>
      <w:fldChar w:fldCharType="end"/>
    </w:r>
    <w:r>
      <w:rPr>
        <w:noProof/>
      </w:rPr>
      <mc:AlternateContent>
        <mc:Choice Requires="wps">
          <w:drawing>
            <wp:anchor distT="0" distB="0" distL="114300" distR="114300" simplePos="0" relativeHeight="251666432" behindDoc="0" locked="0" layoutInCell="0" allowOverlap="1" wp14:anchorId="49EACFEF" wp14:editId="5037D6D8">
              <wp:simplePos x="0" y="0"/>
              <wp:positionH relativeFrom="page">
                <wp:posOffset>9771380</wp:posOffset>
              </wp:positionH>
              <wp:positionV relativeFrom="page">
                <wp:posOffset>0</wp:posOffset>
              </wp:positionV>
              <wp:extent cx="0" cy="7560000"/>
              <wp:effectExtent l="0" t="0" r="19050" b="22225"/>
              <wp:wrapNone/>
              <wp:docPr id="48" name="Straight Connector 48"/>
              <wp:cNvGraphicFramePr/>
              <a:graphic xmlns:a="http://schemas.openxmlformats.org/drawingml/2006/main">
                <a:graphicData uri="http://schemas.microsoft.com/office/word/2010/wordprocessingShape">
                  <wps:wsp>
                    <wps:cNvCnPr/>
                    <wps:spPr>
                      <a:xfrm>
                        <a:off x="0" y="0"/>
                        <a:ext cx="0" cy="756000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8" o:spid="_x0000_s1026" style="position:absolute;z-index:25166643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69.4pt,0" to="769.4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" o:allowincell="f" strokecolor="#006573 [3044]" strokeweight=".5pt">
              <w10:wrap anchorx="page" anchory="page"/>
            </v:line>
          </w:pict>
        </mc:Fallback>
      </mc:AlternateContent>
    </w:r>
    <w:r>
      <w:rPr>
        <w:noProof/>
      </w:rPr>
      <mc:AlternateContent>
        <mc:Choice Requires="wps">
          <w:drawing>
            <wp:anchor distT="0" distB="0" distL="114300" distR="114300" simplePos="0" relativeHeight="251665408" behindDoc="0" locked="0" layoutInCell="0" allowOverlap="1" wp14:anchorId="093A0034" wp14:editId="1126754E">
              <wp:simplePos x="0" y="0"/>
              <wp:positionH relativeFrom="page">
                <wp:posOffset>9757410</wp:posOffset>
              </wp:positionH>
              <wp:positionV relativeFrom="page">
                <wp:posOffset>0</wp:posOffset>
              </wp:positionV>
              <wp:extent cx="216000" cy="7560000"/>
              <wp:effectExtent l="0" t="0" r="0" b="3175"/>
              <wp:wrapNone/>
              <wp:docPr id="49" name="Rectangle 49"/>
              <wp:cNvGraphicFramePr/>
              <a:graphic xmlns:a="http://schemas.openxmlformats.org/drawingml/2006/main">
                <a:graphicData uri="http://schemas.microsoft.com/office/word/2010/wordprocessingShape">
                  <wps:wsp>
                    <wps:cNvSpPr/>
                    <wps:spPr>
                      <a:xfrm>
                        <a:off x="0" y="0"/>
                        <a:ext cx="216000" cy="75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9D4FBD" w:rsidRDefault="00584F9A" w:rsidP="00F376BC">
                          <w:pPr>
                            <w:pStyle w:val="Header"/>
                            <w:tabs>
                              <w:tab w:val="clear" w:pos="-567"/>
                              <w:tab w:val="clear" w:pos="0"/>
                              <w:tab w:val="clear" w:pos="7938"/>
                              <w:tab w:val="clear" w:pos="8505"/>
                              <w:tab w:val="left" w:pos="1701"/>
                              <w:tab w:val="left" w:pos="2268"/>
                              <w:tab w:val="right" w:pos="10206"/>
                              <w:tab w:val="right" w:pos="10773"/>
                            </w:tabs>
                            <w:spacing w:before="0"/>
                            <w:ind w:right="-1701"/>
                          </w:pPr>
                          <w:r>
                            <w:tab/>
                          </w:r>
                          <w:r>
                            <w:tab/>
                          </w:r>
                          <w:r>
                            <w:tab/>
                          </w:r>
                          <w:r w:rsidRPr="00F748C7">
                            <w:rPr>
                              <w:color w:val="000000" w:themeColor="text1"/>
                            </w:rPr>
                            <w:fldChar w:fldCharType="begin"/>
                          </w:r>
                          <w:r w:rsidRPr="00F748C7">
                            <w:rPr>
                              <w:color w:val="000000" w:themeColor="text1"/>
                            </w:rPr>
                            <w:instrText xml:space="preserve"> STYLEREF  Title </w:instrText>
                          </w:r>
                          <w:r w:rsidRPr="00F748C7">
                            <w:rPr>
                              <w:color w:val="000000" w:themeColor="text1"/>
                            </w:rPr>
                            <w:fldChar w:fldCharType="separate"/>
                          </w:r>
                          <w:r w:rsidR="00B01898">
                            <w:rPr>
                              <w:noProof/>
                              <w:color w:val="000000" w:themeColor="text1"/>
                            </w:rPr>
                            <w:t>Telstra’s retail price controls</w:t>
                          </w:r>
                          <w:r w:rsidRPr="00F748C7">
                            <w:rPr>
                              <w:noProof/>
                              <w:color w:val="000000" w:themeColor="text1"/>
                            </w:rPr>
                            <w:fldChar w:fldCharType="end"/>
                          </w:r>
                          <w:r>
                            <w:tab/>
                          </w:r>
                          <w:r>
                            <w:rPr>
                              <w:rStyle w:val="PageNumber"/>
                            </w:rPr>
                            <w:fldChar w:fldCharType="begin"/>
                          </w:r>
                          <w:r>
                            <w:rPr>
                              <w:rStyle w:val="PageNumber"/>
                            </w:rPr>
                            <w:instrText xml:space="preserve"> PAGE </w:instrText>
                          </w:r>
                          <w:r>
                            <w:rPr>
                              <w:rStyle w:val="PageNumber"/>
                            </w:rPr>
                            <w:fldChar w:fldCharType="separate"/>
                          </w:r>
                          <w:r w:rsidR="00B01898">
                            <w:rPr>
                              <w:rStyle w:val="PageNumber"/>
                              <w:noProof/>
                            </w:rPr>
                            <w:t>47</w:t>
                          </w:r>
                          <w:r>
                            <w:rPr>
                              <w:rStyle w:val="PageNumber"/>
                            </w:rPr>
                            <w:fldChar w:fldCharType="end"/>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187" style="position:absolute;left:0;text-align:left;margin-left:768.3pt;margin-top:0;width:17pt;height:59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" o:allowincell="f" filled="f" stroked="f" strokeweight="2pt">
              <v:textbox style="layout-flow:vertical" inset="0,0,0,0">
                <w:txbxContent>
                  <w:p w:rsidR="00584F9A" w:rsidRPr="009D4FBD" w:rsidRDefault="00584F9A" w:rsidP="00F376BC">
                    <w:pPr>
                      <w:pStyle w:val="Header"/>
                      <w:tabs>
                        <w:tab w:val="clear" w:pos="-567"/>
                        <w:tab w:val="clear" w:pos="0"/>
                        <w:tab w:val="clear" w:pos="7938"/>
                        <w:tab w:val="clear" w:pos="8505"/>
                        <w:tab w:val="left" w:pos="1701"/>
                        <w:tab w:val="left" w:pos="2268"/>
                        <w:tab w:val="right" w:pos="10206"/>
                        <w:tab w:val="right" w:pos="10773"/>
                      </w:tabs>
                      <w:spacing w:before="0"/>
                      <w:ind w:right="-1701"/>
                    </w:pPr>
                    <w:r>
                      <w:tab/>
                    </w:r>
                    <w:r>
                      <w:tab/>
                    </w:r>
                    <w:r>
                      <w:tab/>
                    </w:r>
                    <w:r w:rsidRPr="00F748C7">
                      <w:rPr>
                        <w:color w:val="000000" w:themeColor="text1"/>
                      </w:rPr>
                      <w:fldChar w:fldCharType="begin"/>
                    </w:r>
                    <w:r w:rsidRPr="00F748C7">
                      <w:rPr>
                        <w:color w:val="000000" w:themeColor="text1"/>
                      </w:rPr>
                      <w:instrText xml:space="preserve"> STYLEREF  Title </w:instrText>
                    </w:r>
                    <w:r w:rsidRPr="00F748C7">
                      <w:rPr>
                        <w:color w:val="000000" w:themeColor="text1"/>
                      </w:rPr>
                      <w:fldChar w:fldCharType="separate"/>
                    </w:r>
                    <w:r w:rsidR="00B01898">
                      <w:rPr>
                        <w:noProof/>
                        <w:color w:val="000000" w:themeColor="text1"/>
                      </w:rPr>
                      <w:t>Telstra’s retail price controls</w:t>
                    </w:r>
                    <w:r w:rsidRPr="00F748C7">
                      <w:rPr>
                        <w:noProof/>
                        <w:color w:val="000000" w:themeColor="text1"/>
                      </w:rPr>
                      <w:fldChar w:fldCharType="end"/>
                    </w:r>
                    <w:r>
                      <w:tab/>
                    </w:r>
                    <w:r>
                      <w:rPr>
                        <w:rStyle w:val="PageNumber"/>
                      </w:rPr>
                      <w:fldChar w:fldCharType="begin"/>
                    </w:r>
                    <w:r>
                      <w:rPr>
                        <w:rStyle w:val="PageNumber"/>
                      </w:rPr>
                      <w:instrText xml:space="preserve"> PAGE </w:instrText>
                    </w:r>
                    <w:r>
                      <w:rPr>
                        <w:rStyle w:val="PageNumber"/>
                      </w:rPr>
                      <w:fldChar w:fldCharType="separate"/>
                    </w:r>
                    <w:r w:rsidR="00B01898">
                      <w:rPr>
                        <w:rStyle w:val="PageNumber"/>
                        <w:noProof/>
                      </w:rPr>
                      <w:t>47</w:t>
                    </w:r>
                    <w:r>
                      <w:rPr>
                        <w:rStyle w:val="PageNumber"/>
                      </w:rPr>
                      <w:fldChar w:fldCharType="end"/>
                    </w:r>
                  </w:p>
                </w:txbxContent>
              </v:textbox>
              <w10:wrap anchorx="page"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3D6FA5" w:rsidRDefault="00584F9A" w:rsidP="00F376BC">
    <w:pPr>
      <w:pStyle w:val="Header"/>
      <w:pBdr>
        <w:bottom w:val="none" w:sz="0" w:space="0" w:color="auto"/>
      </w:pBdr>
      <w:spacing w:before="0"/>
      <w:ind w:left="0" w:right="0"/>
    </w:pPr>
    <w:r w:rsidRPr="00CD111E">
      <w:rPr>
        <w:noProof/>
      </w:rPr>
      <mc:AlternateContent>
        <mc:Choice Requires="wps">
          <w:drawing>
            <wp:anchor distT="0" distB="0" distL="114300" distR="114300" simplePos="0" relativeHeight="251663360" behindDoc="0" locked="0" layoutInCell="0" allowOverlap="1" wp14:anchorId="0B6EDD79" wp14:editId="37331DE9">
              <wp:simplePos x="0" y="0"/>
              <wp:positionH relativeFrom="page">
                <wp:posOffset>9771380</wp:posOffset>
              </wp:positionH>
              <wp:positionV relativeFrom="page">
                <wp:posOffset>0</wp:posOffset>
              </wp:positionV>
              <wp:extent cx="0" cy="7560000"/>
              <wp:effectExtent l="0" t="0" r="19050" b="22225"/>
              <wp:wrapNone/>
              <wp:docPr id="58" name="Straight Connector 58"/>
              <wp:cNvGraphicFramePr/>
              <a:graphic xmlns:a="http://schemas.openxmlformats.org/drawingml/2006/main">
                <a:graphicData uri="http://schemas.microsoft.com/office/word/2010/wordprocessingShape">
                  <wps:wsp>
                    <wps:cNvCnPr/>
                    <wps:spPr>
                      <a:xfrm>
                        <a:off x="0" y="0"/>
                        <a:ext cx="0" cy="756000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8" o:spid="_x0000_s1026" style="position:absolute;z-index:25166336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69.4pt,0" to="769.4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" o:allowincell="f" strokecolor="#006573 [3044]" strokeweight=".5pt">
              <w10:wrap anchorx="page" anchory="page"/>
            </v:line>
          </w:pict>
        </mc:Fallback>
      </mc:AlternateContent>
    </w:r>
    <w:r w:rsidRPr="00CD111E">
      <w:rPr>
        <w:noProof/>
      </w:rPr>
      <mc:AlternateContent>
        <mc:Choice Requires="wps">
          <w:drawing>
            <wp:anchor distT="0" distB="0" distL="114300" distR="114300" simplePos="0" relativeHeight="251662336" behindDoc="0" locked="0" layoutInCell="0" allowOverlap="1" wp14:anchorId="3F0F3AE7" wp14:editId="46537FCB">
              <wp:simplePos x="0" y="0"/>
              <wp:positionH relativeFrom="page">
                <wp:posOffset>9757410</wp:posOffset>
              </wp:positionH>
              <wp:positionV relativeFrom="page">
                <wp:posOffset>0</wp:posOffset>
              </wp:positionV>
              <wp:extent cx="216000" cy="7560000"/>
              <wp:effectExtent l="0" t="0" r="0" b="3175"/>
              <wp:wrapNone/>
              <wp:docPr id="59" name="Rectangle 59"/>
              <wp:cNvGraphicFramePr/>
              <a:graphic xmlns:a="http://schemas.openxmlformats.org/drawingml/2006/main">
                <a:graphicData uri="http://schemas.microsoft.com/office/word/2010/wordprocessingShape">
                  <wps:wsp>
                    <wps:cNvSpPr/>
                    <wps:spPr>
                      <a:xfrm>
                        <a:off x="0" y="0"/>
                        <a:ext cx="216000" cy="75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9D4FBD" w:rsidRDefault="00584F9A" w:rsidP="00F376BC">
                          <w:pPr>
                            <w:pStyle w:val="Header"/>
                            <w:tabs>
                              <w:tab w:val="clear" w:pos="-567"/>
                              <w:tab w:val="clear" w:pos="0"/>
                              <w:tab w:val="clear" w:pos="7938"/>
                              <w:tab w:val="clear" w:pos="8505"/>
                              <w:tab w:val="left" w:pos="1701"/>
                              <w:tab w:val="left" w:pos="2268"/>
                              <w:tab w:val="right" w:pos="10206"/>
                              <w:tab w:val="right" w:pos="10773"/>
                            </w:tabs>
                            <w:spacing w:before="0"/>
                            <w:ind w:right="-1701"/>
                          </w:pPr>
                          <w:r>
                            <w:tab/>
                          </w:r>
                          <w:r>
                            <w:rPr>
                              <w:rStyle w:val="PageNumber"/>
                            </w:rPr>
                            <w:fldChar w:fldCharType="begin"/>
                          </w:r>
                          <w:r>
                            <w:rPr>
                              <w:rStyle w:val="PageNumber"/>
                            </w:rPr>
                            <w:instrText xml:space="preserve"> PAGE </w:instrText>
                          </w:r>
                          <w:r>
                            <w:rPr>
                              <w:rStyle w:val="PageNumber"/>
                            </w:rPr>
                            <w:fldChar w:fldCharType="separate"/>
                          </w:r>
                          <w:r w:rsidR="00B01898">
                            <w:rPr>
                              <w:rStyle w:val="PageNumber"/>
                              <w:noProof/>
                            </w:rPr>
                            <w:t>72</w:t>
                          </w:r>
                          <w:r>
                            <w:rPr>
                              <w:rStyle w:val="PageNumber"/>
                            </w:rPr>
                            <w:fldChar w:fldCharType="end"/>
                          </w:r>
                          <w:r>
                            <w:tab/>
                          </w:r>
                          <w:r w:rsidRPr="00CD111E">
                            <w:rPr>
                              <w:color w:val="000000" w:themeColor="text1"/>
                            </w:rPr>
                            <w:fldChar w:fldCharType="begin"/>
                          </w:r>
                          <w:r w:rsidRPr="00CD111E">
                            <w:rPr>
                              <w:color w:val="000000" w:themeColor="text1"/>
                            </w:rPr>
                            <w:instrText xml:space="preserve"> STYLEREF  Title </w:instrText>
                          </w:r>
                          <w:r w:rsidRPr="00CD111E">
                            <w:rPr>
                              <w:color w:val="000000" w:themeColor="text1"/>
                            </w:rPr>
                            <w:fldChar w:fldCharType="separate"/>
                          </w:r>
                          <w:r w:rsidR="00B01898">
                            <w:rPr>
                              <w:noProof/>
                              <w:color w:val="000000" w:themeColor="text1"/>
                            </w:rPr>
                            <w:t>Telstra’s retail price controls</w:t>
                          </w:r>
                          <w:r w:rsidRPr="00CD111E">
                            <w:rPr>
                              <w:noProof/>
                              <w:color w:val="000000" w:themeColor="text1"/>
                            </w:rPr>
                            <w:fldChar w:fldCharType="end"/>
                          </w:r>
                          <w:r w:rsidRPr="00CD111E">
                            <w:rPr>
                              <w:color w:val="000000" w:themeColor="text1"/>
                            </w:rPr>
                            <w:tab/>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188" style="position:absolute;margin-left:768.3pt;margin-top:0;width:17pt;height:595.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" o:allowincell="f" filled="f" stroked="f" strokeweight="2pt">
              <v:textbox style="layout-flow:vertical" inset="0,0,0,0">
                <w:txbxContent>
                  <w:p w:rsidR="00584F9A" w:rsidRPr="009D4FBD" w:rsidRDefault="00584F9A" w:rsidP="00F376BC">
                    <w:pPr>
                      <w:pStyle w:val="Header"/>
                      <w:tabs>
                        <w:tab w:val="clear" w:pos="-567"/>
                        <w:tab w:val="clear" w:pos="0"/>
                        <w:tab w:val="clear" w:pos="7938"/>
                        <w:tab w:val="clear" w:pos="8505"/>
                        <w:tab w:val="left" w:pos="1701"/>
                        <w:tab w:val="left" w:pos="2268"/>
                        <w:tab w:val="right" w:pos="10206"/>
                        <w:tab w:val="right" w:pos="10773"/>
                      </w:tabs>
                      <w:spacing w:before="0"/>
                      <w:ind w:right="-1701"/>
                    </w:pPr>
                    <w:r>
                      <w:tab/>
                    </w:r>
                    <w:r>
                      <w:rPr>
                        <w:rStyle w:val="PageNumber"/>
                      </w:rPr>
                      <w:fldChar w:fldCharType="begin"/>
                    </w:r>
                    <w:r>
                      <w:rPr>
                        <w:rStyle w:val="PageNumber"/>
                      </w:rPr>
                      <w:instrText xml:space="preserve"> PAGE </w:instrText>
                    </w:r>
                    <w:r>
                      <w:rPr>
                        <w:rStyle w:val="PageNumber"/>
                      </w:rPr>
                      <w:fldChar w:fldCharType="separate"/>
                    </w:r>
                    <w:r w:rsidR="00B01898">
                      <w:rPr>
                        <w:rStyle w:val="PageNumber"/>
                        <w:noProof/>
                      </w:rPr>
                      <w:t>72</w:t>
                    </w:r>
                    <w:r>
                      <w:rPr>
                        <w:rStyle w:val="PageNumber"/>
                      </w:rPr>
                      <w:fldChar w:fldCharType="end"/>
                    </w:r>
                    <w:r>
                      <w:tab/>
                    </w:r>
                    <w:r w:rsidRPr="00CD111E">
                      <w:rPr>
                        <w:color w:val="000000" w:themeColor="text1"/>
                      </w:rPr>
                      <w:fldChar w:fldCharType="begin"/>
                    </w:r>
                    <w:r w:rsidRPr="00CD111E">
                      <w:rPr>
                        <w:color w:val="000000" w:themeColor="text1"/>
                      </w:rPr>
                      <w:instrText xml:space="preserve"> STYLEREF  Title </w:instrText>
                    </w:r>
                    <w:r w:rsidRPr="00CD111E">
                      <w:rPr>
                        <w:color w:val="000000" w:themeColor="text1"/>
                      </w:rPr>
                      <w:fldChar w:fldCharType="separate"/>
                    </w:r>
                    <w:r w:rsidR="00B01898">
                      <w:rPr>
                        <w:noProof/>
                        <w:color w:val="000000" w:themeColor="text1"/>
                      </w:rPr>
                      <w:t>Telstra’s retail price controls</w:t>
                    </w:r>
                    <w:r w:rsidRPr="00CD111E">
                      <w:rPr>
                        <w:noProof/>
                        <w:color w:val="000000" w:themeColor="text1"/>
                      </w:rPr>
                      <w:fldChar w:fldCharType="end"/>
                    </w:r>
                    <w:r w:rsidRPr="00CD111E">
                      <w:rPr>
                        <w:color w:val="000000" w:themeColor="text1"/>
                      </w:rPr>
                      <w:tab/>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9A" w:rsidRPr="003D6FA5" w:rsidRDefault="00584F9A" w:rsidP="00F376BC">
    <w:pPr>
      <w:pStyle w:val="Header"/>
      <w:pBdr>
        <w:bottom w:val="none" w:sz="0" w:space="0" w:color="auto"/>
      </w:pBdr>
      <w:spacing w:before="0"/>
      <w:ind w:left="0" w:right="0"/>
    </w:pPr>
    <w:r>
      <w:rPr>
        <w:noProof/>
      </w:rPr>
      <mc:AlternateContent>
        <mc:Choice Requires="wps">
          <w:drawing>
            <wp:anchor distT="0" distB="0" distL="114300" distR="114300" simplePos="0" relativeHeight="251661312" behindDoc="0" locked="0" layoutInCell="0" allowOverlap="1" wp14:anchorId="0C5A5A5A" wp14:editId="0148ECBD">
              <wp:simplePos x="0" y="0"/>
              <wp:positionH relativeFrom="page">
                <wp:posOffset>9771380</wp:posOffset>
              </wp:positionH>
              <wp:positionV relativeFrom="page">
                <wp:posOffset>0</wp:posOffset>
              </wp:positionV>
              <wp:extent cx="0" cy="7560000"/>
              <wp:effectExtent l="0" t="0" r="19050" b="22225"/>
              <wp:wrapNone/>
              <wp:docPr id="9" name="Straight Connector 9"/>
              <wp:cNvGraphicFramePr/>
              <a:graphic xmlns:a="http://schemas.openxmlformats.org/drawingml/2006/main">
                <a:graphicData uri="http://schemas.microsoft.com/office/word/2010/wordprocessingShape">
                  <wps:wsp>
                    <wps:cNvCnPr/>
                    <wps:spPr>
                      <a:xfrm>
                        <a:off x="0" y="0"/>
                        <a:ext cx="0" cy="75600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69.4pt,0" to="769.4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" o:allowincell="f" strokecolor="#f61d12 [3205]" strokeweight=".5pt">
              <w10:wrap anchorx="page" anchory="page"/>
            </v:line>
          </w:pict>
        </mc:Fallback>
      </mc:AlternateContent>
    </w:r>
    <w:r>
      <w:rPr>
        <w:noProof/>
      </w:rPr>
      <mc:AlternateContent>
        <mc:Choice Requires="wps">
          <w:drawing>
            <wp:anchor distT="0" distB="0" distL="114300" distR="114300" simplePos="0" relativeHeight="251659264" behindDoc="0" locked="0" layoutInCell="0" allowOverlap="1" wp14:anchorId="65AED16B" wp14:editId="7EA4F000">
              <wp:simplePos x="0" y="0"/>
              <wp:positionH relativeFrom="page">
                <wp:posOffset>9757410</wp:posOffset>
              </wp:positionH>
              <wp:positionV relativeFrom="page">
                <wp:posOffset>0</wp:posOffset>
              </wp:positionV>
              <wp:extent cx="216000" cy="7560000"/>
              <wp:effectExtent l="0" t="0" r="0" b="3175"/>
              <wp:wrapNone/>
              <wp:docPr id="45" name="Rectangle 45"/>
              <wp:cNvGraphicFramePr/>
              <a:graphic xmlns:a="http://schemas.openxmlformats.org/drawingml/2006/main">
                <a:graphicData uri="http://schemas.microsoft.com/office/word/2010/wordprocessingShape">
                  <wps:wsp>
                    <wps:cNvSpPr/>
                    <wps:spPr>
                      <a:xfrm>
                        <a:off x="0" y="0"/>
                        <a:ext cx="216000" cy="75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9D4FBD" w:rsidRDefault="00584F9A" w:rsidP="00F376BC">
                          <w:pPr>
                            <w:pStyle w:val="Header"/>
                            <w:tabs>
                              <w:tab w:val="clear" w:pos="-567"/>
                              <w:tab w:val="clear" w:pos="0"/>
                              <w:tab w:val="clear" w:pos="7938"/>
                              <w:tab w:val="clear" w:pos="8505"/>
                              <w:tab w:val="left" w:pos="1701"/>
                              <w:tab w:val="left" w:pos="2268"/>
                              <w:tab w:val="right" w:pos="10206"/>
                              <w:tab w:val="right" w:pos="10773"/>
                            </w:tabs>
                            <w:spacing w:before="0"/>
                            <w:ind w:right="-1701"/>
                          </w:pPr>
                          <w:r>
                            <w:tab/>
                          </w:r>
                          <w:r>
                            <w:tab/>
                          </w:r>
                          <w:r>
                            <w:tab/>
                          </w:r>
                          <w:r w:rsidRPr="00F748C7">
                            <w:rPr>
                              <w:color w:val="000000" w:themeColor="text1"/>
                            </w:rPr>
                            <w:fldChar w:fldCharType="begin"/>
                          </w:r>
                          <w:r w:rsidRPr="00F748C7">
                            <w:rPr>
                              <w:color w:val="000000" w:themeColor="text1"/>
                            </w:rPr>
                            <w:instrText xml:space="preserve"> STYLEREF  Title </w:instrText>
                          </w:r>
                          <w:r w:rsidRPr="00F748C7">
                            <w:rPr>
                              <w:color w:val="000000" w:themeColor="text1"/>
                            </w:rPr>
                            <w:fldChar w:fldCharType="separate"/>
                          </w:r>
                          <w:r w:rsidR="002C073A">
                            <w:rPr>
                              <w:noProof/>
                              <w:color w:val="000000" w:themeColor="text1"/>
                            </w:rPr>
                            <w:t>Telstra’s retail price controls</w:t>
                          </w:r>
                          <w:r w:rsidRPr="00F748C7">
                            <w:rPr>
                              <w:noProof/>
                              <w:color w:val="000000" w:themeColor="text1"/>
                            </w:rPr>
                            <w:fldChar w:fldCharType="end"/>
                          </w:r>
                          <w:r>
                            <w:tab/>
                          </w:r>
                          <w:r>
                            <w:rPr>
                              <w:rStyle w:val="PageNumber"/>
                            </w:rPr>
                            <w:fldChar w:fldCharType="begin"/>
                          </w:r>
                          <w:r>
                            <w:rPr>
                              <w:rStyle w:val="PageNumber"/>
                            </w:rPr>
                            <w:instrText xml:space="preserve"> PAGE </w:instrText>
                          </w:r>
                          <w:r>
                            <w:rPr>
                              <w:rStyle w:val="PageNumber"/>
                            </w:rPr>
                            <w:fldChar w:fldCharType="separate"/>
                          </w:r>
                          <w:r w:rsidR="002C073A">
                            <w:rPr>
                              <w:rStyle w:val="PageNumber"/>
                              <w:noProof/>
                            </w:rPr>
                            <w:t>73</w:t>
                          </w:r>
                          <w:r>
                            <w:rPr>
                              <w:rStyle w:val="PageNumber"/>
                            </w:rPr>
                            <w:fldChar w:fldCharType="end"/>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189" style="position:absolute;margin-left:768.3pt;margin-top:0;width:17pt;height:59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" o:allowincell="f" filled="f" stroked="f" strokeweight="2pt">
              <v:textbox style="layout-flow:vertical" inset="0,0,0,0">
                <w:txbxContent>
                  <w:p w:rsidR="00584F9A" w:rsidRPr="009D4FBD" w:rsidRDefault="00584F9A" w:rsidP="00F376BC">
                    <w:pPr>
                      <w:pStyle w:val="Header"/>
                      <w:tabs>
                        <w:tab w:val="clear" w:pos="-567"/>
                        <w:tab w:val="clear" w:pos="0"/>
                        <w:tab w:val="clear" w:pos="7938"/>
                        <w:tab w:val="clear" w:pos="8505"/>
                        <w:tab w:val="left" w:pos="1701"/>
                        <w:tab w:val="left" w:pos="2268"/>
                        <w:tab w:val="right" w:pos="10206"/>
                        <w:tab w:val="right" w:pos="10773"/>
                      </w:tabs>
                      <w:spacing w:before="0"/>
                      <w:ind w:right="-1701"/>
                    </w:pPr>
                    <w:r>
                      <w:tab/>
                    </w:r>
                    <w:r>
                      <w:tab/>
                    </w:r>
                    <w:r>
                      <w:tab/>
                    </w:r>
                    <w:r w:rsidRPr="00F748C7">
                      <w:rPr>
                        <w:color w:val="000000" w:themeColor="text1"/>
                      </w:rPr>
                      <w:fldChar w:fldCharType="begin"/>
                    </w:r>
                    <w:r w:rsidRPr="00F748C7">
                      <w:rPr>
                        <w:color w:val="000000" w:themeColor="text1"/>
                      </w:rPr>
                      <w:instrText xml:space="preserve"> STYLEREF  Title </w:instrText>
                    </w:r>
                    <w:r w:rsidRPr="00F748C7">
                      <w:rPr>
                        <w:color w:val="000000" w:themeColor="text1"/>
                      </w:rPr>
                      <w:fldChar w:fldCharType="separate"/>
                    </w:r>
                    <w:r w:rsidR="002C073A">
                      <w:rPr>
                        <w:noProof/>
                        <w:color w:val="000000" w:themeColor="text1"/>
                      </w:rPr>
                      <w:t>Telstra’s retail price controls</w:t>
                    </w:r>
                    <w:r w:rsidRPr="00F748C7">
                      <w:rPr>
                        <w:noProof/>
                        <w:color w:val="000000" w:themeColor="text1"/>
                      </w:rPr>
                      <w:fldChar w:fldCharType="end"/>
                    </w:r>
                    <w:r>
                      <w:tab/>
                    </w:r>
                    <w:r>
                      <w:rPr>
                        <w:rStyle w:val="PageNumber"/>
                      </w:rPr>
                      <w:fldChar w:fldCharType="begin"/>
                    </w:r>
                    <w:r>
                      <w:rPr>
                        <w:rStyle w:val="PageNumber"/>
                      </w:rPr>
                      <w:instrText xml:space="preserve"> PAGE </w:instrText>
                    </w:r>
                    <w:r>
                      <w:rPr>
                        <w:rStyle w:val="PageNumber"/>
                      </w:rPr>
                      <w:fldChar w:fldCharType="separate"/>
                    </w:r>
                    <w:r w:rsidR="002C073A">
                      <w:rPr>
                        <w:rStyle w:val="PageNumber"/>
                        <w:noProof/>
                      </w:rPr>
                      <w:t>73</w:t>
                    </w:r>
                    <w:r>
                      <w:rPr>
                        <w:rStyle w:val="PageNumber"/>
                      </w:rPr>
                      <w:fldChar w:fldCharType="end"/>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0" allowOverlap="1" wp14:anchorId="18983E84" wp14:editId="23A313DD">
              <wp:simplePos x="0" y="0"/>
              <wp:positionH relativeFrom="page">
                <wp:posOffset>396240</wp:posOffset>
              </wp:positionH>
              <wp:positionV relativeFrom="page">
                <wp:posOffset>1440180</wp:posOffset>
              </wp:positionV>
              <wp:extent cx="180000" cy="5040000"/>
              <wp:effectExtent l="0" t="0" r="0" b="8255"/>
              <wp:wrapNone/>
              <wp:docPr id="46" name="Rectangle 46"/>
              <wp:cNvGraphicFramePr/>
              <a:graphic xmlns:a="http://schemas.openxmlformats.org/drawingml/2006/main">
                <a:graphicData uri="http://schemas.microsoft.com/office/word/2010/wordprocessingShape">
                  <wps:wsp>
                    <wps:cNvSpPr/>
                    <wps:spPr>
                      <a:xfrm>
                        <a:off x="0" y="0"/>
                        <a:ext cx="180000" cy="504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F9A" w:rsidRPr="009C5A0E" w:rsidRDefault="00584F9A" w:rsidP="00F376BC">
                          <w:pPr>
                            <w:pStyle w:val="Footer"/>
                            <w:jc w:val="right"/>
                          </w:pPr>
                          <w:r>
                            <w:t>www.TheCIE.com.au</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190" style="position:absolute;margin-left:31.2pt;margin-top:113.4pt;width:14.15pt;height:39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" o:allowincell="f" filled="f" stroked="f" strokeweight="2pt">
              <v:textbox style="layout-flow:vertical" inset="0,0,0,0">
                <w:txbxContent>
                  <w:p w:rsidR="00584F9A" w:rsidRPr="009C5A0E" w:rsidRDefault="00584F9A" w:rsidP="00F376BC">
                    <w:pPr>
                      <w:pStyle w:val="Footer"/>
                      <w:jc w:val="right"/>
                    </w:pPr>
                    <w:r>
                      <w:t>www.TheCIE.com.au</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CE1A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546B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572CA28"/>
    <w:lvl w:ilvl="0">
      <w:start w:val="1"/>
      <w:numFmt w:val="decimal"/>
      <w:pStyle w:val="ListNumber3"/>
      <w:lvlText w:val="%1."/>
      <w:lvlJc w:val="left"/>
      <w:pPr>
        <w:tabs>
          <w:tab w:val="num" w:pos="926"/>
        </w:tabs>
        <w:ind w:left="926" w:hanging="360"/>
      </w:pPr>
    </w:lvl>
  </w:abstractNum>
  <w:abstractNum w:abstractNumId="3">
    <w:nsid w:val="FFFFFF80"/>
    <w:multiLevelType w:val="singleLevel"/>
    <w:tmpl w:val="1E5C1252"/>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34589CF4"/>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023254EB"/>
    <w:multiLevelType w:val="multilevel"/>
    <w:tmpl w:val="A8A0795C"/>
    <w:numStyleLink w:val="RecommendationNumbers"/>
  </w:abstractNum>
  <w:abstractNum w:abstractNumId="6">
    <w:nsid w:val="026512E3"/>
    <w:multiLevelType w:val="multilevel"/>
    <w:tmpl w:val="B3BA6A5A"/>
    <w:lvl w:ilvl="0">
      <w:start w:val="1"/>
      <w:numFmt w:val="bullet"/>
      <w:pStyle w:val="TableBullet"/>
      <w:lvlText w:val=""/>
      <w:lvlJc w:val="left"/>
      <w:pPr>
        <w:ind w:left="360" w:hanging="360"/>
      </w:pPr>
      <w:rPr>
        <w:rFonts w:ascii="Symbol" w:hAnsi="Symbol"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none"/>
      <w:suff w:val="nothing"/>
      <w:lvlText w:val=""/>
      <w:lvlJc w:val="left"/>
      <w:pPr>
        <w:ind w:left="0" w:firstLine="0"/>
      </w:pPr>
      <w:rPr>
        <w:rFonts w:hint="default"/>
        <w:color w:val="00000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color w:val="000000"/>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color w:val="000000"/>
      </w:rPr>
    </w:lvl>
  </w:abstractNum>
  <w:abstractNum w:abstractNumId="7">
    <w:nsid w:val="08461CCB"/>
    <w:multiLevelType w:val="hybridMultilevel"/>
    <w:tmpl w:val="D668E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DF0714B"/>
    <w:multiLevelType w:val="multilevel"/>
    <w:tmpl w:val="0C09001F"/>
    <w:name w:val="NoteNumbers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E1F659F"/>
    <w:multiLevelType w:val="multilevel"/>
    <w:tmpl w:val="60E6D4CC"/>
    <w:styleLink w:val="ListNumbers"/>
    <w:lvl w:ilvl="0">
      <w:start w:val="1"/>
      <w:numFmt w:val="decimal"/>
      <w:pStyle w:val="ListNumber"/>
      <w:lvlText w:val="%1"/>
      <w:lvlJc w:val="left"/>
      <w:pPr>
        <w:tabs>
          <w:tab w:val="num" w:pos="284"/>
        </w:tabs>
        <w:ind w:left="284" w:hanging="284"/>
      </w:pPr>
      <w:rPr>
        <w:rFonts w:ascii="Calisto MT" w:hAnsi="Calisto MT"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0FCD5BE7"/>
    <w:multiLevelType w:val="singleLevel"/>
    <w:tmpl w:val="1E20FD22"/>
    <w:lvl w:ilvl="0">
      <w:start w:val="1"/>
      <w:numFmt w:val="bullet"/>
      <w:lvlText w:val="■"/>
      <w:lvlJc w:val="left"/>
      <w:pPr>
        <w:ind w:left="360" w:hanging="360"/>
      </w:pPr>
      <w:rPr>
        <w:rFonts w:ascii="Franklin Gothic Demi" w:hAnsi="Franklin Gothic Demi" w:hint="default"/>
        <w:color w:val="EF1209"/>
        <w:position w:val="2"/>
      </w:rPr>
    </w:lvl>
  </w:abstractNum>
  <w:abstractNum w:abstractNumId="11">
    <w:nsid w:val="158D63BB"/>
    <w:multiLevelType w:val="multilevel"/>
    <w:tmpl w:val="5BCE45E4"/>
    <w:styleLink w:val="NoteListNumber"/>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12">
    <w:nsid w:val="19B7401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9B85820"/>
    <w:multiLevelType w:val="multilevel"/>
    <w:tmpl w:val="06D46084"/>
    <w:styleLink w:val="ChartListBullets"/>
    <w:lvl w:ilvl="0">
      <w:start w:val="1"/>
      <w:numFmt w:val="bullet"/>
      <w:pStyle w:val="ChartListBullet"/>
      <w:lvlText w:val="■"/>
      <w:lvlJc w:val="left"/>
      <w:pPr>
        <w:tabs>
          <w:tab w:val="num" w:pos="170"/>
        </w:tabs>
        <w:ind w:left="170" w:hanging="170"/>
      </w:pPr>
      <w:rPr>
        <w:rFonts w:ascii="Franklin Gothic Book" w:hAnsi="Franklin Gothic Book" w:hint="default"/>
        <w:color w:val="9B917E" w:themeColor="accent4"/>
        <w:position w:val="2"/>
        <w:sz w:val="12"/>
      </w:rPr>
    </w:lvl>
    <w:lvl w:ilvl="1">
      <w:start w:val="1"/>
      <w:numFmt w:val="bullet"/>
      <w:pStyle w:val="ChartListBullet2"/>
      <w:lvlText w:val="–"/>
      <w:lvlJc w:val="left"/>
      <w:pPr>
        <w:tabs>
          <w:tab w:val="num" w:pos="340"/>
        </w:tabs>
        <w:ind w:left="340" w:hanging="170"/>
      </w:pPr>
      <w:rPr>
        <w:rFonts w:ascii="Franklin Gothic Book" w:hAnsi="Franklin Gothic Book"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7006C08"/>
    <w:multiLevelType w:val="multilevel"/>
    <w:tmpl w:val="149034BA"/>
    <w:styleLink w:val="KeyPointBullets"/>
    <w:lvl w:ilvl="0">
      <w:start w:val="1"/>
      <w:numFmt w:val="bullet"/>
      <w:pStyle w:val="KeyPoint"/>
      <w:lvlText w:val="■"/>
      <w:lvlJc w:val="left"/>
      <w:pPr>
        <w:tabs>
          <w:tab w:val="num" w:pos="284"/>
        </w:tabs>
        <w:ind w:left="284" w:hanging="284"/>
      </w:pPr>
      <w:rPr>
        <w:rFonts w:ascii="Franklin Gothic Demi" w:hAnsi="Franklin Gothic Demi" w:hint="default"/>
        <w:color w:val="F61D12" w:themeColor="accent2"/>
      </w:rPr>
    </w:lvl>
    <w:lvl w:ilvl="1">
      <w:start w:val="1"/>
      <w:numFmt w:val="bullet"/>
      <w:pStyle w:val="KeyPoint2"/>
      <w:lvlText w:val="–"/>
      <w:lvlJc w:val="left"/>
      <w:pPr>
        <w:tabs>
          <w:tab w:val="num" w:pos="567"/>
        </w:tabs>
        <w:ind w:left="567" w:hanging="283"/>
      </w:pPr>
      <w:rPr>
        <w:rFonts w:ascii="Franklin Gothic Demi" w:hAnsi="Franklin Gothic Demi" w:hint="default"/>
        <w:color w:val="F61D12" w:themeColor="accent2"/>
        <w:position w:val="2"/>
      </w:rPr>
    </w:lvl>
    <w:lvl w:ilvl="2">
      <w:start w:val="1"/>
      <w:numFmt w:val="bullet"/>
      <w:pStyle w:val="KeyPoint3"/>
      <w:lvlText w:val="…"/>
      <w:lvlJc w:val="left"/>
      <w:pPr>
        <w:tabs>
          <w:tab w:val="num" w:pos="992"/>
        </w:tabs>
        <w:ind w:left="992" w:hanging="425"/>
      </w:pPr>
      <w:rPr>
        <w:rFonts w:ascii="Franklin Gothic Demi" w:hAnsi="Franklin Gothic Demi" w:hint="default"/>
        <w:color w:val="F61D12"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7E231F0"/>
    <w:multiLevelType w:val="multilevel"/>
    <w:tmpl w:val="A8A0795C"/>
    <w:styleLink w:val="RecommendationNumbers"/>
    <w:lvl w:ilvl="0">
      <w:start w:val="1"/>
      <w:numFmt w:val="decimal"/>
      <w:pStyle w:val="RecommendationNumber"/>
      <w:lvlText w:val="%1"/>
      <w:lvlJc w:val="left"/>
      <w:pPr>
        <w:tabs>
          <w:tab w:val="num" w:pos="284"/>
        </w:tabs>
        <w:ind w:left="284" w:hanging="284"/>
      </w:pPr>
      <w:rPr>
        <w:rFonts w:hint="default"/>
      </w:rPr>
    </w:lvl>
    <w:lvl w:ilvl="1">
      <w:start w:val="1"/>
      <w:numFmt w:val="lowerLetter"/>
      <w:pStyle w:val="RecommendationNumber2"/>
      <w:lvlText w:val="%2)"/>
      <w:lvlJc w:val="left"/>
      <w:pPr>
        <w:tabs>
          <w:tab w:val="num" w:pos="567"/>
        </w:tabs>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4624A0E"/>
    <w:multiLevelType w:val="multilevel"/>
    <w:tmpl w:val="5BCE45E4"/>
    <w:numStyleLink w:val="NoteListNumber"/>
  </w:abstractNum>
  <w:abstractNum w:abstractNumId="17">
    <w:nsid w:val="41535386"/>
    <w:multiLevelType w:val="multilevel"/>
    <w:tmpl w:val="8C8656A2"/>
    <w:styleLink w:val="TableListNumbers"/>
    <w:lvl w:ilvl="0">
      <w:start w:val="1"/>
      <w:numFmt w:val="decimal"/>
      <w:pStyle w:val="TableListNumber"/>
      <w:lvlText w:val="%1"/>
      <w:lvlJc w:val="left"/>
      <w:pPr>
        <w:tabs>
          <w:tab w:val="num" w:pos="170"/>
        </w:tabs>
        <w:ind w:left="170" w:hanging="170"/>
      </w:pPr>
      <w:rPr>
        <w:rFonts w:ascii="Franklin Gothic Book" w:hAnsi="Franklin Gothic Book"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6D47D62"/>
    <w:multiLevelType w:val="multilevel"/>
    <w:tmpl w:val="AA644758"/>
    <w:lvl w:ilvl="0">
      <w:start w:val="1"/>
      <w:numFmt w:val="lowerLetter"/>
      <w:pStyle w:val="ListofLittleLetterandLittleRoman"/>
      <w:lvlText w:val="(%1)"/>
      <w:lvlJc w:val="left"/>
      <w:pPr>
        <w:tabs>
          <w:tab w:val="num" w:pos="1418"/>
        </w:tabs>
        <w:ind w:left="1418" w:hanging="567"/>
      </w:pPr>
      <w:rPr>
        <w:rFonts w:ascii="Verdana" w:hAnsi="Verdana" w:hint="default"/>
        <w:b w:val="0"/>
        <w:i w:val="0"/>
        <w:sz w:val="18"/>
        <w:szCs w:val="18"/>
      </w:rPr>
    </w:lvl>
    <w:lvl w:ilvl="1">
      <w:start w:val="1"/>
      <w:numFmt w:val="lowerRoman"/>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lowerRoman"/>
      <w:lvlText w:val="%4."/>
      <w:lvlJc w:val="left"/>
      <w:pPr>
        <w:tabs>
          <w:tab w:val="num" w:pos="3119"/>
        </w:tabs>
        <w:ind w:left="3119" w:hanging="567"/>
      </w:pPr>
      <w:rPr>
        <w:rFonts w:ascii="Verdana" w:hAnsi="Verdana" w:hint="default"/>
        <w:b w:val="0"/>
        <w:i w:val="0"/>
        <w:sz w:val="18"/>
        <w:szCs w:val="18"/>
      </w:rPr>
    </w:lvl>
    <w:lvl w:ilvl="4">
      <w:start w:val="1"/>
      <w:numFmt w:val="upperLetter"/>
      <w:lvlText w:val="(%5)"/>
      <w:lvlJc w:val="left"/>
      <w:pPr>
        <w:tabs>
          <w:tab w:val="num" w:pos="3686"/>
        </w:tabs>
        <w:ind w:left="3686" w:hanging="567"/>
      </w:pPr>
      <w:rPr>
        <w:rFonts w:hint="default"/>
      </w:rPr>
    </w:lvl>
    <w:lvl w:ilvl="5">
      <w:start w:val="1"/>
      <w:numFmt w:val="upperRoman"/>
      <w:lvlText w:val="(%6)"/>
      <w:lvlJc w:val="left"/>
      <w:pPr>
        <w:tabs>
          <w:tab w:val="num" w:pos="4253"/>
        </w:tabs>
        <w:ind w:left="4253" w:hanging="567"/>
      </w:pPr>
      <w:rPr>
        <w:rFonts w:hint="default"/>
      </w:rPr>
    </w:lvl>
    <w:lvl w:ilvl="6">
      <w:start w:val="1"/>
      <w:numFmt w:val="decimal"/>
      <w:lvlText w:val="%1.%2.%3.%4.%5.%6.%7."/>
      <w:lvlJc w:val="left"/>
      <w:pPr>
        <w:tabs>
          <w:tab w:val="num" w:pos="6742"/>
        </w:tabs>
        <w:ind w:left="4942" w:hanging="1080"/>
      </w:pPr>
      <w:rPr>
        <w:rFonts w:hint="default"/>
      </w:rPr>
    </w:lvl>
    <w:lvl w:ilvl="7">
      <w:start w:val="1"/>
      <w:numFmt w:val="decimal"/>
      <w:lvlText w:val="%1.%2.%3.%4.%5.%6.%7.%8."/>
      <w:lvlJc w:val="left"/>
      <w:pPr>
        <w:tabs>
          <w:tab w:val="num" w:pos="7462"/>
        </w:tabs>
        <w:ind w:left="5446" w:hanging="1224"/>
      </w:pPr>
      <w:rPr>
        <w:rFonts w:hint="default"/>
      </w:rPr>
    </w:lvl>
    <w:lvl w:ilvl="8">
      <w:start w:val="1"/>
      <w:numFmt w:val="decimal"/>
      <w:lvlText w:val="%1.%2.%3.%4.%5.%6.%7.%8.%9."/>
      <w:lvlJc w:val="left"/>
      <w:pPr>
        <w:tabs>
          <w:tab w:val="num" w:pos="8182"/>
        </w:tabs>
        <w:ind w:left="6022" w:hanging="1440"/>
      </w:pPr>
      <w:rPr>
        <w:rFonts w:hint="default"/>
      </w:rPr>
    </w:lvl>
  </w:abstractNum>
  <w:abstractNum w:abstractNumId="19">
    <w:nsid w:val="49FD3B9A"/>
    <w:multiLevelType w:val="multilevel"/>
    <w:tmpl w:val="625A9570"/>
    <w:lvl w:ilvl="0">
      <w:start w:val="1"/>
      <w:numFmt w:val="decimal"/>
      <w:pStyle w:val="TableNumber"/>
      <w:lvlText w:val="%1."/>
      <w:lvlJc w:val="left"/>
      <w:pPr>
        <w:ind w:left="284" w:hanging="284"/>
      </w:pPr>
      <w:rPr>
        <w:rFonts w:ascii="Georgia" w:hAnsi="Georgia" w:hint="default"/>
        <w:b w:val="0"/>
        <w:i w:val="0"/>
        <w:caps w:val="0"/>
        <w:strike w:val="0"/>
        <w:dstrike w:val="0"/>
        <w:vanish w:val="0"/>
        <w:sz w:val="18"/>
        <w:vertAlign w:val="baseline"/>
      </w:rPr>
    </w:lvl>
    <w:lvl w:ilvl="1">
      <w:start w:val="1"/>
      <w:numFmt w:val="lowerLetter"/>
      <w:lvlText w:val="%2)"/>
      <w:lvlJc w:val="left"/>
      <w:pPr>
        <w:tabs>
          <w:tab w:val="num" w:pos="567"/>
        </w:tabs>
        <w:ind w:left="568" w:hanging="284"/>
      </w:pPr>
      <w:rPr>
        <w:rFonts w:ascii="Arial" w:hAnsi="Arial" w:hint="default"/>
        <w:b w:val="0"/>
        <w:i w:val="0"/>
        <w:sz w:val="18"/>
      </w:rPr>
    </w:lvl>
    <w:lvl w:ilvl="2">
      <w:start w:val="1"/>
      <w:numFmt w:val="lowerRoman"/>
      <w:lvlText w:val="%3)"/>
      <w:lvlJc w:val="left"/>
      <w:pPr>
        <w:tabs>
          <w:tab w:val="num" w:pos="851"/>
        </w:tabs>
        <w:ind w:left="852" w:hanging="284"/>
      </w:pPr>
      <w:rPr>
        <w:rFonts w:ascii="Arial" w:hAnsi="Arial" w:hint="default"/>
        <w:b w:val="0"/>
        <w:i w:val="0"/>
        <w:sz w:val="18"/>
      </w:rPr>
    </w:lvl>
    <w:lvl w:ilvl="3">
      <w:start w:val="1"/>
      <w:numFmt w:val="none"/>
      <w:suff w:val="nothing"/>
      <w:lvlText w:val=""/>
      <w:lvlJc w:val="left"/>
      <w:pPr>
        <w:ind w:left="1136" w:hanging="284"/>
      </w:pPr>
      <w:rPr>
        <w:rFonts w:ascii="Arial" w:hAnsi="Arial" w:hint="default"/>
        <w:b w:val="0"/>
        <w:i w:val="0"/>
        <w:sz w:val="18"/>
      </w:rPr>
    </w:lvl>
    <w:lvl w:ilvl="4">
      <w:start w:val="1"/>
      <w:numFmt w:val="none"/>
      <w:suff w:val="nothing"/>
      <w:lvlText w:val=""/>
      <w:lvlJc w:val="left"/>
      <w:pPr>
        <w:ind w:left="1420" w:hanging="284"/>
      </w:pPr>
      <w:rPr>
        <w:rFonts w:ascii="Arial" w:hAnsi="Arial" w:hint="default"/>
        <w:b w:val="0"/>
        <w:i w:val="0"/>
        <w:sz w:val="18"/>
      </w:rPr>
    </w:lvl>
    <w:lvl w:ilvl="5">
      <w:start w:val="1"/>
      <w:numFmt w:val="none"/>
      <w:suff w:val="nothing"/>
      <w:lvlText w:val=""/>
      <w:lvlJc w:val="left"/>
      <w:pPr>
        <w:ind w:left="1704" w:hanging="284"/>
      </w:pPr>
      <w:rPr>
        <w:rFonts w:ascii="Arial" w:hAnsi="Arial" w:hint="default"/>
        <w:b w:val="0"/>
        <w:i w:val="0"/>
        <w:sz w:val="18"/>
      </w:rPr>
    </w:lvl>
    <w:lvl w:ilvl="6">
      <w:start w:val="1"/>
      <w:numFmt w:val="none"/>
      <w:suff w:val="nothing"/>
      <w:lvlText w:val="%7"/>
      <w:lvlJc w:val="left"/>
      <w:pPr>
        <w:ind w:left="1988" w:hanging="284"/>
      </w:pPr>
      <w:rPr>
        <w:rFonts w:hint="default"/>
      </w:rPr>
    </w:lvl>
    <w:lvl w:ilvl="7">
      <w:start w:val="1"/>
      <w:numFmt w:val="none"/>
      <w:suff w:val="nothing"/>
      <w:lvlText w:val="%8"/>
      <w:lvlJc w:val="left"/>
      <w:pPr>
        <w:ind w:left="2272" w:hanging="284"/>
      </w:pPr>
      <w:rPr>
        <w:rFonts w:hint="default"/>
      </w:rPr>
    </w:lvl>
    <w:lvl w:ilvl="8">
      <w:start w:val="1"/>
      <w:numFmt w:val="none"/>
      <w:suff w:val="nothing"/>
      <w:lvlText w:val="%9"/>
      <w:lvlJc w:val="left"/>
      <w:pPr>
        <w:ind w:left="2556" w:hanging="284"/>
      </w:pPr>
      <w:rPr>
        <w:rFonts w:hint="default"/>
      </w:rPr>
    </w:lvl>
  </w:abstractNum>
  <w:abstractNum w:abstractNumId="20">
    <w:nsid w:val="4E3E75E8"/>
    <w:multiLevelType w:val="multilevel"/>
    <w:tmpl w:val="A3AC9912"/>
    <w:styleLink w:val="HeadingNumbers"/>
    <w:lvl w:ilvl="0">
      <w:start w:val="1"/>
      <w:numFmt w:val="decimal"/>
      <w:pStyle w:val="Heading1"/>
      <w:lvlText w:val="%1"/>
      <w:lvlJc w:val="left"/>
      <w:pPr>
        <w:tabs>
          <w:tab w:val="num" w:pos="567"/>
        </w:tabs>
        <w:ind w:left="567" w:hanging="567"/>
      </w:pPr>
      <w:rPr>
        <w:rFonts w:hint="default"/>
        <w:b w:val="0"/>
        <w:i/>
        <w:color w:val="auto"/>
        <w:sz w:val="36"/>
      </w:rPr>
    </w:lvl>
    <w:lvl w:ilvl="1">
      <w:start w:val="1"/>
      <w:numFmt w:val="none"/>
      <w:lvlRestart w:val="0"/>
      <w:pStyle w:val="Heading2"/>
      <w:suff w:val="nothing"/>
      <w:lvlText w:val=""/>
      <w:lvlJc w:val="left"/>
      <w:pPr>
        <w:ind w:left="0"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567"/>
        </w:tabs>
        <w:ind w:left="567" w:hanging="567"/>
      </w:pPr>
      <w:rPr>
        <w:rFonts w:hint="default"/>
        <w:b w:val="0"/>
        <w:i/>
        <w:caps w:val="0"/>
        <w:sz w:val="36"/>
        <w:szCs w:val="28"/>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asciiTheme="majorHAnsi" w:hAnsiTheme="majorHAnsi" w:hint="default"/>
      </w:rPr>
    </w:lvl>
    <w:lvl w:ilvl="8">
      <w:start w:val="1"/>
      <w:numFmt w:val="none"/>
      <w:lvlRestart w:val="0"/>
      <w:pStyle w:val="Heading9"/>
      <w:suff w:val="nothing"/>
      <w:lvlText w:val=""/>
      <w:lvlJc w:val="left"/>
      <w:pPr>
        <w:ind w:left="0" w:firstLine="0"/>
      </w:pPr>
      <w:rPr>
        <w:rFonts w:asciiTheme="majorHAnsi" w:hAnsiTheme="majorHAnsi" w:hint="default"/>
      </w:rPr>
    </w:lvl>
  </w:abstractNum>
  <w:abstractNum w:abstractNumId="21">
    <w:nsid w:val="4EE85852"/>
    <w:multiLevelType w:val="hybridMultilevel"/>
    <w:tmpl w:val="27B82BCC"/>
    <w:lvl w:ilvl="0" w:tplc="9F18DBDC">
      <w:start w:val="1"/>
      <w:numFmt w:val="upperLetter"/>
      <w:pStyle w:val="AppendixTitlePage"/>
      <w:lvlText w:val="Appendix %1"/>
      <w:lvlJc w:val="left"/>
      <w:pPr>
        <w:ind w:left="6456" w:hanging="360"/>
      </w:pPr>
      <w:rPr>
        <w:rFonts w:ascii="Arial" w:hAnsi="Arial" w:hint="default"/>
        <w:b/>
        <w:i w:val="0"/>
        <w:color w:val="000000" w:themeColor="text1"/>
        <w:sz w:val="72"/>
      </w:rPr>
    </w:lvl>
    <w:lvl w:ilvl="1" w:tplc="0C090019">
      <w:start w:val="1"/>
      <w:numFmt w:val="lowerLetter"/>
      <w:lvlText w:val="%2."/>
      <w:lvlJc w:val="left"/>
      <w:pPr>
        <w:ind w:left="6826" w:hanging="360"/>
      </w:pPr>
    </w:lvl>
    <w:lvl w:ilvl="2" w:tplc="0C09001B" w:tentative="1">
      <w:start w:val="1"/>
      <w:numFmt w:val="lowerRoman"/>
      <w:lvlText w:val="%3."/>
      <w:lvlJc w:val="right"/>
      <w:pPr>
        <w:ind w:left="7546" w:hanging="180"/>
      </w:pPr>
    </w:lvl>
    <w:lvl w:ilvl="3" w:tplc="0C09000F" w:tentative="1">
      <w:start w:val="1"/>
      <w:numFmt w:val="decimal"/>
      <w:lvlText w:val="%4."/>
      <w:lvlJc w:val="left"/>
      <w:pPr>
        <w:ind w:left="8266" w:hanging="360"/>
      </w:pPr>
    </w:lvl>
    <w:lvl w:ilvl="4" w:tplc="0C090019" w:tentative="1">
      <w:start w:val="1"/>
      <w:numFmt w:val="lowerLetter"/>
      <w:lvlText w:val="%5."/>
      <w:lvlJc w:val="left"/>
      <w:pPr>
        <w:ind w:left="8986" w:hanging="360"/>
      </w:pPr>
    </w:lvl>
    <w:lvl w:ilvl="5" w:tplc="0C09001B" w:tentative="1">
      <w:start w:val="1"/>
      <w:numFmt w:val="lowerRoman"/>
      <w:lvlText w:val="%6."/>
      <w:lvlJc w:val="right"/>
      <w:pPr>
        <w:ind w:left="9706" w:hanging="180"/>
      </w:pPr>
    </w:lvl>
    <w:lvl w:ilvl="6" w:tplc="0C09000F" w:tentative="1">
      <w:start w:val="1"/>
      <w:numFmt w:val="decimal"/>
      <w:lvlText w:val="%7."/>
      <w:lvlJc w:val="left"/>
      <w:pPr>
        <w:ind w:left="10426" w:hanging="360"/>
      </w:pPr>
    </w:lvl>
    <w:lvl w:ilvl="7" w:tplc="0C090019" w:tentative="1">
      <w:start w:val="1"/>
      <w:numFmt w:val="lowerLetter"/>
      <w:lvlText w:val="%8."/>
      <w:lvlJc w:val="left"/>
      <w:pPr>
        <w:ind w:left="11146" w:hanging="360"/>
      </w:pPr>
    </w:lvl>
    <w:lvl w:ilvl="8" w:tplc="0C09001B" w:tentative="1">
      <w:start w:val="1"/>
      <w:numFmt w:val="lowerRoman"/>
      <w:lvlText w:val="%9."/>
      <w:lvlJc w:val="right"/>
      <w:pPr>
        <w:ind w:left="11866" w:hanging="180"/>
      </w:pPr>
    </w:lvl>
  </w:abstractNum>
  <w:abstractNum w:abstractNumId="22">
    <w:nsid w:val="537E4695"/>
    <w:multiLevelType w:val="multilevel"/>
    <w:tmpl w:val="8656FD38"/>
    <w:lvl w:ilvl="0">
      <w:start w:val="1"/>
      <w:numFmt w:val="lowerLetter"/>
      <w:pStyle w:val="ListAlpha"/>
      <w:lvlText w:val="(%1)"/>
      <w:lvlJc w:val="left"/>
      <w:pPr>
        <w:tabs>
          <w:tab w:val="num" w:pos="567"/>
        </w:tabs>
        <w:ind w:left="567" w:hanging="567"/>
      </w:pPr>
      <w:rPr>
        <w:rFonts w:ascii="Georgia" w:hAnsi="Georgia" w:hint="default"/>
        <w:b w:val="0"/>
        <w:i w:val="0"/>
        <w:caps w:val="0"/>
        <w:strike w:val="0"/>
        <w:dstrike w:val="0"/>
        <w:vanish w:val="0"/>
        <w:sz w:val="19"/>
        <w:vertAlign w:val="baseline"/>
      </w:rPr>
    </w:lvl>
    <w:lvl w:ilvl="1">
      <w:start w:val="1"/>
      <w:numFmt w:val="lowerRoman"/>
      <w:lvlText w:val="(%2)"/>
      <w:lvlJc w:val="left"/>
      <w:pPr>
        <w:tabs>
          <w:tab w:val="num" w:pos="1134"/>
        </w:tabs>
        <w:ind w:left="1134" w:hanging="567"/>
      </w:pPr>
      <w:rPr>
        <w:rFonts w:ascii="Georgia" w:hAnsi="Georgia" w:hint="default"/>
        <w:b w:val="0"/>
        <w:i w:val="0"/>
        <w:sz w:val="19"/>
      </w:rPr>
    </w:lvl>
    <w:lvl w:ilvl="2">
      <w:start w:val="1"/>
      <w:numFmt w:val="decimal"/>
      <w:lvlText w:val="(%3)"/>
      <w:lvlJc w:val="left"/>
      <w:pPr>
        <w:tabs>
          <w:tab w:val="num" w:pos="1701"/>
        </w:tabs>
        <w:ind w:left="1701" w:hanging="567"/>
      </w:pPr>
      <w:rPr>
        <w:rFonts w:ascii="Georgia" w:hAnsi="Georgia" w:hint="default"/>
        <w:b w:val="0"/>
        <w:i w:val="0"/>
        <w:sz w:val="19"/>
      </w:rPr>
    </w:lvl>
    <w:lvl w:ilvl="3">
      <w:start w:val="1"/>
      <w:numFmt w:val="upperLetter"/>
      <w:lvlText w:val="(%4)"/>
      <w:lvlJc w:val="left"/>
      <w:pPr>
        <w:tabs>
          <w:tab w:val="num" w:pos="2268"/>
        </w:tabs>
        <w:ind w:left="2268" w:hanging="567"/>
      </w:pPr>
      <w:rPr>
        <w:rFonts w:ascii="Georgia" w:hAnsi="Georgia" w:hint="default"/>
        <w:b w:val="0"/>
        <w:i w:val="0"/>
        <w:sz w:val="19"/>
      </w:rPr>
    </w:lvl>
    <w:lvl w:ilvl="4">
      <w:start w:val="1"/>
      <w:numFmt w:val="none"/>
      <w:suff w:val="nothing"/>
      <w:lvlText w:val=""/>
      <w:lvlJc w:val="left"/>
      <w:pPr>
        <w:ind w:left="2835" w:hanging="567"/>
      </w:pPr>
      <w:rPr>
        <w:rFonts w:ascii="Arial" w:hAnsi="Arial" w:hint="default"/>
        <w:b w:val="0"/>
        <w:i w:val="0"/>
        <w:sz w:val="20"/>
      </w:rPr>
    </w:lvl>
    <w:lvl w:ilvl="5">
      <w:start w:val="1"/>
      <w:numFmt w:val="none"/>
      <w:suff w:val="nothing"/>
      <w:lvlText w:val=""/>
      <w:lvlJc w:val="left"/>
      <w:pPr>
        <w:ind w:left="3402" w:hanging="567"/>
      </w:pPr>
      <w:rPr>
        <w:rFonts w:ascii="Arial" w:hAnsi="Arial" w:hint="default"/>
        <w:b w:val="0"/>
        <w:i w:val="0"/>
        <w:sz w:val="20"/>
      </w:rPr>
    </w:lvl>
    <w:lvl w:ilvl="6">
      <w:start w:val="1"/>
      <w:numFmt w:val="none"/>
      <w:suff w:val="nothing"/>
      <w:lvlText w:val=""/>
      <w:lvlJc w:val="left"/>
      <w:pPr>
        <w:ind w:left="3969" w:hanging="567"/>
      </w:pPr>
      <w:rPr>
        <w:rFonts w:ascii="Arial" w:hAnsi="Arial" w:hint="default"/>
        <w:b w:val="0"/>
        <w:i w:val="0"/>
        <w:sz w:val="20"/>
      </w:rPr>
    </w:lvl>
    <w:lvl w:ilvl="7">
      <w:start w:val="1"/>
      <w:numFmt w:val="none"/>
      <w:suff w:val="nothing"/>
      <w:lvlText w:val="%8"/>
      <w:lvlJc w:val="left"/>
      <w:pPr>
        <w:ind w:left="4536" w:hanging="567"/>
      </w:pPr>
      <w:rPr>
        <w:rFonts w:hint="default"/>
      </w:rPr>
    </w:lvl>
    <w:lvl w:ilvl="8">
      <w:start w:val="1"/>
      <w:numFmt w:val="none"/>
      <w:suff w:val="nothing"/>
      <w:lvlText w:val="%9"/>
      <w:lvlJc w:val="left"/>
      <w:pPr>
        <w:ind w:left="5103" w:hanging="567"/>
      </w:pPr>
      <w:rPr>
        <w:rFonts w:hint="default"/>
      </w:rPr>
    </w:lvl>
  </w:abstractNum>
  <w:abstractNum w:abstractNumId="23">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9B917E"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5FE2D62"/>
    <w:multiLevelType w:val="hybridMultilevel"/>
    <w:tmpl w:val="A41A08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56787896"/>
    <w:multiLevelType w:val="multilevel"/>
    <w:tmpl w:val="567ADE74"/>
    <w:numStyleLink w:val="TableListBullets"/>
  </w:abstractNum>
  <w:abstractNum w:abstractNumId="26">
    <w:nsid w:val="58B8648D"/>
    <w:multiLevelType w:val="multilevel"/>
    <w:tmpl w:val="5BCE45E4"/>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pStyle w:val="NoteNumb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27">
    <w:nsid w:val="5E1E763D"/>
    <w:multiLevelType w:val="hybridMultilevel"/>
    <w:tmpl w:val="898682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929245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420028"/>
    <w:multiLevelType w:val="multilevel"/>
    <w:tmpl w:val="AD122346"/>
    <w:styleLink w:val="ChartListNumber"/>
    <w:lvl w:ilvl="0">
      <w:start w:val="1"/>
      <w:numFmt w:val="decimal"/>
      <w:pStyle w:val="ChartListNumber0"/>
      <w:lvlText w:val="%1"/>
      <w:lvlJc w:val="left"/>
      <w:pPr>
        <w:tabs>
          <w:tab w:val="num" w:pos="170"/>
        </w:tabs>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9B917E"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9B917E"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20F67A8"/>
    <w:multiLevelType w:val="multilevel"/>
    <w:tmpl w:val="0C090029"/>
    <w:name w:val="NoteNumber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724D568A"/>
    <w:multiLevelType w:val="multilevel"/>
    <w:tmpl w:val="7A94DD3C"/>
    <w:lvl w:ilvl="0">
      <w:start w:val="1"/>
      <w:numFmt w:val="decimal"/>
      <w:pStyle w:val="ExariLevel1"/>
      <w:lvlText w:val="%1."/>
      <w:lvlJc w:val="left"/>
      <w:pPr>
        <w:tabs>
          <w:tab w:val="num" w:pos="567"/>
        </w:tabs>
        <w:ind w:left="567" w:hanging="567"/>
      </w:pPr>
      <w:rPr>
        <w:rFonts w:ascii="Arial" w:hAnsi="Arial" w:cs="Times New Roman" w:hint="default"/>
        <w:sz w:val="32"/>
      </w:rPr>
    </w:lvl>
    <w:lvl w:ilvl="1">
      <w:start w:val="1"/>
      <w:numFmt w:val="decimal"/>
      <w:pStyle w:val="ExariLevel2"/>
      <w:lvlText w:val="%1.%2"/>
      <w:lvlJc w:val="left"/>
      <w:pPr>
        <w:tabs>
          <w:tab w:val="num" w:pos="567"/>
        </w:tabs>
        <w:ind w:left="567" w:hanging="567"/>
      </w:pPr>
      <w:rPr>
        <w:rFonts w:ascii="Arial Bold" w:hAnsi="Arial Bold" w:cs="Times New Roman" w:hint="default"/>
        <w:b/>
        <w:i w:val="0"/>
        <w:sz w:val="24"/>
      </w:rPr>
    </w:lvl>
    <w:lvl w:ilvl="2">
      <w:start w:val="1"/>
      <w:numFmt w:val="lowerLetter"/>
      <w:pStyle w:val="ExariLevel3"/>
      <w:lvlText w:val="%3)"/>
      <w:lvlJc w:val="left"/>
      <w:pPr>
        <w:tabs>
          <w:tab w:val="num" w:pos="483"/>
        </w:tabs>
        <w:ind w:left="823" w:hanging="397"/>
      </w:pPr>
      <w:rPr>
        <w:rFonts w:ascii="Arial" w:hAnsi="Arial" w:cs="Times New Roman" w:hint="default"/>
        <w:sz w:val="24"/>
      </w:rPr>
    </w:lvl>
    <w:lvl w:ilvl="3">
      <w:start w:val="1"/>
      <w:numFmt w:val="lowerRoman"/>
      <w:pStyle w:val="MELegal4"/>
      <w:lvlText w:val="%4)"/>
      <w:lvlJc w:val="left"/>
      <w:pPr>
        <w:tabs>
          <w:tab w:val="num" w:pos="1616"/>
        </w:tabs>
        <w:ind w:left="1956" w:hanging="396"/>
      </w:pPr>
      <w:rPr>
        <w:rFonts w:ascii="Arial" w:hAnsi="Arial" w:cs="Times New Roman" w:hint="default"/>
        <w:sz w:val="24"/>
      </w:rPr>
    </w:lvl>
    <w:lvl w:ilvl="4">
      <w:start w:val="1"/>
      <w:numFmt w:val="upperLetter"/>
      <w:pStyle w:val="ExariLevel5"/>
      <w:lvlText w:val="(%5)"/>
      <w:lvlJc w:val="left"/>
      <w:pPr>
        <w:tabs>
          <w:tab w:val="num" w:pos="2326"/>
        </w:tabs>
        <w:ind w:left="2666" w:hanging="397"/>
      </w:pPr>
      <w:rPr>
        <w:rFonts w:ascii="Arial" w:hAnsi="Arial" w:cs="Times New Roman" w:hint="default"/>
        <w:sz w:val="24"/>
      </w:rPr>
    </w:lvl>
    <w:lvl w:ilvl="5">
      <w:start w:val="1"/>
      <w:numFmt w:val="decimal"/>
      <w:pStyle w:val="ExariLevel6"/>
      <w:lvlText w:val="%6."/>
      <w:lvlJc w:val="left"/>
      <w:pPr>
        <w:tabs>
          <w:tab w:val="num" w:pos="2325"/>
        </w:tabs>
        <w:ind w:left="2665" w:hanging="397"/>
      </w:pPr>
      <w:rPr>
        <w:rFonts w:ascii="Arial" w:hAnsi="Arial" w:cs="Times New Roman" w:hint="default"/>
        <w:sz w:val="24"/>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70605BB"/>
    <w:multiLevelType w:val="hybridMultilevel"/>
    <w:tmpl w:val="C7CC97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79E62F0A"/>
    <w:multiLevelType w:val="multilevel"/>
    <w:tmpl w:val="0C090023"/>
    <w:styleLink w:val="11111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7C3A0DF8"/>
    <w:multiLevelType w:val="multilevel"/>
    <w:tmpl w:val="E6863C72"/>
    <w:lvl w:ilvl="0">
      <w:start w:val="1"/>
      <w:numFmt w:val="none"/>
      <w:lvlRestart w:val="0"/>
      <w:pStyle w:val="Caption"/>
      <w:suff w:val="nothing"/>
      <w:lvlText w:val="%1"/>
      <w:lvlJc w:val="left"/>
      <w:pPr>
        <w:ind w:left="0" w:firstLine="0"/>
      </w:pPr>
      <w:rPr>
        <w:rFonts w:ascii="Calibri" w:hAnsi="Calibri" w:cs="Calibri" w:hint="default"/>
        <w:b/>
        <w:i w:val="0"/>
        <w:color w:val="C6BFAB" w:themeColor="accent3"/>
        <w:position w:val="4"/>
      </w:rPr>
    </w:lvl>
    <w:lvl w:ilvl="1">
      <w:start w:val="1"/>
      <w:numFmt w:val="lowerLett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num w:numId="1">
    <w:abstractNumId w:val="17"/>
  </w:num>
  <w:num w:numId="2">
    <w:abstractNumId w:val="23"/>
  </w:num>
  <w:num w:numId="3">
    <w:abstractNumId w:val="13"/>
    <w:lvlOverride w:ilvl="0">
      <w:lvl w:ilvl="0">
        <w:start w:val="1"/>
        <w:numFmt w:val="bullet"/>
        <w:pStyle w:val="ChartListBullet"/>
        <w:lvlText w:val="■"/>
        <w:lvlJc w:val="left"/>
        <w:pPr>
          <w:tabs>
            <w:tab w:val="num" w:pos="170"/>
          </w:tabs>
          <w:ind w:left="170" w:hanging="170"/>
        </w:pPr>
        <w:rPr>
          <w:rFonts w:ascii="Franklin Gothic Book" w:hAnsi="Franklin Gothic Book" w:hint="default"/>
          <w:color w:val="FFFFFF" w:themeColor="background1"/>
          <w:position w:val="2"/>
          <w:sz w:val="12"/>
        </w:rPr>
      </w:lvl>
    </w:lvlOverride>
  </w:num>
  <w:num w:numId="4">
    <w:abstractNumId w:val="29"/>
  </w:num>
  <w:num w:numId="5">
    <w:abstractNumId w:val="20"/>
  </w:num>
  <w:num w:numId="6">
    <w:abstractNumId w:val="15"/>
  </w:num>
  <w:num w:numId="7">
    <w:abstractNumId w:val="35"/>
  </w:num>
  <w:num w:numId="8">
    <w:abstractNumId w:val="25"/>
  </w:num>
  <w:num w:numId="9">
    <w:abstractNumId w:val="5"/>
  </w:num>
  <w:num w:numId="10">
    <w:abstractNumId w:val="30"/>
  </w:num>
  <w:num w:numId="11">
    <w:abstractNumId w:val="9"/>
  </w:num>
  <w:num w:numId="12">
    <w:abstractNumId w:val="14"/>
  </w:num>
  <w:num w:numId="13">
    <w:abstractNumId w:val="11"/>
  </w:num>
  <w:num w:numId="14">
    <w:abstractNumId w:val="16"/>
  </w:num>
  <w:num w:numId="15">
    <w:abstractNumId w:val="26"/>
  </w:num>
  <w:num w:numId="16">
    <w:abstractNumId w:val="30"/>
    <w:lvlOverride w:ilvl="0">
      <w:lvl w:ilvl="0">
        <w:start w:val="1"/>
        <w:numFmt w:val="bullet"/>
        <w:pStyle w:val="ListBullet"/>
        <w:lvlText w:val="■"/>
        <w:lvlJc w:val="left"/>
        <w:pPr>
          <w:tabs>
            <w:tab w:val="num" w:pos="284"/>
          </w:tabs>
          <w:ind w:left="284" w:hanging="284"/>
        </w:pPr>
        <w:rPr>
          <w:rFonts w:ascii="Franklin Gothic Demi" w:hAnsi="Franklin Gothic Demi" w:hint="default"/>
          <w:color w:val="000000" w:themeColor="text1"/>
          <w:position w:val="3"/>
          <w:sz w:val="16"/>
        </w:rPr>
      </w:lvl>
    </w:lvlOverride>
  </w:num>
  <w:num w:numId="17">
    <w:abstractNumId w:val="27"/>
  </w:num>
  <w:num w:numId="18">
    <w:abstractNumId w:val="7"/>
  </w:num>
  <w:num w:numId="19">
    <w:abstractNumId w:val="33"/>
  </w:num>
  <w:num w:numId="20">
    <w:abstractNumId w:val="2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4"/>
  </w:num>
  <w:num w:numId="24">
    <w:abstractNumId w:val="28"/>
  </w:num>
  <w:num w:numId="25">
    <w:abstractNumId w:val="21"/>
  </w:num>
  <w:num w:numId="26">
    <w:abstractNumId w:val="12"/>
  </w:num>
  <w:num w:numId="27">
    <w:abstractNumId w:val="22"/>
  </w:num>
  <w:num w:numId="28">
    <w:abstractNumId w:val="4"/>
  </w:num>
  <w:num w:numId="29">
    <w:abstractNumId w:val="3"/>
  </w:num>
  <w:num w:numId="30">
    <w:abstractNumId w:val="2"/>
  </w:num>
  <w:num w:numId="31">
    <w:abstractNumId w:val="1"/>
  </w:num>
  <w:num w:numId="32">
    <w:abstractNumId w:val="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284"/>
  <w:clickAndTypeStyle w:val="BodyText"/>
  <w:evenAndOddHeaders/>
  <w:drawingGridHorizontalSpacing w:val="142"/>
  <w:drawingGridVerticalSpacing w:val="142"/>
  <w:characterSpacingControl w:val="doNotCompress"/>
  <w:hdrShapeDefaults>
    <o:shapedefaults v:ext="edit" spidmax="12289"/>
  </w:hdrShapeDefaults>
  <w:footnotePr>
    <w:footnote w:id="-1"/>
    <w:footnote w:id="0"/>
  </w:footnotePr>
  <w:endnotePr>
    <w:endnote w:id="-1"/>
    <w:endnote w:id="0"/>
  </w:endnotePr>
  <w:compat>
    <w:noLeading/>
    <w:printColBlack/>
    <w:showBreaksInFrames/>
    <w:suppressSpBfAfterPgBrk/>
    <w:swapBordersFacingPages/>
    <w:noSpaceRaiseLower/>
    <w:layoutRawTableWidth/>
    <w:selectFldWithFirstOrLastChar/>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046"/>
    <w:rsid w:val="00000726"/>
    <w:rsid w:val="00002F4B"/>
    <w:rsid w:val="00003E51"/>
    <w:rsid w:val="0000404E"/>
    <w:rsid w:val="000053BF"/>
    <w:rsid w:val="00005768"/>
    <w:rsid w:val="00006740"/>
    <w:rsid w:val="000078F0"/>
    <w:rsid w:val="00014030"/>
    <w:rsid w:val="000168BA"/>
    <w:rsid w:val="00016AE2"/>
    <w:rsid w:val="00017D5A"/>
    <w:rsid w:val="00022345"/>
    <w:rsid w:val="00024206"/>
    <w:rsid w:val="00024872"/>
    <w:rsid w:val="00027E7C"/>
    <w:rsid w:val="0003192F"/>
    <w:rsid w:val="000331D6"/>
    <w:rsid w:val="00036FD6"/>
    <w:rsid w:val="00042363"/>
    <w:rsid w:val="00043FE2"/>
    <w:rsid w:val="00045326"/>
    <w:rsid w:val="000461CB"/>
    <w:rsid w:val="000473DD"/>
    <w:rsid w:val="00051172"/>
    <w:rsid w:val="00051852"/>
    <w:rsid w:val="00052303"/>
    <w:rsid w:val="00054AAC"/>
    <w:rsid w:val="00061CDB"/>
    <w:rsid w:val="00063D61"/>
    <w:rsid w:val="000642B7"/>
    <w:rsid w:val="000652FC"/>
    <w:rsid w:val="00065889"/>
    <w:rsid w:val="00067FEF"/>
    <w:rsid w:val="00070083"/>
    <w:rsid w:val="00070654"/>
    <w:rsid w:val="000719EA"/>
    <w:rsid w:val="0007265F"/>
    <w:rsid w:val="00072873"/>
    <w:rsid w:val="00073C36"/>
    <w:rsid w:val="00075AA4"/>
    <w:rsid w:val="00080446"/>
    <w:rsid w:val="000866A5"/>
    <w:rsid w:val="000872FB"/>
    <w:rsid w:val="000873CC"/>
    <w:rsid w:val="00087E40"/>
    <w:rsid w:val="00090B41"/>
    <w:rsid w:val="000923A8"/>
    <w:rsid w:val="00092BC9"/>
    <w:rsid w:val="00095461"/>
    <w:rsid w:val="00095D2C"/>
    <w:rsid w:val="0009623A"/>
    <w:rsid w:val="00096BB1"/>
    <w:rsid w:val="000978D6"/>
    <w:rsid w:val="000A04F6"/>
    <w:rsid w:val="000A3975"/>
    <w:rsid w:val="000A744E"/>
    <w:rsid w:val="000A7A6B"/>
    <w:rsid w:val="000B2602"/>
    <w:rsid w:val="000B397D"/>
    <w:rsid w:val="000B4602"/>
    <w:rsid w:val="000B6546"/>
    <w:rsid w:val="000C35CB"/>
    <w:rsid w:val="000C55C5"/>
    <w:rsid w:val="000C6913"/>
    <w:rsid w:val="000D052F"/>
    <w:rsid w:val="000D4C79"/>
    <w:rsid w:val="000D53CB"/>
    <w:rsid w:val="000D738C"/>
    <w:rsid w:val="000E06BD"/>
    <w:rsid w:val="000E3271"/>
    <w:rsid w:val="000E5329"/>
    <w:rsid w:val="000E5731"/>
    <w:rsid w:val="000E5C25"/>
    <w:rsid w:val="000F76FA"/>
    <w:rsid w:val="000F7DCD"/>
    <w:rsid w:val="00100392"/>
    <w:rsid w:val="0010339F"/>
    <w:rsid w:val="00106A9E"/>
    <w:rsid w:val="00106B92"/>
    <w:rsid w:val="001113DF"/>
    <w:rsid w:val="00112299"/>
    <w:rsid w:val="001132FF"/>
    <w:rsid w:val="00113754"/>
    <w:rsid w:val="00114298"/>
    <w:rsid w:val="00120584"/>
    <w:rsid w:val="00122CBF"/>
    <w:rsid w:val="00125045"/>
    <w:rsid w:val="001267A4"/>
    <w:rsid w:val="00127C93"/>
    <w:rsid w:val="00130996"/>
    <w:rsid w:val="00131EC3"/>
    <w:rsid w:val="00132A04"/>
    <w:rsid w:val="0013655A"/>
    <w:rsid w:val="00137548"/>
    <w:rsid w:val="00137756"/>
    <w:rsid w:val="001377F8"/>
    <w:rsid w:val="00141E1F"/>
    <w:rsid w:val="00144AC4"/>
    <w:rsid w:val="00144B99"/>
    <w:rsid w:val="00145444"/>
    <w:rsid w:val="00147133"/>
    <w:rsid w:val="00151D8E"/>
    <w:rsid w:val="0015309D"/>
    <w:rsid w:val="0015377E"/>
    <w:rsid w:val="00154EE1"/>
    <w:rsid w:val="00155EBB"/>
    <w:rsid w:val="00156FB3"/>
    <w:rsid w:val="00157456"/>
    <w:rsid w:val="001605E1"/>
    <w:rsid w:val="00160701"/>
    <w:rsid w:val="00160FB8"/>
    <w:rsid w:val="00161FB8"/>
    <w:rsid w:val="001624ED"/>
    <w:rsid w:val="001647E4"/>
    <w:rsid w:val="00164A52"/>
    <w:rsid w:val="00167266"/>
    <w:rsid w:val="00172A23"/>
    <w:rsid w:val="00172B01"/>
    <w:rsid w:val="00172EE8"/>
    <w:rsid w:val="0017310D"/>
    <w:rsid w:val="00173B54"/>
    <w:rsid w:val="00174354"/>
    <w:rsid w:val="001750CC"/>
    <w:rsid w:val="001754CB"/>
    <w:rsid w:val="00176390"/>
    <w:rsid w:val="00183D95"/>
    <w:rsid w:val="001850B1"/>
    <w:rsid w:val="001852E4"/>
    <w:rsid w:val="0019242D"/>
    <w:rsid w:val="0019261A"/>
    <w:rsid w:val="00192D12"/>
    <w:rsid w:val="001951A7"/>
    <w:rsid w:val="001958A8"/>
    <w:rsid w:val="00195939"/>
    <w:rsid w:val="0019703F"/>
    <w:rsid w:val="001A0013"/>
    <w:rsid w:val="001A066A"/>
    <w:rsid w:val="001A08AD"/>
    <w:rsid w:val="001A0B79"/>
    <w:rsid w:val="001A1065"/>
    <w:rsid w:val="001A2A99"/>
    <w:rsid w:val="001A2D20"/>
    <w:rsid w:val="001A4BDB"/>
    <w:rsid w:val="001A59B2"/>
    <w:rsid w:val="001A6EA7"/>
    <w:rsid w:val="001A6EAB"/>
    <w:rsid w:val="001A7F1B"/>
    <w:rsid w:val="001B0B61"/>
    <w:rsid w:val="001B1B01"/>
    <w:rsid w:val="001B2F94"/>
    <w:rsid w:val="001B3876"/>
    <w:rsid w:val="001B43A3"/>
    <w:rsid w:val="001B747F"/>
    <w:rsid w:val="001B7C37"/>
    <w:rsid w:val="001C0972"/>
    <w:rsid w:val="001C0E54"/>
    <w:rsid w:val="001C172D"/>
    <w:rsid w:val="001C24C9"/>
    <w:rsid w:val="001C3CC5"/>
    <w:rsid w:val="001C3E07"/>
    <w:rsid w:val="001C41C7"/>
    <w:rsid w:val="001C6315"/>
    <w:rsid w:val="001D200A"/>
    <w:rsid w:val="001D2D60"/>
    <w:rsid w:val="001D3E1A"/>
    <w:rsid w:val="001D5740"/>
    <w:rsid w:val="001D6065"/>
    <w:rsid w:val="001E04F5"/>
    <w:rsid w:val="001E2A83"/>
    <w:rsid w:val="001E2D52"/>
    <w:rsid w:val="001E34F6"/>
    <w:rsid w:val="001E3840"/>
    <w:rsid w:val="001E3D69"/>
    <w:rsid w:val="001E4E51"/>
    <w:rsid w:val="001E6A14"/>
    <w:rsid w:val="001F182E"/>
    <w:rsid w:val="001F2906"/>
    <w:rsid w:val="001F3E78"/>
    <w:rsid w:val="001F438A"/>
    <w:rsid w:val="001F45EB"/>
    <w:rsid w:val="001F5579"/>
    <w:rsid w:val="001F5611"/>
    <w:rsid w:val="001F62C5"/>
    <w:rsid w:val="001F650C"/>
    <w:rsid w:val="002006F2"/>
    <w:rsid w:val="00200DE7"/>
    <w:rsid w:val="00202BB1"/>
    <w:rsid w:val="00204271"/>
    <w:rsid w:val="002043F1"/>
    <w:rsid w:val="002054AC"/>
    <w:rsid w:val="002078CE"/>
    <w:rsid w:val="00212CA5"/>
    <w:rsid w:val="00213B29"/>
    <w:rsid w:val="002149C9"/>
    <w:rsid w:val="002164D6"/>
    <w:rsid w:val="002166AA"/>
    <w:rsid w:val="00216C8F"/>
    <w:rsid w:val="00217000"/>
    <w:rsid w:val="0021708E"/>
    <w:rsid w:val="002175B7"/>
    <w:rsid w:val="0021770B"/>
    <w:rsid w:val="00221BE0"/>
    <w:rsid w:val="00222007"/>
    <w:rsid w:val="00222BF5"/>
    <w:rsid w:val="0022386A"/>
    <w:rsid w:val="002249BD"/>
    <w:rsid w:val="00225D69"/>
    <w:rsid w:val="00226230"/>
    <w:rsid w:val="002262E1"/>
    <w:rsid w:val="00230635"/>
    <w:rsid w:val="00231E5E"/>
    <w:rsid w:val="002321B8"/>
    <w:rsid w:val="00232F15"/>
    <w:rsid w:val="00234760"/>
    <w:rsid w:val="00234EAC"/>
    <w:rsid w:val="002355AE"/>
    <w:rsid w:val="00235787"/>
    <w:rsid w:val="0023701E"/>
    <w:rsid w:val="00237D6C"/>
    <w:rsid w:val="002411F9"/>
    <w:rsid w:val="0024172A"/>
    <w:rsid w:val="0025014B"/>
    <w:rsid w:val="002501B3"/>
    <w:rsid w:val="002525CE"/>
    <w:rsid w:val="00252A3F"/>
    <w:rsid w:val="0025306F"/>
    <w:rsid w:val="00255187"/>
    <w:rsid w:val="00255341"/>
    <w:rsid w:val="002568C5"/>
    <w:rsid w:val="00257809"/>
    <w:rsid w:val="00257F35"/>
    <w:rsid w:val="002613B7"/>
    <w:rsid w:val="00262F13"/>
    <w:rsid w:val="002646BA"/>
    <w:rsid w:val="002658EB"/>
    <w:rsid w:val="0026687E"/>
    <w:rsid w:val="0027008A"/>
    <w:rsid w:val="00272518"/>
    <w:rsid w:val="00274BEB"/>
    <w:rsid w:val="002761F9"/>
    <w:rsid w:val="00280D84"/>
    <w:rsid w:val="00280FB4"/>
    <w:rsid w:val="002812E4"/>
    <w:rsid w:val="0028390C"/>
    <w:rsid w:val="00287996"/>
    <w:rsid w:val="00290273"/>
    <w:rsid w:val="00290907"/>
    <w:rsid w:val="0029248B"/>
    <w:rsid w:val="00293297"/>
    <w:rsid w:val="00295145"/>
    <w:rsid w:val="002A7161"/>
    <w:rsid w:val="002A7FBB"/>
    <w:rsid w:val="002B1B67"/>
    <w:rsid w:val="002B2E3B"/>
    <w:rsid w:val="002B418C"/>
    <w:rsid w:val="002B68C2"/>
    <w:rsid w:val="002B76B3"/>
    <w:rsid w:val="002C0234"/>
    <w:rsid w:val="002C073A"/>
    <w:rsid w:val="002C0B69"/>
    <w:rsid w:val="002C1088"/>
    <w:rsid w:val="002C3738"/>
    <w:rsid w:val="002C4DAF"/>
    <w:rsid w:val="002C5E17"/>
    <w:rsid w:val="002D0F84"/>
    <w:rsid w:val="002D12E6"/>
    <w:rsid w:val="002D16DF"/>
    <w:rsid w:val="002D1EA5"/>
    <w:rsid w:val="002D219D"/>
    <w:rsid w:val="002D245D"/>
    <w:rsid w:val="002D4888"/>
    <w:rsid w:val="002D4C2F"/>
    <w:rsid w:val="002D6C51"/>
    <w:rsid w:val="002E3000"/>
    <w:rsid w:val="002E42E5"/>
    <w:rsid w:val="002E4B26"/>
    <w:rsid w:val="002E5345"/>
    <w:rsid w:val="002E5C43"/>
    <w:rsid w:val="002E641C"/>
    <w:rsid w:val="002E7462"/>
    <w:rsid w:val="002E7FE4"/>
    <w:rsid w:val="002F0710"/>
    <w:rsid w:val="002F2AD2"/>
    <w:rsid w:val="002F2DAD"/>
    <w:rsid w:val="002F3BED"/>
    <w:rsid w:val="002F54D7"/>
    <w:rsid w:val="00300FE4"/>
    <w:rsid w:val="003034B4"/>
    <w:rsid w:val="00303E96"/>
    <w:rsid w:val="00304215"/>
    <w:rsid w:val="003042AA"/>
    <w:rsid w:val="00304C10"/>
    <w:rsid w:val="00305777"/>
    <w:rsid w:val="003126F2"/>
    <w:rsid w:val="00314C70"/>
    <w:rsid w:val="00316FB2"/>
    <w:rsid w:val="003202CB"/>
    <w:rsid w:val="00320B11"/>
    <w:rsid w:val="00321D8B"/>
    <w:rsid w:val="003247B1"/>
    <w:rsid w:val="00324AC0"/>
    <w:rsid w:val="00326D2F"/>
    <w:rsid w:val="003272EE"/>
    <w:rsid w:val="00333489"/>
    <w:rsid w:val="003336FB"/>
    <w:rsid w:val="00337449"/>
    <w:rsid w:val="00341986"/>
    <w:rsid w:val="00343707"/>
    <w:rsid w:val="00344521"/>
    <w:rsid w:val="00347146"/>
    <w:rsid w:val="0034759A"/>
    <w:rsid w:val="00347B60"/>
    <w:rsid w:val="003506C7"/>
    <w:rsid w:val="00350F84"/>
    <w:rsid w:val="0035105D"/>
    <w:rsid w:val="00352EC0"/>
    <w:rsid w:val="003535F2"/>
    <w:rsid w:val="00354223"/>
    <w:rsid w:val="003561F3"/>
    <w:rsid w:val="0035659D"/>
    <w:rsid w:val="00357024"/>
    <w:rsid w:val="003573D1"/>
    <w:rsid w:val="00357593"/>
    <w:rsid w:val="00360168"/>
    <w:rsid w:val="00360713"/>
    <w:rsid w:val="00363A6B"/>
    <w:rsid w:val="00363C20"/>
    <w:rsid w:val="00364961"/>
    <w:rsid w:val="003702D6"/>
    <w:rsid w:val="0037167C"/>
    <w:rsid w:val="003726AE"/>
    <w:rsid w:val="0037281D"/>
    <w:rsid w:val="00372E7F"/>
    <w:rsid w:val="00373553"/>
    <w:rsid w:val="0037389E"/>
    <w:rsid w:val="00375A3B"/>
    <w:rsid w:val="00375BA6"/>
    <w:rsid w:val="00375F1A"/>
    <w:rsid w:val="00375F1D"/>
    <w:rsid w:val="003818BB"/>
    <w:rsid w:val="00385261"/>
    <w:rsid w:val="0038664C"/>
    <w:rsid w:val="00387CB5"/>
    <w:rsid w:val="00392639"/>
    <w:rsid w:val="00392952"/>
    <w:rsid w:val="00394D91"/>
    <w:rsid w:val="00395D18"/>
    <w:rsid w:val="003966C8"/>
    <w:rsid w:val="00396ABD"/>
    <w:rsid w:val="00397DC8"/>
    <w:rsid w:val="003A0CDF"/>
    <w:rsid w:val="003A1DFF"/>
    <w:rsid w:val="003A20B3"/>
    <w:rsid w:val="003A22CD"/>
    <w:rsid w:val="003A24B5"/>
    <w:rsid w:val="003A28F7"/>
    <w:rsid w:val="003A33E9"/>
    <w:rsid w:val="003A4189"/>
    <w:rsid w:val="003B0F2C"/>
    <w:rsid w:val="003B187C"/>
    <w:rsid w:val="003B2B11"/>
    <w:rsid w:val="003B3BE9"/>
    <w:rsid w:val="003B3D27"/>
    <w:rsid w:val="003B45D1"/>
    <w:rsid w:val="003B4AAA"/>
    <w:rsid w:val="003B5EBE"/>
    <w:rsid w:val="003B7167"/>
    <w:rsid w:val="003C166E"/>
    <w:rsid w:val="003C35DB"/>
    <w:rsid w:val="003C392D"/>
    <w:rsid w:val="003C3A35"/>
    <w:rsid w:val="003C420B"/>
    <w:rsid w:val="003C4883"/>
    <w:rsid w:val="003C53D9"/>
    <w:rsid w:val="003C62AC"/>
    <w:rsid w:val="003D007E"/>
    <w:rsid w:val="003D0A62"/>
    <w:rsid w:val="003D0CBD"/>
    <w:rsid w:val="003D2A2B"/>
    <w:rsid w:val="003D41EA"/>
    <w:rsid w:val="003D6FA5"/>
    <w:rsid w:val="003D764D"/>
    <w:rsid w:val="003E1F01"/>
    <w:rsid w:val="003E428F"/>
    <w:rsid w:val="003E547F"/>
    <w:rsid w:val="003E5943"/>
    <w:rsid w:val="003F3859"/>
    <w:rsid w:val="003F3E18"/>
    <w:rsid w:val="003F4D24"/>
    <w:rsid w:val="003F4D9B"/>
    <w:rsid w:val="003F6559"/>
    <w:rsid w:val="003F6ACF"/>
    <w:rsid w:val="00402B72"/>
    <w:rsid w:val="00402DAF"/>
    <w:rsid w:val="00402DB3"/>
    <w:rsid w:val="00402F0D"/>
    <w:rsid w:val="00406ED7"/>
    <w:rsid w:val="00407097"/>
    <w:rsid w:val="00407359"/>
    <w:rsid w:val="004073EA"/>
    <w:rsid w:val="00407B9C"/>
    <w:rsid w:val="00411FDB"/>
    <w:rsid w:val="00415E68"/>
    <w:rsid w:val="0041733A"/>
    <w:rsid w:val="004201BE"/>
    <w:rsid w:val="00420A76"/>
    <w:rsid w:val="00422897"/>
    <w:rsid w:val="00422A07"/>
    <w:rsid w:val="00423461"/>
    <w:rsid w:val="00424887"/>
    <w:rsid w:val="00425BAF"/>
    <w:rsid w:val="0042634F"/>
    <w:rsid w:val="004263AE"/>
    <w:rsid w:val="00430E53"/>
    <w:rsid w:val="00431306"/>
    <w:rsid w:val="00431443"/>
    <w:rsid w:val="00431B6D"/>
    <w:rsid w:val="00435EE9"/>
    <w:rsid w:val="00436EC7"/>
    <w:rsid w:val="00437D32"/>
    <w:rsid w:val="004411DB"/>
    <w:rsid w:val="0044268B"/>
    <w:rsid w:val="00443E7D"/>
    <w:rsid w:val="00444736"/>
    <w:rsid w:val="004452F5"/>
    <w:rsid w:val="00445D6D"/>
    <w:rsid w:val="0044762A"/>
    <w:rsid w:val="00447D60"/>
    <w:rsid w:val="004511A8"/>
    <w:rsid w:val="00451B94"/>
    <w:rsid w:val="00451CC6"/>
    <w:rsid w:val="00451DDC"/>
    <w:rsid w:val="00451F31"/>
    <w:rsid w:val="0045456F"/>
    <w:rsid w:val="0045559C"/>
    <w:rsid w:val="004559DC"/>
    <w:rsid w:val="004562C8"/>
    <w:rsid w:val="004563C5"/>
    <w:rsid w:val="00457002"/>
    <w:rsid w:val="00457271"/>
    <w:rsid w:val="00457CDE"/>
    <w:rsid w:val="00457E0A"/>
    <w:rsid w:val="004603A4"/>
    <w:rsid w:val="00461B22"/>
    <w:rsid w:val="004649C6"/>
    <w:rsid w:val="00465609"/>
    <w:rsid w:val="004660B8"/>
    <w:rsid w:val="0046709B"/>
    <w:rsid w:val="00467D80"/>
    <w:rsid w:val="00467FBA"/>
    <w:rsid w:val="00470EA9"/>
    <w:rsid w:val="0047158C"/>
    <w:rsid w:val="0047188E"/>
    <w:rsid w:val="00471A32"/>
    <w:rsid w:val="004742B8"/>
    <w:rsid w:val="00475A61"/>
    <w:rsid w:val="00475BA5"/>
    <w:rsid w:val="0047640F"/>
    <w:rsid w:val="00481E74"/>
    <w:rsid w:val="004837B6"/>
    <w:rsid w:val="004851C6"/>
    <w:rsid w:val="0049011A"/>
    <w:rsid w:val="00491C57"/>
    <w:rsid w:val="0049244A"/>
    <w:rsid w:val="00495E87"/>
    <w:rsid w:val="00496F96"/>
    <w:rsid w:val="00497862"/>
    <w:rsid w:val="004A02A0"/>
    <w:rsid w:val="004A1B3F"/>
    <w:rsid w:val="004A1B8D"/>
    <w:rsid w:val="004A217A"/>
    <w:rsid w:val="004A272C"/>
    <w:rsid w:val="004A2B30"/>
    <w:rsid w:val="004A3FA1"/>
    <w:rsid w:val="004A570B"/>
    <w:rsid w:val="004A6747"/>
    <w:rsid w:val="004A7F86"/>
    <w:rsid w:val="004B0C23"/>
    <w:rsid w:val="004B1755"/>
    <w:rsid w:val="004B1CE6"/>
    <w:rsid w:val="004B22A1"/>
    <w:rsid w:val="004B5925"/>
    <w:rsid w:val="004B781D"/>
    <w:rsid w:val="004B7EA5"/>
    <w:rsid w:val="004C0EAF"/>
    <w:rsid w:val="004C1481"/>
    <w:rsid w:val="004C1E82"/>
    <w:rsid w:val="004C31EE"/>
    <w:rsid w:val="004C50F9"/>
    <w:rsid w:val="004C5201"/>
    <w:rsid w:val="004C54C7"/>
    <w:rsid w:val="004C57F5"/>
    <w:rsid w:val="004C6101"/>
    <w:rsid w:val="004D2679"/>
    <w:rsid w:val="004D3FB4"/>
    <w:rsid w:val="004D515B"/>
    <w:rsid w:val="004D55B1"/>
    <w:rsid w:val="004D5649"/>
    <w:rsid w:val="004D6AA5"/>
    <w:rsid w:val="004D76D8"/>
    <w:rsid w:val="004E0FE7"/>
    <w:rsid w:val="004E1233"/>
    <w:rsid w:val="004E34FC"/>
    <w:rsid w:val="004E3854"/>
    <w:rsid w:val="004E4A71"/>
    <w:rsid w:val="004E4BEE"/>
    <w:rsid w:val="004E5295"/>
    <w:rsid w:val="004F2C9F"/>
    <w:rsid w:val="004F57BA"/>
    <w:rsid w:val="004F6255"/>
    <w:rsid w:val="004F65EB"/>
    <w:rsid w:val="004F7137"/>
    <w:rsid w:val="004F76C9"/>
    <w:rsid w:val="004F785D"/>
    <w:rsid w:val="004F7DFE"/>
    <w:rsid w:val="00500DAC"/>
    <w:rsid w:val="00501A93"/>
    <w:rsid w:val="00502303"/>
    <w:rsid w:val="005030D2"/>
    <w:rsid w:val="0050505D"/>
    <w:rsid w:val="00505430"/>
    <w:rsid w:val="00505BE4"/>
    <w:rsid w:val="005060A4"/>
    <w:rsid w:val="00506FFE"/>
    <w:rsid w:val="0051089E"/>
    <w:rsid w:val="005109E1"/>
    <w:rsid w:val="00511610"/>
    <w:rsid w:val="00511766"/>
    <w:rsid w:val="00512EC0"/>
    <w:rsid w:val="00515CB5"/>
    <w:rsid w:val="00516EAF"/>
    <w:rsid w:val="00524339"/>
    <w:rsid w:val="0052602A"/>
    <w:rsid w:val="00527E7D"/>
    <w:rsid w:val="0053103E"/>
    <w:rsid w:val="00532F23"/>
    <w:rsid w:val="005362A1"/>
    <w:rsid w:val="0053699A"/>
    <w:rsid w:val="00536D4D"/>
    <w:rsid w:val="00541050"/>
    <w:rsid w:val="00543728"/>
    <w:rsid w:val="005441EE"/>
    <w:rsid w:val="00550FDA"/>
    <w:rsid w:val="00551A1C"/>
    <w:rsid w:val="00552321"/>
    <w:rsid w:val="00552D9A"/>
    <w:rsid w:val="00556412"/>
    <w:rsid w:val="0056021E"/>
    <w:rsid w:val="00566BC3"/>
    <w:rsid w:val="0056775D"/>
    <w:rsid w:val="005709FE"/>
    <w:rsid w:val="00570FDC"/>
    <w:rsid w:val="005718F0"/>
    <w:rsid w:val="0057294A"/>
    <w:rsid w:val="005738E7"/>
    <w:rsid w:val="00573B72"/>
    <w:rsid w:val="00575AC1"/>
    <w:rsid w:val="005767CE"/>
    <w:rsid w:val="00576C2E"/>
    <w:rsid w:val="005818B4"/>
    <w:rsid w:val="00581DA4"/>
    <w:rsid w:val="00584F9A"/>
    <w:rsid w:val="0058597E"/>
    <w:rsid w:val="00585E48"/>
    <w:rsid w:val="00587291"/>
    <w:rsid w:val="00590988"/>
    <w:rsid w:val="005912F9"/>
    <w:rsid w:val="00591C8C"/>
    <w:rsid w:val="00591F69"/>
    <w:rsid w:val="00592EA1"/>
    <w:rsid w:val="00594CAA"/>
    <w:rsid w:val="005961AB"/>
    <w:rsid w:val="00596DC0"/>
    <w:rsid w:val="00596EBF"/>
    <w:rsid w:val="00597C4B"/>
    <w:rsid w:val="005A224A"/>
    <w:rsid w:val="005A2F9F"/>
    <w:rsid w:val="005A4194"/>
    <w:rsid w:val="005B2377"/>
    <w:rsid w:val="005B30E1"/>
    <w:rsid w:val="005B3A90"/>
    <w:rsid w:val="005B435E"/>
    <w:rsid w:val="005B4670"/>
    <w:rsid w:val="005C01FA"/>
    <w:rsid w:val="005C046D"/>
    <w:rsid w:val="005C09D0"/>
    <w:rsid w:val="005C2384"/>
    <w:rsid w:val="005C2AEA"/>
    <w:rsid w:val="005C386A"/>
    <w:rsid w:val="005C42B4"/>
    <w:rsid w:val="005C5257"/>
    <w:rsid w:val="005C5337"/>
    <w:rsid w:val="005C76A4"/>
    <w:rsid w:val="005C7918"/>
    <w:rsid w:val="005C7B71"/>
    <w:rsid w:val="005D3C6B"/>
    <w:rsid w:val="005D56D7"/>
    <w:rsid w:val="005D5B85"/>
    <w:rsid w:val="005D6F19"/>
    <w:rsid w:val="005D7C32"/>
    <w:rsid w:val="005E1D27"/>
    <w:rsid w:val="005E2466"/>
    <w:rsid w:val="005E3B73"/>
    <w:rsid w:val="005E43A8"/>
    <w:rsid w:val="005E4B08"/>
    <w:rsid w:val="005E6B5F"/>
    <w:rsid w:val="005E6E6F"/>
    <w:rsid w:val="005E710A"/>
    <w:rsid w:val="005F06CD"/>
    <w:rsid w:val="005F2E4B"/>
    <w:rsid w:val="005F3A7A"/>
    <w:rsid w:val="005F42E6"/>
    <w:rsid w:val="005F636C"/>
    <w:rsid w:val="005F6E78"/>
    <w:rsid w:val="00600582"/>
    <w:rsid w:val="0060478E"/>
    <w:rsid w:val="0060506D"/>
    <w:rsid w:val="00605AC1"/>
    <w:rsid w:val="00605D38"/>
    <w:rsid w:val="00606B6D"/>
    <w:rsid w:val="006104AF"/>
    <w:rsid w:val="00612CD9"/>
    <w:rsid w:val="006132D8"/>
    <w:rsid w:val="00615336"/>
    <w:rsid w:val="00616E6E"/>
    <w:rsid w:val="00620E39"/>
    <w:rsid w:val="00621B0C"/>
    <w:rsid w:val="006220D4"/>
    <w:rsid w:val="006227D7"/>
    <w:rsid w:val="00624E85"/>
    <w:rsid w:val="00624F08"/>
    <w:rsid w:val="00627DF4"/>
    <w:rsid w:val="00631A1E"/>
    <w:rsid w:val="00635737"/>
    <w:rsid w:val="00636B5B"/>
    <w:rsid w:val="00637168"/>
    <w:rsid w:val="00640507"/>
    <w:rsid w:val="00640BE2"/>
    <w:rsid w:val="006417B1"/>
    <w:rsid w:val="0064445E"/>
    <w:rsid w:val="006448EE"/>
    <w:rsid w:val="0064735E"/>
    <w:rsid w:val="0065255D"/>
    <w:rsid w:val="00652CE1"/>
    <w:rsid w:val="0065401F"/>
    <w:rsid w:val="00654141"/>
    <w:rsid w:val="006544F3"/>
    <w:rsid w:val="00655656"/>
    <w:rsid w:val="00660B2D"/>
    <w:rsid w:val="00661D2C"/>
    <w:rsid w:val="00663324"/>
    <w:rsid w:val="00664723"/>
    <w:rsid w:val="00665E4E"/>
    <w:rsid w:val="00667378"/>
    <w:rsid w:val="006677C1"/>
    <w:rsid w:val="0067052D"/>
    <w:rsid w:val="006712CD"/>
    <w:rsid w:val="00672059"/>
    <w:rsid w:val="006737C8"/>
    <w:rsid w:val="00674239"/>
    <w:rsid w:val="00675046"/>
    <w:rsid w:val="00677ED3"/>
    <w:rsid w:val="0068075B"/>
    <w:rsid w:val="00682820"/>
    <w:rsid w:val="00686E72"/>
    <w:rsid w:val="006919D2"/>
    <w:rsid w:val="0069258E"/>
    <w:rsid w:val="00692803"/>
    <w:rsid w:val="00693CD2"/>
    <w:rsid w:val="00693EAE"/>
    <w:rsid w:val="00695C93"/>
    <w:rsid w:val="006A43D2"/>
    <w:rsid w:val="006A614B"/>
    <w:rsid w:val="006A62FB"/>
    <w:rsid w:val="006A78D4"/>
    <w:rsid w:val="006B024C"/>
    <w:rsid w:val="006B152D"/>
    <w:rsid w:val="006B21B6"/>
    <w:rsid w:val="006B2949"/>
    <w:rsid w:val="006B319C"/>
    <w:rsid w:val="006B3382"/>
    <w:rsid w:val="006B34C3"/>
    <w:rsid w:val="006B352F"/>
    <w:rsid w:val="006B5AF3"/>
    <w:rsid w:val="006B6291"/>
    <w:rsid w:val="006B62AE"/>
    <w:rsid w:val="006C27C9"/>
    <w:rsid w:val="006C3639"/>
    <w:rsid w:val="006C4922"/>
    <w:rsid w:val="006C4A9A"/>
    <w:rsid w:val="006D0F27"/>
    <w:rsid w:val="006D10AA"/>
    <w:rsid w:val="006D4DC7"/>
    <w:rsid w:val="006D6517"/>
    <w:rsid w:val="006E0165"/>
    <w:rsid w:val="006E02EF"/>
    <w:rsid w:val="006E03FF"/>
    <w:rsid w:val="006E2350"/>
    <w:rsid w:val="006E31DA"/>
    <w:rsid w:val="006E5440"/>
    <w:rsid w:val="006E5BE0"/>
    <w:rsid w:val="006F043F"/>
    <w:rsid w:val="006F1BD6"/>
    <w:rsid w:val="006F5DA3"/>
    <w:rsid w:val="006F644B"/>
    <w:rsid w:val="00702F7B"/>
    <w:rsid w:val="00706285"/>
    <w:rsid w:val="00706740"/>
    <w:rsid w:val="00710816"/>
    <w:rsid w:val="0071092E"/>
    <w:rsid w:val="00712E5B"/>
    <w:rsid w:val="0071480D"/>
    <w:rsid w:val="0071617D"/>
    <w:rsid w:val="00716AA5"/>
    <w:rsid w:val="00723662"/>
    <w:rsid w:val="00723BE6"/>
    <w:rsid w:val="007248CB"/>
    <w:rsid w:val="0072548C"/>
    <w:rsid w:val="00726AA9"/>
    <w:rsid w:val="00727552"/>
    <w:rsid w:val="0073118C"/>
    <w:rsid w:val="00731FC7"/>
    <w:rsid w:val="007348DE"/>
    <w:rsid w:val="00736E88"/>
    <w:rsid w:val="007415B7"/>
    <w:rsid w:val="00742A5F"/>
    <w:rsid w:val="007438FF"/>
    <w:rsid w:val="00745458"/>
    <w:rsid w:val="00745B58"/>
    <w:rsid w:val="0074727D"/>
    <w:rsid w:val="007505E8"/>
    <w:rsid w:val="00753209"/>
    <w:rsid w:val="00756197"/>
    <w:rsid w:val="00756880"/>
    <w:rsid w:val="007604B6"/>
    <w:rsid w:val="00761663"/>
    <w:rsid w:val="00761F60"/>
    <w:rsid w:val="0076441B"/>
    <w:rsid w:val="007653FF"/>
    <w:rsid w:val="00765577"/>
    <w:rsid w:val="0076787A"/>
    <w:rsid w:val="00767B48"/>
    <w:rsid w:val="007701E2"/>
    <w:rsid w:val="007714DF"/>
    <w:rsid w:val="00771BA4"/>
    <w:rsid w:val="00775130"/>
    <w:rsid w:val="00776B5B"/>
    <w:rsid w:val="007772AA"/>
    <w:rsid w:val="007804DC"/>
    <w:rsid w:val="00781BDB"/>
    <w:rsid w:val="00782AE4"/>
    <w:rsid w:val="00784F08"/>
    <w:rsid w:val="00785447"/>
    <w:rsid w:val="00786E51"/>
    <w:rsid w:val="007913CA"/>
    <w:rsid w:val="00793112"/>
    <w:rsid w:val="0079671B"/>
    <w:rsid w:val="007969BE"/>
    <w:rsid w:val="007A0201"/>
    <w:rsid w:val="007A1A0A"/>
    <w:rsid w:val="007A2A3B"/>
    <w:rsid w:val="007A2EFE"/>
    <w:rsid w:val="007A4A55"/>
    <w:rsid w:val="007A5039"/>
    <w:rsid w:val="007A5368"/>
    <w:rsid w:val="007A5B73"/>
    <w:rsid w:val="007A61BD"/>
    <w:rsid w:val="007A7117"/>
    <w:rsid w:val="007B033B"/>
    <w:rsid w:val="007B0420"/>
    <w:rsid w:val="007B3F04"/>
    <w:rsid w:val="007B5C92"/>
    <w:rsid w:val="007B5CE6"/>
    <w:rsid w:val="007B70E6"/>
    <w:rsid w:val="007B7CBE"/>
    <w:rsid w:val="007C0583"/>
    <w:rsid w:val="007C2655"/>
    <w:rsid w:val="007C3085"/>
    <w:rsid w:val="007C4C46"/>
    <w:rsid w:val="007C6A96"/>
    <w:rsid w:val="007C7036"/>
    <w:rsid w:val="007D07A2"/>
    <w:rsid w:val="007D13E1"/>
    <w:rsid w:val="007D1B4F"/>
    <w:rsid w:val="007D4B7A"/>
    <w:rsid w:val="007D58E9"/>
    <w:rsid w:val="007D695E"/>
    <w:rsid w:val="007E0671"/>
    <w:rsid w:val="007E0CC5"/>
    <w:rsid w:val="007E1C3F"/>
    <w:rsid w:val="007E2AB4"/>
    <w:rsid w:val="007E2F6B"/>
    <w:rsid w:val="007E44F6"/>
    <w:rsid w:val="007F104C"/>
    <w:rsid w:val="007F12F2"/>
    <w:rsid w:val="007F153B"/>
    <w:rsid w:val="007F22A9"/>
    <w:rsid w:val="007F23CC"/>
    <w:rsid w:val="007F2436"/>
    <w:rsid w:val="007F33BF"/>
    <w:rsid w:val="007F3C1A"/>
    <w:rsid w:val="007F40EB"/>
    <w:rsid w:val="007F56B3"/>
    <w:rsid w:val="00800EC1"/>
    <w:rsid w:val="0080129B"/>
    <w:rsid w:val="00802B83"/>
    <w:rsid w:val="008056CD"/>
    <w:rsid w:val="0081013A"/>
    <w:rsid w:val="00811EC1"/>
    <w:rsid w:val="00812BD3"/>
    <w:rsid w:val="00813488"/>
    <w:rsid w:val="008137E2"/>
    <w:rsid w:val="00813860"/>
    <w:rsid w:val="00814A0C"/>
    <w:rsid w:val="00814B8B"/>
    <w:rsid w:val="008209BC"/>
    <w:rsid w:val="008229C0"/>
    <w:rsid w:val="00823491"/>
    <w:rsid w:val="00825668"/>
    <w:rsid w:val="008258EF"/>
    <w:rsid w:val="00826061"/>
    <w:rsid w:val="00827105"/>
    <w:rsid w:val="008274D9"/>
    <w:rsid w:val="00830E27"/>
    <w:rsid w:val="00830E79"/>
    <w:rsid w:val="008363EF"/>
    <w:rsid w:val="00842B43"/>
    <w:rsid w:val="00842DE9"/>
    <w:rsid w:val="00846689"/>
    <w:rsid w:val="00847F97"/>
    <w:rsid w:val="00850B88"/>
    <w:rsid w:val="00850C2C"/>
    <w:rsid w:val="00850F5A"/>
    <w:rsid w:val="008513AE"/>
    <w:rsid w:val="00851870"/>
    <w:rsid w:val="008519F1"/>
    <w:rsid w:val="0085245D"/>
    <w:rsid w:val="008544EC"/>
    <w:rsid w:val="008548E0"/>
    <w:rsid w:val="008566BE"/>
    <w:rsid w:val="008579F6"/>
    <w:rsid w:val="00860A7E"/>
    <w:rsid w:val="00861243"/>
    <w:rsid w:val="00861E71"/>
    <w:rsid w:val="00861EA7"/>
    <w:rsid w:val="00862E5B"/>
    <w:rsid w:val="0086389A"/>
    <w:rsid w:val="00863E3F"/>
    <w:rsid w:val="00865BAD"/>
    <w:rsid w:val="00866943"/>
    <w:rsid w:val="00866F41"/>
    <w:rsid w:val="00867422"/>
    <w:rsid w:val="00867843"/>
    <w:rsid w:val="0087097F"/>
    <w:rsid w:val="0087161D"/>
    <w:rsid w:val="00873D6F"/>
    <w:rsid w:val="008771EC"/>
    <w:rsid w:val="00877619"/>
    <w:rsid w:val="00877813"/>
    <w:rsid w:val="00880026"/>
    <w:rsid w:val="00880622"/>
    <w:rsid w:val="00881089"/>
    <w:rsid w:val="00881AFD"/>
    <w:rsid w:val="008823DC"/>
    <w:rsid w:val="00883B7A"/>
    <w:rsid w:val="00883FCA"/>
    <w:rsid w:val="00884722"/>
    <w:rsid w:val="00886ACB"/>
    <w:rsid w:val="00887545"/>
    <w:rsid w:val="00887BDA"/>
    <w:rsid w:val="0089278E"/>
    <w:rsid w:val="00893306"/>
    <w:rsid w:val="0089698C"/>
    <w:rsid w:val="008A036A"/>
    <w:rsid w:val="008A09B4"/>
    <w:rsid w:val="008A2494"/>
    <w:rsid w:val="008A31C7"/>
    <w:rsid w:val="008A4341"/>
    <w:rsid w:val="008A5DE8"/>
    <w:rsid w:val="008A6012"/>
    <w:rsid w:val="008B002D"/>
    <w:rsid w:val="008B1330"/>
    <w:rsid w:val="008B67FA"/>
    <w:rsid w:val="008B6F68"/>
    <w:rsid w:val="008C5B32"/>
    <w:rsid w:val="008C5B49"/>
    <w:rsid w:val="008D029C"/>
    <w:rsid w:val="008D2E56"/>
    <w:rsid w:val="008D5863"/>
    <w:rsid w:val="008D63BD"/>
    <w:rsid w:val="008E1E19"/>
    <w:rsid w:val="008F01A4"/>
    <w:rsid w:val="008F1D32"/>
    <w:rsid w:val="008F2E64"/>
    <w:rsid w:val="008F30B6"/>
    <w:rsid w:val="008F38BF"/>
    <w:rsid w:val="008F6EF9"/>
    <w:rsid w:val="008F71F4"/>
    <w:rsid w:val="008F7260"/>
    <w:rsid w:val="0090342C"/>
    <w:rsid w:val="00904CDC"/>
    <w:rsid w:val="00906371"/>
    <w:rsid w:val="009134EF"/>
    <w:rsid w:val="00921CBC"/>
    <w:rsid w:val="00922132"/>
    <w:rsid w:val="00925756"/>
    <w:rsid w:val="00925CD5"/>
    <w:rsid w:val="00927109"/>
    <w:rsid w:val="00930189"/>
    <w:rsid w:val="009314BA"/>
    <w:rsid w:val="00933446"/>
    <w:rsid w:val="00934464"/>
    <w:rsid w:val="0093563B"/>
    <w:rsid w:val="009360A4"/>
    <w:rsid w:val="00940742"/>
    <w:rsid w:val="009424E9"/>
    <w:rsid w:val="00942CAF"/>
    <w:rsid w:val="009467F1"/>
    <w:rsid w:val="009505F5"/>
    <w:rsid w:val="009525F5"/>
    <w:rsid w:val="00953051"/>
    <w:rsid w:val="00953CB3"/>
    <w:rsid w:val="009544AD"/>
    <w:rsid w:val="00956C30"/>
    <w:rsid w:val="00957F31"/>
    <w:rsid w:val="009649CE"/>
    <w:rsid w:val="00971BED"/>
    <w:rsid w:val="00974BDC"/>
    <w:rsid w:val="00975509"/>
    <w:rsid w:val="00975DC1"/>
    <w:rsid w:val="0097604B"/>
    <w:rsid w:val="00980C3D"/>
    <w:rsid w:val="00983D0E"/>
    <w:rsid w:val="00984A9D"/>
    <w:rsid w:val="00984D56"/>
    <w:rsid w:val="009875FF"/>
    <w:rsid w:val="009931BB"/>
    <w:rsid w:val="009943BF"/>
    <w:rsid w:val="00994D80"/>
    <w:rsid w:val="00994EBA"/>
    <w:rsid w:val="00995299"/>
    <w:rsid w:val="00995C93"/>
    <w:rsid w:val="0099602A"/>
    <w:rsid w:val="00996425"/>
    <w:rsid w:val="00996DC5"/>
    <w:rsid w:val="00997AA5"/>
    <w:rsid w:val="009A2056"/>
    <w:rsid w:val="009A3356"/>
    <w:rsid w:val="009A339F"/>
    <w:rsid w:val="009A4238"/>
    <w:rsid w:val="009A451D"/>
    <w:rsid w:val="009A4680"/>
    <w:rsid w:val="009A56D9"/>
    <w:rsid w:val="009A58AA"/>
    <w:rsid w:val="009A6E90"/>
    <w:rsid w:val="009B0CD9"/>
    <w:rsid w:val="009B1852"/>
    <w:rsid w:val="009B61C3"/>
    <w:rsid w:val="009B6923"/>
    <w:rsid w:val="009C0B20"/>
    <w:rsid w:val="009C1B85"/>
    <w:rsid w:val="009C2DB1"/>
    <w:rsid w:val="009C3029"/>
    <w:rsid w:val="009C49CE"/>
    <w:rsid w:val="009C52C6"/>
    <w:rsid w:val="009C5A0E"/>
    <w:rsid w:val="009C608D"/>
    <w:rsid w:val="009C6774"/>
    <w:rsid w:val="009D1764"/>
    <w:rsid w:val="009D1C24"/>
    <w:rsid w:val="009D2CE8"/>
    <w:rsid w:val="009D3939"/>
    <w:rsid w:val="009D4FA8"/>
    <w:rsid w:val="009D667E"/>
    <w:rsid w:val="009E0370"/>
    <w:rsid w:val="009E03FA"/>
    <w:rsid w:val="009E1140"/>
    <w:rsid w:val="009E1AEA"/>
    <w:rsid w:val="009E79BC"/>
    <w:rsid w:val="009E7DDD"/>
    <w:rsid w:val="009F06F1"/>
    <w:rsid w:val="009F0BF9"/>
    <w:rsid w:val="009F1AFC"/>
    <w:rsid w:val="009F3D4A"/>
    <w:rsid w:val="009F5151"/>
    <w:rsid w:val="009F5E2D"/>
    <w:rsid w:val="00A01B85"/>
    <w:rsid w:val="00A027E2"/>
    <w:rsid w:val="00A03FA5"/>
    <w:rsid w:val="00A05355"/>
    <w:rsid w:val="00A0602B"/>
    <w:rsid w:val="00A06836"/>
    <w:rsid w:val="00A06AE6"/>
    <w:rsid w:val="00A100C0"/>
    <w:rsid w:val="00A104AB"/>
    <w:rsid w:val="00A12A3A"/>
    <w:rsid w:val="00A12CD8"/>
    <w:rsid w:val="00A1477A"/>
    <w:rsid w:val="00A154B5"/>
    <w:rsid w:val="00A15741"/>
    <w:rsid w:val="00A177A6"/>
    <w:rsid w:val="00A17853"/>
    <w:rsid w:val="00A17E81"/>
    <w:rsid w:val="00A20DAB"/>
    <w:rsid w:val="00A23674"/>
    <w:rsid w:val="00A25344"/>
    <w:rsid w:val="00A25EA9"/>
    <w:rsid w:val="00A265E1"/>
    <w:rsid w:val="00A30229"/>
    <w:rsid w:val="00A416DC"/>
    <w:rsid w:val="00A416FA"/>
    <w:rsid w:val="00A43492"/>
    <w:rsid w:val="00A43AF7"/>
    <w:rsid w:val="00A46B33"/>
    <w:rsid w:val="00A473FA"/>
    <w:rsid w:val="00A4797F"/>
    <w:rsid w:val="00A51B29"/>
    <w:rsid w:val="00A5318A"/>
    <w:rsid w:val="00A53985"/>
    <w:rsid w:val="00A54479"/>
    <w:rsid w:val="00A57506"/>
    <w:rsid w:val="00A600AB"/>
    <w:rsid w:val="00A6014F"/>
    <w:rsid w:val="00A6210B"/>
    <w:rsid w:val="00A62E65"/>
    <w:rsid w:val="00A63489"/>
    <w:rsid w:val="00A65253"/>
    <w:rsid w:val="00A67576"/>
    <w:rsid w:val="00A67DE0"/>
    <w:rsid w:val="00A70328"/>
    <w:rsid w:val="00A731D9"/>
    <w:rsid w:val="00A7369E"/>
    <w:rsid w:val="00A73873"/>
    <w:rsid w:val="00A73D6E"/>
    <w:rsid w:val="00A76264"/>
    <w:rsid w:val="00A77690"/>
    <w:rsid w:val="00A8019C"/>
    <w:rsid w:val="00A816D5"/>
    <w:rsid w:val="00A827B1"/>
    <w:rsid w:val="00A833BB"/>
    <w:rsid w:val="00A84D61"/>
    <w:rsid w:val="00A85AB5"/>
    <w:rsid w:val="00A85C99"/>
    <w:rsid w:val="00A861CA"/>
    <w:rsid w:val="00A864B7"/>
    <w:rsid w:val="00A86A2E"/>
    <w:rsid w:val="00A86FF3"/>
    <w:rsid w:val="00A906FD"/>
    <w:rsid w:val="00A921E3"/>
    <w:rsid w:val="00A92DE0"/>
    <w:rsid w:val="00A944A1"/>
    <w:rsid w:val="00A95537"/>
    <w:rsid w:val="00A97BEC"/>
    <w:rsid w:val="00AA2506"/>
    <w:rsid w:val="00AA4661"/>
    <w:rsid w:val="00AA7958"/>
    <w:rsid w:val="00AB00C7"/>
    <w:rsid w:val="00AB11B5"/>
    <w:rsid w:val="00AB1D6A"/>
    <w:rsid w:val="00AB381F"/>
    <w:rsid w:val="00AB3CFE"/>
    <w:rsid w:val="00AB6245"/>
    <w:rsid w:val="00AB68C4"/>
    <w:rsid w:val="00AB7613"/>
    <w:rsid w:val="00AB7899"/>
    <w:rsid w:val="00AC0E9D"/>
    <w:rsid w:val="00AC3156"/>
    <w:rsid w:val="00AC365E"/>
    <w:rsid w:val="00AC4A9C"/>
    <w:rsid w:val="00AC4CA0"/>
    <w:rsid w:val="00AC5877"/>
    <w:rsid w:val="00AC58CF"/>
    <w:rsid w:val="00AC5DED"/>
    <w:rsid w:val="00AD1397"/>
    <w:rsid w:val="00AD14EC"/>
    <w:rsid w:val="00AD1773"/>
    <w:rsid w:val="00AD249A"/>
    <w:rsid w:val="00AD4296"/>
    <w:rsid w:val="00AD70CB"/>
    <w:rsid w:val="00AE06F0"/>
    <w:rsid w:val="00AE1AEB"/>
    <w:rsid w:val="00AE2134"/>
    <w:rsid w:val="00AE2669"/>
    <w:rsid w:val="00AE2FCE"/>
    <w:rsid w:val="00AE3C67"/>
    <w:rsid w:val="00AE4341"/>
    <w:rsid w:val="00AE4681"/>
    <w:rsid w:val="00AE593F"/>
    <w:rsid w:val="00AE5980"/>
    <w:rsid w:val="00AE6BEB"/>
    <w:rsid w:val="00AE706E"/>
    <w:rsid w:val="00AE70C1"/>
    <w:rsid w:val="00AF005F"/>
    <w:rsid w:val="00AF08A7"/>
    <w:rsid w:val="00AF0B26"/>
    <w:rsid w:val="00AF23F5"/>
    <w:rsid w:val="00AF2E03"/>
    <w:rsid w:val="00AF3722"/>
    <w:rsid w:val="00AF475D"/>
    <w:rsid w:val="00AF4E66"/>
    <w:rsid w:val="00AF5770"/>
    <w:rsid w:val="00B0163B"/>
    <w:rsid w:val="00B01898"/>
    <w:rsid w:val="00B04C9A"/>
    <w:rsid w:val="00B04F8C"/>
    <w:rsid w:val="00B05254"/>
    <w:rsid w:val="00B0676F"/>
    <w:rsid w:val="00B071CF"/>
    <w:rsid w:val="00B15A6E"/>
    <w:rsid w:val="00B16526"/>
    <w:rsid w:val="00B169B9"/>
    <w:rsid w:val="00B201A7"/>
    <w:rsid w:val="00B205D8"/>
    <w:rsid w:val="00B21A9B"/>
    <w:rsid w:val="00B23151"/>
    <w:rsid w:val="00B23461"/>
    <w:rsid w:val="00B27387"/>
    <w:rsid w:val="00B27E6E"/>
    <w:rsid w:val="00B30AFA"/>
    <w:rsid w:val="00B318C9"/>
    <w:rsid w:val="00B32F17"/>
    <w:rsid w:val="00B33706"/>
    <w:rsid w:val="00B34F5F"/>
    <w:rsid w:val="00B3590D"/>
    <w:rsid w:val="00B35B49"/>
    <w:rsid w:val="00B402A3"/>
    <w:rsid w:val="00B43D17"/>
    <w:rsid w:val="00B443F0"/>
    <w:rsid w:val="00B46024"/>
    <w:rsid w:val="00B46F4F"/>
    <w:rsid w:val="00B52205"/>
    <w:rsid w:val="00B522DD"/>
    <w:rsid w:val="00B5322D"/>
    <w:rsid w:val="00B54414"/>
    <w:rsid w:val="00B56615"/>
    <w:rsid w:val="00B56E40"/>
    <w:rsid w:val="00B60289"/>
    <w:rsid w:val="00B60B32"/>
    <w:rsid w:val="00B61A1C"/>
    <w:rsid w:val="00B64886"/>
    <w:rsid w:val="00B64FD0"/>
    <w:rsid w:val="00B70105"/>
    <w:rsid w:val="00B703C0"/>
    <w:rsid w:val="00B732A0"/>
    <w:rsid w:val="00B73911"/>
    <w:rsid w:val="00B75719"/>
    <w:rsid w:val="00B75852"/>
    <w:rsid w:val="00B760F0"/>
    <w:rsid w:val="00B80B3A"/>
    <w:rsid w:val="00B876A1"/>
    <w:rsid w:val="00B90397"/>
    <w:rsid w:val="00B91650"/>
    <w:rsid w:val="00B942EA"/>
    <w:rsid w:val="00B966C6"/>
    <w:rsid w:val="00B96A0D"/>
    <w:rsid w:val="00B974A4"/>
    <w:rsid w:val="00B97E59"/>
    <w:rsid w:val="00BA0719"/>
    <w:rsid w:val="00BA1241"/>
    <w:rsid w:val="00BA1860"/>
    <w:rsid w:val="00BA277B"/>
    <w:rsid w:val="00BA3BE7"/>
    <w:rsid w:val="00BA3E31"/>
    <w:rsid w:val="00BA51A0"/>
    <w:rsid w:val="00BA5A04"/>
    <w:rsid w:val="00BA7AC6"/>
    <w:rsid w:val="00BB1148"/>
    <w:rsid w:val="00BB1299"/>
    <w:rsid w:val="00BB4ECD"/>
    <w:rsid w:val="00BB73F1"/>
    <w:rsid w:val="00BC0E70"/>
    <w:rsid w:val="00BC1E61"/>
    <w:rsid w:val="00BC4823"/>
    <w:rsid w:val="00BD079E"/>
    <w:rsid w:val="00BD1512"/>
    <w:rsid w:val="00BD43AF"/>
    <w:rsid w:val="00BD5376"/>
    <w:rsid w:val="00BD6A2F"/>
    <w:rsid w:val="00BD6D0E"/>
    <w:rsid w:val="00BE0A38"/>
    <w:rsid w:val="00BE3A3B"/>
    <w:rsid w:val="00BE3E30"/>
    <w:rsid w:val="00BE52B8"/>
    <w:rsid w:val="00BE729A"/>
    <w:rsid w:val="00BE739D"/>
    <w:rsid w:val="00BF2F67"/>
    <w:rsid w:val="00BF5F50"/>
    <w:rsid w:val="00C00763"/>
    <w:rsid w:val="00C046B0"/>
    <w:rsid w:val="00C0507E"/>
    <w:rsid w:val="00C05708"/>
    <w:rsid w:val="00C06228"/>
    <w:rsid w:val="00C0628F"/>
    <w:rsid w:val="00C10938"/>
    <w:rsid w:val="00C10EA6"/>
    <w:rsid w:val="00C154E7"/>
    <w:rsid w:val="00C211E2"/>
    <w:rsid w:val="00C21F44"/>
    <w:rsid w:val="00C222CA"/>
    <w:rsid w:val="00C22373"/>
    <w:rsid w:val="00C25A9B"/>
    <w:rsid w:val="00C27D17"/>
    <w:rsid w:val="00C31076"/>
    <w:rsid w:val="00C33581"/>
    <w:rsid w:val="00C35D84"/>
    <w:rsid w:val="00C35DDA"/>
    <w:rsid w:val="00C3710F"/>
    <w:rsid w:val="00C40056"/>
    <w:rsid w:val="00C40294"/>
    <w:rsid w:val="00C405D2"/>
    <w:rsid w:val="00C40EBB"/>
    <w:rsid w:val="00C41119"/>
    <w:rsid w:val="00C415B8"/>
    <w:rsid w:val="00C41B38"/>
    <w:rsid w:val="00C446DA"/>
    <w:rsid w:val="00C45676"/>
    <w:rsid w:val="00C456D1"/>
    <w:rsid w:val="00C46BA1"/>
    <w:rsid w:val="00C52144"/>
    <w:rsid w:val="00C53E4F"/>
    <w:rsid w:val="00C55E7A"/>
    <w:rsid w:val="00C56748"/>
    <w:rsid w:val="00C62C70"/>
    <w:rsid w:val="00C644AD"/>
    <w:rsid w:val="00C65BB9"/>
    <w:rsid w:val="00C65FA8"/>
    <w:rsid w:val="00C73487"/>
    <w:rsid w:val="00C76B46"/>
    <w:rsid w:val="00C77323"/>
    <w:rsid w:val="00C778E9"/>
    <w:rsid w:val="00C809AB"/>
    <w:rsid w:val="00C8201D"/>
    <w:rsid w:val="00C85AAE"/>
    <w:rsid w:val="00C85E7E"/>
    <w:rsid w:val="00C86B8A"/>
    <w:rsid w:val="00C877D5"/>
    <w:rsid w:val="00C87ED3"/>
    <w:rsid w:val="00C9093E"/>
    <w:rsid w:val="00C929C4"/>
    <w:rsid w:val="00C9344B"/>
    <w:rsid w:val="00C93691"/>
    <w:rsid w:val="00C93B97"/>
    <w:rsid w:val="00CA33E3"/>
    <w:rsid w:val="00CA364E"/>
    <w:rsid w:val="00CA6E86"/>
    <w:rsid w:val="00CB0838"/>
    <w:rsid w:val="00CB1263"/>
    <w:rsid w:val="00CB1AE7"/>
    <w:rsid w:val="00CB4186"/>
    <w:rsid w:val="00CB58A4"/>
    <w:rsid w:val="00CB5F45"/>
    <w:rsid w:val="00CC054E"/>
    <w:rsid w:val="00CC1B1E"/>
    <w:rsid w:val="00CC446E"/>
    <w:rsid w:val="00CC4851"/>
    <w:rsid w:val="00CC5B39"/>
    <w:rsid w:val="00CC7166"/>
    <w:rsid w:val="00CD06B5"/>
    <w:rsid w:val="00CD111E"/>
    <w:rsid w:val="00CD19AD"/>
    <w:rsid w:val="00CD28EF"/>
    <w:rsid w:val="00CD3DEF"/>
    <w:rsid w:val="00CD4203"/>
    <w:rsid w:val="00CE14AC"/>
    <w:rsid w:val="00CE3386"/>
    <w:rsid w:val="00CE64AD"/>
    <w:rsid w:val="00CE75D6"/>
    <w:rsid w:val="00CF09C0"/>
    <w:rsid w:val="00CF1B4C"/>
    <w:rsid w:val="00CF1D90"/>
    <w:rsid w:val="00CF4633"/>
    <w:rsid w:val="00CF4CE1"/>
    <w:rsid w:val="00CF51D4"/>
    <w:rsid w:val="00CF57D6"/>
    <w:rsid w:val="00CF6739"/>
    <w:rsid w:val="00D00413"/>
    <w:rsid w:val="00D009C8"/>
    <w:rsid w:val="00D01160"/>
    <w:rsid w:val="00D039F4"/>
    <w:rsid w:val="00D03F54"/>
    <w:rsid w:val="00D042D0"/>
    <w:rsid w:val="00D0609C"/>
    <w:rsid w:val="00D078E8"/>
    <w:rsid w:val="00D07BAE"/>
    <w:rsid w:val="00D11C02"/>
    <w:rsid w:val="00D12689"/>
    <w:rsid w:val="00D1344A"/>
    <w:rsid w:val="00D15314"/>
    <w:rsid w:val="00D158FA"/>
    <w:rsid w:val="00D16137"/>
    <w:rsid w:val="00D206E4"/>
    <w:rsid w:val="00D21EBC"/>
    <w:rsid w:val="00D24560"/>
    <w:rsid w:val="00D25DBE"/>
    <w:rsid w:val="00D26F5D"/>
    <w:rsid w:val="00D30FD7"/>
    <w:rsid w:val="00D31549"/>
    <w:rsid w:val="00D335B5"/>
    <w:rsid w:val="00D33D0C"/>
    <w:rsid w:val="00D3435F"/>
    <w:rsid w:val="00D37D30"/>
    <w:rsid w:val="00D439DA"/>
    <w:rsid w:val="00D43B65"/>
    <w:rsid w:val="00D44D70"/>
    <w:rsid w:val="00D45893"/>
    <w:rsid w:val="00D5127D"/>
    <w:rsid w:val="00D518A6"/>
    <w:rsid w:val="00D52089"/>
    <w:rsid w:val="00D53139"/>
    <w:rsid w:val="00D53179"/>
    <w:rsid w:val="00D54257"/>
    <w:rsid w:val="00D54D32"/>
    <w:rsid w:val="00D57CC7"/>
    <w:rsid w:val="00D60819"/>
    <w:rsid w:val="00D609A8"/>
    <w:rsid w:val="00D61E9E"/>
    <w:rsid w:val="00D66346"/>
    <w:rsid w:val="00D7066F"/>
    <w:rsid w:val="00D70A2B"/>
    <w:rsid w:val="00D70D7B"/>
    <w:rsid w:val="00D71EAD"/>
    <w:rsid w:val="00D72291"/>
    <w:rsid w:val="00D76DC6"/>
    <w:rsid w:val="00D76E19"/>
    <w:rsid w:val="00D8070D"/>
    <w:rsid w:val="00D82A92"/>
    <w:rsid w:val="00D835FC"/>
    <w:rsid w:val="00D83A2B"/>
    <w:rsid w:val="00D842BB"/>
    <w:rsid w:val="00D84525"/>
    <w:rsid w:val="00D84C50"/>
    <w:rsid w:val="00D8538B"/>
    <w:rsid w:val="00D8553A"/>
    <w:rsid w:val="00D86F26"/>
    <w:rsid w:val="00D908FD"/>
    <w:rsid w:val="00D91A6C"/>
    <w:rsid w:val="00D91B52"/>
    <w:rsid w:val="00D9386E"/>
    <w:rsid w:val="00D950CE"/>
    <w:rsid w:val="00D95A75"/>
    <w:rsid w:val="00D96BFC"/>
    <w:rsid w:val="00D9764E"/>
    <w:rsid w:val="00DA1484"/>
    <w:rsid w:val="00DA2AB5"/>
    <w:rsid w:val="00DA40B0"/>
    <w:rsid w:val="00DB008B"/>
    <w:rsid w:val="00DB06BC"/>
    <w:rsid w:val="00DB0E84"/>
    <w:rsid w:val="00DB6659"/>
    <w:rsid w:val="00DB7240"/>
    <w:rsid w:val="00DC4A71"/>
    <w:rsid w:val="00DC53CD"/>
    <w:rsid w:val="00DC683A"/>
    <w:rsid w:val="00DC6D13"/>
    <w:rsid w:val="00DC78C0"/>
    <w:rsid w:val="00DD0CD4"/>
    <w:rsid w:val="00DD24BA"/>
    <w:rsid w:val="00DD7B16"/>
    <w:rsid w:val="00DE2446"/>
    <w:rsid w:val="00DE48E3"/>
    <w:rsid w:val="00DE6165"/>
    <w:rsid w:val="00DE7CE0"/>
    <w:rsid w:val="00DF1724"/>
    <w:rsid w:val="00DF1836"/>
    <w:rsid w:val="00DF2EDB"/>
    <w:rsid w:val="00DF353B"/>
    <w:rsid w:val="00DF4D27"/>
    <w:rsid w:val="00DF5CC3"/>
    <w:rsid w:val="00DF7CF6"/>
    <w:rsid w:val="00E015C6"/>
    <w:rsid w:val="00E01F9D"/>
    <w:rsid w:val="00E04153"/>
    <w:rsid w:val="00E05C8C"/>
    <w:rsid w:val="00E07D31"/>
    <w:rsid w:val="00E1092B"/>
    <w:rsid w:val="00E10BA8"/>
    <w:rsid w:val="00E1100C"/>
    <w:rsid w:val="00E12AF6"/>
    <w:rsid w:val="00E2092B"/>
    <w:rsid w:val="00E21170"/>
    <w:rsid w:val="00E21D5B"/>
    <w:rsid w:val="00E2444F"/>
    <w:rsid w:val="00E2462A"/>
    <w:rsid w:val="00E2582A"/>
    <w:rsid w:val="00E309AA"/>
    <w:rsid w:val="00E316AA"/>
    <w:rsid w:val="00E35815"/>
    <w:rsid w:val="00E35986"/>
    <w:rsid w:val="00E35B83"/>
    <w:rsid w:val="00E4232C"/>
    <w:rsid w:val="00E43751"/>
    <w:rsid w:val="00E44475"/>
    <w:rsid w:val="00E44FCD"/>
    <w:rsid w:val="00E465EC"/>
    <w:rsid w:val="00E502EE"/>
    <w:rsid w:val="00E51129"/>
    <w:rsid w:val="00E530B9"/>
    <w:rsid w:val="00E53E43"/>
    <w:rsid w:val="00E570D8"/>
    <w:rsid w:val="00E60068"/>
    <w:rsid w:val="00E616BB"/>
    <w:rsid w:val="00E63A50"/>
    <w:rsid w:val="00E6555A"/>
    <w:rsid w:val="00E75B60"/>
    <w:rsid w:val="00E75D59"/>
    <w:rsid w:val="00E773A8"/>
    <w:rsid w:val="00E807DE"/>
    <w:rsid w:val="00E864C1"/>
    <w:rsid w:val="00E864FF"/>
    <w:rsid w:val="00E86DF0"/>
    <w:rsid w:val="00E879B8"/>
    <w:rsid w:val="00E87BF7"/>
    <w:rsid w:val="00E94645"/>
    <w:rsid w:val="00E95793"/>
    <w:rsid w:val="00E95FA4"/>
    <w:rsid w:val="00EA009D"/>
    <w:rsid w:val="00EA00D3"/>
    <w:rsid w:val="00EA13FE"/>
    <w:rsid w:val="00EA2E86"/>
    <w:rsid w:val="00EA33CD"/>
    <w:rsid w:val="00EA392A"/>
    <w:rsid w:val="00EA611D"/>
    <w:rsid w:val="00EA6A80"/>
    <w:rsid w:val="00EA7848"/>
    <w:rsid w:val="00EB00EB"/>
    <w:rsid w:val="00EB08A4"/>
    <w:rsid w:val="00EB1B39"/>
    <w:rsid w:val="00EB42DD"/>
    <w:rsid w:val="00EB5D1D"/>
    <w:rsid w:val="00EB66C5"/>
    <w:rsid w:val="00EC1571"/>
    <w:rsid w:val="00EC48D7"/>
    <w:rsid w:val="00EC677F"/>
    <w:rsid w:val="00EC7878"/>
    <w:rsid w:val="00ED0958"/>
    <w:rsid w:val="00ED0B38"/>
    <w:rsid w:val="00ED1218"/>
    <w:rsid w:val="00ED1966"/>
    <w:rsid w:val="00ED220C"/>
    <w:rsid w:val="00ED5DD1"/>
    <w:rsid w:val="00ED7333"/>
    <w:rsid w:val="00EE34B5"/>
    <w:rsid w:val="00EE39E6"/>
    <w:rsid w:val="00EE46CA"/>
    <w:rsid w:val="00EF0B0B"/>
    <w:rsid w:val="00EF2A5D"/>
    <w:rsid w:val="00EF466B"/>
    <w:rsid w:val="00F00CAB"/>
    <w:rsid w:val="00F00D69"/>
    <w:rsid w:val="00F0434E"/>
    <w:rsid w:val="00F062BF"/>
    <w:rsid w:val="00F06AF4"/>
    <w:rsid w:val="00F07133"/>
    <w:rsid w:val="00F117E4"/>
    <w:rsid w:val="00F11A2A"/>
    <w:rsid w:val="00F133C0"/>
    <w:rsid w:val="00F14432"/>
    <w:rsid w:val="00F161BA"/>
    <w:rsid w:val="00F20844"/>
    <w:rsid w:val="00F21B7B"/>
    <w:rsid w:val="00F21CFB"/>
    <w:rsid w:val="00F2215E"/>
    <w:rsid w:val="00F22CF0"/>
    <w:rsid w:val="00F24903"/>
    <w:rsid w:val="00F31AEF"/>
    <w:rsid w:val="00F33C93"/>
    <w:rsid w:val="00F34EB7"/>
    <w:rsid w:val="00F36706"/>
    <w:rsid w:val="00F376BC"/>
    <w:rsid w:val="00F37D93"/>
    <w:rsid w:val="00F40817"/>
    <w:rsid w:val="00F4287C"/>
    <w:rsid w:val="00F44571"/>
    <w:rsid w:val="00F44DB9"/>
    <w:rsid w:val="00F453EC"/>
    <w:rsid w:val="00F456C9"/>
    <w:rsid w:val="00F46A01"/>
    <w:rsid w:val="00F474C1"/>
    <w:rsid w:val="00F47B3A"/>
    <w:rsid w:val="00F50083"/>
    <w:rsid w:val="00F543C4"/>
    <w:rsid w:val="00F54BDF"/>
    <w:rsid w:val="00F54C8B"/>
    <w:rsid w:val="00F55365"/>
    <w:rsid w:val="00F55EB5"/>
    <w:rsid w:val="00F61550"/>
    <w:rsid w:val="00F63265"/>
    <w:rsid w:val="00F64EAD"/>
    <w:rsid w:val="00F702FD"/>
    <w:rsid w:val="00F71C50"/>
    <w:rsid w:val="00F748C7"/>
    <w:rsid w:val="00F74B4F"/>
    <w:rsid w:val="00F74C32"/>
    <w:rsid w:val="00F76934"/>
    <w:rsid w:val="00F773CB"/>
    <w:rsid w:val="00F77748"/>
    <w:rsid w:val="00F77B0E"/>
    <w:rsid w:val="00F809A8"/>
    <w:rsid w:val="00F84252"/>
    <w:rsid w:val="00F85874"/>
    <w:rsid w:val="00F85C9E"/>
    <w:rsid w:val="00F87657"/>
    <w:rsid w:val="00F87747"/>
    <w:rsid w:val="00F87926"/>
    <w:rsid w:val="00F9425D"/>
    <w:rsid w:val="00F961CC"/>
    <w:rsid w:val="00F96550"/>
    <w:rsid w:val="00F97741"/>
    <w:rsid w:val="00FA1874"/>
    <w:rsid w:val="00FA240C"/>
    <w:rsid w:val="00FA6D9C"/>
    <w:rsid w:val="00FB090D"/>
    <w:rsid w:val="00FB2C5B"/>
    <w:rsid w:val="00FB364D"/>
    <w:rsid w:val="00FB3678"/>
    <w:rsid w:val="00FB4E6D"/>
    <w:rsid w:val="00FC141A"/>
    <w:rsid w:val="00FC1C95"/>
    <w:rsid w:val="00FC3BC6"/>
    <w:rsid w:val="00FC438C"/>
    <w:rsid w:val="00FC45BE"/>
    <w:rsid w:val="00FC4CD2"/>
    <w:rsid w:val="00FC697A"/>
    <w:rsid w:val="00FD0E1A"/>
    <w:rsid w:val="00FD22A6"/>
    <w:rsid w:val="00FD2FC0"/>
    <w:rsid w:val="00FD374C"/>
    <w:rsid w:val="00FD5672"/>
    <w:rsid w:val="00FD7C5A"/>
    <w:rsid w:val="00FE0AD3"/>
    <w:rsid w:val="00FE11ED"/>
    <w:rsid w:val="00FE28E4"/>
    <w:rsid w:val="00FE534B"/>
    <w:rsid w:val="00FE5883"/>
    <w:rsid w:val="00FE6AD6"/>
    <w:rsid w:val="00FF171B"/>
    <w:rsid w:val="00FF21CA"/>
    <w:rsid w:val="00FF227E"/>
    <w:rsid w:val="00FF425A"/>
    <w:rsid w:val="00FF4631"/>
    <w:rsid w:val="00FF4F74"/>
    <w:rsid w:val="00FF7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sto MT" w:eastAsiaTheme="minorEastAsia" w:hAnsi="Calisto MT" w:cs="Times New Roman"/>
        <w:sz w:val="21"/>
        <w:szCs w:val="21"/>
        <w:lang w:val="en-AU" w:eastAsia="en-AU" w:bidi="ar-SA"/>
      </w:rPr>
    </w:rPrDefault>
    <w:pPrDefault>
      <w:pPr>
        <w:spacing w:before="140" w:line="280" w:lineRule="atLeast"/>
      </w:pPr>
    </w:pPrDefault>
  </w:docDefaults>
  <w:latentStyles w:defLockedState="0" w:defUIPriority="0" w:defSemiHidden="1" w:defUnhideWhenUsed="0" w:defQFormat="0" w:count="267">
    <w:lsdException w:name="Normal" w:semiHidden="0"/>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iPriority="99" w:unhideWhenUsed="1"/>
    <w:lsdException w:name="index 2" w:uiPriority="99" w:unhideWhenUsed="1"/>
    <w:lsdException w:name="index 3" w:uiPriority="99" w:unhideWhenUsed="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semiHidden="0" w:uiPriority="39" w:qFormat="1"/>
    <w:lsdException w:name="toc 2" w:semiHidden="0" w:uiPriority="39" w:qFormat="1"/>
    <w:lsdException w:name="toc 3" w:uiPriority="39" w:unhideWhenUsed="1" w:qFormat="1"/>
    <w:lsdException w:name="toc 4" w:uiPriority="39"/>
    <w:lsdException w:name="toc 5" w:uiPriority="39"/>
    <w:lsdException w:name="toc 6" w:uiPriority="39" w:unhideWhenUsed="1"/>
    <w:lsdException w:name="toc 7" w:uiPriority="39" w:unhideWhenUsed="1"/>
    <w:lsdException w:name="toc 8" w:uiPriority="39"/>
    <w:lsdException w:name="toc 9" w:uiPriority="39"/>
    <w:lsdException w:name="Normal Indent" w:uiPriority="99" w:unhideWhenUsed="1"/>
    <w:lsdException w:name="footnote text" w:semiHidden="0" w:uiPriority="25"/>
    <w:lsdException w:name="annotation text" w:semiHidden="0" w:uiPriority="49"/>
    <w:lsdException w:name="header" w:semiHidden="0" w:uiPriority="99" w:qFormat="1"/>
    <w:lsdException w:name="footer" w:semiHidden="0" w:uiPriority="99"/>
    <w:lsdException w:name="index heading" w:uiPriority="99" w:unhideWhenUsed="1"/>
    <w:lsdException w:name="caption" w:uiPriority="99" w:unhideWhenUsed="1" w:qFormat="1"/>
    <w:lsdException w:name="table of figures" w:uiPriority="99" w:unhideWhenUsed="1" w:qFormat="1"/>
    <w:lsdException w:name="envelope address" w:unhideWhenUsed="1"/>
    <w:lsdException w:name="envelope return" w:unhideWhenUsed="1"/>
    <w:lsdException w:name="footnote reference" w:semiHidden="0" w:uiPriority="25"/>
    <w:lsdException w:name="annotation reference" w:semiHidden="0" w:uiPriority="49"/>
    <w:lsdException w:name="line number" w:unhideWhenUsed="1"/>
    <w:lsdException w:name="page number" w:uiPriority="99" w:unhideWhenUsed="1"/>
    <w:lsdException w:name="endnote reference" w:unhideWhenUsed="1"/>
    <w:lsdException w:name="endnote text" w:unhideWhenUsed="1"/>
    <w:lsdException w:name="table of authorities" w:uiPriority="99"/>
    <w:lsdException w:name="macro" w:uiPriority="99" w:unhideWhenUsed="1"/>
    <w:lsdException w:name="toa heading" w:uiPriority="99"/>
    <w:lsdException w:name="List" w:uiPriority="99" w:unhideWhenUsed="1"/>
    <w:lsdException w:name="List Bullet" w:semiHidden="0" w:uiPriority="2" w:qFormat="1"/>
    <w:lsdException w:name="List Number" w:semiHidden="0" w:qFormat="1"/>
    <w:lsdException w:name="List 2" w:unhideWhenUsed="1"/>
    <w:lsdException w:name="List 3" w:unhideWhenUsed="1"/>
    <w:lsdException w:name="List 4" w:unhideWhenUsed="1"/>
    <w:lsdException w:name="List 5" w:unhideWhenUsed="1"/>
    <w:lsdException w:name="List Bullet 2" w:semiHidden="0" w:uiPriority="2" w:qFormat="1"/>
    <w:lsdException w:name="List Bullet 3" w:semiHidden="0" w:uiPriority="2"/>
    <w:lsdException w:name="List Number 2" w:semiHidden="0"/>
    <w:lsdException w:name="List Number 3" w:unhideWhenUsed="1"/>
    <w:lsdException w:name="List Number 4" w:unhideWhenUsed="1"/>
    <w:lsdException w:name="List Number 5" w:unhideWhenUsed="1"/>
    <w:lsdException w:name="Title" w:semiHidden="0" w:uiPriority="29" w:qFormat="1"/>
    <w:lsdException w:name="Closing" w:unhideWhenUsed="1"/>
    <w:lsdException w:name="Signature" w:unhideWhenUsed="1"/>
    <w:lsdException w:name="Default Paragraph Font" w:uiPriority="1" w:unhideWhenUsed="1"/>
    <w:lsdException w:name="Body Text" w:semiHidden="0" w:uiPriority="2"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30" w:qFormat="1"/>
    <w:lsdException w:name="Salutation" w:unhideWhenUsed="1"/>
    <w:lsdException w:name="Date" w:semiHidden="0" w:uiPriority="33"/>
    <w:lsdException w:name="Body Text First Indent" w:unhideWhenUsed="1"/>
    <w:lsdException w:name="Body Text First Indent 2" w:unhideWhenUsed="1"/>
    <w:lsdException w:name="Note Heading" w:unhideWhenUsed="1"/>
    <w:lsdException w:name="Body Text 2" w:uiPriority="99" w:unhideWhenUsed="1"/>
    <w:lsdException w:name="Body Text 3" w:uiPriority="99" w:unhideWhenUsed="1"/>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Emphasis" w:uiPriority="20" w:unhideWhenUsed="1" w:qFormat="1"/>
    <w:lsdException w:name="Document Map" w:uiPriority="99"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iPriority="99"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uiPriority="1" w:unhideWhenUsed="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99" w:qFormat="1"/>
    <w:lsdException w:name="Quote" w:semiHidden="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uiPriority="32" w:qFormat="1"/>
    <w:lsdException w:name="Book Title" w:uiPriority="33" w:qFormat="1"/>
    <w:lsdException w:name="Bibliography" w:uiPriority="37"/>
    <w:lsdException w:name="TOC Heading" w:semiHidden="0" w:uiPriority="39" w:qFormat="1"/>
  </w:latentStyles>
  <w:style w:type="paragraph" w:default="1" w:styleId="Normal">
    <w:name w:val="Normal"/>
    <w:semiHidden/>
    <w:rsid w:val="00BA277B"/>
    <w:pPr>
      <w:spacing w:before="0"/>
    </w:pPr>
  </w:style>
  <w:style w:type="paragraph" w:styleId="Heading1">
    <w:name w:val="heading 1"/>
    <w:aliases w:val="h1,EOI - Heading 1 (Low),Heading 1 (low),Para1,h11,h12,ChapterHeadingNumber,Top 1,ParaLevel1,Level 1 Para,Level 1 Para1,Level 1 Para2,Level 1 Para3,Level 1 Para4,Level 1 Para11,Level 1 Para21,Level 1 Para31,Level 1 Para5,Level 1 Para12,L1,1,RF"/>
    <w:basedOn w:val="BodyText"/>
    <w:next w:val="BodyText"/>
    <w:link w:val="Heading1Char"/>
    <w:qFormat/>
    <w:rsid w:val="00FD7C5A"/>
    <w:pPr>
      <w:keepNext/>
      <w:pageBreakBefore/>
      <w:numPr>
        <w:numId w:val="5"/>
      </w:numPr>
      <w:spacing w:before="0" w:after="1560" w:line="440" w:lineRule="atLeast"/>
      <w:outlineLvl w:val="0"/>
    </w:pPr>
    <w:rPr>
      <w:rFonts w:asciiTheme="majorHAnsi" w:hAnsiTheme="majorHAnsi"/>
      <w:i/>
      <w:kern w:val="28"/>
      <w:sz w:val="36"/>
      <w:szCs w:val="32"/>
    </w:rPr>
  </w:style>
  <w:style w:type="paragraph" w:styleId="Heading2">
    <w:name w:val="heading 2"/>
    <w:aliases w:val="h2,BT-Legal Numbering,Para2,Head hdbk,Top 2,H2,h2 main heading,B Sub/Bold,B Sub/Bold1,B Sub/Bold2,B Sub/Bold11,h2 main heading1,h2 main heading2,B Sub/Bold3,B Sub/Bold12,h2 main heading3,B Sub/Bold4,B Sub/Bold13,SubPara,Para 2,new heading two"/>
    <w:basedOn w:val="Heading1"/>
    <w:next w:val="BodyText"/>
    <w:link w:val="Heading2Char"/>
    <w:qFormat/>
    <w:rsid w:val="00814B8B"/>
    <w:pPr>
      <w:pageBreakBefore w:val="0"/>
      <w:numPr>
        <w:ilvl w:val="1"/>
      </w:numPr>
      <w:spacing w:before="560" w:after="0" w:line="340" w:lineRule="atLeast"/>
      <w:outlineLvl w:val="1"/>
    </w:pPr>
    <w:rPr>
      <w:b/>
      <w:color w:val="F61D12" w:themeColor="accent2"/>
      <w:sz w:val="30"/>
      <w:szCs w:val="26"/>
    </w:rPr>
  </w:style>
  <w:style w:type="paragraph" w:styleId="Heading3">
    <w:name w:val="heading 3"/>
    <w:aliases w:val="Normal + num,h3,EOI - Heading 3,h3 sub heading,Para3,Paragraph (heading 3),BTL Numbered,Level 1 - 2,Head 3,heading 3,H3,L3,3,Level 1 - 1,Report Heading 3,d,Tempo Heading 3,C Sub-Sub/Italic,Head 31,Head 32,C Sub-Sub/Italic1,Sub2Para,BOD 1,BOD 0"/>
    <w:basedOn w:val="Heading2"/>
    <w:next w:val="BodyText"/>
    <w:link w:val="Heading3Char"/>
    <w:qFormat/>
    <w:rsid w:val="002F2DAD"/>
    <w:pPr>
      <w:numPr>
        <w:ilvl w:val="2"/>
      </w:numPr>
      <w:spacing w:before="440" w:line="280" w:lineRule="atLeast"/>
      <w:outlineLvl w:val="2"/>
    </w:pPr>
    <w:rPr>
      <w:color w:val="auto"/>
      <w:sz w:val="25"/>
      <w:szCs w:val="22"/>
    </w:rPr>
  </w:style>
  <w:style w:type="paragraph" w:styleId="Heading4">
    <w:name w:val="heading 4"/>
    <w:aliases w:val="h4,L4,Level 2 - a,sd,Standard H3,h41,Titre 4,1.1.1.1,bullet,bl,bb,h4 sub sub heading,Level 2 - (a),4,Org Heading 2,Sub3Para,proj4,proj41,proj42,proj43,proj44,proj45,proj46,proj47,proj48,proj49,proj410,proj411,proj412,proj421,proj431,proj441,41"/>
    <w:basedOn w:val="Heading3"/>
    <w:next w:val="BodyText"/>
    <w:link w:val="Heading4Char"/>
    <w:qFormat/>
    <w:rsid w:val="00FC141A"/>
    <w:pPr>
      <w:numPr>
        <w:ilvl w:val="3"/>
      </w:numPr>
      <w:spacing w:before="400" w:line="260" w:lineRule="atLeast"/>
      <w:outlineLvl w:val="3"/>
    </w:pPr>
    <w:rPr>
      <w:color w:val="6F6652" w:themeColor="text2"/>
      <w:sz w:val="21"/>
    </w:rPr>
  </w:style>
  <w:style w:type="paragraph" w:styleId="Heading5">
    <w:name w:val="heading 5"/>
    <w:aliases w:val="h5,L5,Level 3 - i,L51,Para5,i.,H,subsubpara,1.1.1.1.1,H1,H11,3rd sub-clause,h51,h52,5"/>
    <w:basedOn w:val="Heading4"/>
    <w:next w:val="BodyText"/>
    <w:link w:val="Heading5Char"/>
    <w:qFormat/>
    <w:rsid w:val="00742A5F"/>
    <w:pPr>
      <w:numPr>
        <w:ilvl w:val="4"/>
      </w:numPr>
      <w:outlineLvl w:val="4"/>
    </w:pPr>
    <w:rPr>
      <w:rFonts w:asciiTheme="minorHAnsi" w:hAnsiTheme="minorHAnsi"/>
      <w:b w:val="0"/>
    </w:rPr>
  </w:style>
  <w:style w:type="paragraph" w:styleId="Heading6">
    <w:name w:val="heading 6"/>
    <w:aliases w:val="Square Bullet list,Sub5Para,L1 PIP,a,b,H6,Heading 6(unused),Heading 6(unused)1"/>
    <w:basedOn w:val="Heading1"/>
    <w:next w:val="BodyText"/>
    <w:link w:val="Heading6Char"/>
    <w:qFormat/>
    <w:rsid w:val="000E5731"/>
    <w:pPr>
      <w:numPr>
        <w:ilvl w:val="5"/>
      </w:numPr>
      <w:outlineLvl w:val="5"/>
    </w:pPr>
    <w:rPr>
      <w:bCs/>
    </w:rPr>
  </w:style>
  <w:style w:type="paragraph" w:styleId="Heading7">
    <w:name w:val="heading 7"/>
    <w:aliases w:val="Indented hyphen,L2 PIP,H7,Heading 7(unused),Heading 7(unused)1"/>
    <w:basedOn w:val="Heading2"/>
    <w:next w:val="BodyText"/>
    <w:link w:val="Heading7Char"/>
    <w:qFormat/>
    <w:rsid w:val="00395D18"/>
    <w:pPr>
      <w:numPr>
        <w:ilvl w:val="6"/>
      </w:numPr>
      <w:outlineLvl w:val="6"/>
    </w:pPr>
    <w:rPr>
      <w:color w:val="auto"/>
    </w:rPr>
  </w:style>
  <w:style w:type="paragraph" w:styleId="Heading8">
    <w:name w:val="heading 8"/>
    <w:aliases w:val="L3 PIP,H8,Heading 8(unused),Heading 8(unused)1"/>
    <w:basedOn w:val="Heading3"/>
    <w:next w:val="BodyText"/>
    <w:link w:val="Heading8Char"/>
    <w:qFormat/>
    <w:rsid w:val="00CE3386"/>
    <w:pPr>
      <w:numPr>
        <w:ilvl w:val="7"/>
      </w:numPr>
      <w:outlineLvl w:val="7"/>
    </w:pPr>
  </w:style>
  <w:style w:type="paragraph" w:styleId="Heading9">
    <w:name w:val="heading 9"/>
    <w:aliases w:val="Spare5,H9,Heading 9(unused),Heading 9(unused)1"/>
    <w:basedOn w:val="Heading4"/>
    <w:next w:val="BodyText"/>
    <w:link w:val="Heading9Char"/>
    <w:qFormat/>
    <w:rsid w:val="00F47B3A"/>
    <w:pPr>
      <w:numPr>
        <w:ilvl w:val="8"/>
      </w:numPr>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s">
    <w:name w:val="ListBullets"/>
    <w:uiPriority w:val="99"/>
    <w:rsid w:val="00B974A4"/>
    <w:pPr>
      <w:numPr>
        <w:numId w:val="10"/>
      </w:numPr>
    </w:pPr>
  </w:style>
  <w:style w:type="paragraph" w:styleId="ListBullet3">
    <w:name w:val="List Bullet 3"/>
    <w:basedOn w:val="ListBullet2"/>
    <w:uiPriority w:val="2"/>
    <w:rsid w:val="00114298"/>
    <w:pPr>
      <w:numPr>
        <w:ilvl w:val="2"/>
      </w:numPr>
    </w:pPr>
  </w:style>
  <w:style w:type="paragraph" w:styleId="ListNumber">
    <w:name w:val="List Number"/>
    <w:basedOn w:val="BodyText"/>
    <w:qFormat/>
    <w:rsid w:val="00497862"/>
    <w:pPr>
      <w:numPr>
        <w:numId w:val="11"/>
      </w:numPr>
      <w:spacing w:before="70"/>
    </w:pPr>
  </w:style>
  <w:style w:type="paragraph" w:styleId="ListBullet">
    <w:name w:val="List Bullet"/>
    <w:aliases w:val="Char, Char"/>
    <w:basedOn w:val="BodyText"/>
    <w:link w:val="ListBulletChar"/>
    <w:uiPriority w:val="2"/>
    <w:qFormat/>
    <w:rsid w:val="00B974A4"/>
    <w:pPr>
      <w:numPr>
        <w:numId w:val="10"/>
      </w:numPr>
      <w:spacing w:before="70"/>
    </w:pPr>
  </w:style>
  <w:style w:type="paragraph" w:customStyle="1" w:styleId="Contents">
    <w:name w:val="Contents"/>
    <w:basedOn w:val="Heading1"/>
    <w:next w:val="TOC1"/>
    <w:uiPriority w:val="99"/>
    <w:rsid w:val="005C386A"/>
    <w:pPr>
      <w:pageBreakBefore w:val="0"/>
      <w:numPr>
        <w:numId w:val="0"/>
      </w:numPr>
    </w:pPr>
  </w:style>
  <w:style w:type="paragraph" w:customStyle="1" w:styleId="RecommendationNumber2">
    <w:name w:val="Recommendation Number 2"/>
    <w:basedOn w:val="RecommendationNumber"/>
    <w:uiPriority w:val="28"/>
    <w:rsid w:val="001E2A83"/>
    <w:pPr>
      <w:numPr>
        <w:ilvl w:val="1"/>
      </w:numPr>
    </w:pPr>
  </w:style>
  <w:style w:type="paragraph" w:customStyle="1" w:styleId="RecommendationHeading">
    <w:name w:val="Recommendation Heading"/>
    <w:basedOn w:val="BodyText"/>
    <w:next w:val="RecommendationNumber"/>
    <w:uiPriority w:val="28"/>
    <w:unhideWhenUsed/>
    <w:rsid w:val="00CA364E"/>
    <w:pPr>
      <w:spacing w:before="280"/>
    </w:pPr>
    <w:rPr>
      <w:rFonts w:ascii="Franklin Gothic Demi" w:hAnsi="Franklin Gothic Demi"/>
      <w:caps/>
      <w:color w:val="6F6652" w:themeColor="text2"/>
      <w:spacing w:val="10"/>
    </w:rPr>
  </w:style>
  <w:style w:type="paragraph" w:customStyle="1" w:styleId="Subtitlebox">
    <w:name w:val="Subtitle box"/>
    <w:aliases w:val="chart,table"/>
    <w:basedOn w:val="Caption"/>
    <w:uiPriority w:val="5"/>
    <w:rsid w:val="00425BAF"/>
    <w:pPr>
      <w:spacing w:before="0"/>
    </w:pPr>
    <w:rPr>
      <w:rFonts w:ascii="Franklin Gothic Book" w:hAnsi="Franklin Gothic Book"/>
      <w:sz w:val="17"/>
    </w:rPr>
  </w:style>
  <w:style w:type="paragraph" w:styleId="BodyText">
    <w:name w:val="Body Text"/>
    <w:aliases w:val="body text,Body Text 1,Body,Heading 1 text,bt,Concepto,Body Text - Level 2,Body Text Char2 Char,Body Text Char Char1 Char,Body Text Char1 Char Char Char,Body Text Char Char Char Char Char,Body Text Char1 Char1 Char,Body Text Char Char Char1 Cha"/>
    <w:basedOn w:val="Normal"/>
    <w:link w:val="BodyTextChar"/>
    <w:uiPriority w:val="2"/>
    <w:qFormat/>
    <w:rsid w:val="007438FF"/>
    <w:pPr>
      <w:spacing w:before="140"/>
    </w:pPr>
    <w:rPr>
      <w:rFonts w:asciiTheme="minorHAnsi" w:eastAsia="Times New Roman" w:hAnsiTheme="minorHAnsi"/>
    </w:rPr>
  </w:style>
  <w:style w:type="paragraph" w:styleId="ListNumber2">
    <w:name w:val="List Number 2"/>
    <w:basedOn w:val="BodyText"/>
    <w:rsid w:val="00497862"/>
    <w:pPr>
      <w:numPr>
        <w:ilvl w:val="1"/>
        <w:numId w:val="11"/>
      </w:numPr>
      <w:spacing w:before="40"/>
    </w:pPr>
  </w:style>
  <w:style w:type="character" w:customStyle="1" w:styleId="BodyTextChar">
    <w:name w:val="Body Text Char"/>
    <w:aliases w:val="body text Char,Body Text 1 Char,Body Char,Heading 1 text Char,bt Char,Concepto Char,Body Text - Level 2 Char,Body Text Char2 Char Char,Body Text Char Char1 Char Char,Body Text Char1 Char Char Char Char,Body Text Char1 Char1 Char Char"/>
    <w:link w:val="BodyText"/>
    <w:uiPriority w:val="2"/>
    <w:rsid w:val="007438FF"/>
    <w:rPr>
      <w:rFonts w:asciiTheme="minorHAnsi" w:eastAsia="Times New Roman" w:hAnsiTheme="minorHAnsi"/>
    </w:rPr>
  </w:style>
  <w:style w:type="paragraph" w:styleId="Caption">
    <w:name w:val="caption"/>
    <w:basedOn w:val="BodyText"/>
    <w:next w:val="Subtitlebox"/>
    <w:link w:val="CaptionChar"/>
    <w:uiPriority w:val="99"/>
    <w:unhideWhenUsed/>
    <w:qFormat/>
    <w:rsid w:val="008A036A"/>
    <w:pPr>
      <w:keepNext/>
      <w:numPr>
        <w:numId w:val="7"/>
      </w:numPr>
      <w:spacing w:before="360" w:after="80" w:line="260" w:lineRule="atLeast"/>
    </w:pPr>
    <w:rPr>
      <w:rFonts w:ascii="Franklin Gothic Demi" w:hAnsi="Franklin Gothic Demi"/>
      <w:szCs w:val="20"/>
    </w:rPr>
  </w:style>
  <w:style w:type="paragraph" w:customStyle="1" w:styleId="BoxHeading1">
    <w:name w:val="Box Heading 1"/>
    <w:basedOn w:val="Heading4"/>
    <w:next w:val="BodyText"/>
    <w:uiPriority w:val="9"/>
    <w:rsid w:val="009D667E"/>
    <w:pPr>
      <w:spacing w:before="240"/>
    </w:pPr>
    <w:rPr>
      <w:rFonts w:ascii="Franklin Gothic Demi" w:hAnsi="Franklin Gothic Demi"/>
      <w:b w:val="0"/>
      <w:i w:val="0"/>
      <w:color w:val="F61D12" w:themeColor="accent2"/>
    </w:rPr>
  </w:style>
  <w:style w:type="paragraph" w:customStyle="1" w:styleId="BoxHeading2">
    <w:name w:val="Box Heading 2"/>
    <w:basedOn w:val="BoxHeading1"/>
    <w:next w:val="BodyText"/>
    <w:uiPriority w:val="9"/>
    <w:rsid w:val="00F21CFB"/>
    <w:pPr>
      <w:spacing w:before="200"/>
    </w:pPr>
    <w:rPr>
      <w:rFonts w:ascii="Franklin Gothic Medium" w:hAnsi="Franklin Gothic Medium"/>
      <w:szCs w:val="20"/>
    </w:rPr>
  </w:style>
  <w:style w:type="paragraph" w:customStyle="1" w:styleId="ChartText">
    <w:name w:val="Chart Text"/>
    <w:basedOn w:val="TableTextEntries"/>
    <w:link w:val="ChartTextChar"/>
    <w:uiPriority w:val="23"/>
    <w:rsid w:val="00F87657"/>
    <w:pPr>
      <w:spacing w:before="0"/>
    </w:pPr>
    <w:rPr>
      <w:rFonts w:ascii="Franklin Gothic Medium" w:hAnsi="Franklin Gothic Medium"/>
    </w:rPr>
  </w:style>
  <w:style w:type="character" w:customStyle="1" w:styleId="ChartTextChar">
    <w:name w:val="Chart Text Char"/>
    <w:link w:val="ChartText"/>
    <w:uiPriority w:val="23"/>
    <w:rsid w:val="00F87657"/>
    <w:rPr>
      <w:rFonts w:ascii="Franklin Gothic Medium" w:eastAsia="Times New Roman" w:hAnsi="Franklin Gothic Medium"/>
      <w:sz w:val="16"/>
      <w:szCs w:val="18"/>
      <w:lang w:eastAsia="en-US"/>
    </w:rPr>
  </w:style>
  <w:style w:type="paragraph" w:customStyle="1" w:styleId="ChartBoldText">
    <w:name w:val="Chart Bold Text"/>
    <w:basedOn w:val="ChartText"/>
    <w:next w:val="ChartText"/>
    <w:uiPriority w:val="23"/>
    <w:rsid w:val="00DA2AB5"/>
    <w:pPr>
      <w:jc w:val="center"/>
    </w:pPr>
    <w:rPr>
      <w:rFonts w:ascii="Franklin Gothic Demi" w:hAnsi="Franklin Gothic Demi"/>
      <w:szCs w:val="17"/>
    </w:rPr>
  </w:style>
  <w:style w:type="paragraph" w:customStyle="1" w:styleId="ChartHighlight">
    <w:name w:val="Chart Highlight"/>
    <w:basedOn w:val="ChartBoldText"/>
    <w:uiPriority w:val="22"/>
    <w:rsid w:val="00DA2AB5"/>
    <w:pPr>
      <w:spacing w:line="220" w:lineRule="atLeast"/>
    </w:pPr>
    <w:rPr>
      <w:caps/>
      <w:sz w:val="20"/>
    </w:rPr>
  </w:style>
  <w:style w:type="paragraph" w:customStyle="1" w:styleId="Client">
    <w:name w:val="Client"/>
    <w:basedOn w:val="BodyText"/>
    <w:uiPriority w:val="32"/>
    <w:rsid w:val="00DA40B0"/>
    <w:pPr>
      <w:spacing w:before="0"/>
    </w:pPr>
    <w:rPr>
      <w:i/>
      <w:sz w:val="25"/>
    </w:rPr>
  </w:style>
  <w:style w:type="character" w:styleId="CommentReference">
    <w:name w:val="annotation reference"/>
    <w:basedOn w:val="BodyTextChar"/>
    <w:uiPriority w:val="49"/>
    <w:semiHidden/>
    <w:rsid w:val="000B2602"/>
    <w:rPr>
      <w:rFonts w:ascii="Franklin Gothic Demi" w:eastAsia="Times New Roman" w:hAnsi="Franklin Gothic Demi" w:cs="Times New Roman"/>
      <w:b w:val="0"/>
      <w:vanish/>
      <w:color w:val="FF00FF"/>
      <w:sz w:val="18"/>
      <w:szCs w:val="16"/>
    </w:rPr>
  </w:style>
  <w:style w:type="paragraph" w:styleId="CommentText">
    <w:name w:val="annotation text"/>
    <w:basedOn w:val="BodyText"/>
    <w:link w:val="CommentTextChar"/>
    <w:uiPriority w:val="49"/>
    <w:semiHidden/>
    <w:rsid w:val="00D83A2B"/>
    <w:pPr>
      <w:spacing w:before="80" w:line="240" w:lineRule="atLeast"/>
    </w:pPr>
    <w:rPr>
      <w:sz w:val="20"/>
      <w:szCs w:val="20"/>
    </w:rPr>
  </w:style>
  <w:style w:type="character" w:customStyle="1" w:styleId="CommentTextChar">
    <w:name w:val="Comment Text Char"/>
    <w:basedOn w:val="DefaultParagraphFont"/>
    <w:link w:val="CommentText"/>
    <w:uiPriority w:val="49"/>
    <w:semiHidden/>
    <w:rsid w:val="00D24560"/>
    <w:rPr>
      <w:rFonts w:asciiTheme="minorHAnsi" w:eastAsia="Times New Roman" w:hAnsiTheme="minorHAnsi"/>
      <w:sz w:val="20"/>
      <w:szCs w:val="20"/>
    </w:rPr>
  </w:style>
  <w:style w:type="numbering" w:customStyle="1" w:styleId="ChartListBullets">
    <w:name w:val="ChartListBullets"/>
    <w:uiPriority w:val="99"/>
    <w:rsid w:val="00CC4851"/>
    <w:pPr>
      <w:numPr>
        <w:numId w:val="37"/>
      </w:numPr>
    </w:pPr>
  </w:style>
  <w:style w:type="paragraph" w:customStyle="1" w:styleId="TableTextEntries">
    <w:name w:val="Table Text Entries"/>
    <w:basedOn w:val="BodyText"/>
    <w:link w:val="TableTextEntriesChar"/>
    <w:uiPriority w:val="13"/>
    <w:rsid w:val="00BA1241"/>
    <w:pPr>
      <w:keepLines/>
      <w:spacing w:before="80" w:after="80" w:line="200" w:lineRule="atLeast"/>
    </w:pPr>
    <w:rPr>
      <w:rFonts w:ascii="Franklin Gothic Book" w:hAnsi="Franklin Gothic Book"/>
      <w:sz w:val="16"/>
      <w:szCs w:val="18"/>
      <w:lang w:eastAsia="en-US"/>
    </w:rPr>
  </w:style>
  <w:style w:type="paragraph" w:customStyle="1" w:styleId="Note">
    <w:name w:val="Note"/>
    <w:basedOn w:val="TableTextEntries"/>
    <w:next w:val="Source"/>
    <w:link w:val="NoteCharChar"/>
    <w:uiPriority w:val="15"/>
    <w:rsid w:val="008D63BD"/>
    <w:pPr>
      <w:spacing w:before="40" w:after="0" w:line="180" w:lineRule="atLeast"/>
    </w:pPr>
    <w:rPr>
      <w:sz w:val="14"/>
      <w:szCs w:val="16"/>
    </w:rPr>
  </w:style>
  <w:style w:type="character" w:customStyle="1" w:styleId="NoteCharChar">
    <w:name w:val="Note Char Char"/>
    <w:link w:val="Note"/>
    <w:uiPriority w:val="15"/>
    <w:rsid w:val="008D63BD"/>
    <w:rPr>
      <w:rFonts w:ascii="Franklin Gothic Medium" w:eastAsia="Times New Roman" w:hAnsi="Franklin Gothic Medium" w:cs="Times New Roman"/>
      <w:sz w:val="14"/>
      <w:szCs w:val="16"/>
      <w:lang w:eastAsia="en-US"/>
    </w:rPr>
  </w:style>
  <w:style w:type="paragraph" w:customStyle="1" w:styleId="Source">
    <w:name w:val="Source"/>
    <w:basedOn w:val="Note"/>
    <w:next w:val="BodyText"/>
    <w:link w:val="SourceChar"/>
    <w:uiPriority w:val="16"/>
    <w:rsid w:val="008D63BD"/>
    <w:pPr>
      <w:spacing w:after="60"/>
    </w:pPr>
  </w:style>
  <w:style w:type="paragraph" w:customStyle="1" w:styleId="Continued">
    <w:name w:val="Continued"/>
    <w:basedOn w:val="Source"/>
    <w:next w:val="BodyText"/>
    <w:link w:val="ContinuedChar"/>
    <w:uiPriority w:val="17"/>
    <w:rsid w:val="00BA1241"/>
    <w:pPr>
      <w:jc w:val="right"/>
    </w:pPr>
  </w:style>
  <w:style w:type="paragraph" w:styleId="Title">
    <w:name w:val="Title"/>
    <w:basedOn w:val="Normal"/>
    <w:next w:val="Subtitle"/>
    <w:link w:val="TitleChar"/>
    <w:uiPriority w:val="29"/>
    <w:qFormat/>
    <w:rsid w:val="0089278E"/>
    <w:pPr>
      <w:spacing w:line="500" w:lineRule="atLeast"/>
    </w:pPr>
    <w:rPr>
      <w:rFonts w:asciiTheme="majorHAnsi" w:eastAsia="Times New Roman" w:hAnsiTheme="majorHAnsi"/>
      <w:spacing w:val="-2"/>
      <w:kern w:val="28"/>
      <w:sz w:val="44"/>
      <w:szCs w:val="48"/>
    </w:rPr>
  </w:style>
  <w:style w:type="character" w:customStyle="1" w:styleId="TitleChar">
    <w:name w:val="Title Char"/>
    <w:basedOn w:val="DefaultParagraphFont"/>
    <w:link w:val="Title"/>
    <w:uiPriority w:val="29"/>
    <w:rsid w:val="001624ED"/>
    <w:rPr>
      <w:rFonts w:asciiTheme="majorHAnsi" w:eastAsia="Times New Roman" w:hAnsiTheme="majorHAnsi"/>
      <w:spacing w:val="-2"/>
      <w:kern w:val="28"/>
      <w:sz w:val="44"/>
      <w:szCs w:val="48"/>
    </w:rPr>
  </w:style>
  <w:style w:type="paragraph" w:styleId="Subtitle">
    <w:name w:val="Subtitle"/>
    <w:basedOn w:val="Title"/>
    <w:link w:val="SubtitleChar"/>
    <w:uiPriority w:val="30"/>
    <w:qFormat/>
    <w:rsid w:val="008F6EF9"/>
    <w:pPr>
      <w:spacing w:before="280" w:line="320" w:lineRule="atLeast"/>
    </w:pPr>
    <w:rPr>
      <w:sz w:val="25"/>
      <w:szCs w:val="28"/>
    </w:rPr>
  </w:style>
  <w:style w:type="character" w:customStyle="1" w:styleId="SubtitleChar">
    <w:name w:val="Subtitle Char"/>
    <w:basedOn w:val="DefaultParagraphFont"/>
    <w:link w:val="Subtitle"/>
    <w:uiPriority w:val="30"/>
    <w:rsid w:val="001624ED"/>
    <w:rPr>
      <w:rFonts w:asciiTheme="majorHAnsi" w:eastAsia="Times New Roman" w:hAnsiTheme="majorHAnsi"/>
      <w:spacing w:val="-2"/>
      <w:kern w:val="28"/>
      <w:sz w:val="25"/>
      <w:szCs w:val="28"/>
    </w:rPr>
  </w:style>
  <w:style w:type="paragraph" w:styleId="Date">
    <w:name w:val="Date"/>
    <w:basedOn w:val="Subtitle"/>
    <w:link w:val="DateChar"/>
    <w:uiPriority w:val="33"/>
    <w:rsid w:val="00DA40B0"/>
    <w:pPr>
      <w:spacing w:before="140" w:line="280" w:lineRule="atLeast"/>
    </w:pPr>
    <w:rPr>
      <w:i/>
      <w:color w:val="6F6652" w:themeColor="text2"/>
      <w:spacing w:val="0"/>
    </w:rPr>
  </w:style>
  <w:style w:type="character" w:customStyle="1" w:styleId="DateChar">
    <w:name w:val="Date Char"/>
    <w:basedOn w:val="DefaultParagraphFont"/>
    <w:link w:val="Date"/>
    <w:uiPriority w:val="33"/>
    <w:rsid w:val="001624ED"/>
    <w:rPr>
      <w:rFonts w:asciiTheme="majorHAnsi" w:eastAsia="Times New Roman" w:hAnsiTheme="majorHAnsi"/>
      <w:i/>
      <w:color w:val="6F6652" w:themeColor="text2"/>
      <w:kern w:val="28"/>
      <w:sz w:val="25"/>
      <w:szCs w:val="28"/>
    </w:rPr>
  </w:style>
  <w:style w:type="character" w:customStyle="1" w:styleId="DraftingNote">
    <w:name w:val="Drafting Note"/>
    <w:uiPriority w:val="2"/>
    <w:rsid w:val="00F31AEF"/>
    <w:rPr>
      <w:rFonts w:asciiTheme="minorHAnsi" w:hAnsiTheme="minorHAnsi"/>
      <w:b/>
      <w:color w:val="0070C0"/>
      <w:u w:val="dotted"/>
    </w:rPr>
  </w:style>
  <w:style w:type="paragraph" w:styleId="Footer">
    <w:name w:val="footer"/>
    <w:basedOn w:val="BodyText"/>
    <w:link w:val="FooterChar"/>
    <w:uiPriority w:val="99"/>
    <w:rsid w:val="00B52205"/>
    <w:pPr>
      <w:spacing w:before="0" w:line="200" w:lineRule="atLeast"/>
    </w:pPr>
    <w:rPr>
      <w:i/>
      <w:color w:val="6F6652" w:themeColor="text2"/>
      <w:sz w:val="16"/>
      <w:szCs w:val="14"/>
    </w:rPr>
  </w:style>
  <w:style w:type="character" w:customStyle="1" w:styleId="FooterChar">
    <w:name w:val="Footer Char"/>
    <w:basedOn w:val="DefaultParagraphFont"/>
    <w:link w:val="Footer"/>
    <w:uiPriority w:val="99"/>
    <w:rsid w:val="001624ED"/>
    <w:rPr>
      <w:rFonts w:asciiTheme="minorHAnsi" w:eastAsia="Times New Roman" w:hAnsiTheme="minorHAnsi"/>
      <w:i/>
      <w:color w:val="6F6652" w:themeColor="text2"/>
      <w:sz w:val="16"/>
      <w:szCs w:val="14"/>
    </w:rPr>
  </w:style>
  <w:style w:type="character" w:styleId="FootnoteReference">
    <w:name w:val="footnote reference"/>
    <w:aliases w:val="(NECG) Footnote Reference,(NECG) Footnote Reference1,(NECG) Footnote Reference2,o,fr,Style 3,Style 12,Appel note de bas de p,Style 124,Appel n,Footnote Reference 1"/>
    <w:uiPriority w:val="25"/>
    <w:unhideWhenUsed/>
    <w:rsid w:val="008A036A"/>
    <w:rPr>
      <w:rFonts w:ascii="Calisto MT" w:hAnsi="Calisto MT"/>
      <w:b w:val="0"/>
      <w:i w:val="0"/>
      <w:color w:val="auto"/>
      <w:w w:val="100"/>
      <w:position w:val="4"/>
      <w:sz w:val="18"/>
      <w:szCs w:val="21"/>
      <w:vertAlign w:val="baseline"/>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ootnote Text Char Char"/>
    <w:basedOn w:val="BodyText"/>
    <w:link w:val="FootnoteTextChar"/>
    <w:uiPriority w:val="25"/>
    <w:unhideWhenUsed/>
    <w:rsid w:val="008A036A"/>
    <w:pPr>
      <w:spacing w:before="80" w:line="240" w:lineRule="atLeast"/>
      <w:ind w:left="284" w:hanging="284"/>
    </w:pPr>
    <w:rPr>
      <w:sz w:val="19"/>
      <w:szCs w:val="18"/>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
    <w:basedOn w:val="DefaultParagraphFont"/>
    <w:link w:val="FootnoteText"/>
    <w:uiPriority w:val="25"/>
    <w:rsid w:val="002812E4"/>
    <w:rPr>
      <w:rFonts w:asciiTheme="minorHAnsi" w:eastAsia="Times New Roman" w:hAnsiTheme="minorHAnsi"/>
      <w:sz w:val="19"/>
      <w:szCs w:val="18"/>
    </w:rPr>
  </w:style>
  <w:style w:type="paragraph" w:styleId="Header">
    <w:name w:val="header"/>
    <w:basedOn w:val="BodyText"/>
    <w:link w:val="HeaderChar"/>
    <w:uiPriority w:val="99"/>
    <w:qFormat/>
    <w:rsid w:val="00222BF5"/>
    <w:pPr>
      <w:pBdr>
        <w:bottom w:val="single" w:sz="4" w:space="1" w:color="F61D12" w:themeColor="accent2"/>
      </w:pBdr>
      <w:tabs>
        <w:tab w:val="left" w:pos="-567"/>
        <w:tab w:val="left" w:pos="0"/>
        <w:tab w:val="right" w:pos="7938"/>
        <w:tab w:val="right" w:pos="8505"/>
      </w:tabs>
      <w:spacing w:before="480" w:line="240" w:lineRule="atLeast"/>
      <w:ind w:left="-2268" w:right="-2268"/>
    </w:pPr>
    <w:rPr>
      <w:rFonts w:ascii="Franklin Gothic Medium" w:hAnsi="Franklin Gothic Medium"/>
      <w:sz w:val="14"/>
      <w:szCs w:val="14"/>
    </w:rPr>
  </w:style>
  <w:style w:type="character" w:customStyle="1" w:styleId="HeaderChar">
    <w:name w:val="Header Char"/>
    <w:basedOn w:val="DefaultParagraphFont"/>
    <w:link w:val="Header"/>
    <w:uiPriority w:val="99"/>
    <w:rsid w:val="001624ED"/>
    <w:rPr>
      <w:rFonts w:ascii="Franklin Gothic Medium" w:eastAsia="Times New Roman" w:hAnsi="Franklin Gothic Medium"/>
      <w:sz w:val="14"/>
      <w:szCs w:val="14"/>
    </w:rPr>
  </w:style>
  <w:style w:type="character" w:customStyle="1" w:styleId="Heading1Char">
    <w:name w:val="Heading 1 Char"/>
    <w:aliases w:val="h1 Char,EOI - Heading 1 (Low) Char,Heading 1 (low) Char,Para1 Char,h11 Char,h12 Char,ChapterHeadingNumber Char,Top 1 Char,ParaLevel1 Char,Level 1 Para Char,Level 1 Para1 Char,Level 1 Para2 Char,Level 1 Para3 Char,Level 1 Para4 Char,1 Char"/>
    <w:basedOn w:val="DefaultParagraphFont"/>
    <w:link w:val="Heading1"/>
    <w:rsid w:val="00F474C1"/>
    <w:rPr>
      <w:rFonts w:asciiTheme="majorHAnsi" w:eastAsia="Times New Roman" w:hAnsiTheme="majorHAnsi"/>
      <w:i/>
      <w:kern w:val="28"/>
      <w:sz w:val="36"/>
      <w:szCs w:val="32"/>
    </w:rPr>
  </w:style>
  <w:style w:type="character" w:customStyle="1" w:styleId="Heading2Char">
    <w:name w:val="Heading 2 Char"/>
    <w:aliases w:val="h2 Char,BT-Legal Numbering Char,Para2 Char,Head hdbk Char,Top 2 Char,H2 Char,h2 main heading Char,B Sub/Bold Char,B Sub/Bold1 Char,B Sub/Bold2 Char,B Sub/Bold11 Char,h2 main heading1 Char,h2 main heading2 Char,B Sub/Bold3 Char,Para 2 Char"/>
    <w:basedOn w:val="DefaultParagraphFont"/>
    <w:link w:val="Heading2"/>
    <w:rsid w:val="00814B8B"/>
    <w:rPr>
      <w:rFonts w:asciiTheme="majorHAnsi" w:eastAsia="Times New Roman" w:hAnsiTheme="majorHAnsi"/>
      <w:b/>
      <w:i/>
      <w:color w:val="F61D12" w:themeColor="accent2"/>
      <w:kern w:val="28"/>
      <w:sz w:val="30"/>
      <w:szCs w:val="26"/>
    </w:rPr>
  </w:style>
  <w:style w:type="paragraph" w:styleId="ListBullet2">
    <w:name w:val="List Bullet 2"/>
    <w:basedOn w:val="ListBullet"/>
    <w:link w:val="ListBullet2Char"/>
    <w:uiPriority w:val="2"/>
    <w:qFormat/>
    <w:rsid w:val="004C31EE"/>
    <w:pPr>
      <w:numPr>
        <w:ilvl w:val="1"/>
      </w:numPr>
      <w:spacing w:before="40"/>
    </w:pPr>
  </w:style>
  <w:style w:type="character" w:customStyle="1" w:styleId="Heading3Char">
    <w:name w:val="Heading 3 Char"/>
    <w:aliases w:val="Normal + num Char,h3 Char,EOI - Heading 3 Char,h3 sub heading Char,Para3 Char,Paragraph (heading 3) Char,BTL Numbered Char,Level 1 - 2 Char,Head 3 Char,heading 3 Char,H3 Char,L3 Char,3 Char,Level 1 - 1 Char,Report Heading 3 Char,d Char"/>
    <w:basedOn w:val="DefaultParagraphFont"/>
    <w:link w:val="Heading3"/>
    <w:rsid w:val="002F2DAD"/>
    <w:rPr>
      <w:rFonts w:asciiTheme="majorHAnsi" w:eastAsia="Times New Roman" w:hAnsiTheme="majorHAnsi"/>
      <w:b/>
      <w:i/>
      <w:kern w:val="28"/>
      <w:sz w:val="25"/>
      <w:szCs w:val="22"/>
    </w:rPr>
  </w:style>
  <w:style w:type="character" w:customStyle="1" w:styleId="Heading4Char">
    <w:name w:val="Heading 4 Char"/>
    <w:aliases w:val="h4 Char,L4 Char,Level 2 - a Char,sd Char,Standard H3 Char,h41 Char,Titre 4 Char,1.1.1.1 Char,bullet Char,bl Char,bb Char,h4 sub sub heading Char,Level 2 - (a) Char,4 Char,Org Heading 2 Char,Sub3Para Char,proj4 Char,proj41 Char,proj42 Char"/>
    <w:basedOn w:val="DefaultParagraphFont"/>
    <w:link w:val="Heading4"/>
    <w:rsid w:val="00FC141A"/>
    <w:rPr>
      <w:rFonts w:asciiTheme="majorHAnsi" w:eastAsia="Times New Roman" w:hAnsiTheme="majorHAnsi"/>
      <w:b/>
      <w:i/>
      <w:color w:val="6F6652" w:themeColor="text2"/>
      <w:kern w:val="28"/>
      <w:szCs w:val="22"/>
    </w:rPr>
  </w:style>
  <w:style w:type="character" w:customStyle="1" w:styleId="Heading5Char">
    <w:name w:val="Heading 5 Char"/>
    <w:aliases w:val="h5 Char,L5 Char,Level 3 - i Char,L51 Char,Para5 Char,i. Char,H Char,subsubpara Char,1.1.1.1.1 Char,H1 Char,H11 Char,3rd sub-clause Char,h51 Char,h52 Char,5 Char"/>
    <w:basedOn w:val="DefaultParagraphFont"/>
    <w:link w:val="Heading5"/>
    <w:rsid w:val="00742A5F"/>
    <w:rPr>
      <w:rFonts w:asciiTheme="minorHAnsi" w:eastAsia="Times New Roman" w:hAnsiTheme="minorHAnsi"/>
      <w:i/>
      <w:color w:val="6F6652" w:themeColor="text2"/>
      <w:kern w:val="28"/>
      <w:szCs w:val="22"/>
    </w:rPr>
  </w:style>
  <w:style w:type="character" w:customStyle="1" w:styleId="Heading6Char">
    <w:name w:val="Heading 6 Char"/>
    <w:aliases w:val="Square Bullet list Char,Sub5Para Char,L1 PIP Char,a Char,b Char,H6 Char,Heading 6(unused) Char,Heading 6(unused)1 Char"/>
    <w:basedOn w:val="DefaultParagraphFont"/>
    <w:link w:val="Heading6"/>
    <w:rsid w:val="000E5731"/>
    <w:rPr>
      <w:rFonts w:asciiTheme="majorHAnsi" w:eastAsia="Times New Roman" w:hAnsiTheme="majorHAnsi"/>
      <w:bCs/>
      <w:i/>
      <w:kern w:val="28"/>
      <w:sz w:val="36"/>
      <w:szCs w:val="32"/>
    </w:rPr>
  </w:style>
  <w:style w:type="character" w:customStyle="1" w:styleId="Heading7Char">
    <w:name w:val="Heading 7 Char"/>
    <w:aliases w:val="Indented hyphen Char,L2 PIP Char,H7 Char,Heading 7(unused) Char,Heading 7(unused)1 Char"/>
    <w:basedOn w:val="DefaultParagraphFont"/>
    <w:link w:val="Heading7"/>
    <w:rsid w:val="00395D18"/>
    <w:rPr>
      <w:rFonts w:asciiTheme="majorHAnsi" w:eastAsia="Times New Roman" w:hAnsiTheme="majorHAnsi"/>
      <w:b/>
      <w:i/>
      <w:kern w:val="28"/>
      <w:sz w:val="30"/>
      <w:szCs w:val="26"/>
    </w:rPr>
  </w:style>
  <w:style w:type="character" w:customStyle="1" w:styleId="Heading8Char">
    <w:name w:val="Heading 8 Char"/>
    <w:aliases w:val="L3 PIP Char,H8 Char,Heading 8(unused) Char,Heading 8(unused)1 Char"/>
    <w:basedOn w:val="DefaultParagraphFont"/>
    <w:link w:val="Heading8"/>
    <w:rsid w:val="00CE3386"/>
    <w:rPr>
      <w:rFonts w:asciiTheme="majorHAnsi" w:eastAsia="Times New Roman" w:hAnsiTheme="majorHAnsi"/>
      <w:b/>
      <w:i/>
      <w:kern w:val="28"/>
      <w:sz w:val="25"/>
      <w:szCs w:val="22"/>
    </w:rPr>
  </w:style>
  <w:style w:type="character" w:customStyle="1" w:styleId="Heading9Char">
    <w:name w:val="Heading 9 Char"/>
    <w:aliases w:val="Spare5 Char,H9 Char,Heading 9(unused) Char,Heading 9(unused)1 Char"/>
    <w:basedOn w:val="DefaultParagraphFont"/>
    <w:link w:val="Heading9"/>
    <w:rsid w:val="00F47B3A"/>
    <w:rPr>
      <w:rFonts w:asciiTheme="majorHAnsi" w:eastAsia="Times New Roman" w:hAnsiTheme="majorHAnsi"/>
      <w:b/>
      <w:i/>
      <w:kern w:val="28"/>
      <w:szCs w:val="22"/>
    </w:rPr>
  </w:style>
  <w:style w:type="character" w:styleId="Hyperlink">
    <w:name w:val="Hyperlink"/>
    <w:uiPriority w:val="99"/>
    <w:rsid w:val="00FE6AD6"/>
    <w:rPr>
      <w:b w:val="0"/>
      <w:i w:val="0"/>
      <w:color w:val="6F6652" w:themeColor="text2"/>
      <w:u w:val="none"/>
    </w:rPr>
  </w:style>
  <w:style w:type="paragraph" w:customStyle="1" w:styleId="Invisiblepara">
    <w:name w:val="Invisible para"/>
    <w:basedOn w:val="Normal"/>
    <w:uiPriority w:val="99"/>
    <w:rsid w:val="00664723"/>
    <w:pPr>
      <w:keepNext/>
      <w:spacing w:before="320" w:line="80" w:lineRule="exact"/>
    </w:pPr>
    <w:rPr>
      <w:rFonts w:eastAsia="Times New Roman"/>
      <w:szCs w:val="20"/>
    </w:rPr>
  </w:style>
  <w:style w:type="character" w:customStyle="1" w:styleId="NoteLabel">
    <w:name w:val="Note Label"/>
    <w:uiPriority w:val="15"/>
    <w:rsid w:val="008D63BD"/>
    <w:rPr>
      <w:rFonts w:ascii="Franklin Gothic Demi" w:hAnsi="Franklin Gothic Demi"/>
      <w:b w:val="0"/>
      <w:i w:val="0"/>
      <w:color w:val="9B917E" w:themeColor="accent4"/>
      <w:position w:val="4"/>
      <w:sz w:val="14"/>
      <w:szCs w:val="16"/>
    </w:rPr>
  </w:style>
  <w:style w:type="character" w:styleId="PageNumber">
    <w:name w:val="page number"/>
    <w:uiPriority w:val="99"/>
    <w:rsid w:val="00AB00C7"/>
    <w:rPr>
      <w:rFonts w:ascii="Franklin Gothic Demi" w:hAnsi="Franklin Gothic Demi"/>
      <w:b w:val="0"/>
      <w:color w:val="006B7A" w:themeColor="accent1"/>
      <w:sz w:val="20"/>
      <w:szCs w:val="20"/>
    </w:rPr>
  </w:style>
  <w:style w:type="paragraph" w:styleId="Quote">
    <w:name w:val="Quote"/>
    <w:basedOn w:val="BodyText"/>
    <w:next w:val="BodyText"/>
    <w:link w:val="QuoteChar"/>
    <w:qFormat/>
    <w:rsid w:val="00B27E6E"/>
    <w:pPr>
      <w:spacing w:before="70" w:line="260" w:lineRule="atLeast"/>
      <w:ind w:left="284"/>
    </w:pPr>
    <w:rPr>
      <w:sz w:val="19"/>
      <w:szCs w:val="20"/>
    </w:rPr>
  </w:style>
  <w:style w:type="character" w:customStyle="1" w:styleId="QuoteChar">
    <w:name w:val="Quote Char"/>
    <w:basedOn w:val="DefaultParagraphFont"/>
    <w:link w:val="Quote"/>
    <w:rsid w:val="00B27E6E"/>
    <w:rPr>
      <w:rFonts w:asciiTheme="minorHAnsi" w:eastAsia="Times New Roman" w:hAnsiTheme="minorHAnsi"/>
      <w:sz w:val="19"/>
      <w:szCs w:val="20"/>
    </w:rPr>
  </w:style>
  <w:style w:type="paragraph" w:customStyle="1" w:styleId="RecommendationNumber">
    <w:name w:val="Recommendation Number"/>
    <w:basedOn w:val="BodyText"/>
    <w:next w:val="RecommendationNumber2"/>
    <w:uiPriority w:val="28"/>
    <w:rsid w:val="002C0234"/>
    <w:pPr>
      <w:numPr>
        <w:numId w:val="9"/>
      </w:numPr>
      <w:spacing w:before="80"/>
    </w:pPr>
    <w:rPr>
      <w:rFonts w:ascii="Franklin Gothic Book" w:eastAsia="MS Mincho" w:hAnsi="Franklin Gothic Book" w:cs="MS Mincho"/>
    </w:rPr>
  </w:style>
  <w:style w:type="paragraph" w:customStyle="1" w:styleId="Reference">
    <w:name w:val="Reference"/>
    <w:basedOn w:val="BodyText"/>
    <w:uiPriority w:val="3"/>
    <w:qFormat/>
    <w:rsid w:val="00B27E6E"/>
    <w:pPr>
      <w:spacing w:before="70" w:line="260" w:lineRule="atLeast"/>
      <w:ind w:left="284" w:hanging="284"/>
    </w:pPr>
    <w:rPr>
      <w:sz w:val="19"/>
      <w:szCs w:val="20"/>
    </w:rPr>
  </w:style>
  <w:style w:type="paragraph" w:customStyle="1" w:styleId="Reporttype">
    <w:name w:val="Report type"/>
    <w:basedOn w:val="Date"/>
    <w:next w:val="Title"/>
    <w:uiPriority w:val="31"/>
    <w:rsid w:val="009A4238"/>
    <w:pPr>
      <w:spacing w:before="0" w:after="280" w:line="260" w:lineRule="atLeast"/>
    </w:pPr>
    <w:rPr>
      <w:rFonts w:ascii="Franklin Gothic Demi" w:hAnsi="Franklin Gothic Demi"/>
      <w:i w:val="0"/>
      <w:caps/>
      <w:color w:val="F61D12" w:themeColor="accent2"/>
      <w:spacing w:val="44"/>
      <w:sz w:val="22"/>
    </w:rPr>
  </w:style>
  <w:style w:type="paragraph" w:customStyle="1" w:styleId="TableDataEntries">
    <w:name w:val="Table Data Entries"/>
    <w:basedOn w:val="TableTextEntries"/>
    <w:uiPriority w:val="11"/>
    <w:rsid w:val="003C4883"/>
    <w:pPr>
      <w:spacing w:before="40" w:after="40"/>
      <w:jc w:val="right"/>
    </w:pPr>
  </w:style>
  <w:style w:type="paragraph" w:customStyle="1" w:styleId="TableDataColumnHeading">
    <w:name w:val="Table Data Column Heading"/>
    <w:basedOn w:val="TableDataEntries"/>
    <w:uiPriority w:val="11"/>
    <w:rsid w:val="00E879B8"/>
    <w:pPr>
      <w:keepNext/>
      <w:spacing w:before="80" w:after="80"/>
    </w:pPr>
    <w:rPr>
      <w:rFonts w:ascii="Franklin Gothic Demi" w:hAnsi="Franklin Gothic Demi"/>
      <w:color w:val="FFFFFF"/>
    </w:rPr>
  </w:style>
  <w:style w:type="paragraph" w:customStyle="1" w:styleId="TableHeading1">
    <w:name w:val="Table Heading 1"/>
    <w:basedOn w:val="TableTextEntries"/>
    <w:next w:val="TableTextEntries"/>
    <w:uiPriority w:val="10"/>
    <w:rsid w:val="00FC141A"/>
    <w:pPr>
      <w:spacing w:before="140"/>
    </w:pPr>
    <w:rPr>
      <w:rFonts w:ascii="Franklin Gothic Demi" w:hAnsi="Franklin Gothic Demi"/>
      <w:color w:val="6F6652" w:themeColor="text2"/>
    </w:rPr>
  </w:style>
  <w:style w:type="paragraph" w:customStyle="1" w:styleId="TableHeading2">
    <w:name w:val="Table Heading 2"/>
    <w:basedOn w:val="TableHeading1"/>
    <w:next w:val="TableTextEntries"/>
    <w:uiPriority w:val="10"/>
    <w:rsid w:val="00591C8C"/>
    <w:pPr>
      <w:spacing w:before="80"/>
    </w:pPr>
    <w:rPr>
      <w:rFonts w:ascii="Franklin Gothic Medium" w:hAnsi="Franklin Gothic Medium"/>
    </w:rPr>
  </w:style>
  <w:style w:type="paragraph" w:customStyle="1" w:styleId="TableTextColumnHeading">
    <w:name w:val="Table Text Column Heading"/>
    <w:basedOn w:val="TableDataColumnHeading"/>
    <w:uiPriority w:val="13"/>
    <w:rsid w:val="00D950CE"/>
    <w:pPr>
      <w:jc w:val="left"/>
    </w:pPr>
  </w:style>
  <w:style w:type="paragraph" w:customStyle="1" w:styleId="TableUnit">
    <w:name w:val="Table Unit"/>
    <w:basedOn w:val="TableDataColumnHeading"/>
    <w:next w:val="TableDataEntries"/>
    <w:uiPriority w:val="11"/>
    <w:rsid w:val="00AF5770"/>
    <w:rPr>
      <w:rFonts w:ascii="Franklin Gothic Book" w:hAnsi="Franklin Gothic Book"/>
      <w:color w:val="auto"/>
      <w:szCs w:val="17"/>
    </w:rPr>
  </w:style>
  <w:style w:type="paragraph" w:styleId="TOC1">
    <w:name w:val="toc 1"/>
    <w:basedOn w:val="BodyText"/>
    <w:next w:val="TOC2"/>
    <w:uiPriority w:val="39"/>
    <w:qFormat/>
    <w:rsid w:val="006B34C3"/>
    <w:pPr>
      <w:tabs>
        <w:tab w:val="left" w:pos="340"/>
        <w:tab w:val="right" w:pos="7938"/>
      </w:tabs>
      <w:spacing w:line="260" w:lineRule="atLeast"/>
      <w:ind w:right="567"/>
    </w:pPr>
    <w:rPr>
      <w:rFonts w:ascii="Franklin Gothic Demi" w:hAnsi="Franklin Gothic Demi"/>
      <w:szCs w:val="24"/>
    </w:rPr>
  </w:style>
  <w:style w:type="paragraph" w:styleId="TOC2">
    <w:name w:val="toc 2"/>
    <w:basedOn w:val="TOC1"/>
    <w:uiPriority w:val="39"/>
    <w:qFormat/>
    <w:rsid w:val="00D908FD"/>
    <w:pPr>
      <w:tabs>
        <w:tab w:val="clear" w:pos="340"/>
      </w:tabs>
      <w:spacing w:before="60"/>
      <w:ind w:left="340"/>
    </w:pPr>
    <w:rPr>
      <w:rFonts w:ascii="Calisto MT" w:hAnsi="Calisto MT"/>
    </w:rPr>
  </w:style>
  <w:style w:type="paragraph" w:styleId="TOC3">
    <w:name w:val="toc 3"/>
    <w:basedOn w:val="TOC2"/>
    <w:next w:val="BodyText"/>
    <w:uiPriority w:val="39"/>
    <w:semiHidden/>
    <w:qFormat/>
    <w:rsid w:val="00D908FD"/>
    <w:pPr>
      <w:ind w:left="680"/>
    </w:pPr>
  </w:style>
  <w:style w:type="paragraph" w:styleId="TOC6">
    <w:name w:val="toc 6"/>
    <w:basedOn w:val="BodyText"/>
    <w:next w:val="BodyText"/>
    <w:uiPriority w:val="39"/>
    <w:semiHidden/>
    <w:rsid w:val="0052602A"/>
    <w:pPr>
      <w:tabs>
        <w:tab w:val="left" w:pos="284"/>
        <w:tab w:val="right" w:pos="7655"/>
      </w:tabs>
      <w:ind w:left="284" w:right="567" w:hanging="284"/>
    </w:pPr>
  </w:style>
  <w:style w:type="paragraph" w:styleId="TOC7">
    <w:name w:val="toc 7"/>
    <w:basedOn w:val="TOC6"/>
    <w:next w:val="TOC1"/>
    <w:uiPriority w:val="39"/>
    <w:semiHidden/>
    <w:rsid w:val="009C0B20"/>
    <w:pPr>
      <w:tabs>
        <w:tab w:val="left" w:pos="1418"/>
      </w:tabs>
      <w:spacing w:before="80"/>
      <w:ind w:left="709" w:hanging="425"/>
    </w:pPr>
  </w:style>
  <w:style w:type="numbering" w:customStyle="1" w:styleId="HeadingNumbers">
    <w:name w:val="HeadingNumbers"/>
    <w:uiPriority w:val="99"/>
    <w:rsid w:val="00FD7C5A"/>
    <w:pPr>
      <w:numPr>
        <w:numId w:val="5"/>
      </w:numPr>
    </w:pPr>
  </w:style>
  <w:style w:type="paragraph" w:customStyle="1" w:styleId="TableListBullet">
    <w:name w:val="Table List Bullet"/>
    <w:basedOn w:val="TableTextEntries"/>
    <w:uiPriority w:val="14"/>
    <w:rsid w:val="00E35B83"/>
    <w:pPr>
      <w:numPr>
        <w:numId w:val="8"/>
      </w:numPr>
      <w:spacing w:line="210" w:lineRule="atLeast"/>
    </w:pPr>
    <w:rPr>
      <w:szCs w:val="19"/>
    </w:rPr>
  </w:style>
  <w:style w:type="paragraph" w:customStyle="1" w:styleId="TableListBullet2">
    <w:name w:val="Table List Bullet 2"/>
    <w:basedOn w:val="TableListBullet"/>
    <w:uiPriority w:val="14"/>
    <w:rsid w:val="00B402A3"/>
    <w:pPr>
      <w:numPr>
        <w:ilvl w:val="1"/>
      </w:numPr>
    </w:pPr>
  </w:style>
  <w:style w:type="paragraph" w:customStyle="1" w:styleId="TableListNumber">
    <w:name w:val="Table List Number"/>
    <w:basedOn w:val="TableTextEntries"/>
    <w:uiPriority w:val="14"/>
    <w:rsid w:val="00497862"/>
    <w:pPr>
      <w:numPr>
        <w:numId w:val="1"/>
      </w:numPr>
      <w:spacing w:before="40" w:after="40"/>
    </w:pPr>
    <w:rPr>
      <w:szCs w:val="19"/>
    </w:rPr>
  </w:style>
  <w:style w:type="paragraph" w:customStyle="1" w:styleId="TableListNumber2">
    <w:name w:val="Table List Number 2"/>
    <w:basedOn w:val="TableListNumber"/>
    <w:uiPriority w:val="14"/>
    <w:rsid w:val="00B402A3"/>
    <w:pPr>
      <w:numPr>
        <w:ilvl w:val="1"/>
      </w:numPr>
    </w:pPr>
  </w:style>
  <w:style w:type="numbering" w:customStyle="1" w:styleId="TableListBullets">
    <w:name w:val="TableListBullets"/>
    <w:uiPriority w:val="99"/>
    <w:rsid w:val="00E35B83"/>
    <w:pPr>
      <w:numPr>
        <w:numId w:val="2"/>
      </w:numPr>
    </w:pPr>
  </w:style>
  <w:style w:type="numbering" w:customStyle="1" w:styleId="TableListNumbers">
    <w:name w:val="TableListNumbers"/>
    <w:uiPriority w:val="99"/>
    <w:rsid w:val="00497862"/>
    <w:pPr>
      <w:numPr>
        <w:numId w:val="1"/>
      </w:numPr>
    </w:pPr>
  </w:style>
  <w:style w:type="character" w:styleId="PlaceholderText">
    <w:name w:val="Placeholder Text"/>
    <w:basedOn w:val="DefaultParagraphFont"/>
    <w:uiPriority w:val="99"/>
    <w:semiHidden/>
    <w:rsid w:val="00AF4E66"/>
    <w:rPr>
      <w:color w:val="808080"/>
    </w:rPr>
  </w:style>
  <w:style w:type="paragraph" w:customStyle="1" w:styleId="ChartListBullet">
    <w:name w:val="Chart List Bullet"/>
    <w:basedOn w:val="TableListBullet"/>
    <w:uiPriority w:val="24"/>
    <w:rsid w:val="00CC4851"/>
    <w:pPr>
      <w:numPr>
        <w:numId w:val="3"/>
      </w:numPr>
      <w:spacing w:before="50" w:after="0" w:line="200" w:lineRule="atLeast"/>
    </w:pPr>
    <w:rPr>
      <w:rFonts w:ascii="Franklin Gothic Medium" w:hAnsi="Franklin Gothic Medium"/>
      <w:szCs w:val="18"/>
    </w:rPr>
  </w:style>
  <w:style w:type="paragraph" w:customStyle="1" w:styleId="ChartListBullet2">
    <w:name w:val="Chart List Bullet 2"/>
    <w:basedOn w:val="ChartText"/>
    <w:uiPriority w:val="24"/>
    <w:rsid w:val="00CC4851"/>
    <w:pPr>
      <w:numPr>
        <w:ilvl w:val="1"/>
        <w:numId w:val="3"/>
      </w:numPr>
      <w:spacing w:before="30"/>
    </w:pPr>
  </w:style>
  <w:style w:type="paragraph" w:customStyle="1" w:styleId="ChartListNumber0">
    <w:name w:val="Chart List Number"/>
    <w:basedOn w:val="ChartText"/>
    <w:uiPriority w:val="24"/>
    <w:rsid w:val="004563C5"/>
    <w:pPr>
      <w:numPr>
        <w:numId w:val="4"/>
      </w:numPr>
      <w:spacing w:before="60"/>
    </w:pPr>
  </w:style>
  <w:style w:type="numbering" w:customStyle="1" w:styleId="ChartListNumber">
    <w:name w:val="ChartListNumber"/>
    <w:uiPriority w:val="99"/>
    <w:rsid w:val="004563C5"/>
    <w:pPr>
      <w:numPr>
        <w:numId w:val="4"/>
      </w:numPr>
    </w:pPr>
  </w:style>
  <w:style w:type="numbering" w:customStyle="1" w:styleId="RecommendationNumbers">
    <w:name w:val="RecommendationNumbers"/>
    <w:uiPriority w:val="99"/>
    <w:rsid w:val="002C0234"/>
    <w:pPr>
      <w:numPr>
        <w:numId w:val="6"/>
      </w:numPr>
    </w:pPr>
  </w:style>
  <w:style w:type="paragraph" w:customStyle="1" w:styleId="Abbreviation">
    <w:name w:val="Abbreviation"/>
    <w:basedOn w:val="BodyText"/>
    <w:uiPriority w:val="3"/>
    <w:rsid w:val="002321B8"/>
    <w:pPr>
      <w:ind w:left="1134" w:hanging="1134"/>
    </w:pPr>
  </w:style>
  <w:style w:type="paragraph" w:styleId="TableofFigures">
    <w:name w:val="table of figures"/>
    <w:basedOn w:val="BodyText"/>
    <w:next w:val="BodyText"/>
    <w:uiPriority w:val="99"/>
    <w:qFormat/>
    <w:rsid w:val="00830E27"/>
    <w:pPr>
      <w:tabs>
        <w:tab w:val="left" w:pos="510"/>
        <w:tab w:val="right" w:pos="7938"/>
      </w:tabs>
      <w:spacing w:before="60" w:line="260" w:lineRule="atLeast"/>
      <w:ind w:left="510" w:right="567" w:hanging="510"/>
    </w:pPr>
  </w:style>
  <w:style w:type="table" w:styleId="TableGrid">
    <w:name w:val="Table Grid"/>
    <w:aliases w:val="E&amp;P Style 5"/>
    <w:basedOn w:val="TableNormal"/>
    <w:uiPriority w:val="59"/>
    <w:rsid w:val="00C93691"/>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rsid w:val="008519F1"/>
    <w:rPr>
      <w:color w:val="9B917E" w:themeColor="followedHyperlink"/>
      <w:u w:val="single"/>
    </w:rPr>
  </w:style>
  <w:style w:type="paragraph" w:styleId="NoSpacing">
    <w:name w:val="No Spacing"/>
    <w:basedOn w:val="Normal"/>
    <w:uiPriority w:val="1"/>
    <w:semiHidden/>
    <w:qFormat/>
    <w:rsid w:val="00DD7B16"/>
    <w:pPr>
      <w:spacing w:line="240" w:lineRule="auto"/>
    </w:pPr>
    <w:rPr>
      <w:rFonts w:asciiTheme="minorHAnsi" w:eastAsiaTheme="minorHAnsi" w:hAnsiTheme="minorHAnsi"/>
      <w:color w:val="000000" w:themeColor="text1"/>
      <w:szCs w:val="20"/>
      <w:lang w:val="en-US" w:eastAsia="ja-JP"/>
    </w:rPr>
  </w:style>
  <w:style w:type="paragraph" w:styleId="CommentSubject">
    <w:name w:val="annotation subject"/>
    <w:basedOn w:val="CommentText"/>
    <w:next w:val="CommentText"/>
    <w:link w:val="CommentSubjectChar"/>
    <w:uiPriority w:val="99"/>
    <w:semiHidden/>
    <w:rsid w:val="00EB66C5"/>
    <w:pPr>
      <w:spacing w:before="0" w:line="240" w:lineRule="auto"/>
    </w:pPr>
    <w:rPr>
      <w:rFonts w:ascii="Calibri" w:eastAsiaTheme="minorEastAsia" w:hAnsi="Calibri" w:cstheme="minorBidi"/>
      <w:b/>
      <w:bCs/>
    </w:rPr>
  </w:style>
  <w:style w:type="character" w:customStyle="1" w:styleId="CommentSubjectChar">
    <w:name w:val="Comment Subject Char"/>
    <w:basedOn w:val="CommentTextChar"/>
    <w:link w:val="CommentSubject"/>
    <w:uiPriority w:val="99"/>
    <w:semiHidden/>
    <w:rsid w:val="002812E4"/>
    <w:rPr>
      <w:rFonts w:ascii="Calibri" w:eastAsia="Times New Roman" w:hAnsi="Calibri" w:cstheme="minorBidi"/>
      <w:b/>
      <w:bCs/>
      <w:sz w:val="20"/>
      <w:szCs w:val="20"/>
    </w:rPr>
  </w:style>
  <w:style w:type="paragraph" w:styleId="Revision">
    <w:name w:val="Revision"/>
    <w:hidden/>
    <w:uiPriority w:val="99"/>
    <w:semiHidden/>
    <w:rsid w:val="00EB66C5"/>
    <w:pPr>
      <w:spacing w:before="0" w:line="240" w:lineRule="auto"/>
    </w:pPr>
  </w:style>
  <w:style w:type="paragraph" w:styleId="BalloonText">
    <w:name w:val="Balloon Text"/>
    <w:basedOn w:val="Normal"/>
    <w:link w:val="BalloonTextChar"/>
    <w:semiHidden/>
    <w:unhideWhenUsed/>
    <w:rsid w:val="00EB66C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B66C5"/>
    <w:rPr>
      <w:rFonts w:ascii="Tahoma" w:hAnsi="Tahoma" w:cs="Tahoma"/>
      <w:sz w:val="16"/>
      <w:szCs w:val="16"/>
    </w:rPr>
  </w:style>
  <w:style w:type="paragraph" w:customStyle="1" w:styleId="HighlightMessage">
    <w:name w:val="Highlight Message"/>
    <w:basedOn w:val="BodyText"/>
    <w:next w:val="BodyText"/>
    <w:rsid w:val="00814B8B"/>
    <w:pPr>
      <w:keepNext/>
      <w:spacing w:before="360" w:line="260" w:lineRule="atLeast"/>
      <w:ind w:right="1701"/>
    </w:pPr>
    <w:rPr>
      <w:rFonts w:ascii="Franklin Gothic Heavy" w:hAnsi="Franklin Gothic Heavy"/>
      <w:color w:val="F61D12" w:themeColor="accent2"/>
      <w:szCs w:val="16"/>
      <w:lang w:eastAsia="en-US"/>
    </w:rPr>
  </w:style>
  <w:style w:type="paragraph" w:customStyle="1" w:styleId="Chart">
    <w:name w:val="Chart"/>
    <w:basedOn w:val="BodyText"/>
    <w:uiPriority w:val="99"/>
    <w:unhideWhenUsed/>
    <w:rsid w:val="00576C2E"/>
    <w:pPr>
      <w:spacing w:before="0" w:line="200" w:lineRule="atLeast"/>
    </w:pPr>
    <w:rPr>
      <w:lang w:eastAsia="en-US"/>
    </w:rPr>
  </w:style>
  <w:style w:type="paragraph" w:customStyle="1" w:styleId="KeyPoint">
    <w:name w:val="Key Point"/>
    <w:basedOn w:val="BodyText"/>
    <w:uiPriority w:val="99"/>
    <w:rsid w:val="00825668"/>
    <w:pPr>
      <w:numPr>
        <w:numId w:val="12"/>
      </w:numPr>
    </w:pPr>
    <w:rPr>
      <w:rFonts w:ascii="Franklin Gothic Demi" w:hAnsi="Franklin Gothic Demi"/>
      <w:color w:val="6F6652" w:themeColor="text2"/>
      <w:szCs w:val="20"/>
      <w:lang w:eastAsia="en-US"/>
    </w:rPr>
  </w:style>
  <w:style w:type="paragraph" w:customStyle="1" w:styleId="ChapterSummary">
    <w:name w:val="Chapter Summary"/>
    <w:basedOn w:val="KeyPoint"/>
    <w:uiPriority w:val="1"/>
    <w:rsid w:val="00FC141A"/>
    <w:pPr>
      <w:numPr>
        <w:numId w:val="0"/>
      </w:numPr>
    </w:pPr>
  </w:style>
  <w:style w:type="paragraph" w:customStyle="1" w:styleId="ChapterIntroduction">
    <w:name w:val="Chapter Introduction"/>
    <w:basedOn w:val="ChapterSummary"/>
    <w:next w:val="BodyText"/>
    <w:uiPriority w:val="1"/>
    <w:rsid w:val="00E6555A"/>
    <w:pPr>
      <w:pBdr>
        <w:top w:val="single" w:sz="4" w:space="4" w:color="9B917E" w:themeColor="accent4"/>
        <w:bottom w:val="single" w:sz="4" w:space="6" w:color="9B917E" w:themeColor="accent4"/>
      </w:pBdr>
      <w:spacing w:after="180"/>
    </w:pPr>
    <w:rPr>
      <w:rFonts w:asciiTheme="minorHAnsi" w:hAnsiTheme="minorHAnsi"/>
      <w:b/>
      <w:i/>
      <w:color w:val="F61D12" w:themeColor="accent2"/>
      <w:sz w:val="22"/>
    </w:rPr>
  </w:style>
  <w:style w:type="paragraph" w:customStyle="1" w:styleId="Confidential">
    <w:name w:val="Confidential"/>
    <w:basedOn w:val="Reporttype"/>
    <w:uiPriority w:val="31"/>
    <w:rsid w:val="005D3C6B"/>
    <w:pPr>
      <w:spacing w:after="0"/>
    </w:pPr>
    <w:rPr>
      <w:rFonts w:ascii="Franklin Gothic Book" w:hAnsi="Franklin Gothic Book"/>
      <w:color w:val="auto"/>
      <w:spacing w:val="10"/>
    </w:rPr>
  </w:style>
  <w:style w:type="numbering" w:customStyle="1" w:styleId="ListNumbers">
    <w:name w:val="ListNumbers"/>
    <w:next w:val="NoList"/>
    <w:uiPriority w:val="99"/>
    <w:rsid w:val="00497862"/>
    <w:pPr>
      <w:numPr>
        <w:numId w:val="11"/>
      </w:numPr>
    </w:pPr>
  </w:style>
  <w:style w:type="paragraph" w:customStyle="1" w:styleId="PartNumber">
    <w:name w:val="Part Number"/>
    <w:basedOn w:val="Reporttype"/>
    <w:uiPriority w:val="34"/>
    <w:semiHidden/>
    <w:rsid w:val="006E03FF"/>
  </w:style>
  <w:style w:type="paragraph" w:customStyle="1" w:styleId="PartTitle">
    <w:name w:val="Part Title"/>
    <w:basedOn w:val="Title"/>
    <w:link w:val="PartTitleChar"/>
    <w:uiPriority w:val="34"/>
    <w:semiHidden/>
    <w:rsid w:val="00145444"/>
    <w:pPr>
      <w:spacing w:line="440" w:lineRule="atLeast"/>
    </w:pPr>
    <w:rPr>
      <w:sz w:val="36"/>
    </w:rPr>
  </w:style>
  <w:style w:type="character" w:customStyle="1" w:styleId="PartTitleChar">
    <w:name w:val="Part Title Char"/>
    <w:basedOn w:val="TitleChar"/>
    <w:link w:val="PartTitle"/>
    <w:uiPriority w:val="34"/>
    <w:semiHidden/>
    <w:rsid w:val="007B3F04"/>
    <w:rPr>
      <w:rFonts w:asciiTheme="majorHAnsi" w:eastAsia="Times New Roman" w:hAnsiTheme="majorHAnsi"/>
      <w:spacing w:val="-2"/>
      <w:kern w:val="28"/>
      <w:sz w:val="36"/>
      <w:szCs w:val="48"/>
    </w:rPr>
  </w:style>
  <w:style w:type="character" w:customStyle="1" w:styleId="ListBulletChar">
    <w:name w:val="List Bullet Char"/>
    <w:aliases w:val="Char Char, Char Char"/>
    <w:link w:val="ListBullet"/>
    <w:uiPriority w:val="2"/>
    <w:locked/>
    <w:rsid w:val="00B974A4"/>
    <w:rPr>
      <w:rFonts w:asciiTheme="minorHAnsi" w:eastAsia="Times New Roman" w:hAnsiTheme="minorHAnsi"/>
    </w:rPr>
  </w:style>
  <w:style w:type="paragraph" w:styleId="TOC4">
    <w:name w:val="toc 4"/>
    <w:basedOn w:val="TOC1"/>
    <w:next w:val="TOC1"/>
    <w:uiPriority w:val="39"/>
    <w:semiHidden/>
    <w:rsid w:val="00D908FD"/>
    <w:pPr>
      <w:spacing w:before="360"/>
      <w:ind w:right="0"/>
    </w:pPr>
    <w:rPr>
      <w:caps/>
      <w:color w:val="9B917E" w:themeColor="accent4"/>
      <w:spacing w:val="10"/>
      <w:sz w:val="22"/>
    </w:rPr>
  </w:style>
  <w:style w:type="paragraph" w:styleId="TOCHeading">
    <w:name w:val="TOC Heading"/>
    <w:basedOn w:val="Heading4"/>
    <w:next w:val="TableofFigures"/>
    <w:uiPriority w:val="39"/>
    <w:semiHidden/>
    <w:qFormat/>
    <w:rsid w:val="00FC141A"/>
    <w:pPr>
      <w:keepLines/>
      <w:numPr>
        <w:ilvl w:val="0"/>
        <w:numId w:val="0"/>
      </w:numPr>
      <w:outlineLvl w:val="9"/>
    </w:pPr>
    <w:rPr>
      <w:rFonts w:ascii="Franklin Gothic Demi" w:eastAsiaTheme="majorEastAsia" w:hAnsi="Franklin Gothic Demi" w:cstheme="majorBidi"/>
      <w:b w:val="0"/>
      <w:bCs/>
      <w:i w:val="0"/>
      <w:caps/>
      <w:color w:val="006B7A" w:themeColor="accent1"/>
      <w:spacing w:val="10"/>
      <w:sz w:val="22"/>
      <w:szCs w:val="28"/>
    </w:rPr>
  </w:style>
  <w:style w:type="character" w:customStyle="1" w:styleId="ContinuedChar">
    <w:name w:val="Continued Char"/>
    <w:basedOn w:val="DefaultParagraphFont"/>
    <w:link w:val="Continued"/>
    <w:uiPriority w:val="17"/>
    <w:rsid w:val="007A2A3B"/>
    <w:rPr>
      <w:rFonts w:ascii="Franklin Gothic Book" w:eastAsia="Times New Roman" w:hAnsi="Franklin Gothic Book"/>
      <w:sz w:val="14"/>
      <w:szCs w:val="16"/>
      <w:lang w:eastAsia="en-US"/>
    </w:rPr>
  </w:style>
  <w:style w:type="paragraph" w:styleId="ListParagraph">
    <w:name w:val="List Paragraph"/>
    <w:basedOn w:val="Normal"/>
    <w:link w:val="ListParagraphChar"/>
    <w:uiPriority w:val="99"/>
    <w:qFormat/>
    <w:rsid w:val="005B435E"/>
    <w:pPr>
      <w:ind w:left="720"/>
      <w:contextualSpacing/>
    </w:pPr>
  </w:style>
  <w:style w:type="character" w:customStyle="1" w:styleId="CaptionChar">
    <w:name w:val="Caption Char"/>
    <w:basedOn w:val="BodyTextChar"/>
    <w:link w:val="Caption"/>
    <w:uiPriority w:val="99"/>
    <w:rsid w:val="001E3D69"/>
    <w:rPr>
      <w:rFonts w:ascii="Franklin Gothic Demi" w:eastAsia="Times New Roman" w:hAnsi="Franklin Gothic Demi"/>
      <w:szCs w:val="20"/>
    </w:rPr>
  </w:style>
  <w:style w:type="paragraph" w:customStyle="1" w:styleId="Summary2">
    <w:name w:val="Summary 2"/>
    <w:basedOn w:val="Heading2"/>
    <w:next w:val="BodyText"/>
    <w:rsid w:val="006544F3"/>
  </w:style>
  <w:style w:type="paragraph" w:customStyle="1" w:styleId="Summary3">
    <w:name w:val="Summary 3"/>
    <w:basedOn w:val="Heading3"/>
    <w:next w:val="BodyText"/>
    <w:rsid w:val="006544F3"/>
  </w:style>
  <w:style w:type="paragraph" w:customStyle="1" w:styleId="Summary4">
    <w:name w:val="Summary 4"/>
    <w:basedOn w:val="Heading4"/>
    <w:next w:val="BodyText"/>
    <w:rsid w:val="006544F3"/>
  </w:style>
  <w:style w:type="paragraph" w:customStyle="1" w:styleId="KeyPoint2">
    <w:name w:val="Key Point 2"/>
    <w:basedOn w:val="KeyPoint"/>
    <w:next w:val="BodyText"/>
    <w:uiPriority w:val="1"/>
    <w:rsid w:val="00825668"/>
    <w:pPr>
      <w:numPr>
        <w:ilvl w:val="1"/>
      </w:numPr>
      <w:spacing w:before="80"/>
    </w:pPr>
  </w:style>
  <w:style w:type="paragraph" w:customStyle="1" w:styleId="KeyPoint3">
    <w:name w:val="Key Point 3"/>
    <w:basedOn w:val="KeyPoint2"/>
    <w:next w:val="BodyText"/>
    <w:uiPriority w:val="1"/>
    <w:rsid w:val="00825668"/>
    <w:pPr>
      <w:numPr>
        <w:ilvl w:val="2"/>
      </w:numPr>
      <w:spacing w:before="60"/>
    </w:pPr>
  </w:style>
  <w:style w:type="numbering" w:customStyle="1" w:styleId="KeyPointBullets">
    <w:name w:val="KeyPointBullets"/>
    <w:basedOn w:val="ListBullets"/>
    <w:uiPriority w:val="99"/>
    <w:rsid w:val="00825668"/>
    <w:pPr>
      <w:numPr>
        <w:numId w:val="12"/>
      </w:numPr>
    </w:pPr>
  </w:style>
  <w:style w:type="numbering" w:customStyle="1" w:styleId="NoteListNumber">
    <w:name w:val="NoteListNumber"/>
    <w:uiPriority w:val="99"/>
    <w:rsid w:val="00E864C1"/>
    <w:pPr>
      <w:numPr>
        <w:numId w:val="13"/>
      </w:numPr>
    </w:pPr>
  </w:style>
  <w:style w:type="paragraph" w:styleId="NormalWeb">
    <w:name w:val="Normal (Web)"/>
    <w:basedOn w:val="Normal"/>
    <w:uiPriority w:val="99"/>
    <w:semiHidden/>
    <w:unhideWhenUsed/>
    <w:rsid w:val="0071617D"/>
    <w:pPr>
      <w:spacing w:before="100" w:beforeAutospacing="1" w:after="100" w:afterAutospacing="1" w:line="240" w:lineRule="auto"/>
    </w:pPr>
    <w:rPr>
      <w:rFonts w:ascii="Times New Roman" w:hAnsi="Times New Roman"/>
      <w:sz w:val="24"/>
      <w:szCs w:val="24"/>
    </w:rPr>
  </w:style>
  <w:style w:type="paragraph" w:customStyle="1" w:styleId="NoteNumber">
    <w:name w:val="Note Number"/>
    <w:basedOn w:val="Note"/>
    <w:uiPriority w:val="15"/>
    <w:rsid w:val="00E6555A"/>
    <w:pPr>
      <w:numPr>
        <w:ilvl w:val="1"/>
        <w:numId w:val="15"/>
      </w:numPr>
    </w:pPr>
    <w:rPr>
      <w:szCs w:val="15"/>
    </w:rPr>
  </w:style>
  <w:style w:type="character" w:customStyle="1" w:styleId="SourceChar">
    <w:name w:val="Source Char"/>
    <w:basedOn w:val="DefaultParagraphFont"/>
    <w:link w:val="Source"/>
    <w:uiPriority w:val="16"/>
    <w:locked/>
    <w:rsid w:val="00675046"/>
    <w:rPr>
      <w:rFonts w:ascii="Franklin Gothic Book" w:eastAsia="Times New Roman" w:hAnsi="Franklin Gothic Book"/>
      <w:sz w:val="14"/>
      <w:szCs w:val="16"/>
      <w:lang w:eastAsia="en-US"/>
    </w:rPr>
  </w:style>
  <w:style w:type="character" w:customStyle="1" w:styleId="ListBullet2Char">
    <w:name w:val="List Bullet 2 Char"/>
    <w:basedOn w:val="DefaultParagraphFont"/>
    <w:link w:val="ListBullet2"/>
    <w:uiPriority w:val="2"/>
    <w:locked/>
    <w:rsid w:val="00675046"/>
    <w:rPr>
      <w:rFonts w:asciiTheme="minorHAnsi" w:eastAsia="Times New Roman" w:hAnsiTheme="minorHAnsi"/>
    </w:rPr>
  </w:style>
  <w:style w:type="character" w:customStyle="1" w:styleId="TableTextEntriesChar">
    <w:name w:val="Table Text Entries Char"/>
    <w:link w:val="TableTextEntries"/>
    <w:uiPriority w:val="13"/>
    <w:locked/>
    <w:rsid w:val="00675046"/>
    <w:rPr>
      <w:rFonts w:ascii="Franklin Gothic Book" w:eastAsia="Times New Roman" w:hAnsi="Franklin Gothic Book"/>
      <w:sz w:val="16"/>
      <w:szCs w:val="18"/>
      <w:lang w:eastAsia="en-US"/>
    </w:rPr>
  </w:style>
  <w:style w:type="character" w:styleId="Emphasis">
    <w:name w:val="Emphasis"/>
    <w:basedOn w:val="DefaultParagraphFont"/>
    <w:uiPriority w:val="20"/>
    <w:qFormat/>
    <w:rsid w:val="00675046"/>
    <w:rPr>
      <w:b/>
      <w:bCs/>
      <w:i w:val="0"/>
      <w:iCs w:val="0"/>
    </w:rPr>
  </w:style>
  <w:style w:type="paragraph" w:customStyle="1" w:styleId="FrontPageClientName">
    <w:name w:val="Front Page Client Name"/>
    <w:basedOn w:val="Normal"/>
    <w:next w:val="Normal"/>
    <w:uiPriority w:val="8"/>
    <w:qFormat/>
    <w:rsid w:val="00675046"/>
    <w:pPr>
      <w:spacing w:before="120" w:line="240" w:lineRule="auto"/>
      <w:ind w:left="284"/>
      <w:outlineLvl w:val="8"/>
    </w:pPr>
    <w:rPr>
      <w:rFonts w:ascii="Arial Bold" w:eastAsia="Times New Roman" w:hAnsi="Arial Bold"/>
      <w:b/>
      <w:color w:val="000000" w:themeColor="text1"/>
      <w:sz w:val="24"/>
      <w:szCs w:val="20"/>
    </w:rPr>
  </w:style>
  <w:style w:type="paragraph" w:customStyle="1" w:styleId="FrontPageAssignmentProjectName">
    <w:name w:val="Front Page Assignment Project Name"/>
    <w:basedOn w:val="Normal"/>
    <w:next w:val="Normal"/>
    <w:uiPriority w:val="8"/>
    <w:qFormat/>
    <w:rsid w:val="00675046"/>
    <w:pPr>
      <w:spacing w:before="120" w:line="240" w:lineRule="auto"/>
      <w:ind w:left="284"/>
      <w:outlineLvl w:val="8"/>
    </w:pPr>
    <w:rPr>
      <w:rFonts w:ascii="Arial Bold" w:eastAsia="Times New Roman" w:hAnsi="Arial Bold"/>
      <w:b/>
      <w:color w:val="000000" w:themeColor="text1"/>
      <w:sz w:val="52"/>
      <w:szCs w:val="20"/>
    </w:rPr>
  </w:style>
  <w:style w:type="paragraph" w:customStyle="1" w:styleId="FrontPageDocumentTitle">
    <w:name w:val="Front Page Document Title"/>
    <w:basedOn w:val="Normal"/>
    <w:next w:val="Normal"/>
    <w:uiPriority w:val="8"/>
    <w:qFormat/>
    <w:rsid w:val="00675046"/>
    <w:pPr>
      <w:spacing w:before="120" w:line="240" w:lineRule="auto"/>
      <w:ind w:left="284"/>
      <w:outlineLvl w:val="8"/>
    </w:pPr>
    <w:rPr>
      <w:rFonts w:ascii="Arial" w:hAnsi="Arial"/>
      <w:b/>
      <w:color w:val="FFFFFF"/>
      <w:sz w:val="32"/>
      <w:szCs w:val="20"/>
    </w:rPr>
  </w:style>
  <w:style w:type="paragraph" w:customStyle="1" w:styleId="ListAlpha">
    <w:name w:val="List Alpha"/>
    <w:basedOn w:val="Normal"/>
    <w:qFormat/>
    <w:rsid w:val="00675046"/>
    <w:pPr>
      <w:numPr>
        <w:numId w:val="27"/>
      </w:numPr>
      <w:spacing w:before="120" w:after="60" w:line="260" w:lineRule="atLeast"/>
      <w:jc w:val="both"/>
    </w:pPr>
    <w:rPr>
      <w:rFonts w:ascii="Georgia" w:eastAsia="Times New Roman" w:hAnsi="Georgia"/>
      <w:sz w:val="20"/>
      <w:szCs w:val="20"/>
    </w:rPr>
  </w:style>
  <w:style w:type="table" w:customStyle="1" w:styleId="EPStyle2">
    <w:name w:val="E&amp;P Style 2"/>
    <w:basedOn w:val="TableNormal"/>
    <w:uiPriority w:val="99"/>
    <w:rsid w:val="00675046"/>
    <w:pPr>
      <w:spacing w:before="0" w:line="240" w:lineRule="auto"/>
    </w:pPr>
    <w:rPr>
      <w:rFonts w:ascii="Georgia" w:eastAsiaTheme="minorHAnsi" w:hAnsi="Georgia" w:cstheme="minorBidi"/>
      <w:sz w:val="18"/>
      <w:szCs w:val="20"/>
      <w:lang w:eastAsia="en-US"/>
    </w:rPr>
    <w:tblPr>
      <w:tblInd w:w="11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blStylePr w:type="firstRow">
      <w:pPr>
        <w:wordWrap/>
        <w:spacing w:beforeLines="0" w:before="60" w:beforeAutospacing="0" w:afterLines="0" w:after="60" w:afterAutospacing="0" w:line="240" w:lineRule="auto"/>
        <w:jc w:val="center"/>
      </w:pPr>
      <w:rPr>
        <w:rFonts w:ascii="Arial Bold" w:hAnsi="Arial Bold"/>
        <w:b/>
        <w:i w:val="0"/>
        <w:color w:val="FFFFFF" w:themeColor="background1"/>
        <w:sz w:val="18"/>
      </w:rPr>
      <w:tblPr/>
      <w:trPr>
        <w:tblHeader/>
      </w:trPr>
      <w:tcPr>
        <w:shd w:val="clear" w:color="auto" w:fill="006B7A" w:themeFill="accent1"/>
      </w:tcPr>
    </w:tblStylePr>
  </w:style>
  <w:style w:type="table" w:customStyle="1" w:styleId="EPStyle1">
    <w:name w:val="E&amp;P Style 1"/>
    <w:basedOn w:val="TableNormal"/>
    <w:uiPriority w:val="99"/>
    <w:rsid w:val="00675046"/>
    <w:pPr>
      <w:spacing w:before="60" w:after="60" w:line="240" w:lineRule="auto"/>
    </w:pPr>
    <w:rPr>
      <w:rFonts w:ascii="Georgia" w:eastAsiaTheme="minorHAnsi" w:hAnsi="Georgia" w:cstheme="minorBidi"/>
      <w:sz w:val="18"/>
      <w:szCs w:val="20"/>
      <w:lang w:eastAsia="en-US"/>
    </w:rPr>
    <w:tblPr>
      <w:tblStyleRowBandSize w:val="1"/>
      <w:tblStyleColBandSize w:val="1"/>
      <w:tblInd w:w="1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D7D2CB" w:themeFill="accent4" w:themeFillTint="66"/>
    </w:tcPr>
    <w:tblStylePr w:type="firstRow">
      <w:pPr>
        <w:jc w:val="center"/>
      </w:pPr>
      <w:rPr>
        <w:rFonts w:ascii="Arial Bold" w:hAnsi="Arial Bold"/>
        <w:b/>
        <w:i w:val="0"/>
        <w:color w:val="FFFFFF" w:themeColor="background1"/>
        <w:sz w:val="18"/>
      </w:rPr>
      <w:tblPr/>
      <w:trPr>
        <w:tblHeader/>
      </w:trPr>
      <w:tcPr>
        <w:shd w:val="clear" w:color="auto" w:fill="006B7A" w:themeFill="accent1"/>
      </w:tcPr>
    </w:tblStylePr>
    <w:tblStylePr w:type="band1Vert">
      <w:tblPr/>
      <w:tcPr>
        <w:shd w:val="clear" w:color="auto" w:fill="6F6652" w:themeFill="accent5"/>
      </w:tcPr>
    </w:tblStylePr>
    <w:tblStylePr w:type="band2Vert">
      <w:tblPr/>
      <w:tcPr>
        <w:shd w:val="clear" w:color="auto" w:fill="6F6652" w:themeFill="accent5"/>
      </w:tcPr>
    </w:tblStylePr>
    <w:tblStylePr w:type="band1Horz">
      <w:pPr>
        <w:jc w:val="left"/>
      </w:pPr>
      <w:rPr>
        <w:rFonts w:ascii="Georgia" w:hAnsi="Georgia"/>
        <w:b w:val="0"/>
        <w:i w:val="0"/>
        <w:sz w:val="18"/>
      </w:rPr>
      <w:tblPr/>
      <w:tcPr>
        <w:shd w:val="clear" w:color="auto" w:fill="EBE8E5" w:themeFill="accent4" w:themeFillTint="33"/>
      </w:tcPr>
    </w:tblStylePr>
    <w:tblStylePr w:type="band2Horz">
      <w:tblPr/>
      <w:tcPr>
        <w:shd w:val="clear" w:color="auto" w:fill="6F6652" w:themeFill="accent5"/>
      </w:tcPr>
    </w:tblStylePr>
  </w:style>
  <w:style w:type="table" w:styleId="LightShading-Accent1">
    <w:name w:val="Light Shading Accent 1"/>
    <w:basedOn w:val="TableNormal"/>
    <w:uiPriority w:val="60"/>
    <w:rsid w:val="00675046"/>
    <w:pPr>
      <w:spacing w:before="0" w:line="240" w:lineRule="auto"/>
    </w:pPr>
    <w:rPr>
      <w:rFonts w:ascii="Georgia" w:eastAsiaTheme="minorHAnsi" w:hAnsi="Georgia" w:cstheme="minorBidi"/>
      <w:color w:val="004F5B" w:themeColor="accent1" w:themeShade="BF"/>
      <w:sz w:val="20"/>
      <w:szCs w:val="20"/>
      <w:lang w:eastAsia="en-US"/>
    </w:rPr>
    <w:tblPr>
      <w:tblStyleRowBandSize w:val="1"/>
      <w:tblStyleColBandSize w:val="1"/>
      <w:tblInd w:w="0" w:type="dxa"/>
      <w:tblBorders>
        <w:top w:val="single" w:sz="8" w:space="0" w:color="006B7A" w:themeColor="accent1"/>
        <w:bottom w:val="single" w:sz="8" w:space="0" w:color="006B7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6B7A" w:themeColor="accent1"/>
          <w:left w:val="nil"/>
          <w:bottom w:val="single" w:sz="8" w:space="0" w:color="006B7A" w:themeColor="accent1"/>
          <w:right w:val="nil"/>
          <w:insideH w:val="nil"/>
          <w:insideV w:val="nil"/>
        </w:tcBorders>
      </w:tcPr>
    </w:tblStylePr>
    <w:tblStylePr w:type="lastRow">
      <w:pPr>
        <w:spacing w:before="0" w:after="0" w:line="240" w:lineRule="auto"/>
      </w:pPr>
      <w:rPr>
        <w:b/>
        <w:bCs/>
      </w:rPr>
      <w:tblPr/>
      <w:tcPr>
        <w:tcBorders>
          <w:top w:val="single" w:sz="8" w:space="0" w:color="006B7A" w:themeColor="accent1"/>
          <w:left w:val="nil"/>
          <w:bottom w:val="single" w:sz="8" w:space="0" w:color="006B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2FF" w:themeFill="accent1" w:themeFillTint="3F"/>
      </w:tcPr>
    </w:tblStylePr>
    <w:tblStylePr w:type="band1Horz">
      <w:tblPr/>
      <w:tcPr>
        <w:tcBorders>
          <w:left w:val="nil"/>
          <w:right w:val="nil"/>
          <w:insideH w:val="nil"/>
          <w:insideV w:val="nil"/>
        </w:tcBorders>
        <w:shd w:val="clear" w:color="auto" w:fill="9FF2FF" w:themeFill="accent1" w:themeFillTint="3F"/>
      </w:tcPr>
    </w:tblStylePr>
  </w:style>
  <w:style w:type="table" w:styleId="LightShading-Accent2">
    <w:name w:val="Light Shading Accent 2"/>
    <w:basedOn w:val="TableNormal"/>
    <w:uiPriority w:val="60"/>
    <w:rsid w:val="00675046"/>
    <w:pPr>
      <w:spacing w:before="0" w:line="240" w:lineRule="auto"/>
    </w:pPr>
    <w:rPr>
      <w:rFonts w:ascii="Georgia" w:eastAsiaTheme="minorHAnsi" w:hAnsi="Georgia" w:cstheme="minorBidi"/>
      <w:color w:val="BE0F07" w:themeColor="accent2" w:themeShade="BF"/>
      <w:sz w:val="20"/>
      <w:szCs w:val="20"/>
      <w:lang w:eastAsia="en-US"/>
    </w:rPr>
    <w:tblPr>
      <w:tblStyleRowBandSize w:val="1"/>
      <w:tblStyleColBandSize w:val="1"/>
      <w:tblInd w:w="0" w:type="dxa"/>
      <w:tblBorders>
        <w:top w:val="single" w:sz="8" w:space="0" w:color="F61D12" w:themeColor="accent2"/>
        <w:bottom w:val="single" w:sz="8" w:space="0" w:color="F61D1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61D12" w:themeColor="accent2"/>
          <w:left w:val="nil"/>
          <w:bottom w:val="single" w:sz="8" w:space="0" w:color="F61D12" w:themeColor="accent2"/>
          <w:right w:val="nil"/>
          <w:insideH w:val="nil"/>
          <w:insideV w:val="nil"/>
        </w:tcBorders>
      </w:tcPr>
    </w:tblStylePr>
    <w:tblStylePr w:type="lastRow">
      <w:pPr>
        <w:spacing w:before="0" w:after="0" w:line="240" w:lineRule="auto"/>
      </w:pPr>
      <w:rPr>
        <w:b/>
        <w:bCs/>
      </w:rPr>
      <w:tblPr/>
      <w:tcPr>
        <w:tcBorders>
          <w:top w:val="single" w:sz="8" w:space="0" w:color="F61D12" w:themeColor="accent2"/>
          <w:left w:val="nil"/>
          <w:bottom w:val="single" w:sz="8" w:space="0" w:color="F61D1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6C4" w:themeFill="accent2" w:themeFillTint="3F"/>
      </w:tcPr>
    </w:tblStylePr>
    <w:tblStylePr w:type="band1Horz">
      <w:tblPr/>
      <w:tcPr>
        <w:tcBorders>
          <w:left w:val="nil"/>
          <w:right w:val="nil"/>
          <w:insideH w:val="nil"/>
          <w:insideV w:val="nil"/>
        </w:tcBorders>
        <w:shd w:val="clear" w:color="auto" w:fill="FCC6C4" w:themeFill="accent2" w:themeFillTint="3F"/>
      </w:tcPr>
    </w:tblStylePr>
  </w:style>
  <w:style w:type="table" w:styleId="LightShading-Accent3">
    <w:name w:val="Light Shading Accent 3"/>
    <w:basedOn w:val="TableNormal"/>
    <w:uiPriority w:val="60"/>
    <w:rsid w:val="00675046"/>
    <w:pPr>
      <w:spacing w:before="0" w:line="240" w:lineRule="auto"/>
    </w:pPr>
    <w:rPr>
      <w:rFonts w:ascii="Georgia" w:eastAsiaTheme="minorHAnsi" w:hAnsi="Georgia" w:cstheme="minorBidi"/>
      <w:color w:val="A09473" w:themeColor="accent3" w:themeShade="BF"/>
      <w:sz w:val="20"/>
      <w:szCs w:val="20"/>
      <w:lang w:eastAsia="en-US"/>
    </w:rPr>
    <w:tblPr>
      <w:tblStyleRowBandSize w:val="1"/>
      <w:tblStyleColBandSize w:val="1"/>
      <w:tblInd w:w="0" w:type="dxa"/>
      <w:tblBorders>
        <w:top w:val="single" w:sz="8" w:space="0" w:color="C6BFAB" w:themeColor="accent3"/>
        <w:bottom w:val="single" w:sz="8" w:space="0" w:color="C6BFAB"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6BFAB" w:themeColor="accent3"/>
          <w:left w:val="nil"/>
          <w:bottom w:val="single" w:sz="8" w:space="0" w:color="C6BFAB" w:themeColor="accent3"/>
          <w:right w:val="nil"/>
          <w:insideH w:val="nil"/>
          <w:insideV w:val="nil"/>
        </w:tcBorders>
      </w:tcPr>
    </w:tblStylePr>
    <w:tblStylePr w:type="lastRow">
      <w:pPr>
        <w:spacing w:before="0" w:after="0" w:line="240" w:lineRule="auto"/>
      </w:pPr>
      <w:rPr>
        <w:b/>
        <w:bCs/>
      </w:rPr>
      <w:tblPr/>
      <w:tcPr>
        <w:tcBorders>
          <w:top w:val="single" w:sz="8" w:space="0" w:color="C6BFAB" w:themeColor="accent3"/>
          <w:left w:val="nil"/>
          <w:bottom w:val="single" w:sz="8" w:space="0" w:color="C6BFA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FEA" w:themeFill="accent3" w:themeFillTint="3F"/>
      </w:tcPr>
    </w:tblStylePr>
    <w:tblStylePr w:type="band1Horz">
      <w:tblPr/>
      <w:tcPr>
        <w:tcBorders>
          <w:left w:val="nil"/>
          <w:right w:val="nil"/>
          <w:insideH w:val="nil"/>
          <w:insideV w:val="nil"/>
        </w:tcBorders>
        <w:shd w:val="clear" w:color="auto" w:fill="F1EFEA" w:themeFill="accent3" w:themeFillTint="3F"/>
      </w:tcPr>
    </w:tblStylePr>
  </w:style>
  <w:style w:type="table" w:customStyle="1" w:styleId="EPStyle3">
    <w:name w:val="E&amp;P Style 3"/>
    <w:basedOn w:val="TableNormal"/>
    <w:uiPriority w:val="99"/>
    <w:rsid w:val="00675046"/>
    <w:pPr>
      <w:spacing w:before="0" w:line="240" w:lineRule="auto"/>
    </w:pPr>
    <w:rPr>
      <w:rFonts w:ascii="Georgia" w:eastAsiaTheme="minorHAnsi" w:hAnsi="Georgia" w:cstheme="minorBidi"/>
      <w:sz w:val="18"/>
      <w:szCs w:val="20"/>
      <w:lang w:eastAsia="en-US"/>
    </w:rPr>
    <w:tblPr>
      <w:tblInd w:w="1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6F6652" w:themeFill="accent5"/>
    </w:tcPr>
    <w:tblStylePr w:type="firstRow">
      <w:pPr>
        <w:wordWrap/>
        <w:jc w:val="center"/>
        <w:outlineLvl w:val="8"/>
      </w:pPr>
      <w:rPr>
        <w:rFonts w:ascii="Arial" w:hAnsi="Arial"/>
        <w:b/>
        <w:sz w:val="18"/>
      </w:rPr>
      <w:tblPr/>
      <w:trPr>
        <w:tblHeader/>
      </w:trPr>
      <w:tcPr>
        <w:shd w:val="clear" w:color="auto" w:fill="006B7A" w:themeFill="accent1"/>
      </w:tcPr>
    </w:tblStylePr>
  </w:style>
  <w:style w:type="paragraph" w:customStyle="1" w:styleId="TableHeaderblack">
    <w:name w:val="Table Header black"/>
    <w:basedOn w:val="Normal"/>
    <w:qFormat/>
    <w:rsid w:val="00675046"/>
    <w:pPr>
      <w:spacing w:before="120" w:after="120" w:line="240" w:lineRule="auto"/>
      <w:jc w:val="center"/>
    </w:pPr>
    <w:rPr>
      <w:rFonts w:ascii="Arial" w:eastAsiaTheme="minorHAnsi" w:hAnsi="Arial" w:cstheme="minorBidi"/>
      <w:b/>
      <w:color w:val="000000" w:themeColor="text1"/>
      <w:sz w:val="18"/>
      <w:szCs w:val="20"/>
      <w:lang w:eastAsia="en-US"/>
    </w:rPr>
  </w:style>
  <w:style w:type="paragraph" w:customStyle="1" w:styleId="Heading">
    <w:name w:val="Heading"/>
    <w:basedOn w:val="Heading1"/>
    <w:next w:val="Normal"/>
    <w:link w:val="HeadingChar"/>
    <w:uiPriority w:val="4"/>
    <w:semiHidden/>
    <w:rsid w:val="00675046"/>
    <w:pPr>
      <w:numPr>
        <w:numId w:val="0"/>
      </w:numPr>
      <w:spacing w:before="120" w:after="240" w:line="240" w:lineRule="auto"/>
    </w:pPr>
    <w:rPr>
      <w:rFonts w:ascii="Arial" w:hAnsi="Arial"/>
      <w:b/>
      <w:i w:val="0"/>
      <w:color w:val="0078B9"/>
      <w:szCs w:val="20"/>
      <w:lang w:val="en-NZ"/>
    </w:rPr>
  </w:style>
  <w:style w:type="character" w:customStyle="1" w:styleId="HeadingChar">
    <w:name w:val="Heading Char"/>
    <w:basedOn w:val="Heading1Char"/>
    <w:link w:val="Heading"/>
    <w:uiPriority w:val="4"/>
    <w:semiHidden/>
    <w:rsid w:val="00675046"/>
    <w:rPr>
      <w:rFonts w:ascii="Arial" w:eastAsia="Times New Roman" w:hAnsi="Arial"/>
      <w:b/>
      <w:i w:val="0"/>
      <w:color w:val="0078B9"/>
      <w:kern w:val="28"/>
      <w:sz w:val="36"/>
      <w:szCs w:val="20"/>
      <w:lang w:val="en-NZ"/>
    </w:rPr>
  </w:style>
  <w:style w:type="table" w:customStyle="1" w:styleId="EPStyle4">
    <w:name w:val="E&amp;P Style 4"/>
    <w:basedOn w:val="TableNormal"/>
    <w:rsid w:val="00675046"/>
    <w:pPr>
      <w:spacing w:before="60" w:after="60" w:line="240" w:lineRule="auto"/>
    </w:pPr>
    <w:rPr>
      <w:rFonts w:ascii="Georgia" w:eastAsia="Times New Roman" w:hAnsi="Georgia"/>
      <w:sz w:val="18"/>
      <w:szCs w:val="20"/>
    </w:rPr>
    <w:tblPr>
      <w:tblStyleRowBandSize w:val="1"/>
      <w:tblStyleColBandSize w:val="1"/>
      <w:tblInd w:w="113" w:type="dxa"/>
      <w:tblBorders>
        <w:insideH w:val="single" w:sz="18" w:space="0" w:color="FFFFFF"/>
        <w:insideV w:val="single" w:sz="18" w:space="0" w:color="FFFFFF"/>
      </w:tblBorders>
      <w:tblCellMar>
        <w:top w:w="0" w:type="dxa"/>
        <w:left w:w="108" w:type="dxa"/>
        <w:bottom w:w="0" w:type="dxa"/>
        <w:right w:w="108" w:type="dxa"/>
      </w:tblCellMar>
    </w:tblPr>
    <w:tcPr>
      <w:shd w:val="clear" w:color="auto" w:fill="E6E7E8"/>
    </w:tcPr>
    <w:tblStylePr w:type="firstRow">
      <w:pPr>
        <w:wordWrap/>
        <w:jc w:val="center"/>
      </w:pPr>
      <w:rPr>
        <w:rFonts w:ascii="Arial Bold" w:hAnsi="Arial Bold"/>
        <w:b/>
        <w:i w:val="0"/>
        <w:color w:val="FFFFFF" w:themeColor="background1"/>
        <w:sz w:val="18"/>
      </w:rPr>
      <w:tblPr/>
      <w:trPr>
        <w:tblHeader/>
      </w:trPr>
      <w:tcPr>
        <w:shd w:val="clear" w:color="auto" w:fill="006B7A" w:themeFill="accent1"/>
      </w:tcPr>
    </w:tblStylePr>
    <w:tblStylePr w:type="firstCol">
      <w:tblPr/>
      <w:tcPr>
        <w:shd w:val="clear" w:color="auto" w:fill="C7C8CA"/>
      </w:tcPr>
    </w:tblStylePr>
    <w:tblStylePr w:type="band2Vert">
      <w:tblPr/>
      <w:tcPr>
        <w:shd w:val="clear" w:color="auto" w:fill="C7C8CA"/>
      </w:tcPr>
    </w:tblStylePr>
  </w:style>
  <w:style w:type="paragraph" w:customStyle="1" w:styleId="HeadingNoTOC">
    <w:name w:val="Heading (No TOC)"/>
    <w:next w:val="Normal"/>
    <w:link w:val="HeadingNoTOCChar"/>
    <w:uiPriority w:val="6"/>
    <w:qFormat/>
    <w:rsid w:val="00675046"/>
    <w:pPr>
      <w:spacing w:before="0" w:after="120" w:line="260" w:lineRule="atLeast"/>
      <w:outlineLvl w:val="8"/>
    </w:pPr>
    <w:rPr>
      <w:rFonts w:ascii="Arial" w:eastAsia="Times New Roman" w:hAnsi="Arial"/>
      <w:b/>
      <w:color w:val="006B7A" w:themeColor="accent1"/>
      <w:kern w:val="28"/>
      <w:sz w:val="32"/>
      <w:szCs w:val="20"/>
    </w:rPr>
  </w:style>
  <w:style w:type="character" w:customStyle="1" w:styleId="HeadingNoTOCChar">
    <w:name w:val="Heading (No TOC) Char"/>
    <w:basedOn w:val="Heading1Char"/>
    <w:link w:val="HeadingNoTOC"/>
    <w:uiPriority w:val="6"/>
    <w:rsid w:val="00675046"/>
    <w:rPr>
      <w:rFonts w:ascii="Arial" w:eastAsia="Times New Roman" w:hAnsi="Arial"/>
      <w:b/>
      <w:i w:val="0"/>
      <w:color w:val="006B7A" w:themeColor="accent1"/>
      <w:kern w:val="28"/>
      <w:sz w:val="32"/>
      <w:szCs w:val="20"/>
    </w:rPr>
  </w:style>
  <w:style w:type="paragraph" w:customStyle="1" w:styleId="TableText">
    <w:name w:val="Table Text"/>
    <w:basedOn w:val="Normal"/>
    <w:link w:val="TableTextChar"/>
    <w:uiPriority w:val="1"/>
    <w:qFormat/>
    <w:rsid w:val="00675046"/>
    <w:pPr>
      <w:spacing w:before="60" w:after="60" w:line="240" w:lineRule="auto"/>
    </w:pPr>
    <w:rPr>
      <w:rFonts w:ascii="Georgia" w:eastAsia="Times New Roman" w:hAnsi="Georgia"/>
      <w:sz w:val="18"/>
      <w:szCs w:val="20"/>
    </w:rPr>
  </w:style>
  <w:style w:type="character" w:customStyle="1" w:styleId="TableTextChar">
    <w:name w:val="Table Text Char"/>
    <w:link w:val="TableText"/>
    <w:uiPriority w:val="1"/>
    <w:rsid w:val="00675046"/>
    <w:rPr>
      <w:rFonts w:ascii="Georgia" w:eastAsia="Times New Roman" w:hAnsi="Georgia"/>
      <w:sz w:val="18"/>
      <w:szCs w:val="20"/>
    </w:rPr>
  </w:style>
  <w:style w:type="paragraph" w:customStyle="1" w:styleId="BackCoverAddresses">
    <w:name w:val="Back Cover Addresses"/>
    <w:basedOn w:val="Normal"/>
    <w:qFormat/>
    <w:rsid w:val="00675046"/>
    <w:pPr>
      <w:spacing w:before="120" w:after="240" w:line="260" w:lineRule="atLeast"/>
    </w:pPr>
    <w:rPr>
      <w:rFonts w:ascii="Georgia" w:eastAsiaTheme="minorHAnsi" w:hAnsi="Georgia" w:cstheme="minorBidi"/>
      <w:color w:val="FFFFFF" w:themeColor="background1"/>
      <w:sz w:val="20"/>
      <w:szCs w:val="19"/>
      <w:lang w:eastAsia="en-US"/>
    </w:rPr>
  </w:style>
  <w:style w:type="numbering" w:styleId="111111">
    <w:name w:val="Outline List 2"/>
    <w:basedOn w:val="NoList"/>
    <w:semiHidden/>
    <w:rsid w:val="00675046"/>
    <w:pPr>
      <w:numPr>
        <w:numId w:val="23"/>
      </w:numPr>
    </w:pPr>
  </w:style>
  <w:style w:type="numbering" w:styleId="1ai">
    <w:name w:val="Outline List 1"/>
    <w:basedOn w:val="NoList"/>
    <w:semiHidden/>
    <w:rsid w:val="00675046"/>
    <w:pPr>
      <w:numPr>
        <w:numId w:val="24"/>
      </w:numPr>
    </w:pPr>
  </w:style>
  <w:style w:type="character" w:customStyle="1" w:styleId="ListParagraphChar">
    <w:name w:val="List Paragraph Char"/>
    <w:basedOn w:val="DefaultParagraphFont"/>
    <w:link w:val="ListParagraph"/>
    <w:uiPriority w:val="99"/>
    <w:rsid w:val="00675046"/>
  </w:style>
  <w:style w:type="numbering" w:styleId="ArticleSection">
    <w:name w:val="Outline List 3"/>
    <w:basedOn w:val="NoList"/>
    <w:semiHidden/>
    <w:rsid w:val="00675046"/>
    <w:pPr>
      <w:numPr>
        <w:numId w:val="26"/>
      </w:numPr>
    </w:pPr>
  </w:style>
  <w:style w:type="paragraph" w:styleId="BlockText">
    <w:name w:val="Block Text"/>
    <w:basedOn w:val="Normal"/>
    <w:semiHidden/>
    <w:rsid w:val="00675046"/>
    <w:pPr>
      <w:spacing w:before="240" w:after="60"/>
      <w:ind w:left="1440" w:right="1440"/>
    </w:pPr>
    <w:rPr>
      <w:rFonts w:ascii="Arial" w:eastAsia="Times New Roman" w:hAnsi="Arial"/>
      <w:sz w:val="20"/>
      <w:szCs w:val="20"/>
    </w:rPr>
  </w:style>
  <w:style w:type="paragraph" w:styleId="BodyTextFirstIndent">
    <w:name w:val="Body Text First Indent"/>
    <w:basedOn w:val="Normal"/>
    <w:link w:val="BodyTextFirstIndentChar"/>
    <w:semiHidden/>
    <w:rsid w:val="00675046"/>
    <w:pPr>
      <w:spacing w:before="240"/>
      <w:ind w:firstLine="210"/>
    </w:pPr>
    <w:rPr>
      <w:rFonts w:ascii="Arial" w:eastAsia="Times New Roman" w:hAnsi="Arial"/>
      <w:sz w:val="20"/>
      <w:szCs w:val="20"/>
    </w:rPr>
  </w:style>
  <w:style w:type="character" w:customStyle="1" w:styleId="BodyTextFirstIndentChar">
    <w:name w:val="Body Text First Indent Char"/>
    <w:basedOn w:val="BodyTextChar"/>
    <w:link w:val="BodyTextFirstIndent"/>
    <w:semiHidden/>
    <w:rsid w:val="00675046"/>
    <w:rPr>
      <w:rFonts w:ascii="Arial" w:eastAsia="Times New Roman" w:hAnsi="Arial"/>
      <w:sz w:val="20"/>
      <w:szCs w:val="20"/>
    </w:rPr>
  </w:style>
  <w:style w:type="paragraph" w:styleId="BodyTextIndent">
    <w:name w:val="Body Text Indent"/>
    <w:basedOn w:val="Normal"/>
    <w:link w:val="BodyTextIndentChar"/>
    <w:semiHidden/>
    <w:rsid w:val="00675046"/>
    <w:pPr>
      <w:spacing w:before="240" w:after="60"/>
      <w:ind w:left="283"/>
    </w:pPr>
    <w:rPr>
      <w:rFonts w:ascii="Arial" w:eastAsia="Times New Roman" w:hAnsi="Arial"/>
      <w:sz w:val="20"/>
      <w:szCs w:val="20"/>
    </w:rPr>
  </w:style>
  <w:style w:type="character" w:customStyle="1" w:styleId="BodyTextIndentChar">
    <w:name w:val="Body Text Indent Char"/>
    <w:basedOn w:val="DefaultParagraphFont"/>
    <w:link w:val="BodyTextIndent"/>
    <w:semiHidden/>
    <w:rsid w:val="00675046"/>
    <w:rPr>
      <w:rFonts w:ascii="Arial" w:eastAsia="Times New Roman" w:hAnsi="Arial"/>
      <w:sz w:val="20"/>
      <w:szCs w:val="20"/>
    </w:rPr>
  </w:style>
  <w:style w:type="paragraph" w:styleId="BodyTextFirstIndent2">
    <w:name w:val="Body Text First Indent 2"/>
    <w:basedOn w:val="BodyTextIndent"/>
    <w:link w:val="BodyTextFirstIndent2Char"/>
    <w:semiHidden/>
    <w:rsid w:val="00675046"/>
    <w:pPr>
      <w:ind w:firstLine="210"/>
    </w:pPr>
  </w:style>
  <w:style w:type="character" w:customStyle="1" w:styleId="BodyTextFirstIndent2Char">
    <w:name w:val="Body Text First Indent 2 Char"/>
    <w:basedOn w:val="BodyTextIndentChar"/>
    <w:link w:val="BodyTextFirstIndent2"/>
    <w:semiHidden/>
    <w:rsid w:val="00675046"/>
    <w:rPr>
      <w:rFonts w:ascii="Arial" w:eastAsia="Times New Roman" w:hAnsi="Arial"/>
      <w:sz w:val="20"/>
      <w:szCs w:val="20"/>
    </w:rPr>
  </w:style>
  <w:style w:type="paragraph" w:styleId="BodyTextIndent2">
    <w:name w:val="Body Text Indent 2"/>
    <w:basedOn w:val="Normal"/>
    <w:link w:val="BodyTextIndent2Char"/>
    <w:semiHidden/>
    <w:rsid w:val="00675046"/>
    <w:pPr>
      <w:spacing w:before="240" w:after="60" w:line="480" w:lineRule="auto"/>
      <w:ind w:left="283"/>
    </w:pPr>
    <w:rPr>
      <w:rFonts w:ascii="Arial" w:eastAsia="Times New Roman" w:hAnsi="Arial"/>
      <w:sz w:val="20"/>
      <w:szCs w:val="20"/>
    </w:rPr>
  </w:style>
  <w:style w:type="character" w:customStyle="1" w:styleId="BodyTextIndent2Char">
    <w:name w:val="Body Text Indent 2 Char"/>
    <w:basedOn w:val="DefaultParagraphFont"/>
    <w:link w:val="BodyTextIndent2"/>
    <w:semiHidden/>
    <w:rsid w:val="00675046"/>
    <w:rPr>
      <w:rFonts w:ascii="Arial" w:eastAsia="Times New Roman" w:hAnsi="Arial"/>
      <w:sz w:val="20"/>
      <w:szCs w:val="20"/>
    </w:rPr>
  </w:style>
  <w:style w:type="paragraph" w:styleId="BodyTextIndent3">
    <w:name w:val="Body Text Indent 3"/>
    <w:basedOn w:val="Normal"/>
    <w:link w:val="BodyTextIndent3Char"/>
    <w:semiHidden/>
    <w:rsid w:val="00675046"/>
    <w:pPr>
      <w:spacing w:before="240" w:after="60"/>
      <w:ind w:left="283"/>
    </w:pPr>
    <w:rPr>
      <w:rFonts w:ascii="Arial" w:eastAsia="Times New Roman" w:hAnsi="Arial"/>
      <w:sz w:val="16"/>
      <w:szCs w:val="16"/>
    </w:rPr>
  </w:style>
  <w:style w:type="character" w:customStyle="1" w:styleId="BodyTextIndent3Char">
    <w:name w:val="Body Text Indent 3 Char"/>
    <w:basedOn w:val="DefaultParagraphFont"/>
    <w:link w:val="BodyTextIndent3"/>
    <w:semiHidden/>
    <w:rsid w:val="00675046"/>
    <w:rPr>
      <w:rFonts w:ascii="Arial" w:eastAsia="Times New Roman" w:hAnsi="Arial"/>
      <w:sz w:val="16"/>
      <w:szCs w:val="16"/>
    </w:rPr>
  </w:style>
  <w:style w:type="paragraph" w:styleId="Closing">
    <w:name w:val="Closing"/>
    <w:basedOn w:val="Normal"/>
    <w:link w:val="ClosingChar"/>
    <w:semiHidden/>
    <w:rsid w:val="00675046"/>
    <w:pPr>
      <w:spacing w:before="240"/>
      <w:ind w:left="4252"/>
    </w:pPr>
    <w:rPr>
      <w:rFonts w:ascii="Arial" w:eastAsia="Times New Roman" w:hAnsi="Arial"/>
      <w:sz w:val="20"/>
      <w:szCs w:val="20"/>
    </w:rPr>
  </w:style>
  <w:style w:type="character" w:customStyle="1" w:styleId="ClosingChar">
    <w:name w:val="Closing Char"/>
    <w:basedOn w:val="DefaultParagraphFont"/>
    <w:link w:val="Closing"/>
    <w:semiHidden/>
    <w:rsid w:val="00675046"/>
    <w:rPr>
      <w:rFonts w:ascii="Arial" w:eastAsia="Times New Roman" w:hAnsi="Arial"/>
      <w:sz w:val="20"/>
      <w:szCs w:val="20"/>
    </w:rPr>
  </w:style>
  <w:style w:type="paragraph" w:customStyle="1" w:styleId="CVBodyTextBold">
    <w:name w:val="CV Body Text Bold"/>
    <w:basedOn w:val="Normal"/>
    <w:semiHidden/>
    <w:rsid w:val="00675046"/>
    <w:pPr>
      <w:spacing w:before="60" w:after="60"/>
      <w:contextualSpacing/>
    </w:pPr>
    <w:rPr>
      <w:rFonts w:ascii="Arial" w:eastAsia="Times New Roman" w:hAnsi="Arial"/>
      <w:b/>
      <w:color w:val="FFFFFF"/>
      <w:sz w:val="20"/>
      <w:szCs w:val="20"/>
    </w:rPr>
  </w:style>
  <w:style w:type="paragraph" w:styleId="E-mailSignature">
    <w:name w:val="E-mail Signature"/>
    <w:basedOn w:val="Normal"/>
    <w:link w:val="E-mailSignatureChar"/>
    <w:semiHidden/>
    <w:rsid w:val="00675046"/>
    <w:pPr>
      <w:spacing w:before="240"/>
    </w:pPr>
    <w:rPr>
      <w:rFonts w:ascii="Arial" w:eastAsia="Times New Roman" w:hAnsi="Arial"/>
      <w:sz w:val="20"/>
      <w:szCs w:val="20"/>
    </w:rPr>
  </w:style>
  <w:style w:type="character" w:customStyle="1" w:styleId="E-mailSignatureChar">
    <w:name w:val="E-mail Signature Char"/>
    <w:basedOn w:val="DefaultParagraphFont"/>
    <w:link w:val="E-mailSignature"/>
    <w:semiHidden/>
    <w:rsid w:val="00675046"/>
    <w:rPr>
      <w:rFonts w:ascii="Arial" w:eastAsia="Times New Roman" w:hAnsi="Arial"/>
      <w:sz w:val="20"/>
      <w:szCs w:val="20"/>
    </w:rPr>
  </w:style>
  <w:style w:type="paragraph" w:styleId="EnvelopeAddress">
    <w:name w:val="envelope address"/>
    <w:basedOn w:val="Normal"/>
    <w:semiHidden/>
    <w:rsid w:val="00675046"/>
    <w:pPr>
      <w:framePr w:w="7920" w:h="1980" w:hRule="exact" w:hSpace="180" w:wrap="auto" w:hAnchor="page" w:xAlign="center" w:yAlign="bottom"/>
      <w:spacing w:before="240"/>
      <w:ind w:left="2880"/>
    </w:pPr>
    <w:rPr>
      <w:rFonts w:ascii="Arial" w:eastAsia="Times New Roman" w:hAnsi="Arial" w:cs="Arial"/>
      <w:sz w:val="24"/>
      <w:szCs w:val="20"/>
    </w:rPr>
  </w:style>
  <w:style w:type="paragraph" w:styleId="EnvelopeReturn">
    <w:name w:val="envelope return"/>
    <w:basedOn w:val="Normal"/>
    <w:semiHidden/>
    <w:rsid w:val="00675046"/>
    <w:pPr>
      <w:spacing w:before="240"/>
    </w:pPr>
    <w:rPr>
      <w:rFonts w:ascii="Arial" w:eastAsia="Times New Roman" w:hAnsi="Arial" w:cs="Arial"/>
      <w:sz w:val="20"/>
      <w:szCs w:val="20"/>
    </w:rPr>
  </w:style>
  <w:style w:type="character" w:styleId="HTMLAcronym">
    <w:name w:val="HTML Acronym"/>
    <w:basedOn w:val="DefaultParagraphFont"/>
    <w:semiHidden/>
    <w:rsid w:val="00675046"/>
  </w:style>
  <w:style w:type="paragraph" w:styleId="HTMLAddress">
    <w:name w:val="HTML Address"/>
    <w:basedOn w:val="Normal"/>
    <w:link w:val="HTMLAddressChar"/>
    <w:semiHidden/>
    <w:rsid w:val="00675046"/>
    <w:pPr>
      <w:spacing w:before="240"/>
    </w:pPr>
    <w:rPr>
      <w:rFonts w:ascii="Arial" w:eastAsia="Times New Roman" w:hAnsi="Arial"/>
      <w:i/>
      <w:iCs/>
      <w:sz w:val="20"/>
      <w:szCs w:val="20"/>
    </w:rPr>
  </w:style>
  <w:style w:type="character" w:customStyle="1" w:styleId="HTMLAddressChar">
    <w:name w:val="HTML Address Char"/>
    <w:basedOn w:val="DefaultParagraphFont"/>
    <w:link w:val="HTMLAddress"/>
    <w:semiHidden/>
    <w:rsid w:val="00675046"/>
    <w:rPr>
      <w:rFonts w:ascii="Arial" w:eastAsia="Times New Roman" w:hAnsi="Arial"/>
      <w:i/>
      <w:iCs/>
      <w:sz w:val="20"/>
      <w:szCs w:val="20"/>
    </w:rPr>
  </w:style>
  <w:style w:type="character" w:styleId="HTMLCite">
    <w:name w:val="HTML Cite"/>
    <w:basedOn w:val="DefaultParagraphFont"/>
    <w:semiHidden/>
    <w:rsid w:val="00675046"/>
    <w:rPr>
      <w:i/>
      <w:iCs/>
    </w:rPr>
  </w:style>
  <w:style w:type="character" w:styleId="HTMLCode">
    <w:name w:val="HTML Code"/>
    <w:basedOn w:val="DefaultParagraphFont"/>
    <w:semiHidden/>
    <w:rsid w:val="00675046"/>
    <w:rPr>
      <w:rFonts w:ascii="Courier New" w:hAnsi="Courier New" w:cs="Courier New"/>
      <w:sz w:val="20"/>
      <w:szCs w:val="20"/>
    </w:rPr>
  </w:style>
  <w:style w:type="character" w:styleId="HTMLDefinition">
    <w:name w:val="HTML Definition"/>
    <w:basedOn w:val="DefaultParagraphFont"/>
    <w:semiHidden/>
    <w:rsid w:val="00675046"/>
    <w:rPr>
      <w:i/>
      <w:iCs/>
    </w:rPr>
  </w:style>
  <w:style w:type="character" w:styleId="HTMLKeyboard">
    <w:name w:val="HTML Keyboard"/>
    <w:basedOn w:val="DefaultParagraphFont"/>
    <w:semiHidden/>
    <w:rsid w:val="00675046"/>
    <w:rPr>
      <w:rFonts w:ascii="Courier New" w:hAnsi="Courier New" w:cs="Courier New"/>
      <w:sz w:val="20"/>
      <w:szCs w:val="20"/>
    </w:rPr>
  </w:style>
  <w:style w:type="paragraph" w:styleId="HTMLPreformatted">
    <w:name w:val="HTML Preformatted"/>
    <w:basedOn w:val="Normal"/>
    <w:link w:val="HTMLPreformattedChar"/>
    <w:semiHidden/>
    <w:rsid w:val="00675046"/>
    <w:pPr>
      <w:spacing w:before="24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675046"/>
    <w:rPr>
      <w:rFonts w:ascii="Courier New" w:eastAsia="Times New Roman" w:hAnsi="Courier New" w:cs="Courier New"/>
      <w:sz w:val="20"/>
      <w:szCs w:val="20"/>
    </w:rPr>
  </w:style>
  <w:style w:type="character" w:styleId="HTMLSample">
    <w:name w:val="HTML Sample"/>
    <w:basedOn w:val="DefaultParagraphFont"/>
    <w:semiHidden/>
    <w:rsid w:val="00675046"/>
    <w:rPr>
      <w:rFonts w:ascii="Courier New" w:hAnsi="Courier New" w:cs="Courier New"/>
    </w:rPr>
  </w:style>
  <w:style w:type="character" w:styleId="HTMLTypewriter">
    <w:name w:val="HTML Typewriter"/>
    <w:basedOn w:val="DefaultParagraphFont"/>
    <w:semiHidden/>
    <w:rsid w:val="00675046"/>
    <w:rPr>
      <w:rFonts w:ascii="Courier New" w:hAnsi="Courier New" w:cs="Courier New"/>
      <w:sz w:val="20"/>
      <w:szCs w:val="20"/>
    </w:rPr>
  </w:style>
  <w:style w:type="character" w:styleId="HTMLVariable">
    <w:name w:val="HTML Variable"/>
    <w:basedOn w:val="DefaultParagraphFont"/>
    <w:semiHidden/>
    <w:rsid w:val="00675046"/>
    <w:rPr>
      <w:i/>
      <w:iCs/>
    </w:rPr>
  </w:style>
  <w:style w:type="table" w:styleId="LightList-Accent1">
    <w:name w:val="Light List Accent 1"/>
    <w:basedOn w:val="TableNormal"/>
    <w:uiPriority w:val="61"/>
    <w:rsid w:val="00675046"/>
    <w:pPr>
      <w:spacing w:before="0" w:line="240" w:lineRule="auto"/>
    </w:pPr>
    <w:rPr>
      <w:rFonts w:ascii="Times" w:eastAsia="Times New Roman" w:hAnsi="Times"/>
      <w:sz w:val="20"/>
      <w:szCs w:val="20"/>
    </w:rPr>
    <w:tblPr>
      <w:tblStyleRowBandSize w:val="1"/>
      <w:tblStyleColBandSize w:val="1"/>
      <w:tblInd w:w="0" w:type="dxa"/>
      <w:tblBorders>
        <w:top w:val="single" w:sz="8" w:space="0" w:color="006B7A" w:themeColor="accent1"/>
        <w:left w:val="single" w:sz="8" w:space="0" w:color="006B7A" w:themeColor="accent1"/>
        <w:bottom w:val="single" w:sz="8" w:space="0" w:color="006B7A" w:themeColor="accent1"/>
        <w:right w:val="single" w:sz="8" w:space="0" w:color="006B7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6B7A" w:themeFill="accent1"/>
      </w:tcPr>
    </w:tblStylePr>
    <w:tblStylePr w:type="lastRow">
      <w:pPr>
        <w:spacing w:before="0" w:after="0" w:line="240" w:lineRule="auto"/>
      </w:pPr>
      <w:rPr>
        <w:b/>
        <w:bCs/>
      </w:rPr>
      <w:tblPr/>
      <w:tcPr>
        <w:tcBorders>
          <w:top w:val="double" w:sz="6" w:space="0" w:color="006B7A" w:themeColor="accent1"/>
          <w:left w:val="single" w:sz="8" w:space="0" w:color="006B7A" w:themeColor="accent1"/>
          <w:bottom w:val="single" w:sz="8" w:space="0" w:color="006B7A" w:themeColor="accent1"/>
          <w:right w:val="single" w:sz="8" w:space="0" w:color="006B7A" w:themeColor="accent1"/>
        </w:tcBorders>
      </w:tcPr>
    </w:tblStylePr>
    <w:tblStylePr w:type="firstCol">
      <w:rPr>
        <w:b/>
        <w:bCs/>
      </w:rPr>
    </w:tblStylePr>
    <w:tblStylePr w:type="lastCol">
      <w:rPr>
        <w:b/>
        <w:bCs/>
      </w:rPr>
    </w:tblStylePr>
    <w:tblStylePr w:type="band1Vert">
      <w:tblPr/>
      <w:tcPr>
        <w:tcBorders>
          <w:top w:val="single" w:sz="8" w:space="0" w:color="006B7A" w:themeColor="accent1"/>
          <w:left w:val="single" w:sz="8" w:space="0" w:color="006B7A" w:themeColor="accent1"/>
          <w:bottom w:val="single" w:sz="8" w:space="0" w:color="006B7A" w:themeColor="accent1"/>
          <w:right w:val="single" w:sz="8" w:space="0" w:color="006B7A" w:themeColor="accent1"/>
        </w:tcBorders>
      </w:tcPr>
    </w:tblStylePr>
    <w:tblStylePr w:type="band1Horz">
      <w:tblPr/>
      <w:tcPr>
        <w:tcBorders>
          <w:top w:val="single" w:sz="8" w:space="0" w:color="006B7A" w:themeColor="accent1"/>
          <w:left w:val="single" w:sz="8" w:space="0" w:color="006B7A" w:themeColor="accent1"/>
          <w:bottom w:val="single" w:sz="8" w:space="0" w:color="006B7A" w:themeColor="accent1"/>
          <w:right w:val="single" w:sz="8" w:space="0" w:color="006B7A" w:themeColor="accent1"/>
        </w:tcBorders>
      </w:tcPr>
    </w:tblStylePr>
  </w:style>
  <w:style w:type="character" w:styleId="LineNumber">
    <w:name w:val="line number"/>
    <w:basedOn w:val="DefaultParagraphFont"/>
    <w:semiHidden/>
    <w:rsid w:val="00675046"/>
  </w:style>
  <w:style w:type="paragraph" w:styleId="List2">
    <w:name w:val="List 2"/>
    <w:basedOn w:val="Normal"/>
    <w:semiHidden/>
    <w:rsid w:val="00675046"/>
    <w:pPr>
      <w:spacing w:before="240"/>
      <w:ind w:left="566" w:hanging="283"/>
    </w:pPr>
    <w:rPr>
      <w:rFonts w:ascii="Arial" w:eastAsia="Times New Roman" w:hAnsi="Arial"/>
      <w:sz w:val="20"/>
      <w:szCs w:val="20"/>
    </w:rPr>
  </w:style>
  <w:style w:type="paragraph" w:styleId="List3">
    <w:name w:val="List 3"/>
    <w:basedOn w:val="Normal"/>
    <w:semiHidden/>
    <w:rsid w:val="00675046"/>
    <w:pPr>
      <w:spacing w:before="240"/>
      <w:ind w:left="849" w:hanging="283"/>
    </w:pPr>
    <w:rPr>
      <w:rFonts w:ascii="Arial" w:eastAsia="Times New Roman" w:hAnsi="Arial"/>
      <w:sz w:val="20"/>
      <w:szCs w:val="20"/>
    </w:rPr>
  </w:style>
  <w:style w:type="paragraph" w:styleId="List4">
    <w:name w:val="List 4"/>
    <w:basedOn w:val="Normal"/>
    <w:semiHidden/>
    <w:rsid w:val="00675046"/>
    <w:pPr>
      <w:spacing w:before="240"/>
      <w:ind w:left="1132" w:hanging="283"/>
    </w:pPr>
    <w:rPr>
      <w:rFonts w:ascii="Arial" w:eastAsia="Times New Roman" w:hAnsi="Arial"/>
      <w:sz w:val="20"/>
      <w:szCs w:val="20"/>
    </w:rPr>
  </w:style>
  <w:style w:type="paragraph" w:styleId="List5">
    <w:name w:val="List 5"/>
    <w:basedOn w:val="Normal"/>
    <w:semiHidden/>
    <w:rsid w:val="00675046"/>
    <w:pPr>
      <w:spacing w:before="240"/>
      <w:ind w:left="1415" w:hanging="283"/>
    </w:pPr>
    <w:rPr>
      <w:rFonts w:ascii="Arial" w:eastAsia="Times New Roman" w:hAnsi="Arial"/>
      <w:sz w:val="20"/>
      <w:szCs w:val="20"/>
    </w:rPr>
  </w:style>
  <w:style w:type="paragraph" w:styleId="ListBullet4">
    <w:name w:val="List Bullet 4"/>
    <w:basedOn w:val="Normal"/>
    <w:semiHidden/>
    <w:rsid w:val="00675046"/>
    <w:pPr>
      <w:numPr>
        <w:numId w:val="28"/>
      </w:numPr>
      <w:spacing w:before="240"/>
    </w:pPr>
    <w:rPr>
      <w:rFonts w:ascii="Arial" w:eastAsia="Times New Roman" w:hAnsi="Arial"/>
      <w:sz w:val="20"/>
      <w:szCs w:val="20"/>
    </w:rPr>
  </w:style>
  <w:style w:type="paragraph" w:styleId="ListBullet5">
    <w:name w:val="List Bullet 5"/>
    <w:basedOn w:val="Normal"/>
    <w:semiHidden/>
    <w:rsid w:val="00675046"/>
    <w:pPr>
      <w:numPr>
        <w:numId w:val="29"/>
      </w:numPr>
      <w:spacing w:before="240"/>
    </w:pPr>
    <w:rPr>
      <w:rFonts w:ascii="Arial" w:eastAsia="Times New Roman" w:hAnsi="Arial"/>
      <w:sz w:val="20"/>
      <w:szCs w:val="20"/>
    </w:rPr>
  </w:style>
  <w:style w:type="paragraph" w:styleId="ListContinue">
    <w:name w:val="List Continue"/>
    <w:basedOn w:val="Normal"/>
    <w:semiHidden/>
    <w:rsid w:val="00675046"/>
    <w:pPr>
      <w:spacing w:before="240" w:after="60"/>
      <w:ind w:left="283"/>
    </w:pPr>
    <w:rPr>
      <w:rFonts w:ascii="Arial" w:eastAsia="Times New Roman" w:hAnsi="Arial"/>
      <w:sz w:val="20"/>
      <w:szCs w:val="20"/>
    </w:rPr>
  </w:style>
  <w:style w:type="paragraph" w:styleId="ListContinue2">
    <w:name w:val="List Continue 2"/>
    <w:basedOn w:val="Normal"/>
    <w:semiHidden/>
    <w:rsid w:val="00675046"/>
    <w:pPr>
      <w:spacing w:before="240" w:after="60"/>
      <w:ind w:left="566"/>
    </w:pPr>
    <w:rPr>
      <w:rFonts w:ascii="Arial" w:eastAsia="Times New Roman" w:hAnsi="Arial"/>
      <w:sz w:val="20"/>
      <w:szCs w:val="20"/>
    </w:rPr>
  </w:style>
  <w:style w:type="paragraph" w:styleId="ListContinue3">
    <w:name w:val="List Continue 3"/>
    <w:basedOn w:val="Normal"/>
    <w:semiHidden/>
    <w:rsid w:val="00675046"/>
    <w:pPr>
      <w:spacing w:before="240" w:after="60"/>
      <w:ind w:left="849"/>
    </w:pPr>
    <w:rPr>
      <w:rFonts w:ascii="Arial" w:eastAsia="Times New Roman" w:hAnsi="Arial"/>
      <w:sz w:val="20"/>
      <w:szCs w:val="20"/>
    </w:rPr>
  </w:style>
  <w:style w:type="paragraph" w:styleId="ListContinue4">
    <w:name w:val="List Continue 4"/>
    <w:basedOn w:val="Normal"/>
    <w:semiHidden/>
    <w:rsid w:val="00675046"/>
    <w:pPr>
      <w:spacing w:before="240" w:after="60"/>
      <w:ind w:left="1132"/>
    </w:pPr>
    <w:rPr>
      <w:rFonts w:ascii="Arial" w:eastAsia="Times New Roman" w:hAnsi="Arial"/>
      <w:sz w:val="20"/>
      <w:szCs w:val="20"/>
    </w:rPr>
  </w:style>
  <w:style w:type="paragraph" w:styleId="ListContinue5">
    <w:name w:val="List Continue 5"/>
    <w:basedOn w:val="Normal"/>
    <w:semiHidden/>
    <w:rsid w:val="00675046"/>
    <w:pPr>
      <w:spacing w:before="240" w:after="60"/>
      <w:ind w:left="1415"/>
    </w:pPr>
    <w:rPr>
      <w:rFonts w:ascii="Arial" w:eastAsia="Times New Roman" w:hAnsi="Arial"/>
      <w:sz w:val="20"/>
      <w:szCs w:val="20"/>
    </w:rPr>
  </w:style>
  <w:style w:type="paragraph" w:styleId="ListNumber3">
    <w:name w:val="List Number 3"/>
    <w:basedOn w:val="Normal"/>
    <w:semiHidden/>
    <w:rsid w:val="00675046"/>
    <w:pPr>
      <w:numPr>
        <w:numId w:val="30"/>
      </w:numPr>
      <w:spacing w:before="240"/>
    </w:pPr>
    <w:rPr>
      <w:rFonts w:ascii="Arial" w:eastAsia="Times New Roman" w:hAnsi="Arial"/>
      <w:sz w:val="20"/>
      <w:szCs w:val="20"/>
    </w:rPr>
  </w:style>
  <w:style w:type="paragraph" w:styleId="ListNumber4">
    <w:name w:val="List Number 4"/>
    <w:basedOn w:val="Normal"/>
    <w:semiHidden/>
    <w:rsid w:val="00675046"/>
    <w:pPr>
      <w:numPr>
        <w:numId w:val="31"/>
      </w:numPr>
      <w:spacing w:before="240"/>
    </w:pPr>
    <w:rPr>
      <w:rFonts w:ascii="Arial" w:eastAsia="Times New Roman" w:hAnsi="Arial"/>
      <w:sz w:val="20"/>
      <w:szCs w:val="20"/>
    </w:rPr>
  </w:style>
  <w:style w:type="paragraph" w:styleId="ListNumber5">
    <w:name w:val="List Number 5"/>
    <w:basedOn w:val="Normal"/>
    <w:semiHidden/>
    <w:rsid w:val="00675046"/>
    <w:pPr>
      <w:numPr>
        <w:numId w:val="32"/>
      </w:numPr>
      <w:spacing w:before="240"/>
    </w:pPr>
    <w:rPr>
      <w:rFonts w:ascii="Arial" w:eastAsia="Times New Roman" w:hAnsi="Arial"/>
      <w:sz w:val="20"/>
      <w:szCs w:val="20"/>
    </w:rPr>
  </w:style>
  <w:style w:type="paragraph" w:customStyle="1" w:styleId="ListofLittleLetterandLittleRoman">
    <w:name w:val="List of LittleLetter and LittleRoman"/>
    <w:basedOn w:val="Normal"/>
    <w:semiHidden/>
    <w:rsid w:val="00675046"/>
    <w:pPr>
      <w:numPr>
        <w:numId w:val="33"/>
      </w:numPr>
      <w:tabs>
        <w:tab w:val="left" w:pos="851"/>
        <w:tab w:val="left" w:pos="1985"/>
        <w:tab w:val="left" w:pos="2552"/>
        <w:tab w:val="left" w:pos="3119"/>
        <w:tab w:val="right" w:pos="9027"/>
      </w:tabs>
      <w:spacing w:before="8" w:after="4"/>
    </w:pPr>
    <w:rPr>
      <w:rFonts w:ascii="Verdana" w:eastAsia="Times New Roman" w:hAnsi="Verdana"/>
      <w:sz w:val="18"/>
      <w:szCs w:val="24"/>
      <w:lang w:eastAsia="en-US"/>
    </w:rPr>
  </w:style>
  <w:style w:type="table" w:styleId="MediumShading1">
    <w:name w:val="Medium Shading 1"/>
    <w:basedOn w:val="TableNormal"/>
    <w:uiPriority w:val="63"/>
    <w:rsid w:val="00675046"/>
    <w:pPr>
      <w:spacing w:before="0" w:line="240" w:lineRule="auto"/>
    </w:pPr>
    <w:rPr>
      <w:rFonts w:ascii="Times" w:eastAsia="Times New Roman" w:hAnsi="Times"/>
      <w:sz w:val="20"/>
      <w:szCs w:val="20"/>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MessageHeader">
    <w:name w:val="Message Header"/>
    <w:basedOn w:val="Normal"/>
    <w:link w:val="MessageHeaderChar"/>
    <w:semiHidden/>
    <w:rsid w:val="00675046"/>
    <w:pPr>
      <w:pBdr>
        <w:top w:val="single" w:sz="6" w:space="1" w:color="auto"/>
        <w:left w:val="single" w:sz="6" w:space="1" w:color="auto"/>
        <w:bottom w:val="single" w:sz="6" w:space="1" w:color="auto"/>
        <w:right w:val="single" w:sz="6" w:space="1" w:color="auto"/>
      </w:pBdr>
      <w:shd w:val="pct20" w:color="auto" w:fill="auto"/>
      <w:spacing w:before="240"/>
      <w:ind w:left="1134" w:hanging="1134"/>
    </w:pPr>
    <w:rPr>
      <w:rFonts w:ascii="Arial" w:eastAsia="Times New Roman" w:hAnsi="Arial" w:cs="Arial"/>
      <w:sz w:val="24"/>
      <w:szCs w:val="20"/>
    </w:rPr>
  </w:style>
  <w:style w:type="character" w:customStyle="1" w:styleId="MessageHeaderChar">
    <w:name w:val="Message Header Char"/>
    <w:basedOn w:val="DefaultParagraphFont"/>
    <w:link w:val="MessageHeader"/>
    <w:semiHidden/>
    <w:rsid w:val="00675046"/>
    <w:rPr>
      <w:rFonts w:ascii="Arial" w:eastAsia="Times New Roman" w:hAnsi="Arial" w:cs="Arial"/>
      <w:sz w:val="24"/>
      <w:szCs w:val="20"/>
      <w:shd w:val="pct20" w:color="auto" w:fill="auto"/>
    </w:rPr>
  </w:style>
  <w:style w:type="paragraph" w:styleId="NoteHeading">
    <w:name w:val="Note Heading"/>
    <w:basedOn w:val="Normal"/>
    <w:next w:val="Normal"/>
    <w:link w:val="NoteHeadingChar"/>
    <w:semiHidden/>
    <w:rsid w:val="00675046"/>
    <w:pPr>
      <w:spacing w:before="240"/>
    </w:pPr>
    <w:rPr>
      <w:rFonts w:ascii="Arial" w:eastAsia="Times New Roman" w:hAnsi="Arial"/>
      <w:sz w:val="20"/>
      <w:szCs w:val="20"/>
    </w:rPr>
  </w:style>
  <w:style w:type="character" w:customStyle="1" w:styleId="NoteHeadingChar">
    <w:name w:val="Note Heading Char"/>
    <w:basedOn w:val="DefaultParagraphFont"/>
    <w:link w:val="NoteHeading"/>
    <w:semiHidden/>
    <w:rsid w:val="00675046"/>
    <w:rPr>
      <w:rFonts w:ascii="Arial" w:eastAsia="Times New Roman" w:hAnsi="Arial"/>
      <w:sz w:val="20"/>
      <w:szCs w:val="20"/>
    </w:rPr>
  </w:style>
  <w:style w:type="paragraph" w:customStyle="1" w:styleId="FrontPageDate">
    <w:name w:val="Front Page Date"/>
    <w:basedOn w:val="Normal"/>
    <w:uiPriority w:val="8"/>
    <w:qFormat/>
    <w:rsid w:val="00675046"/>
    <w:pPr>
      <w:spacing w:before="120" w:after="120" w:line="260" w:lineRule="atLeast"/>
      <w:ind w:left="284"/>
    </w:pPr>
    <w:rPr>
      <w:rFonts w:ascii="Arial Bold" w:eastAsiaTheme="minorHAnsi" w:hAnsi="Arial Bold" w:cstheme="minorBidi"/>
      <w:b/>
      <w:color w:val="FFFFFF"/>
      <w:sz w:val="28"/>
      <w:szCs w:val="22"/>
      <w:lang w:eastAsia="en-US"/>
    </w:rPr>
  </w:style>
  <w:style w:type="paragraph" w:styleId="PlainText">
    <w:name w:val="Plain Text"/>
    <w:basedOn w:val="Normal"/>
    <w:link w:val="PlainTextChar"/>
    <w:semiHidden/>
    <w:rsid w:val="00675046"/>
    <w:pPr>
      <w:spacing w:before="240"/>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675046"/>
    <w:rPr>
      <w:rFonts w:ascii="Courier New" w:eastAsia="Times New Roman" w:hAnsi="Courier New" w:cs="Courier New"/>
      <w:sz w:val="20"/>
      <w:szCs w:val="20"/>
    </w:rPr>
  </w:style>
  <w:style w:type="paragraph" w:styleId="Salutation">
    <w:name w:val="Salutation"/>
    <w:basedOn w:val="Normal"/>
    <w:next w:val="Normal"/>
    <w:link w:val="SalutationChar"/>
    <w:semiHidden/>
    <w:rsid w:val="00675046"/>
    <w:pPr>
      <w:spacing w:before="240"/>
    </w:pPr>
    <w:rPr>
      <w:rFonts w:ascii="Arial" w:eastAsia="Times New Roman" w:hAnsi="Arial"/>
      <w:sz w:val="20"/>
      <w:szCs w:val="20"/>
    </w:rPr>
  </w:style>
  <w:style w:type="character" w:customStyle="1" w:styleId="SalutationChar">
    <w:name w:val="Salutation Char"/>
    <w:basedOn w:val="DefaultParagraphFont"/>
    <w:link w:val="Salutation"/>
    <w:semiHidden/>
    <w:rsid w:val="00675046"/>
    <w:rPr>
      <w:rFonts w:ascii="Arial" w:eastAsia="Times New Roman" w:hAnsi="Arial"/>
      <w:sz w:val="20"/>
      <w:szCs w:val="20"/>
    </w:rPr>
  </w:style>
  <w:style w:type="paragraph" w:styleId="Signature">
    <w:name w:val="Signature"/>
    <w:basedOn w:val="Normal"/>
    <w:link w:val="SignatureChar"/>
    <w:semiHidden/>
    <w:rsid w:val="00675046"/>
    <w:pPr>
      <w:spacing w:before="240"/>
      <w:ind w:left="4252"/>
    </w:pPr>
    <w:rPr>
      <w:rFonts w:ascii="Arial" w:eastAsia="Times New Roman" w:hAnsi="Arial"/>
      <w:sz w:val="20"/>
      <w:szCs w:val="20"/>
    </w:rPr>
  </w:style>
  <w:style w:type="character" w:customStyle="1" w:styleId="SignatureChar">
    <w:name w:val="Signature Char"/>
    <w:basedOn w:val="DefaultParagraphFont"/>
    <w:link w:val="Signature"/>
    <w:semiHidden/>
    <w:rsid w:val="00675046"/>
    <w:rPr>
      <w:rFonts w:ascii="Arial" w:eastAsia="Times New Roman" w:hAnsi="Arial"/>
      <w:sz w:val="20"/>
      <w:szCs w:val="20"/>
    </w:rPr>
  </w:style>
  <w:style w:type="table" w:styleId="Table3Deffects1">
    <w:name w:val="Table 3D effects 1"/>
    <w:basedOn w:val="TableNormal"/>
    <w:semiHidden/>
    <w:rsid w:val="00675046"/>
    <w:pPr>
      <w:spacing w:before="0" w:line="240" w:lineRule="auto"/>
    </w:pPr>
    <w:rPr>
      <w:rFonts w:ascii="Times" w:eastAsia="Times New Roman" w:hAnsi="Times"/>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75046"/>
    <w:pPr>
      <w:spacing w:before="0" w:line="240" w:lineRule="auto"/>
    </w:pPr>
    <w:rPr>
      <w:rFonts w:ascii="Times" w:eastAsia="Times New Roman" w:hAnsi="Times"/>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75046"/>
    <w:pPr>
      <w:spacing w:before="0" w:line="240" w:lineRule="auto"/>
    </w:pPr>
    <w:rPr>
      <w:rFonts w:ascii="Times" w:eastAsia="Times New Roman" w:hAnsi="Times"/>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TableText"/>
    <w:qFormat/>
    <w:rsid w:val="00675046"/>
    <w:pPr>
      <w:numPr>
        <w:numId w:val="34"/>
      </w:numPr>
      <w:tabs>
        <w:tab w:val="num" w:pos="360"/>
      </w:tabs>
      <w:ind w:left="284" w:hanging="284"/>
    </w:pPr>
  </w:style>
  <w:style w:type="table" w:styleId="TableClassic1">
    <w:name w:val="Table Classic 1"/>
    <w:basedOn w:val="TableNormal"/>
    <w:semiHidden/>
    <w:rsid w:val="00675046"/>
    <w:pPr>
      <w:spacing w:before="0" w:line="240" w:lineRule="auto"/>
    </w:pPr>
    <w:rPr>
      <w:rFonts w:ascii="Times" w:eastAsia="Times New Roman" w:hAnsi="Times"/>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75046"/>
    <w:pPr>
      <w:spacing w:before="0" w:line="240" w:lineRule="auto"/>
    </w:pPr>
    <w:rPr>
      <w:rFonts w:ascii="Times" w:eastAsia="Times New Roman" w:hAnsi="Times"/>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75046"/>
    <w:pPr>
      <w:spacing w:before="0" w:line="240" w:lineRule="auto"/>
    </w:pPr>
    <w:rPr>
      <w:rFonts w:ascii="Times" w:eastAsia="Times New Roman" w:hAnsi="Times"/>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75046"/>
    <w:pPr>
      <w:spacing w:before="0" w:line="240" w:lineRule="auto"/>
    </w:pPr>
    <w:rPr>
      <w:rFonts w:ascii="Times" w:eastAsia="Times New Roman" w:hAnsi="Times"/>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75046"/>
    <w:pPr>
      <w:spacing w:before="0" w:line="240" w:lineRule="auto"/>
    </w:pPr>
    <w:rPr>
      <w:rFonts w:ascii="Times" w:eastAsia="Times New Roman" w:hAnsi="Times"/>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75046"/>
    <w:pPr>
      <w:spacing w:before="0" w:line="240" w:lineRule="auto"/>
    </w:pPr>
    <w:rPr>
      <w:rFonts w:ascii="Times" w:eastAsia="Times New Roman" w:hAnsi="Times"/>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75046"/>
    <w:pPr>
      <w:spacing w:before="0" w:line="240" w:lineRule="auto"/>
    </w:pPr>
    <w:rPr>
      <w:rFonts w:ascii="Times" w:eastAsia="Times New Roman" w:hAnsi="Times"/>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75046"/>
    <w:pPr>
      <w:spacing w:before="0" w:line="240" w:lineRule="auto"/>
    </w:pPr>
    <w:rPr>
      <w:rFonts w:ascii="Times" w:eastAsia="Times New Roman" w:hAnsi="Times"/>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75046"/>
    <w:pPr>
      <w:spacing w:before="0" w:line="240" w:lineRule="auto"/>
    </w:pPr>
    <w:rPr>
      <w:rFonts w:ascii="Times" w:eastAsia="Times New Roman" w:hAnsi="Times"/>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75046"/>
    <w:pPr>
      <w:spacing w:before="0" w:line="240" w:lineRule="auto"/>
    </w:pPr>
    <w:rPr>
      <w:rFonts w:ascii="Times" w:eastAsia="Times New Roman" w:hAnsi="Times"/>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75046"/>
    <w:pPr>
      <w:spacing w:before="0" w:line="240" w:lineRule="auto"/>
    </w:pPr>
    <w:rPr>
      <w:rFonts w:ascii="Times" w:eastAsia="Times New Roman" w:hAnsi="Time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75046"/>
    <w:pPr>
      <w:spacing w:before="0" w:line="240" w:lineRule="auto"/>
    </w:pPr>
    <w:rPr>
      <w:rFonts w:ascii="Times" w:eastAsia="Times New Roman" w:hAnsi="Times"/>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75046"/>
    <w:pPr>
      <w:spacing w:before="0" w:line="240" w:lineRule="auto"/>
    </w:pPr>
    <w:rPr>
      <w:rFonts w:ascii="Times" w:eastAsia="Times New Roman" w:hAnsi="Times"/>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75046"/>
    <w:pPr>
      <w:spacing w:before="0" w:line="240" w:lineRule="auto"/>
    </w:pPr>
    <w:rPr>
      <w:rFonts w:ascii="Times" w:eastAsia="Times New Roman" w:hAnsi="Times"/>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75046"/>
    <w:pPr>
      <w:spacing w:before="0" w:line="240" w:lineRule="auto"/>
    </w:pPr>
    <w:rPr>
      <w:rFonts w:ascii="Times" w:eastAsia="Times New Roman" w:hAnsi="Time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75046"/>
    <w:pPr>
      <w:spacing w:before="0" w:line="240" w:lineRule="auto"/>
    </w:pPr>
    <w:rPr>
      <w:rFonts w:ascii="Times" w:eastAsia="Times New Roman" w:hAnsi="Times"/>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75046"/>
    <w:pPr>
      <w:spacing w:before="0" w:line="240" w:lineRule="auto"/>
    </w:pPr>
    <w:rPr>
      <w:rFonts w:ascii="Times" w:eastAsia="Times New Roman" w:hAnsi="Times"/>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75046"/>
    <w:pPr>
      <w:spacing w:before="0" w:line="240" w:lineRule="auto"/>
    </w:pPr>
    <w:rPr>
      <w:rFonts w:ascii="Times" w:eastAsia="Times New Roman" w:hAnsi="Times"/>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75046"/>
    <w:pPr>
      <w:spacing w:before="0" w:line="240" w:lineRule="auto"/>
    </w:pPr>
    <w:rPr>
      <w:rFonts w:ascii="Times" w:eastAsia="Times New Roman" w:hAnsi="Time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75046"/>
    <w:pPr>
      <w:spacing w:before="0" w:line="240" w:lineRule="auto"/>
    </w:pPr>
    <w:rPr>
      <w:rFonts w:ascii="Times" w:eastAsia="Times New Roman" w:hAnsi="Times"/>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75046"/>
    <w:pPr>
      <w:spacing w:before="0" w:line="240" w:lineRule="auto"/>
    </w:pPr>
    <w:rPr>
      <w:rFonts w:ascii="Times" w:eastAsia="Times New Roman" w:hAnsi="Times"/>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75046"/>
    <w:pPr>
      <w:spacing w:before="0" w:line="240" w:lineRule="auto"/>
    </w:pPr>
    <w:rPr>
      <w:rFonts w:ascii="Times" w:eastAsia="Times New Roman" w:hAnsi="Times"/>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semiHidden/>
    <w:rsid w:val="00675046"/>
    <w:pPr>
      <w:spacing w:before="0" w:line="240" w:lineRule="auto"/>
    </w:pPr>
    <w:rPr>
      <w:rFonts w:ascii="Times" w:eastAsia="Times New Roman" w:hAnsi="Times"/>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75046"/>
    <w:pPr>
      <w:spacing w:before="0" w:line="240" w:lineRule="auto"/>
    </w:pPr>
    <w:rPr>
      <w:rFonts w:ascii="Times" w:eastAsia="Times New Roman" w:hAnsi="Times"/>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75046"/>
    <w:pPr>
      <w:spacing w:before="0" w:line="240" w:lineRule="auto"/>
    </w:pPr>
    <w:rPr>
      <w:rFonts w:ascii="Times" w:eastAsia="Times New Roman" w:hAnsi="Time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75046"/>
    <w:pPr>
      <w:spacing w:before="0" w:line="240" w:lineRule="auto"/>
    </w:pPr>
    <w:rPr>
      <w:rFonts w:ascii="Times" w:eastAsia="Times New Roman" w:hAnsi="Time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75046"/>
    <w:pPr>
      <w:spacing w:before="0" w:line="240" w:lineRule="auto"/>
    </w:pPr>
    <w:rPr>
      <w:rFonts w:ascii="Times" w:eastAsia="Times New Roman" w:hAnsi="Times"/>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75046"/>
    <w:pPr>
      <w:spacing w:before="0" w:line="240" w:lineRule="auto"/>
    </w:pPr>
    <w:rPr>
      <w:rFonts w:ascii="Times" w:eastAsia="Times New Roman" w:hAnsi="Times"/>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75046"/>
    <w:pPr>
      <w:spacing w:before="0" w:line="240" w:lineRule="auto"/>
    </w:pPr>
    <w:rPr>
      <w:rFonts w:ascii="Times" w:eastAsia="Times New Roman" w:hAnsi="Times"/>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Number">
    <w:name w:val="Table Number"/>
    <w:basedOn w:val="TableText"/>
    <w:qFormat/>
    <w:rsid w:val="00675046"/>
    <w:pPr>
      <w:numPr>
        <w:numId w:val="35"/>
      </w:numPr>
      <w:tabs>
        <w:tab w:val="num" w:pos="360"/>
      </w:tabs>
      <w:ind w:left="360" w:hanging="360"/>
    </w:pPr>
  </w:style>
  <w:style w:type="table" w:styleId="TableProfessional">
    <w:name w:val="Table Professional"/>
    <w:basedOn w:val="TableNormal"/>
    <w:semiHidden/>
    <w:rsid w:val="00675046"/>
    <w:pPr>
      <w:spacing w:before="0" w:line="240" w:lineRule="auto"/>
    </w:pPr>
    <w:rPr>
      <w:rFonts w:ascii="Times" w:eastAsia="Times New Roman" w:hAnsi="Time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75046"/>
    <w:pPr>
      <w:spacing w:before="0" w:line="240" w:lineRule="auto"/>
    </w:pPr>
    <w:rPr>
      <w:rFonts w:ascii="Times" w:eastAsia="Times New Roman" w:hAnsi="Times"/>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75046"/>
    <w:pPr>
      <w:spacing w:before="0" w:line="240" w:lineRule="auto"/>
    </w:pPr>
    <w:rPr>
      <w:rFonts w:ascii="Times" w:eastAsia="Times New Roman" w:hAnsi="Times"/>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75046"/>
    <w:pPr>
      <w:spacing w:before="0" w:line="240" w:lineRule="auto"/>
    </w:pPr>
    <w:rPr>
      <w:rFonts w:ascii="Times" w:eastAsia="Times New Roman" w:hAnsi="Time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75046"/>
    <w:pPr>
      <w:spacing w:before="0" w:line="240" w:lineRule="auto"/>
    </w:pPr>
    <w:rPr>
      <w:rFonts w:ascii="Times" w:eastAsia="Times New Roman" w:hAnsi="Times"/>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75046"/>
    <w:pPr>
      <w:spacing w:before="0" w:line="240" w:lineRule="auto"/>
    </w:pPr>
    <w:rPr>
      <w:rFonts w:ascii="Times" w:eastAsia="Times New Roman" w:hAnsi="Times"/>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75046"/>
    <w:pPr>
      <w:spacing w:before="0" w:line="240" w:lineRule="auto"/>
    </w:pPr>
    <w:rPr>
      <w:rFonts w:ascii="Times" w:eastAsia="Times New Roman" w:hAnsi="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75046"/>
    <w:pPr>
      <w:spacing w:before="0" w:line="240" w:lineRule="auto"/>
    </w:pPr>
    <w:rPr>
      <w:rFonts w:ascii="Times" w:eastAsia="Times New Roman" w:hAnsi="Times"/>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75046"/>
    <w:pPr>
      <w:spacing w:before="0" w:line="240" w:lineRule="auto"/>
    </w:pPr>
    <w:rPr>
      <w:rFonts w:ascii="Times" w:eastAsia="Times New Roman" w:hAnsi="Times"/>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75046"/>
    <w:pPr>
      <w:spacing w:before="0" w:line="240" w:lineRule="auto"/>
    </w:pPr>
    <w:rPr>
      <w:rFonts w:ascii="Times" w:eastAsia="Times New Roman" w:hAnsi="Times"/>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5">
    <w:name w:val="toc 5"/>
    <w:basedOn w:val="Normal"/>
    <w:next w:val="Normal"/>
    <w:autoRedefine/>
    <w:uiPriority w:val="39"/>
    <w:semiHidden/>
    <w:rsid w:val="00675046"/>
    <w:pPr>
      <w:spacing w:before="120" w:after="100" w:line="276" w:lineRule="auto"/>
      <w:ind w:left="880"/>
    </w:pPr>
    <w:rPr>
      <w:rFonts w:asciiTheme="minorHAnsi" w:hAnsiTheme="minorHAnsi" w:cstheme="minorBidi"/>
      <w:sz w:val="22"/>
      <w:szCs w:val="20"/>
    </w:rPr>
  </w:style>
  <w:style w:type="paragraph" w:styleId="TOC8">
    <w:name w:val="toc 8"/>
    <w:basedOn w:val="Normal"/>
    <w:next w:val="Normal"/>
    <w:autoRedefine/>
    <w:uiPriority w:val="39"/>
    <w:semiHidden/>
    <w:rsid w:val="00675046"/>
    <w:pPr>
      <w:spacing w:before="120" w:after="100" w:line="276" w:lineRule="auto"/>
      <w:ind w:left="1540"/>
    </w:pPr>
    <w:rPr>
      <w:rFonts w:asciiTheme="minorHAnsi" w:hAnsiTheme="minorHAnsi" w:cstheme="minorBidi"/>
      <w:sz w:val="22"/>
      <w:szCs w:val="20"/>
    </w:rPr>
  </w:style>
  <w:style w:type="paragraph" w:styleId="TOC9">
    <w:name w:val="toc 9"/>
    <w:basedOn w:val="Normal"/>
    <w:next w:val="Normal"/>
    <w:autoRedefine/>
    <w:uiPriority w:val="39"/>
    <w:semiHidden/>
    <w:rsid w:val="00675046"/>
    <w:pPr>
      <w:spacing w:before="120" w:after="100" w:line="260" w:lineRule="atLeast"/>
    </w:pPr>
    <w:rPr>
      <w:rFonts w:ascii="Georgia" w:eastAsiaTheme="minorHAnsi" w:hAnsi="Georgia" w:cstheme="minorBidi"/>
      <w:sz w:val="20"/>
      <w:szCs w:val="20"/>
      <w:lang w:eastAsia="en-US"/>
    </w:rPr>
  </w:style>
  <w:style w:type="paragraph" w:customStyle="1" w:styleId="PenPicName">
    <w:name w:val="PenPic Name"/>
    <w:basedOn w:val="Normal"/>
    <w:uiPriority w:val="5"/>
    <w:qFormat/>
    <w:rsid w:val="00675046"/>
    <w:pPr>
      <w:spacing w:beforeLines="60" w:before="60" w:afterLines="60" w:after="60" w:line="240" w:lineRule="auto"/>
      <w:ind w:left="709" w:hanging="709"/>
      <w:outlineLvl w:val="8"/>
    </w:pPr>
    <w:rPr>
      <w:rFonts w:ascii="Georgia" w:eastAsiaTheme="minorHAnsi" w:hAnsi="Georgia" w:cstheme="minorBidi"/>
      <w:b/>
      <w:color w:val="006B7A" w:themeColor="accent1"/>
      <w:sz w:val="24"/>
      <w:szCs w:val="24"/>
      <w:lang w:eastAsia="en-US"/>
    </w:rPr>
  </w:style>
  <w:style w:type="paragraph" w:customStyle="1" w:styleId="PenPicTitle">
    <w:name w:val="PenPic Title"/>
    <w:basedOn w:val="PenPicName"/>
    <w:uiPriority w:val="5"/>
    <w:qFormat/>
    <w:rsid w:val="00675046"/>
    <w:rPr>
      <w:b w:val="0"/>
      <w:szCs w:val="19"/>
    </w:rPr>
  </w:style>
  <w:style w:type="paragraph" w:customStyle="1" w:styleId="AppendixTitlePage">
    <w:name w:val="Appendix Title Page"/>
    <w:next w:val="Normal"/>
    <w:link w:val="AppendixTitlePageChar"/>
    <w:uiPriority w:val="7"/>
    <w:qFormat/>
    <w:rsid w:val="00675046"/>
    <w:pPr>
      <w:pageBreakBefore/>
      <w:numPr>
        <w:numId w:val="25"/>
      </w:numPr>
      <w:spacing w:before="1680" w:after="1120" w:line="360" w:lineRule="auto"/>
      <w:ind w:left="2835" w:firstLine="0"/>
      <w:outlineLvl w:val="0"/>
    </w:pPr>
    <w:rPr>
      <w:rFonts w:ascii="Arial" w:eastAsia="Times New Roman" w:hAnsi="Arial"/>
      <w:b/>
      <w:color w:val="000000" w:themeColor="text1"/>
      <w:sz w:val="36"/>
      <w:szCs w:val="36"/>
    </w:rPr>
  </w:style>
  <w:style w:type="character" w:customStyle="1" w:styleId="AppendixTitlePageChar">
    <w:name w:val="Appendix Title Page Char"/>
    <w:basedOn w:val="DefaultParagraphFont"/>
    <w:link w:val="AppendixTitlePage"/>
    <w:uiPriority w:val="7"/>
    <w:rsid w:val="00675046"/>
    <w:rPr>
      <w:rFonts w:ascii="Arial" w:eastAsia="Times New Roman" w:hAnsi="Arial"/>
      <w:b/>
      <w:color w:val="000000" w:themeColor="text1"/>
      <w:sz w:val="36"/>
      <w:szCs w:val="36"/>
    </w:rPr>
  </w:style>
  <w:style w:type="paragraph" w:customStyle="1" w:styleId="TableHeaderwhite">
    <w:name w:val="Table Header white"/>
    <w:basedOn w:val="Normal"/>
    <w:qFormat/>
    <w:rsid w:val="00675046"/>
    <w:pPr>
      <w:spacing w:before="120" w:after="120" w:line="240" w:lineRule="auto"/>
      <w:jc w:val="center"/>
    </w:pPr>
    <w:rPr>
      <w:rFonts w:ascii="Arial" w:eastAsia="Times New Roman" w:hAnsi="Arial"/>
      <w:b/>
      <w:sz w:val="18"/>
      <w:szCs w:val="20"/>
    </w:rPr>
  </w:style>
  <w:style w:type="table" w:customStyle="1" w:styleId="Style1">
    <w:name w:val="Style1"/>
    <w:basedOn w:val="TableNormal"/>
    <w:uiPriority w:val="99"/>
    <w:rsid w:val="00675046"/>
    <w:pPr>
      <w:spacing w:before="0" w:line="240" w:lineRule="auto"/>
    </w:pPr>
    <w:rPr>
      <w:rFonts w:ascii="Georgia" w:eastAsiaTheme="minorHAnsi" w:hAnsi="Georgia" w:cstheme="minorBidi"/>
      <w:sz w:val="20"/>
      <w:szCs w:val="20"/>
      <w:lang w:eastAsia="en-US"/>
    </w:rPr>
    <w:tblPr>
      <w:tblInd w:w="0" w:type="dxa"/>
      <w:tblCellMar>
        <w:top w:w="0" w:type="dxa"/>
        <w:left w:w="108" w:type="dxa"/>
        <w:bottom w:w="0" w:type="dxa"/>
        <w:right w:w="108" w:type="dxa"/>
      </w:tblCellMar>
    </w:tblPr>
    <w:tblStylePr w:type="firstRow">
      <w:tblPr/>
      <w:trPr>
        <w:tblHeader/>
      </w:trPr>
    </w:tblStylePr>
  </w:style>
  <w:style w:type="paragraph" w:customStyle="1" w:styleId="Default">
    <w:name w:val="Default"/>
    <w:rsid w:val="00675046"/>
    <w:pPr>
      <w:autoSpaceDE w:val="0"/>
      <w:autoSpaceDN w:val="0"/>
      <w:adjustRightInd w:val="0"/>
      <w:spacing w:before="0" w:line="240" w:lineRule="auto"/>
    </w:pPr>
    <w:rPr>
      <w:rFonts w:ascii="Georgia" w:eastAsiaTheme="minorHAnsi" w:hAnsi="Georgia" w:cs="Georgia"/>
      <w:color w:val="000000"/>
      <w:sz w:val="24"/>
      <w:szCs w:val="24"/>
      <w:lang w:val="en-US" w:eastAsia="en-US"/>
    </w:rPr>
  </w:style>
  <w:style w:type="paragraph" w:customStyle="1" w:styleId="Pa7">
    <w:name w:val="Pa7"/>
    <w:basedOn w:val="Default"/>
    <w:next w:val="Default"/>
    <w:uiPriority w:val="99"/>
    <w:rsid w:val="00675046"/>
    <w:pPr>
      <w:spacing w:line="201" w:lineRule="atLeast"/>
    </w:pPr>
    <w:rPr>
      <w:rFonts w:cstheme="minorBidi"/>
      <w:color w:val="auto"/>
    </w:rPr>
  </w:style>
  <w:style w:type="paragraph" w:customStyle="1" w:styleId="Pa2">
    <w:name w:val="Pa2"/>
    <w:basedOn w:val="Default"/>
    <w:next w:val="Default"/>
    <w:uiPriority w:val="99"/>
    <w:rsid w:val="00675046"/>
    <w:pPr>
      <w:spacing w:line="241" w:lineRule="atLeast"/>
    </w:pPr>
    <w:rPr>
      <w:rFonts w:cstheme="minorBidi"/>
      <w:color w:val="auto"/>
    </w:rPr>
  </w:style>
  <w:style w:type="paragraph" w:customStyle="1" w:styleId="TableHeading">
    <w:name w:val="Table Heading"/>
    <w:basedOn w:val="Normal"/>
    <w:rsid w:val="00675046"/>
    <w:pPr>
      <w:spacing w:line="240" w:lineRule="atLeast"/>
    </w:pPr>
    <w:rPr>
      <w:rFonts w:ascii="Arial" w:eastAsia="Times New Roman" w:hAnsi="Arial"/>
      <w:b/>
      <w:sz w:val="20"/>
      <w:szCs w:val="24"/>
    </w:rPr>
  </w:style>
  <w:style w:type="paragraph" w:customStyle="1" w:styleId="Bodysubheader">
    <w:name w:val="Body sub header"/>
    <w:basedOn w:val="Normal"/>
    <w:next w:val="Normal"/>
    <w:rsid w:val="00675046"/>
    <w:pPr>
      <w:spacing w:line="240" w:lineRule="atLeast"/>
    </w:pPr>
    <w:rPr>
      <w:rFonts w:ascii="Arial" w:eastAsia="Times New Roman" w:hAnsi="Arial"/>
      <w:b/>
      <w:i/>
      <w:sz w:val="20"/>
      <w:szCs w:val="24"/>
    </w:rPr>
  </w:style>
  <w:style w:type="paragraph" w:customStyle="1" w:styleId="ACMATableText">
    <w:name w:val="ACMA Table Text"/>
    <w:rsid w:val="00675046"/>
    <w:pPr>
      <w:spacing w:before="40" w:after="40" w:line="240" w:lineRule="auto"/>
    </w:pPr>
    <w:rPr>
      <w:rFonts w:ascii="Arial" w:eastAsia="Times New Roman" w:hAnsi="Arial"/>
      <w:sz w:val="20"/>
      <w:szCs w:val="20"/>
      <w:lang w:eastAsia="en-US"/>
    </w:rPr>
  </w:style>
  <w:style w:type="paragraph" w:styleId="EndnoteText">
    <w:name w:val="endnote text"/>
    <w:basedOn w:val="Normal"/>
    <w:link w:val="EndnoteTextChar"/>
    <w:unhideWhenUsed/>
    <w:rsid w:val="00675046"/>
    <w:pPr>
      <w:spacing w:line="240" w:lineRule="auto"/>
    </w:pPr>
    <w:rPr>
      <w:rFonts w:ascii="HelveticaNeueLT Std Lt" w:eastAsia="Times New Roman" w:hAnsi="HelveticaNeueLT Std Lt"/>
      <w:sz w:val="20"/>
      <w:szCs w:val="20"/>
    </w:rPr>
  </w:style>
  <w:style w:type="character" w:customStyle="1" w:styleId="EndnoteTextChar">
    <w:name w:val="Endnote Text Char"/>
    <w:basedOn w:val="DefaultParagraphFont"/>
    <w:link w:val="EndnoteText"/>
    <w:rsid w:val="00675046"/>
    <w:rPr>
      <w:rFonts w:ascii="HelveticaNeueLT Std Lt" w:eastAsia="Times New Roman" w:hAnsi="HelveticaNeueLT Std Lt"/>
      <w:sz w:val="20"/>
      <w:szCs w:val="20"/>
    </w:rPr>
  </w:style>
  <w:style w:type="character" w:styleId="EndnoteReference">
    <w:name w:val="endnote reference"/>
    <w:basedOn w:val="DefaultParagraphFont"/>
    <w:unhideWhenUsed/>
    <w:rsid w:val="00675046"/>
    <w:rPr>
      <w:vertAlign w:val="superscript"/>
    </w:rPr>
  </w:style>
  <w:style w:type="paragraph" w:customStyle="1" w:styleId="TableHeader">
    <w:name w:val="Table Header"/>
    <w:basedOn w:val="Normal"/>
    <w:autoRedefine/>
    <w:rsid w:val="00675046"/>
    <w:pPr>
      <w:keepNext/>
      <w:spacing w:before="120" w:after="120" w:line="240" w:lineRule="auto"/>
      <w:ind w:left="1191" w:hanging="1191"/>
    </w:pPr>
    <w:rPr>
      <w:rFonts w:ascii="Times New Roman" w:eastAsia="Times New Roman" w:hAnsi="Times New Roman"/>
      <w:b/>
      <w:sz w:val="24"/>
      <w:szCs w:val="24"/>
    </w:rPr>
  </w:style>
  <w:style w:type="character" w:customStyle="1" w:styleId="01bodybold">
    <w:name w:val="01 body bold"/>
    <w:uiPriority w:val="99"/>
    <w:rsid w:val="00675046"/>
    <w:rPr>
      <w:b/>
    </w:rPr>
  </w:style>
  <w:style w:type="paragraph" w:customStyle="1" w:styleId="03Figurepara">
    <w:name w:val="03 Figure para"/>
    <w:basedOn w:val="Normal"/>
    <w:uiPriority w:val="99"/>
    <w:rsid w:val="00675046"/>
    <w:pPr>
      <w:keepNext/>
      <w:keepLines/>
      <w:widowControl w:val="0"/>
      <w:tabs>
        <w:tab w:val="left" w:pos="964"/>
      </w:tabs>
      <w:suppressAutoHyphens/>
      <w:autoSpaceDE w:val="0"/>
      <w:autoSpaceDN w:val="0"/>
      <w:adjustRightInd w:val="0"/>
      <w:spacing w:before="170" w:after="57" w:line="288" w:lineRule="auto"/>
      <w:textAlignment w:val="center"/>
    </w:pPr>
    <w:rPr>
      <w:rFonts w:ascii="Arial" w:eastAsia="Times New Roman" w:hAnsi="Arial" w:cs="HelveticaNeueLTStd-Md"/>
      <w:color w:val="196DFF"/>
      <w:sz w:val="16"/>
      <w:szCs w:val="16"/>
      <w:lang w:val="en-GB"/>
    </w:rPr>
  </w:style>
  <w:style w:type="character" w:customStyle="1" w:styleId="01bodyitalic">
    <w:name w:val="01 body italic"/>
    <w:uiPriority w:val="99"/>
    <w:rsid w:val="00675046"/>
    <w:rPr>
      <w:i/>
      <w:iCs/>
    </w:rPr>
  </w:style>
  <w:style w:type="paragraph" w:customStyle="1" w:styleId="Customtabletitle">
    <w:name w:val="Custom table title"/>
    <w:rsid w:val="00881AFD"/>
    <w:pPr>
      <w:keepNext/>
      <w:spacing w:before="360" w:after="80" w:line="260" w:lineRule="atLeast"/>
    </w:pPr>
    <w:rPr>
      <w:rFonts w:ascii="Franklin Gothic Demi" w:eastAsia="Times New Roman" w:hAnsi="Franklin Gothic Demi"/>
      <w:szCs w:val="20"/>
    </w:rPr>
  </w:style>
  <w:style w:type="paragraph" w:customStyle="1" w:styleId="MELegal4">
    <w:name w:val="ME Legal 4"/>
    <w:aliases w:val="l4"/>
    <w:basedOn w:val="Normal"/>
    <w:next w:val="Normal"/>
    <w:uiPriority w:val="99"/>
    <w:rsid w:val="00A86FF3"/>
    <w:pPr>
      <w:numPr>
        <w:ilvl w:val="3"/>
        <w:numId w:val="39"/>
      </w:numPr>
      <w:tabs>
        <w:tab w:val="left" w:pos="2041"/>
      </w:tabs>
      <w:spacing w:after="140"/>
      <w:outlineLvl w:val="3"/>
    </w:pPr>
    <w:rPr>
      <w:rFonts w:ascii="Times New Roman" w:eastAsia="Times New Roman" w:hAnsi="Times New Roman"/>
      <w:sz w:val="24"/>
      <w:szCs w:val="24"/>
      <w:lang w:eastAsia="zh-CN"/>
    </w:rPr>
  </w:style>
  <w:style w:type="paragraph" w:customStyle="1" w:styleId="ExariLevel1">
    <w:name w:val="Exari Level 1"/>
    <w:uiPriority w:val="99"/>
    <w:rsid w:val="00A86FF3"/>
    <w:pPr>
      <w:numPr>
        <w:numId w:val="39"/>
      </w:numPr>
      <w:spacing w:before="240" w:after="60" w:line="240" w:lineRule="auto"/>
    </w:pPr>
    <w:rPr>
      <w:rFonts w:ascii="Arial" w:eastAsia="Times New Roman" w:hAnsi="Arial" w:cs="Arial"/>
      <w:bCs/>
      <w:kern w:val="32"/>
      <w:sz w:val="32"/>
      <w:szCs w:val="32"/>
      <w:lang w:val="en-US"/>
    </w:rPr>
  </w:style>
  <w:style w:type="paragraph" w:customStyle="1" w:styleId="ExariLevel2">
    <w:name w:val="Exari Level 2"/>
    <w:uiPriority w:val="99"/>
    <w:rsid w:val="00A86FF3"/>
    <w:pPr>
      <w:numPr>
        <w:ilvl w:val="1"/>
        <w:numId w:val="39"/>
      </w:numPr>
      <w:spacing w:before="240" w:after="60" w:line="240" w:lineRule="auto"/>
    </w:pPr>
    <w:rPr>
      <w:rFonts w:ascii="Arial" w:eastAsia="Times New Roman" w:hAnsi="Arial" w:cs="Arial"/>
      <w:b/>
      <w:bCs/>
      <w:kern w:val="32"/>
      <w:sz w:val="24"/>
      <w:szCs w:val="32"/>
      <w:lang w:val="en-US"/>
    </w:rPr>
  </w:style>
  <w:style w:type="character" w:customStyle="1" w:styleId="ExariLevel3Char">
    <w:name w:val="Exari Level 3 Char"/>
    <w:link w:val="ExariLevel3"/>
    <w:uiPriority w:val="99"/>
    <w:locked/>
    <w:rsid w:val="00A86FF3"/>
    <w:rPr>
      <w:rFonts w:ascii="Arial" w:hAnsi="Arial" w:cs="Arial"/>
      <w:bCs/>
      <w:kern w:val="32"/>
      <w:sz w:val="24"/>
      <w:szCs w:val="32"/>
      <w:lang w:val="en-US"/>
    </w:rPr>
  </w:style>
  <w:style w:type="paragraph" w:customStyle="1" w:styleId="ExariLevel3">
    <w:name w:val="Exari Level 3"/>
    <w:link w:val="ExariLevel3Char"/>
    <w:uiPriority w:val="99"/>
    <w:rsid w:val="00A86FF3"/>
    <w:pPr>
      <w:numPr>
        <w:ilvl w:val="2"/>
        <w:numId w:val="39"/>
      </w:numPr>
      <w:spacing w:before="240" w:after="60" w:line="240" w:lineRule="auto"/>
    </w:pPr>
    <w:rPr>
      <w:rFonts w:ascii="Arial" w:hAnsi="Arial" w:cs="Arial"/>
      <w:bCs/>
      <w:kern w:val="32"/>
      <w:sz w:val="24"/>
      <w:szCs w:val="32"/>
      <w:lang w:val="en-US"/>
    </w:rPr>
  </w:style>
  <w:style w:type="paragraph" w:customStyle="1" w:styleId="ExariLevel5">
    <w:name w:val="Exari Level 5"/>
    <w:basedOn w:val="Normal"/>
    <w:uiPriority w:val="99"/>
    <w:rsid w:val="00A86FF3"/>
    <w:pPr>
      <w:numPr>
        <w:ilvl w:val="4"/>
        <w:numId w:val="39"/>
      </w:numPr>
      <w:spacing w:before="240" w:after="60" w:line="240" w:lineRule="auto"/>
    </w:pPr>
    <w:rPr>
      <w:rFonts w:ascii="Arial" w:eastAsia="Times New Roman" w:hAnsi="Arial"/>
      <w:sz w:val="24"/>
      <w:szCs w:val="24"/>
    </w:rPr>
  </w:style>
  <w:style w:type="paragraph" w:customStyle="1" w:styleId="ExariLevel6">
    <w:name w:val="Exari Level 6"/>
    <w:uiPriority w:val="99"/>
    <w:rsid w:val="00A86FF3"/>
    <w:pPr>
      <w:numPr>
        <w:ilvl w:val="5"/>
        <w:numId w:val="39"/>
      </w:numPr>
      <w:spacing w:before="240" w:after="60" w:line="240" w:lineRule="auto"/>
    </w:pPr>
    <w:rPr>
      <w:rFonts w:ascii="Arial" w:eastAsia="Times New Roman" w:hAnsi="Arial"/>
      <w:sz w:val="24"/>
      <w:szCs w:val="24"/>
    </w:rPr>
  </w:style>
  <w:style w:type="paragraph" w:customStyle="1" w:styleId="Tablecells">
    <w:name w:val="Table: cells"/>
    <w:qFormat/>
    <w:rsid w:val="00A906FD"/>
    <w:pPr>
      <w:spacing w:before="40" w:after="40" w:line="240" w:lineRule="exact"/>
      <w:ind w:right="113"/>
    </w:pPr>
    <w:rPr>
      <w:rFonts w:ascii="Arial" w:eastAsiaTheme="minorHAnsi" w:hAnsi="Arial" w:cstheme="minorBidi"/>
      <w:sz w:val="18"/>
      <w:szCs w:val="22"/>
      <w:lang w:val="en-GB" w:eastAsia="en-US"/>
    </w:rPr>
  </w:style>
  <w:style w:type="paragraph" w:customStyle="1" w:styleId="Tableheading0">
    <w:name w:val="Table: heading"/>
    <w:basedOn w:val="Tablecells"/>
    <w:next w:val="Tablecells"/>
    <w:qFormat/>
    <w:rsid w:val="00A906FD"/>
    <w:pPr>
      <w:keepNext/>
    </w:pPr>
    <w:rPr>
      <w:b/>
      <w:color w:val="FFFFFF"/>
    </w:rPr>
  </w:style>
  <w:style w:type="table" w:styleId="MediumShading2-Accent1">
    <w:name w:val="Medium Shading 2 Accent 1"/>
    <w:basedOn w:val="TableNormal"/>
    <w:uiPriority w:val="64"/>
    <w:rsid w:val="00A906FD"/>
    <w:pPr>
      <w:spacing w:before="0" w:line="240" w:lineRule="auto"/>
    </w:pPr>
    <w:rPr>
      <w:rFonts w:asciiTheme="minorHAnsi" w:eastAsiaTheme="minorHAnsi" w:hAnsiTheme="minorHAnsi" w:cstheme="minorBidi"/>
      <w:sz w:val="22"/>
      <w:szCs w:val="22"/>
      <w:lang w:val="en-GB"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B7A"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B7A" w:themeFill="accent1"/>
      </w:tcPr>
    </w:tblStylePr>
    <w:tblStylePr w:type="lastCol">
      <w:rPr>
        <w:b/>
        <w:bCs/>
        <w:color w:val="FFFFFF" w:themeColor="background1"/>
      </w:rPr>
      <w:tblPr/>
      <w:tcPr>
        <w:tcBorders>
          <w:left w:val="nil"/>
          <w:right w:val="nil"/>
          <w:insideH w:val="nil"/>
          <w:insideV w:val="nil"/>
        </w:tcBorders>
        <w:shd w:val="clear" w:color="auto" w:fill="006B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sto MT" w:eastAsiaTheme="minorEastAsia" w:hAnsi="Calisto MT" w:cs="Times New Roman"/>
        <w:sz w:val="21"/>
        <w:szCs w:val="21"/>
        <w:lang w:val="en-AU" w:eastAsia="en-AU" w:bidi="ar-SA"/>
      </w:rPr>
    </w:rPrDefault>
    <w:pPrDefault>
      <w:pPr>
        <w:spacing w:before="140" w:line="280" w:lineRule="atLeast"/>
      </w:pPr>
    </w:pPrDefault>
  </w:docDefaults>
  <w:latentStyles w:defLockedState="0" w:defUIPriority="0" w:defSemiHidden="1" w:defUnhideWhenUsed="0" w:defQFormat="0" w:count="267">
    <w:lsdException w:name="Normal" w:semiHidden="0"/>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iPriority="99" w:unhideWhenUsed="1"/>
    <w:lsdException w:name="index 2" w:uiPriority="99" w:unhideWhenUsed="1"/>
    <w:lsdException w:name="index 3" w:uiPriority="99" w:unhideWhenUsed="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semiHidden="0" w:uiPriority="39" w:qFormat="1"/>
    <w:lsdException w:name="toc 2" w:semiHidden="0" w:uiPriority="39" w:qFormat="1"/>
    <w:lsdException w:name="toc 3" w:uiPriority="39" w:unhideWhenUsed="1" w:qFormat="1"/>
    <w:lsdException w:name="toc 4" w:uiPriority="39"/>
    <w:lsdException w:name="toc 5" w:uiPriority="39"/>
    <w:lsdException w:name="toc 6" w:uiPriority="39" w:unhideWhenUsed="1"/>
    <w:lsdException w:name="toc 7" w:uiPriority="39" w:unhideWhenUsed="1"/>
    <w:lsdException w:name="toc 8" w:uiPriority="39"/>
    <w:lsdException w:name="toc 9" w:uiPriority="39"/>
    <w:lsdException w:name="Normal Indent" w:uiPriority="99" w:unhideWhenUsed="1"/>
    <w:lsdException w:name="footnote text" w:semiHidden="0" w:uiPriority="25"/>
    <w:lsdException w:name="annotation text" w:semiHidden="0" w:uiPriority="49"/>
    <w:lsdException w:name="header" w:semiHidden="0" w:uiPriority="99" w:qFormat="1"/>
    <w:lsdException w:name="footer" w:semiHidden="0" w:uiPriority="99"/>
    <w:lsdException w:name="index heading" w:uiPriority="99" w:unhideWhenUsed="1"/>
    <w:lsdException w:name="caption" w:uiPriority="99" w:unhideWhenUsed="1" w:qFormat="1"/>
    <w:lsdException w:name="table of figures" w:uiPriority="99" w:unhideWhenUsed="1" w:qFormat="1"/>
    <w:lsdException w:name="envelope address" w:unhideWhenUsed="1"/>
    <w:lsdException w:name="envelope return" w:unhideWhenUsed="1"/>
    <w:lsdException w:name="footnote reference" w:semiHidden="0" w:uiPriority="25"/>
    <w:lsdException w:name="annotation reference" w:semiHidden="0" w:uiPriority="49"/>
    <w:lsdException w:name="line number" w:unhideWhenUsed="1"/>
    <w:lsdException w:name="page number" w:uiPriority="99" w:unhideWhenUsed="1"/>
    <w:lsdException w:name="endnote reference" w:unhideWhenUsed="1"/>
    <w:lsdException w:name="endnote text" w:unhideWhenUsed="1"/>
    <w:lsdException w:name="table of authorities" w:uiPriority="99"/>
    <w:lsdException w:name="macro" w:uiPriority="99" w:unhideWhenUsed="1"/>
    <w:lsdException w:name="toa heading" w:uiPriority="99"/>
    <w:lsdException w:name="List" w:uiPriority="99" w:unhideWhenUsed="1"/>
    <w:lsdException w:name="List Bullet" w:semiHidden="0" w:uiPriority="2" w:qFormat="1"/>
    <w:lsdException w:name="List Number" w:semiHidden="0" w:qFormat="1"/>
    <w:lsdException w:name="List 2" w:unhideWhenUsed="1"/>
    <w:lsdException w:name="List 3" w:unhideWhenUsed="1"/>
    <w:lsdException w:name="List 4" w:unhideWhenUsed="1"/>
    <w:lsdException w:name="List 5" w:unhideWhenUsed="1"/>
    <w:lsdException w:name="List Bullet 2" w:semiHidden="0" w:uiPriority="2" w:qFormat="1"/>
    <w:lsdException w:name="List Bullet 3" w:semiHidden="0" w:uiPriority="2"/>
    <w:lsdException w:name="List Number 2" w:semiHidden="0"/>
    <w:lsdException w:name="List Number 3" w:unhideWhenUsed="1"/>
    <w:lsdException w:name="List Number 4" w:unhideWhenUsed="1"/>
    <w:lsdException w:name="List Number 5" w:unhideWhenUsed="1"/>
    <w:lsdException w:name="Title" w:semiHidden="0" w:uiPriority="29" w:qFormat="1"/>
    <w:lsdException w:name="Closing" w:unhideWhenUsed="1"/>
    <w:lsdException w:name="Signature" w:unhideWhenUsed="1"/>
    <w:lsdException w:name="Default Paragraph Font" w:uiPriority="1" w:unhideWhenUsed="1"/>
    <w:lsdException w:name="Body Text" w:semiHidden="0" w:uiPriority="2"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30" w:qFormat="1"/>
    <w:lsdException w:name="Salutation" w:unhideWhenUsed="1"/>
    <w:lsdException w:name="Date" w:semiHidden="0" w:uiPriority="33"/>
    <w:lsdException w:name="Body Text First Indent" w:unhideWhenUsed="1"/>
    <w:lsdException w:name="Body Text First Indent 2" w:unhideWhenUsed="1"/>
    <w:lsdException w:name="Note Heading" w:unhideWhenUsed="1"/>
    <w:lsdException w:name="Body Text 2" w:uiPriority="99" w:unhideWhenUsed="1"/>
    <w:lsdException w:name="Body Text 3" w:uiPriority="99" w:unhideWhenUsed="1"/>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Emphasis" w:uiPriority="20" w:unhideWhenUsed="1" w:qFormat="1"/>
    <w:lsdException w:name="Document Map" w:uiPriority="99"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iPriority="99"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uiPriority="1" w:unhideWhenUsed="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99" w:qFormat="1"/>
    <w:lsdException w:name="Quote" w:semiHidden="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uiPriority="32" w:qFormat="1"/>
    <w:lsdException w:name="Book Title" w:uiPriority="33" w:qFormat="1"/>
    <w:lsdException w:name="Bibliography" w:uiPriority="37"/>
    <w:lsdException w:name="TOC Heading" w:semiHidden="0" w:uiPriority="39" w:qFormat="1"/>
  </w:latentStyles>
  <w:style w:type="paragraph" w:default="1" w:styleId="Normal">
    <w:name w:val="Normal"/>
    <w:semiHidden/>
    <w:rsid w:val="00BA277B"/>
    <w:pPr>
      <w:spacing w:before="0"/>
    </w:pPr>
  </w:style>
  <w:style w:type="paragraph" w:styleId="Heading1">
    <w:name w:val="heading 1"/>
    <w:aliases w:val="h1,EOI - Heading 1 (Low),Heading 1 (low),Para1,h11,h12,ChapterHeadingNumber,Top 1,ParaLevel1,Level 1 Para,Level 1 Para1,Level 1 Para2,Level 1 Para3,Level 1 Para4,Level 1 Para11,Level 1 Para21,Level 1 Para31,Level 1 Para5,Level 1 Para12,L1,1,RF"/>
    <w:basedOn w:val="BodyText"/>
    <w:next w:val="BodyText"/>
    <w:link w:val="Heading1Char"/>
    <w:qFormat/>
    <w:rsid w:val="00FD7C5A"/>
    <w:pPr>
      <w:keepNext/>
      <w:pageBreakBefore/>
      <w:numPr>
        <w:numId w:val="5"/>
      </w:numPr>
      <w:spacing w:before="0" w:after="1560" w:line="440" w:lineRule="atLeast"/>
      <w:outlineLvl w:val="0"/>
    </w:pPr>
    <w:rPr>
      <w:rFonts w:asciiTheme="majorHAnsi" w:hAnsiTheme="majorHAnsi"/>
      <w:i/>
      <w:kern w:val="28"/>
      <w:sz w:val="36"/>
      <w:szCs w:val="32"/>
    </w:rPr>
  </w:style>
  <w:style w:type="paragraph" w:styleId="Heading2">
    <w:name w:val="heading 2"/>
    <w:aliases w:val="h2,BT-Legal Numbering,Para2,Head hdbk,Top 2,H2,h2 main heading,B Sub/Bold,B Sub/Bold1,B Sub/Bold2,B Sub/Bold11,h2 main heading1,h2 main heading2,B Sub/Bold3,B Sub/Bold12,h2 main heading3,B Sub/Bold4,B Sub/Bold13,SubPara,Para 2,new heading two"/>
    <w:basedOn w:val="Heading1"/>
    <w:next w:val="BodyText"/>
    <w:link w:val="Heading2Char"/>
    <w:qFormat/>
    <w:rsid w:val="00814B8B"/>
    <w:pPr>
      <w:pageBreakBefore w:val="0"/>
      <w:numPr>
        <w:ilvl w:val="1"/>
      </w:numPr>
      <w:spacing w:before="560" w:after="0" w:line="340" w:lineRule="atLeast"/>
      <w:outlineLvl w:val="1"/>
    </w:pPr>
    <w:rPr>
      <w:b/>
      <w:color w:val="F61D12" w:themeColor="accent2"/>
      <w:sz w:val="30"/>
      <w:szCs w:val="26"/>
    </w:rPr>
  </w:style>
  <w:style w:type="paragraph" w:styleId="Heading3">
    <w:name w:val="heading 3"/>
    <w:aliases w:val="Normal + num,h3,EOI - Heading 3,h3 sub heading,Para3,Paragraph (heading 3),BTL Numbered,Level 1 - 2,Head 3,heading 3,H3,L3,3,Level 1 - 1,Report Heading 3,d,Tempo Heading 3,C Sub-Sub/Italic,Head 31,Head 32,C Sub-Sub/Italic1,Sub2Para,BOD 1,BOD 0"/>
    <w:basedOn w:val="Heading2"/>
    <w:next w:val="BodyText"/>
    <w:link w:val="Heading3Char"/>
    <w:qFormat/>
    <w:rsid w:val="002F2DAD"/>
    <w:pPr>
      <w:numPr>
        <w:ilvl w:val="2"/>
      </w:numPr>
      <w:spacing w:before="440" w:line="280" w:lineRule="atLeast"/>
      <w:outlineLvl w:val="2"/>
    </w:pPr>
    <w:rPr>
      <w:color w:val="auto"/>
      <w:sz w:val="25"/>
      <w:szCs w:val="22"/>
    </w:rPr>
  </w:style>
  <w:style w:type="paragraph" w:styleId="Heading4">
    <w:name w:val="heading 4"/>
    <w:aliases w:val="h4,L4,Level 2 - a,sd,Standard H3,h41,Titre 4,1.1.1.1,bullet,bl,bb,h4 sub sub heading,Level 2 - (a),4,Org Heading 2,Sub3Para,proj4,proj41,proj42,proj43,proj44,proj45,proj46,proj47,proj48,proj49,proj410,proj411,proj412,proj421,proj431,proj441,41"/>
    <w:basedOn w:val="Heading3"/>
    <w:next w:val="BodyText"/>
    <w:link w:val="Heading4Char"/>
    <w:qFormat/>
    <w:rsid w:val="00FC141A"/>
    <w:pPr>
      <w:numPr>
        <w:ilvl w:val="3"/>
      </w:numPr>
      <w:spacing w:before="400" w:line="260" w:lineRule="atLeast"/>
      <w:outlineLvl w:val="3"/>
    </w:pPr>
    <w:rPr>
      <w:color w:val="6F6652" w:themeColor="text2"/>
      <w:sz w:val="21"/>
    </w:rPr>
  </w:style>
  <w:style w:type="paragraph" w:styleId="Heading5">
    <w:name w:val="heading 5"/>
    <w:aliases w:val="h5,L5,Level 3 - i,L51,Para5,i.,H,subsubpara,1.1.1.1.1,H1,H11,3rd sub-clause,h51,h52,5"/>
    <w:basedOn w:val="Heading4"/>
    <w:next w:val="BodyText"/>
    <w:link w:val="Heading5Char"/>
    <w:qFormat/>
    <w:rsid w:val="00742A5F"/>
    <w:pPr>
      <w:numPr>
        <w:ilvl w:val="4"/>
      </w:numPr>
      <w:outlineLvl w:val="4"/>
    </w:pPr>
    <w:rPr>
      <w:rFonts w:asciiTheme="minorHAnsi" w:hAnsiTheme="minorHAnsi"/>
      <w:b w:val="0"/>
    </w:rPr>
  </w:style>
  <w:style w:type="paragraph" w:styleId="Heading6">
    <w:name w:val="heading 6"/>
    <w:aliases w:val="Square Bullet list,Sub5Para,L1 PIP,a,b,H6,Heading 6(unused),Heading 6(unused)1"/>
    <w:basedOn w:val="Heading1"/>
    <w:next w:val="BodyText"/>
    <w:link w:val="Heading6Char"/>
    <w:qFormat/>
    <w:rsid w:val="000E5731"/>
    <w:pPr>
      <w:numPr>
        <w:ilvl w:val="5"/>
      </w:numPr>
      <w:outlineLvl w:val="5"/>
    </w:pPr>
    <w:rPr>
      <w:bCs/>
    </w:rPr>
  </w:style>
  <w:style w:type="paragraph" w:styleId="Heading7">
    <w:name w:val="heading 7"/>
    <w:aliases w:val="Indented hyphen,L2 PIP,H7,Heading 7(unused),Heading 7(unused)1"/>
    <w:basedOn w:val="Heading2"/>
    <w:next w:val="BodyText"/>
    <w:link w:val="Heading7Char"/>
    <w:qFormat/>
    <w:rsid w:val="00395D18"/>
    <w:pPr>
      <w:numPr>
        <w:ilvl w:val="6"/>
      </w:numPr>
      <w:outlineLvl w:val="6"/>
    </w:pPr>
    <w:rPr>
      <w:color w:val="auto"/>
    </w:rPr>
  </w:style>
  <w:style w:type="paragraph" w:styleId="Heading8">
    <w:name w:val="heading 8"/>
    <w:aliases w:val="L3 PIP,H8,Heading 8(unused),Heading 8(unused)1"/>
    <w:basedOn w:val="Heading3"/>
    <w:next w:val="BodyText"/>
    <w:link w:val="Heading8Char"/>
    <w:qFormat/>
    <w:rsid w:val="00CE3386"/>
    <w:pPr>
      <w:numPr>
        <w:ilvl w:val="7"/>
      </w:numPr>
      <w:outlineLvl w:val="7"/>
    </w:pPr>
  </w:style>
  <w:style w:type="paragraph" w:styleId="Heading9">
    <w:name w:val="heading 9"/>
    <w:aliases w:val="Spare5,H9,Heading 9(unused),Heading 9(unused)1"/>
    <w:basedOn w:val="Heading4"/>
    <w:next w:val="BodyText"/>
    <w:link w:val="Heading9Char"/>
    <w:qFormat/>
    <w:rsid w:val="00F47B3A"/>
    <w:pPr>
      <w:numPr>
        <w:ilvl w:val="8"/>
      </w:numPr>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s">
    <w:name w:val="ListBullets"/>
    <w:uiPriority w:val="99"/>
    <w:rsid w:val="00B974A4"/>
    <w:pPr>
      <w:numPr>
        <w:numId w:val="10"/>
      </w:numPr>
    </w:pPr>
  </w:style>
  <w:style w:type="paragraph" w:styleId="ListBullet3">
    <w:name w:val="List Bullet 3"/>
    <w:basedOn w:val="ListBullet2"/>
    <w:uiPriority w:val="2"/>
    <w:rsid w:val="00114298"/>
    <w:pPr>
      <w:numPr>
        <w:ilvl w:val="2"/>
      </w:numPr>
    </w:pPr>
  </w:style>
  <w:style w:type="paragraph" w:styleId="ListNumber">
    <w:name w:val="List Number"/>
    <w:basedOn w:val="BodyText"/>
    <w:qFormat/>
    <w:rsid w:val="00497862"/>
    <w:pPr>
      <w:numPr>
        <w:numId w:val="11"/>
      </w:numPr>
      <w:spacing w:before="70"/>
    </w:pPr>
  </w:style>
  <w:style w:type="paragraph" w:styleId="ListBullet">
    <w:name w:val="List Bullet"/>
    <w:aliases w:val="Char, Char"/>
    <w:basedOn w:val="BodyText"/>
    <w:link w:val="ListBulletChar"/>
    <w:uiPriority w:val="2"/>
    <w:qFormat/>
    <w:rsid w:val="00B974A4"/>
    <w:pPr>
      <w:numPr>
        <w:numId w:val="10"/>
      </w:numPr>
      <w:spacing w:before="70"/>
    </w:pPr>
  </w:style>
  <w:style w:type="paragraph" w:customStyle="1" w:styleId="Contents">
    <w:name w:val="Contents"/>
    <w:basedOn w:val="Heading1"/>
    <w:next w:val="TOC1"/>
    <w:uiPriority w:val="99"/>
    <w:rsid w:val="005C386A"/>
    <w:pPr>
      <w:pageBreakBefore w:val="0"/>
      <w:numPr>
        <w:numId w:val="0"/>
      </w:numPr>
    </w:pPr>
  </w:style>
  <w:style w:type="paragraph" w:customStyle="1" w:styleId="RecommendationNumber2">
    <w:name w:val="Recommendation Number 2"/>
    <w:basedOn w:val="RecommendationNumber"/>
    <w:uiPriority w:val="28"/>
    <w:rsid w:val="001E2A83"/>
    <w:pPr>
      <w:numPr>
        <w:ilvl w:val="1"/>
      </w:numPr>
    </w:pPr>
  </w:style>
  <w:style w:type="paragraph" w:customStyle="1" w:styleId="RecommendationHeading">
    <w:name w:val="Recommendation Heading"/>
    <w:basedOn w:val="BodyText"/>
    <w:next w:val="RecommendationNumber"/>
    <w:uiPriority w:val="28"/>
    <w:unhideWhenUsed/>
    <w:rsid w:val="00CA364E"/>
    <w:pPr>
      <w:spacing w:before="280"/>
    </w:pPr>
    <w:rPr>
      <w:rFonts w:ascii="Franklin Gothic Demi" w:hAnsi="Franklin Gothic Demi"/>
      <w:caps/>
      <w:color w:val="6F6652" w:themeColor="text2"/>
      <w:spacing w:val="10"/>
    </w:rPr>
  </w:style>
  <w:style w:type="paragraph" w:customStyle="1" w:styleId="Subtitlebox">
    <w:name w:val="Subtitle box"/>
    <w:aliases w:val="chart,table"/>
    <w:basedOn w:val="Caption"/>
    <w:uiPriority w:val="5"/>
    <w:rsid w:val="00425BAF"/>
    <w:pPr>
      <w:spacing w:before="0"/>
    </w:pPr>
    <w:rPr>
      <w:rFonts w:ascii="Franklin Gothic Book" w:hAnsi="Franklin Gothic Book"/>
      <w:sz w:val="17"/>
    </w:rPr>
  </w:style>
  <w:style w:type="paragraph" w:styleId="BodyText">
    <w:name w:val="Body Text"/>
    <w:aliases w:val="body text,Body Text 1,Body,Heading 1 text,bt,Concepto,Body Text - Level 2,Body Text Char2 Char,Body Text Char Char1 Char,Body Text Char1 Char Char Char,Body Text Char Char Char Char Char,Body Text Char1 Char1 Char,Body Text Char Char Char1 Cha"/>
    <w:basedOn w:val="Normal"/>
    <w:link w:val="BodyTextChar"/>
    <w:uiPriority w:val="2"/>
    <w:qFormat/>
    <w:rsid w:val="007438FF"/>
    <w:pPr>
      <w:spacing w:before="140"/>
    </w:pPr>
    <w:rPr>
      <w:rFonts w:asciiTheme="minorHAnsi" w:eastAsia="Times New Roman" w:hAnsiTheme="minorHAnsi"/>
    </w:rPr>
  </w:style>
  <w:style w:type="paragraph" w:styleId="ListNumber2">
    <w:name w:val="List Number 2"/>
    <w:basedOn w:val="BodyText"/>
    <w:rsid w:val="00497862"/>
    <w:pPr>
      <w:numPr>
        <w:ilvl w:val="1"/>
        <w:numId w:val="11"/>
      </w:numPr>
      <w:spacing w:before="40"/>
    </w:pPr>
  </w:style>
  <w:style w:type="character" w:customStyle="1" w:styleId="BodyTextChar">
    <w:name w:val="Body Text Char"/>
    <w:aliases w:val="body text Char,Body Text 1 Char,Body Char,Heading 1 text Char,bt Char,Concepto Char,Body Text - Level 2 Char,Body Text Char2 Char Char,Body Text Char Char1 Char Char,Body Text Char1 Char Char Char Char,Body Text Char1 Char1 Char Char"/>
    <w:link w:val="BodyText"/>
    <w:uiPriority w:val="2"/>
    <w:rsid w:val="007438FF"/>
    <w:rPr>
      <w:rFonts w:asciiTheme="minorHAnsi" w:eastAsia="Times New Roman" w:hAnsiTheme="minorHAnsi"/>
    </w:rPr>
  </w:style>
  <w:style w:type="paragraph" w:styleId="Caption">
    <w:name w:val="caption"/>
    <w:basedOn w:val="BodyText"/>
    <w:next w:val="Subtitlebox"/>
    <w:link w:val="CaptionChar"/>
    <w:uiPriority w:val="99"/>
    <w:unhideWhenUsed/>
    <w:qFormat/>
    <w:rsid w:val="008A036A"/>
    <w:pPr>
      <w:keepNext/>
      <w:numPr>
        <w:numId w:val="7"/>
      </w:numPr>
      <w:spacing w:before="360" w:after="80" w:line="260" w:lineRule="atLeast"/>
    </w:pPr>
    <w:rPr>
      <w:rFonts w:ascii="Franklin Gothic Demi" w:hAnsi="Franklin Gothic Demi"/>
      <w:szCs w:val="20"/>
    </w:rPr>
  </w:style>
  <w:style w:type="paragraph" w:customStyle="1" w:styleId="BoxHeading1">
    <w:name w:val="Box Heading 1"/>
    <w:basedOn w:val="Heading4"/>
    <w:next w:val="BodyText"/>
    <w:uiPriority w:val="9"/>
    <w:rsid w:val="009D667E"/>
    <w:pPr>
      <w:spacing w:before="240"/>
    </w:pPr>
    <w:rPr>
      <w:rFonts w:ascii="Franklin Gothic Demi" w:hAnsi="Franklin Gothic Demi"/>
      <w:b w:val="0"/>
      <w:i w:val="0"/>
      <w:color w:val="F61D12" w:themeColor="accent2"/>
    </w:rPr>
  </w:style>
  <w:style w:type="paragraph" w:customStyle="1" w:styleId="BoxHeading2">
    <w:name w:val="Box Heading 2"/>
    <w:basedOn w:val="BoxHeading1"/>
    <w:next w:val="BodyText"/>
    <w:uiPriority w:val="9"/>
    <w:rsid w:val="00F21CFB"/>
    <w:pPr>
      <w:spacing w:before="200"/>
    </w:pPr>
    <w:rPr>
      <w:rFonts w:ascii="Franklin Gothic Medium" w:hAnsi="Franklin Gothic Medium"/>
      <w:szCs w:val="20"/>
    </w:rPr>
  </w:style>
  <w:style w:type="paragraph" w:customStyle="1" w:styleId="ChartText">
    <w:name w:val="Chart Text"/>
    <w:basedOn w:val="TableTextEntries"/>
    <w:link w:val="ChartTextChar"/>
    <w:uiPriority w:val="23"/>
    <w:rsid w:val="00F87657"/>
    <w:pPr>
      <w:spacing w:before="0"/>
    </w:pPr>
    <w:rPr>
      <w:rFonts w:ascii="Franklin Gothic Medium" w:hAnsi="Franklin Gothic Medium"/>
    </w:rPr>
  </w:style>
  <w:style w:type="character" w:customStyle="1" w:styleId="ChartTextChar">
    <w:name w:val="Chart Text Char"/>
    <w:link w:val="ChartText"/>
    <w:uiPriority w:val="23"/>
    <w:rsid w:val="00F87657"/>
    <w:rPr>
      <w:rFonts w:ascii="Franklin Gothic Medium" w:eastAsia="Times New Roman" w:hAnsi="Franklin Gothic Medium"/>
      <w:sz w:val="16"/>
      <w:szCs w:val="18"/>
      <w:lang w:eastAsia="en-US"/>
    </w:rPr>
  </w:style>
  <w:style w:type="paragraph" w:customStyle="1" w:styleId="ChartBoldText">
    <w:name w:val="Chart Bold Text"/>
    <w:basedOn w:val="ChartText"/>
    <w:next w:val="ChartText"/>
    <w:uiPriority w:val="23"/>
    <w:rsid w:val="00DA2AB5"/>
    <w:pPr>
      <w:jc w:val="center"/>
    </w:pPr>
    <w:rPr>
      <w:rFonts w:ascii="Franklin Gothic Demi" w:hAnsi="Franklin Gothic Demi"/>
      <w:szCs w:val="17"/>
    </w:rPr>
  </w:style>
  <w:style w:type="paragraph" w:customStyle="1" w:styleId="ChartHighlight">
    <w:name w:val="Chart Highlight"/>
    <w:basedOn w:val="ChartBoldText"/>
    <w:uiPriority w:val="22"/>
    <w:rsid w:val="00DA2AB5"/>
    <w:pPr>
      <w:spacing w:line="220" w:lineRule="atLeast"/>
    </w:pPr>
    <w:rPr>
      <w:caps/>
      <w:sz w:val="20"/>
    </w:rPr>
  </w:style>
  <w:style w:type="paragraph" w:customStyle="1" w:styleId="Client">
    <w:name w:val="Client"/>
    <w:basedOn w:val="BodyText"/>
    <w:uiPriority w:val="32"/>
    <w:rsid w:val="00DA40B0"/>
    <w:pPr>
      <w:spacing w:before="0"/>
    </w:pPr>
    <w:rPr>
      <w:i/>
      <w:sz w:val="25"/>
    </w:rPr>
  </w:style>
  <w:style w:type="character" w:styleId="CommentReference">
    <w:name w:val="annotation reference"/>
    <w:basedOn w:val="BodyTextChar"/>
    <w:uiPriority w:val="49"/>
    <w:semiHidden/>
    <w:rsid w:val="000B2602"/>
    <w:rPr>
      <w:rFonts w:ascii="Franklin Gothic Demi" w:eastAsia="Times New Roman" w:hAnsi="Franklin Gothic Demi" w:cs="Times New Roman"/>
      <w:b w:val="0"/>
      <w:vanish/>
      <w:color w:val="FF00FF"/>
      <w:sz w:val="18"/>
      <w:szCs w:val="16"/>
    </w:rPr>
  </w:style>
  <w:style w:type="paragraph" w:styleId="CommentText">
    <w:name w:val="annotation text"/>
    <w:basedOn w:val="BodyText"/>
    <w:link w:val="CommentTextChar"/>
    <w:uiPriority w:val="49"/>
    <w:semiHidden/>
    <w:rsid w:val="00D83A2B"/>
    <w:pPr>
      <w:spacing w:before="80" w:line="240" w:lineRule="atLeast"/>
    </w:pPr>
    <w:rPr>
      <w:sz w:val="20"/>
      <w:szCs w:val="20"/>
    </w:rPr>
  </w:style>
  <w:style w:type="character" w:customStyle="1" w:styleId="CommentTextChar">
    <w:name w:val="Comment Text Char"/>
    <w:basedOn w:val="DefaultParagraphFont"/>
    <w:link w:val="CommentText"/>
    <w:uiPriority w:val="49"/>
    <w:semiHidden/>
    <w:rsid w:val="00D24560"/>
    <w:rPr>
      <w:rFonts w:asciiTheme="minorHAnsi" w:eastAsia="Times New Roman" w:hAnsiTheme="minorHAnsi"/>
      <w:sz w:val="20"/>
      <w:szCs w:val="20"/>
    </w:rPr>
  </w:style>
  <w:style w:type="numbering" w:customStyle="1" w:styleId="ChartListBullets">
    <w:name w:val="ChartListBullets"/>
    <w:uiPriority w:val="99"/>
    <w:rsid w:val="00CC4851"/>
    <w:pPr>
      <w:numPr>
        <w:numId w:val="37"/>
      </w:numPr>
    </w:pPr>
  </w:style>
  <w:style w:type="paragraph" w:customStyle="1" w:styleId="TableTextEntries">
    <w:name w:val="Table Text Entries"/>
    <w:basedOn w:val="BodyText"/>
    <w:link w:val="TableTextEntriesChar"/>
    <w:uiPriority w:val="13"/>
    <w:rsid w:val="00BA1241"/>
    <w:pPr>
      <w:keepLines/>
      <w:spacing w:before="80" w:after="80" w:line="200" w:lineRule="atLeast"/>
    </w:pPr>
    <w:rPr>
      <w:rFonts w:ascii="Franklin Gothic Book" w:hAnsi="Franklin Gothic Book"/>
      <w:sz w:val="16"/>
      <w:szCs w:val="18"/>
      <w:lang w:eastAsia="en-US"/>
    </w:rPr>
  </w:style>
  <w:style w:type="paragraph" w:customStyle="1" w:styleId="Note">
    <w:name w:val="Note"/>
    <w:basedOn w:val="TableTextEntries"/>
    <w:next w:val="Source"/>
    <w:link w:val="NoteCharChar"/>
    <w:uiPriority w:val="15"/>
    <w:rsid w:val="008D63BD"/>
    <w:pPr>
      <w:spacing w:before="40" w:after="0" w:line="180" w:lineRule="atLeast"/>
    </w:pPr>
    <w:rPr>
      <w:sz w:val="14"/>
      <w:szCs w:val="16"/>
    </w:rPr>
  </w:style>
  <w:style w:type="character" w:customStyle="1" w:styleId="NoteCharChar">
    <w:name w:val="Note Char Char"/>
    <w:link w:val="Note"/>
    <w:uiPriority w:val="15"/>
    <w:rsid w:val="008D63BD"/>
    <w:rPr>
      <w:rFonts w:ascii="Franklin Gothic Medium" w:eastAsia="Times New Roman" w:hAnsi="Franklin Gothic Medium" w:cs="Times New Roman"/>
      <w:sz w:val="14"/>
      <w:szCs w:val="16"/>
      <w:lang w:eastAsia="en-US"/>
    </w:rPr>
  </w:style>
  <w:style w:type="paragraph" w:customStyle="1" w:styleId="Source">
    <w:name w:val="Source"/>
    <w:basedOn w:val="Note"/>
    <w:next w:val="BodyText"/>
    <w:link w:val="SourceChar"/>
    <w:uiPriority w:val="16"/>
    <w:rsid w:val="008D63BD"/>
    <w:pPr>
      <w:spacing w:after="60"/>
    </w:pPr>
  </w:style>
  <w:style w:type="paragraph" w:customStyle="1" w:styleId="Continued">
    <w:name w:val="Continued"/>
    <w:basedOn w:val="Source"/>
    <w:next w:val="BodyText"/>
    <w:link w:val="ContinuedChar"/>
    <w:uiPriority w:val="17"/>
    <w:rsid w:val="00BA1241"/>
    <w:pPr>
      <w:jc w:val="right"/>
    </w:pPr>
  </w:style>
  <w:style w:type="paragraph" w:styleId="Title">
    <w:name w:val="Title"/>
    <w:basedOn w:val="Normal"/>
    <w:next w:val="Subtitle"/>
    <w:link w:val="TitleChar"/>
    <w:uiPriority w:val="29"/>
    <w:qFormat/>
    <w:rsid w:val="0089278E"/>
    <w:pPr>
      <w:spacing w:line="500" w:lineRule="atLeast"/>
    </w:pPr>
    <w:rPr>
      <w:rFonts w:asciiTheme="majorHAnsi" w:eastAsia="Times New Roman" w:hAnsiTheme="majorHAnsi"/>
      <w:spacing w:val="-2"/>
      <w:kern w:val="28"/>
      <w:sz w:val="44"/>
      <w:szCs w:val="48"/>
    </w:rPr>
  </w:style>
  <w:style w:type="character" w:customStyle="1" w:styleId="TitleChar">
    <w:name w:val="Title Char"/>
    <w:basedOn w:val="DefaultParagraphFont"/>
    <w:link w:val="Title"/>
    <w:uiPriority w:val="29"/>
    <w:rsid w:val="001624ED"/>
    <w:rPr>
      <w:rFonts w:asciiTheme="majorHAnsi" w:eastAsia="Times New Roman" w:hAnsiTheme="majorHAnsi"/>
      <w:spacing w:val="-2"/>
      <w:kern w:val="28"/>
      <w:sz w:val="44"/>
      <w:szCs w:val="48"/>
    </w:rPr>
  </w:style>
  <w:style w:type="paragraph" w:styleId="Subtitle">
    <w:name w:val="Subtitle"/>
    <w:basedOn w:val="Title"/>
    <w:link w:val="SubtitleChar"/>
    <w:uiPriority w:val="30"/>
    <w:qFormat/>
    <w:rsid w:val="008F6EF9"/>
    <w:pPr>
      <w:spacing w:before="280" w:line="320" w:lineRule="atLeast"/>
    </w:pPr>
    <w:rPr>
      <w:sz w:val="25"/>
      <w:szCs w:val="28"/>
    </w:rPr>
  </w:style>
  <w:style w:type="character" w:customStyle="1" w:styleId="SubtitleChar">
    <w:name w:val="Subtitle Char"/>
    <w:basedOn w:val="DefaultParagraphFont"/>
    <w:link w:val="Subtitle"/>
    <w:uiPriority w:val="30"/>
    <w:rsid w:val="001624ED"/>
    <w:rPr>
      <w:rFonts w:asciiTheme="majorHAnsi" w:eastAsia="Times New Roman" w:hAnsiTheme="majorHAnsi"/>
      <w:spacing w:val="-2"/>
      <w:kern w:val="28"/>
      <w:sz w:val="25"/>
      <w:szCs w:val="28"/>
    </w:rPr>
  </w:style>
  <w:style w:type="paragraph" w:styleId="Date">
    <w:name w:val="Date"/>
    <w:basedOn w:val="Subtitle"/>
    <w:link w:val="DateChar"/>
    <w:uiPriority w:val="33"/>
    <w:rsid w:val="00DA40B0"/>
    <w:pPr>
      <w:spacing w:before="140" w:line="280" w:lineRule="atLeast"/>
    </w:pPr>
    <w:rPr>
      <w:i/>
      <w:color w:val="6F6652" w:themeColor="text2"/>
      <w:spacing w:val="0"/>
    </w:rPr>
  </w:style>
  <w:style w:type="character" w:customStyle="1" w:styleId="DateChar">
    <w:name w:val="Date Char"/>
    <w:basedOn w:val="DefaultParagraphFont"/>
    <w:link w:val="Date"/>
    <w:uiPriority w:val="33"/>
    <w:rsid w:val="001624ED"/>
    <w:rPr>
      <w:rFonts w:asciiTheme="majorHAnsi" w:eastAsia="Times New Roman" w:hAnsiTheme="majorHAnsi"/>
      <w:i/>
      <w:color w:val="6F6652" w:themeColor="text2"/>
      <w:kern w:val="28"/>
      <w:sz w:val="25"/>
      <w:szCs w:val="28"/>
    </w:rPr>
  </w:style>
  <w:style w:type="character" w:customStyle="1" w:styleId="DraftingNote">
    <w:name w:val="Drafting Note"/>
    <w:uiPriority w:val="2"/>
    <w:rsid w:val="00F31AEF"/>
    <w:rPr>
      <w:rFonts w:asciiTheme="minorHAnsi" w:hAnsiTheme="minorHAnsi"/>
      <w:b/>
      <w:color w:val="0070C0"/>
      <w:u w:val="dotted"/>
    </w:rPr>
  </w:style>
  <w:style w:type="paragraph" w:styleId="Footer">
    <w:name w:val="footer"/>
    <w:basedOn w:val="BodyText"/>
    <w:link w:val="FooterChar"/>
    <w:uiPriority w:val="99"/>
    <w:rsid w:val="00B52205"/>
    <w:pPr>
      <w:spacing w:before="0" w:line="200" w:lineRule="atLeast"/>
    </w:pPr>
    <w:rPr>
      <w:i/>
      <w:color w:val="6F6652" w:themeColor="text2"/>
      <w:sz w:val="16"/>
      <w:szCs w:val="14"/>
    </w:rPr>
  </w:style>
  <w:style w:type="character" w:customStyle="1" w:styleId="FooterChar">
    <w:name w:val="Footer Char"/>
    <w:basedOn w:val="DefaultParagraphFont"/>
    <w:link w:val="Footer"/>
    <w:uiPriority w:val="99"/>
    <w:rsid w:val="001624ED"/>
    <w:rPr>
      <w:rFonts w:asciiTheme="minorHAnsi" w:eastAsia="Times New Roman" w:hAnsiTheme="minorHAnsi"/>
      <w:i/>
      <w:color w:val="6F6652" w:themeColor="text2"/>
      <w:sz w:val="16"/>
      <w:szCs w:val="14"/>
    </w:rPr>
  </w:style>
  <w:style w:type="character" w:styleId="FootnoteReference">
    <w:name w:val="footnote reference"/>
    <w:aliases w:val="(NECG) Footnote Reference,(NECG) Footnote Reference1,(NECG) Footnote Reference2,o,fr,Style 3,Style 12,Appel note de bas de p,Style 124,Appel n,Footnote Reference 1"/>
    <w:uiPriority w:val="25"/>
    <w:unhideWhenUsed/>
    <w:rsid w:val="008A036A"/>
    <w:rPr>
      <w:rFonts w:ascii="Calisto MT" w:hAnsi="Calisto MT"/>
      <w:b w:val="0"/>
      <w:i w:val="0"/>
      <w:color w:val="auto"/>
      <w:w w:val="100"/>
      <w:position w:val="4"/>
      <w:sz w:val="18"/>
      <w:szCs w:val="21"/>
      <w:vertAlign w:val="baseline"/>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ootnote Text Char Char"/>
    <w:basedOn w:val="BodyText"/>
    <w:link w:val="FootnoteTextChar"/>
    <w:uiPriority w:val="25"/>
    <w:unhideWhenUsed/>
    <w:rsid w:val="008A036A"/>
    <w:pPr>
      <w:spacing w:before="80" w:line="240" w:lineRule="atLeast"/>
      <w:ind w:left="284" w:hanging="284"/>
    </w:pPr>
    <w:rPr>
      <w:sz w:val="19"/>
      <w:szCs w:val="18"/>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
    <w:basedOn w:val="DefaultParagraphFont"/>
    <w:link w:val="FootnoteText"/>
    <w:uiPriority w:val="25"/>
    <w:rsid w:val="002812E4"/>
    <w:rPr>
      <w:rFonts w:asciiTheme="minorHAnsi" w:eastAsia="Times New Roman" w:hAnsiTheme="minorHAnsi"/>
      <w:sz w:val="19"/>
      <w:szCs w:val="18"/>
    </w:rPr>
  </w:style>
  <w:style w:type="paragraph" w:styleId="Header">
    <w:name w:val="header"/>
    <w:basedOn w:val="BodyText"/>
    <w:link w:val="HeaderChar"/>
    <w:uiPriority w:val="99"/>
    <w:qFormat/>
    <w:rsid w:val="00222BF5"/>
    <w:pPr>
      <w:pBdr>
        <w:bottom w:val="single" w:sz="4" w:space="1" w:color="F61D12" w:themeColor="accent2"/>
      </w:pBdr>
      <w:tabs>
        <w:tab w:val="left" w:pos="-567"/>
        <w:tab w:val="left" w:pos="0"/>
        <w:tab w:val="right" w:pos="7938"/>
        <w:tab w:val="right" w:pos="8505"/>
      </w:tabs>
      <w:spacing w:before="480" w:line="240" w:lineRule="atLeast"/>
      <w:ind w:left="-2268" w:right="-2268"/>
    </w:pPr>
    <w:rPr>
      <w:rFonts w:ascii="Franklin Gothic Medium" w:hAnsi="Franklin Gothic Medium"/>
      <w:sz w:val="14"/>
      <w:szCs w:val="14"/>
    </w:rPr>
  </w:style>
  <w:style w:type="character" w:customStyle="1" w:styleId="HeaderChar">
    <w:name w:val="Header Char"/>
    <w:basedOn w:val="DefaultParagraphFont"/>
    <w:link w:val="Header"/>
    <w:uiPriority w:val="99"/>
    <w:rsid w:val="001624ED"/>
    <w:rPr>
      <w:rFonts w:ascii="Franklin Gothic Medium" w:eastAsia="Times New Roman" w:hAnsi="Franklin Gothic Medium"/>
      <w:sz w:val="14"/>
      <w:szCs w:val="14"/>
    </w:rPr>
  </w:style>
  <w:style w:type="character" w:customStyle="1" w:styleId="Heading1Char">
    <w:name w:val="Heading 1 Char"/>
    <w:aliases w:val="h1 Char,EOI - Heading 1 (Low) Char,Heading 1 (low) Char,Para1 Char,h11 Char,h12 Char,ChapterHeadingNumber Char,Top 1 Char,ParaLevel1 Char,Level 1 Para Char,Level 1 Para1 Char,Level 1 Para2 Char,Level 1 Para3 Char,Level 1 Para4 Char,1 Char"/>
    <w:basedOn w:val="DefaultParagraphFont"/>
    <w:link w:val="Heading1"/>
    <w:rsid w:val="00F474C1"/>
    <w:rPr>
      <w:rFonts w:asciiTheme="majorHAnsi" w:eastAsia="Times New Roman" w:hAnsiTheme="majorHAnsi"/>
      <w:i/>
      <w:kern w:val="28"/>
      <w:sz w:val="36"/>
      <w:szCs w:val="32"/>
    </w:rPr>
  </w:style>
  <w:style w:type="character" w:customStyle="1" w:styleId="Heading2Char">
    <w:name w:val="Heading 2 Char"/>
    <w:aliases w:val="h2 Char,BT-Legal Numbering Char,Para2 Char,Head hdbk Char,Top 2 Char,H2 Char,h2 main heading Char,B Sub/Bold Char,B Sub/Bold1 Char,B Sub/Bold2 Char,B Sub/Bold11 Char,h2 main heading1 Char,h2 main heading2 Char,B Sub/Bold3 Char,Para 2 Char"/>
    <w:basedOn w:val="DefaultParagraphFont"/>
    <w:link w:val="Heading2"/>
    <w:rsid w:val="00814B8B"/>
    <w:rPr>
      <w:rFonts w:asciiTheme="majorHAnsi" w:eastAsia="Times New Roman" w:hAnsiTheme="majorHAnsi"/>
      <w:b/>
      <w:i/>
      <w:color w:val="F61D12" w:themeColor="accent2"/>
      <w:kern w:val="28"/>
      <w:sz w:val="30"/>
      <w:szCs w:val="26"/>
    </w:rPr>
  </w:style>
  <w:style w:type="paragraph" w:styleId="ListBullet2">
    <w:name w:val="List Bullet 2"/>
    <w:basedOn w:val="ListBullet"/>
    <w:link w:val="ListBullet2Char"/>
    <w:uiPriority w:val="2"/>
    <w:qFormat/>
    <w:rsid w:val="004C31EE"/>
    <w:pPr>
      <w:numPr>
        <w:ilvl w:val="1"/>
      </w:numPr>
      <w:spacing w:before="40"/>
    </w:pPr>
  </w:style>
  <w:style w:type="character" w:customStyle="1" w:styleId="Heading3Char">
    <w:name w:val="Heading 3 Char"/>
    <w:aliases w:val="Normal + num Char,h3 Char,EOI - Heading 3 Char,h3 sub heading Char,Para3 Char,Paragraph (heading 3) Char,BTL Numbered Char,Level 1 - 2 Char,Head 3 Char,heading 3 Char,H3 Char,L3 Char,3 Char,Level 1 - 1 Char,Report Heading 3 Char,d Char"/>
    <w:basedOn w:val="DefaultParagraphFont"/>
    <w:link w:val="Heading3"/>
    <w:rsid w:val="002F2DAD"/>
    <w:rPr>
      <w:rFonts w:asciiTheme="majorHAnsi" w:eastAsia="Times New Roman" w:hAnsiTheme="majorHAnsi"/>
      <w:b/>
      <w:i/>
      <w:kern w:val="28"/>
      <w:sz w:val="25"/>
      <w:szCs w:val="22"/>
    </w:rPr>
  </w:style>
  <w:style w:type="character" w:customStyle="1" w:styleId="Heading4Char">
    <w:name w:val="Heading 4 Char"/>
    <w:aliases w:val="h4 Char,L4 Char,Level 2 - a Char,sd Char,Standard H3 Char,h41 Char,Titre 4 Char,1.1.1.1 Char,bullet Char,bl Char,bb Char,h4 sub sub heading Char,Level 2 - (a) Char,4 Char,Org Heading 2 Char,Sub3Para Char,proj4 Char,proj41 Char,proj42 Char"/>
    <w:basedOn w:val="DefaultParagraphFont"/>
    <w:link w:val="Heading4"/>
    <w:rsid w:val="00FC141A"/>
    <w:rPr>
      <w:rFonts w:asciiTheme="majorHAnsi" w:eastAsia="Times New Roman" w:hAnsiTheme="majorHAnsi"/>
      <w:b/>
      <w:i/>
      <w:color w:val="6F6652" w:themeColor="text2"/>
      <w:kern w:val="28"/>
      <w:szCs w:val="22"/>
    </w:rPr>
  </w:style>
  <w:style w:type="character" w:customStyle="1" w:styleId="Heading5Char">
    <w:name w:val="Heading 5 Char"/>
    <w:aliases w:val="h5 Char,L5 Char,Level 3 - i Char,L51 Char,Para5 Char,i. Char,H Char,subsubpara Char,1.1.1.1.1 Char,H1 Char,H11 Char,3rd sub-clause Char,h51 Char,h52 Char,5 Char"/>
    <w:basedOn w:val="DefaultParagraphFont"/>
    <w:link w:val="Heading5"/>
    <w:rsid w:val="00742A5F"/>
    <w:rPr>
      <w:rFonts w:asciiTheme="minorHAnsi" w:eastAsia="Times New Roman" w:hAnsiTheme="minorHAnsi"/>
      <w:i/>
      <w:color w:val="6F6652" w:themeColor="text2"/>
      <w:kern w:val="28"/>
      <w:szCs w:val="22"/>
    </w:rPr>
  </w:style>
  <w:style w:type="character" w:customStyle="1" w:styleId="Heading6Char">
    <w:name w:val="Heading 6 Char"/>
    <w:aliases w:val="Square Bullet list Char,Sub5Para Char,L1 PIP Char,a Char,b Char,H6 Char,Heading 6(unused) Char,Heading 6(unused)1 Char"/>
    <w:basedOn w:val="DefaultParagraphFont"/>
    <w:link w:val="Heading6"/>
    <w:rsid w:val="000E5731"/>
    <w:rPr>
      <w:rFonts w:asciiTheme="majorHAnsi" w:eastAsia="Times New Roman" w:hAnsiTheme="majorHAnsi"/>
      <w:bCs/>
      <w:i/>
      <w:kern w:val="28"/>
      <w:sz w:val="36"/>
      <w:szCs w:val="32"/>
    </w:rPr>
  </w:style>
  <w:style w:type="character" w:customStyle="1" w:styleId="Heading7Char">
    <w:name w:val="Heading 7 Char"/>
    <w:aliases w:val="Indented hyphen Char,L2 PIP Char,H7 Char,Heading 7(unused) Char,Heading 7(unused)1 Char"/>
    <w:basedOn w:val="DefaultParagraphFont"/>
    <w:link w:val="Heading7"/>
    <w:rsid w:val="00395D18"/>
    <w:rPr>
      <w:rFonts w:asciiTheme="majorHAnsi" w:eastAsia="Times New Roman" w:hAnsiTheme="majorHAnsi"/>
      <w:b/>
      <w:i/>
      <w:kern w:val="28"/>
      <w:sz w:val="30"/>
      <w:szCs w:val="26"/>
    </w:rPr>
  </w:style>
  <w:style w:type="character" w:customStyle="1" w:styleId="Heading8Char">
    <w:name w:val="Heading 8 Char"/>
    <w:aliases w:val="L3 PIP Char,H8 Char,Heading 8(unused) Char,Heading 8(unused)1 Char"/>
    <w:basedOn w:val="DefaultParagraphFont"/>
    <w:link w:val="Heading8"/>
    <w:rsid w:val="00CE3386"/>
    <w:rPr>
      <w:rFonts w:asciiTheme="majorHAnsi" w:eastAsia="Times New Roman" w:hAnsiTheme="majorHAnsi"/>
      <w:b/>
      <w:i/>
      <w:kern w:val="28"/>
      <w:sz w:val="25"/>
      <w:szCs w:val="22"/>
    </w:rPr>
  </w:style>
  <w:style w:type="character" w:customStyle="1" w:styleId="Heading9Char">
    <w:name w:val="Heading 9 Char"/>
    <w:aliases w:val="Spare5 Char,H9 Char,Heading 9(unused) Char,Heading 9(unused)1 Char"/>
    <w:basedOn w:val="DefaultParagraphFont"/>
    <w:link w:val="Heading9"/>
    <w:rsid w:val="00F47B3A"/>
    <w:rPr>
      <w:rFonts w:asciiTheme="majorHAnsi" w:eastAsia="Times New Roman" w:hAnsiTheme="majorHAnsi"/>
      <w:b/>
      <w:i/>
      <w:kern w:val="28"/>
      <w:szCs w:val="22"/>
    </w:rPr>
  </w:style>
  <w:style w:type="character" w:styleId="Hyperlink">
    <w:name w:val="Hyperlink"/>
    <w:uiPriority w:val="99"/>
    <w:rsid w:val="00FE6AD6"/>
    <w:rPr>
      <w:b w:val="0"/>
      <w:i w:val="0"/>
      <w:color w:val="6F6652" w:themeColor="text2"/>
      <w:u w:val="none"/>
    </w:rPr>
  </w:style>
  <w:style w:type="paragraph" w:customStyle="1" w:styleId="Invisiblepara">
    <w:name w:val="Invisible para"/>
    <w:basedOn w:val="Normal"/>
    <w:uiPriority w:val="99"/>
    <w:rsid w:val="00664723"/>
    <w:pPr>
      <w:keepNext/>
      <w:spacing w:before="320" w:line="80" w:lineRule="exact"/>
    </w:pPr>
    <w:rPr>
      <w:rFonts w:eastAsia="Times New Roman"/>
      <w:szCs w:val="20"/>
    </w:rPr>
  </w:style>
  <w:style w:type="character" w:customStyle="1" w:styleId="NoteLabel">
    <w:name w:val="Note Label"/>
    <w:uiPriority w:val="15"/>
    <w:rsid w:val="008D63BD"/>
    <w:rPr>
      <w:rFonts w:ascii="Franklin Gothic Demi" w:hAnsi="Franklin Gothic Demi"/>
      <w:b w:val="0"/>
      <w:i w:val="0"/>
      <w:color w:val="9B917E" w:themeColor="accent4"/>
      <w:position w:val="4"/>
      <w:sz w:val="14"/>
      <w:szCs w:val="16"/>
    </w:rPr>
  </w:style>
  <w:style w:type="character" w:styleId="PageNumber">
    <w:name w:val="page number"/>
    <w:uiPriority w:val="99"/>
    <w:rsid w:val="00AB00C7"/>
    <w:rPr>
      <w:rFonts w:ascii="Franklin Gothic Demi" w:hAnsi="Franklin Gothic Demi"/>
      <w:b w:val="0"/>
      <w:color w:val="006B7A" w:themeColor="accent1"/>
      <w:sz w:val="20"/>
      <w:szCs w:val="20"/>
    </w:rPr>
  </w:style>
  <w:style w:type="paragraph" w:styleId="Quote">
    <w:name w:val="Quote"/>
    <w:basedOn w:val="BodyText"/>
    <w:next w:val="BodyText"/>
    <w:link w:val="QuoteChar"/>
    <w:qFormat/>
    <w:rsid w:val="00B27E6E"/>
    <w:pPr>
      <w:spacing w:before="70" w:line="260" w:lineRule="atLeast"/>
      <w:ind w:left="284"/>
    </w:pPr>
    <w:rPr>
      <w:sz w:val="19"/>
      <w:szCs w:val="20"/>
    </w:rPr>
  </w:style>
  <w:style w:type="character" w:customStyle="1" w:styleId="QuoteChar">
    <w:name w:val="Quote Char"/>
    <w:basedOn w:val="DefaultParagraphFont"/>
    <w:link w:val="Quote"/>
    <w:rsid w:val="00B27E6E"/>
    <w:rPr>
      <w:rFonts w:asciiTheme="minorHAnsi" w:eastAsia="Times New Roman" w:hAnsiTheme="minorHAnsi"/>
      <w:sz w:val="19"/>
      <w:szCs w:val="20"/>
    </w:rPr>
  </w:style>
  <w:style w:type="paragraph" w:customStyle="1" w:styleId="RecommendationNumber">
    <w:name w:val="Recommendation Number"/>
    <w:basedOn w:val="BodyText"/>
    <w:next w:val="RecommendationNumber2"/>
    <w:uiPriority w:val="28"/>
    <w:rsid w:val="002C0234"/>
    <w:pPr>
      <w:numPr>
        <w:numId w:val="9"/>
      </w:numPr>
      <w:spacing w:before="80"/>
    </w:pPr>
    <w:rPr>
      <w:rFonts w:ascii="Franklin Gothic Book" w:eastAsia="MS Mincho" w:hAnsi="Franklin Gothic Book" w:cs="MS Mincho"/>
    </w:rPr>
  </w:style>
  <w:style w:type="paragraph" w:customStyle="1" w:styleId="Reference">
    <w:name w:val="Reference"/>
    <w:basedOn w:val="BodyText"/>
    <w:uiPriority w:val="3"/>
    <w:qFormat/>
    <w:rsid w:val="00B27E6E"/>
    <w:pPr>
      <w:spacing w:before="70" w:line="260" w:lineRule="atLeast"/>
      <w:ind w:left="284" w:hanging="284"/>
    </w:pPr>
    <w:rPr>
      <w:sz w:val="19"/>
      <w:szCs w:val="20"/>
    </w:rPr>
  </w:style>
  <w:style w:type="paragraph" w:customStyle="1" w:styleId="Reporttype">
    <w:name w:val="Report type"/>
    <w:basedOn w:val="Date"/>
    <w:next w:val="Title"/>
    <w:uiPriority w:val="31"/>
    <w:rsid w:val="009A4238"/>
    <w:pPr>
      <w:spacing w:before="0" w:after="280" w:line="260" w:lineRule="atLeast"/>
    </w:pPr>
    <w:rPr>
      <w:rFonts w:ascii="Franklin Gothic Demi" w:hAnsi="Franklin Gothic Demi"/>
      <w:i w:val="0"/>
      <w:caps/>
      <w:color w:val="F61D12" w:themeColor="accent2"/>
      <w:spacing w:val="44"/>
      <w:sz w:val="22"/>
    </w:rPr>
  </w:style>
  <w:style w:type="paragraph" w:customStyle="1" w:styleId="TableDataEntries">
    <w:name w:val="Table Data Entries"/>
    <w:basedOn w:val="TableTextEntries"/>
    <w:uiPriority w:val="11"/>
    <w:rsid w:val="003C4883"/>
    <w:pPr>
      <w:spacing w:before="40" w:after="40"/>
      <w:jc w:val="right"/>
    </w:pPr>
  </w:style>
  <w:style w:type="paragraph" w:customStyle="1" w:styleId="TableDataColumnHeading">
    <w:name w:val="Table Data Column Heading"/>
    <w:basedOn w:val="TableDataEntries"/>
    <w:uiPriority w:val="11"/>
    <w:rsid w:val="00E879B8"/>
    <w:pPr>
      <w:keepNext/>
      <w:spacing w:before="80" w:after="80"/>
    </w:pPr>
    <w:rPr>
      <w:rFonts w:ascii="Franklin Gothic Demi" w:hAnsi="Franklin Gothic Demi"/>
      <w:color w:val="FFFFFF"/>
    </w:rPr>
  </w:style>
  <w:style w:type="paragraph" w:customStyle="1" w:styleId="TableHeading1">
    <w:name w:val="Table Heading 1"/>
    <w:basedOn w:val="TableTextEntries"/>
    <w:next w:val="TableTextEntries"/>
    <w:uiPriority w:val="10"/>
    <w:rsid w:val="00FC141A"/>
    <w:pPr>
      <w:spacing w:before="140"/>
    </w:pPr>
    <w:rPr>
      <w:rFonts w:ascii="Franklin Gothic Demi" w:hAnsi="Franklin Gothic Demi"/>
      <w:color w:val="6F6652" w:themeColor="text2"/>
    </w:rPr>
  </w:style>
  <w:style w:type="paragraph" w:customStyle="1" w:styleId="TableHeading2">
    <w:name w:val="Table Heading 2"/>
    <w:basedOn w:val="TableHeading1"/>
    <w:next w:val="TableTextEntries"/>
    <w:uiPriority w:val="10"/>
    <w:rsid w:val="00591C8C"/>
    <w:pPr>
      <w:spacing w:before="80"/>
    </w:pPr>
    <w:rPr>
      <w:rFonts w:ascii="Franklin Gothic Medium" w:hAnsi="Franklin Gothic Medium"/>
    </w:rPr>
  </w:style>
  <w:style w:type="paragraph" w:customStyle="1" w:styleId="TableTextColumnHeading">
    <w:name w:val="Table Text Column Heading"/>
    <w:basedOn w:val="TableDataColumnHeading"/>
    <w:uiPriority w:val="13"/>
    <w:rsid w:val="00D950CE"/>
    <w:pPr>
      <w:jc w:val="left"/>
    </w:pPr>
  </w:style>
  <w:style w:type="paragraph" w:customStyle="1" w:styleId="TableUnit">
    <w:name w:val="Table Unit"/>
    <w:basedOn w:val="TableDataColumnHeading"/>
    <w:next w:val="TableDataEntries"/>
    <w:uiPriority w:val="11"/>
    <w:rsid w:val="00AF5770"/>
    <w:rPr>
      <w:rFonts w:ascii="Franklin Gothic Book" w:hAnsi="Franklin Gothic Book"/>
      <w:color w:val="auto"/>
      <w:szCs w:val="17"/>
    </w:rPr>
  </w:style>
  <w:style w:type="paragraph" w:styleId="TOC1">
    <w:name w:val="toc 1"/>
    <w:basedOn w:val="BodyText"/>
    <w:next w:val="TOC2"/>
    <w:uiPriority w:val="39"/>
    <w:qFormat/>
    <w:rsid w:val="006B34C3"/>
    <w:pPr>
      <w:tabs>
        <w:tab w:val="left" w:pos="340"/>
        <w:tab w:val="right" w:pos="7938"/>
      </w:tabs>
      <w:spacing w:line="260" w:lineRule="atLeast"/>
      <w:ind w:right="567"/>
    </w:pPr>
    <w:rPr>
      <w:rFonts w:ascii="Franklin Gothic Demi" w:hAnsi="Franklin Gothic Demi"/>
      <w:szCs w:val="24"/>
    </w:rPr>
  </w:style>
  <w:style w:type="paragraph" w:styleId="TOC2">
    <w:name w:val="toc 2"/>
    <w:basedOn w:val="TOC1"/>
    <w:uiPriority w:val="39"/>
    <w:qFormat/>
    <w:rsid w:val="00D908FD"/>
    <w:pPr>
      <w:tabs>
        <w:tab w:val="clear" w:pos="340"/>
      </w:tabs>
      <w:spacing w:before="60"/>
      <w:ind w:left="340"/>
    </w:pPr>
    <w:rPr>
      <w:rFonts w:ascii="Calisto MT" w:hAnsi="Calisto MT"/>
    </w:rPr>
  </w:style>
  <w:style w:type="paragraph" w:styleId="TOC3">
    <w:name w:val="toc 3"/>
    <w:basedOn w:val="TOC2"/>
    <w:next w:val="BodyText"/>
    <w:uiPriority w:val="39"/>
    <w:semiHidden/>
    <w:qFormat/>
    <w:rsid w:val="00D908FD"/>
    <w:pPr>
      <w:ind w:left="680"/>
    </w:pPr>
  </w:style>
  <w:style w:type="paragraph" w:styleId="TOC6">
    <w:name w:val="toc 6"/>
    <w:basedOn w:val="BodyText"/>
    <w:next w:val="BodyText"/>
    <w:uiPriority w:val="39"/>
    <w:semiHidden/>
    <w:rsid w:val="0052602A"/>
    <w:pPr>
      <w:tabs>
        <w:tab w:val="left" w:pos="284"/>
        <w:tab w:val="right" w:pos="7655"/>
      </w:tabs>
      <w:ind w:left="284" w:right="567" w:hanging="284"/>
    </w:pPr>
  </w:style>
  <w:style w:type="paragraph" w:styleId="TOC7">
    <w:name w:val="toc 7"/>
    <w:basedOn w:val="TOC6"/>
    <w:next w:val="TOC1"/>
    <w:uiPriority w:val="39"/>
    <w:semiHidden/>
    <w:rsid w:val="009C0B20"/>
    <w:pPr>
      <w:tabs>
        <w:tab w:val="left" w:pos="1418"/>
      </w:tabs>
      <w:spacing w:before="80"/>
      <w:ind w:left="709" w:hanging="425"/>
    </w:pPr>
  </w:style>
  <w:style w:type="numbering" w:customStyle="1" w:styleId="HeadingNumbers">
    <w:name w:val="HeadingNumbers"/>
    <w:uiPriority w:val="99"/>
    <w:rsid w:val="00FD7C5A"/>
    <w:pPr>
      <w:numPr>
        <w:numId w:val="5"/>
      </w:numPr>
    </w:pPr>
  </w:style>
  <w:style w:type="paragraph" w:customStyle="1" w:styleId="TableListBullet">
    <w:name w:val="Table List Bullet"/>
    <w:basedOn w:val="TableTextEntries"/>
    <w:uiPriority w:val="14"/>
    <w:rsid w:val="00E35B83"/>
    <w:pPr>
      <w:numPr>
        <w:numId w:val="8"/>
      </w:numPr>
      <w:spacing w:line="210" w:lineRule="atLeast"/>
    </w:pPr>
    <w:rPr>
      <w:szCs w:val="19"/>
    </w:rPr>
  </w:style>
  <w:style w:type="paragraph" w:customStyle="1" w:styleId="TableListBullet2">
    <w:name w:val="Table List Bullet 2"/>
    <w:basedOn w:val="TableListBullet"/>
    <w:uiPriority w:val="14"/>
    <w:rsid w:val="00B402A3"/>
    <w:pPr>
      <w:numPr>
        <w:ilvl w:val="1"/>
      </w:numPr>
    </w:pPr>
  </w:style>
  <w:style w:type="paragraph" w:customStyle="1" w:styleId="TableListNumber">
    <w:name w:val="Table List Number"/>
    <w:basedOn w:val="TableTextEntries"/>
    <w:uiPriority w:val="14"/>
    <w:rsid w:val="00497862"/>
    <w:pPr>
      <w:numPr>
        <w:numId w:val="1"/>
      </w:numPr>
      <w:spacing w:before="40" w:after="40"/>
    </w:pPr>
    <w:rPr>
      <w:szCs w:val="19"/>
    </w:rPr>
  </w:style>
  <w:style w:type="paragraph" w:customStyle="1" w:styleId="TableListNumber2">
    <w:name w:val="Table List Number 2"/>
    <w:basedOn w:val="TableListNumber"/>
    <w:uiPriority w:val="14"/>
    <w:rsid w:val="00B402A3"/>
    <w:pPr>
      <w:numPr>
        <w:ilvl w:val="1"/>
      </w:numPr>
    </w:pPr>
  </w:style>
  <w:style w:type="numbering" w:customStyle="1" w:styleId="TableListBullets">
    <w:name w:val="TableListBullets"/>
    <w:uiPriority w:val="99"/>
    <w:rsid w:val="00E35B83"/>
    <w:pPr>
      <w:numPr>
        <w:numId w:val="2"/>
      </w:numPr>
    </w:pPr>
  </w:style>
  <w:style w:type="numbering" w:customStyle="1" w:styleId="TableListNumbers">
    <w:name w:val="TableListNumbers"/>
    <w:uiPriority w:val="99"/>
    <w:rsid w:val="00497862"/>
    <w:pPr>
      <w:numPr>
        <w:numId w:val="1"/>
      </w:numPr>
    </w:pPr>
  </w:style>
  <w:style w:type="character" w:styleId="PlaceholderText">
    <w:name w:val="Placeholder Text"/>
    <w:basedOn w:val="DefaultParagraphFont"/>
    <w:uiPriority w:val="99"/>
    <w:semiHidden/>
    <w:rsid w:val="00AF4E66"/>
    <w:rPr>
      <w:color w:val="808080"/>
    </w:rPr>
  </w:style>
  <w:style w:type="paragraph" w:customStyle="1" w:styleId="ChartListBullet">
    <w:name w:val="Chart List Bullet"/>
    <w:basedOn w:val="TableListBullet"/>
    <w:uiPriority w:val="24"/>
    <w:rsid w:val="00CC4851"/>
    <w:pPr>
      <w:numPr>
        <w:numId w:val="3"/>
      </w:numPr>
      <w:spacing w:before="50" w:after="0" w:line="200" w:lineRule="atLeast"/>
    </w:pPr>
    <w:rPr>
      <w:rFonts w:ascii="Franklin Gothic Medium" w:hAnsi="Franklin Gothic Medium"/>
      <w:szCs w:val="18"/>
    </w:rPr>
  </w:style>
  <w:style w:type="paragraph" w:customStyle="1" w:styleId="ChartListBullet2">
    <w:name w:val="Chart List Bullet 2"/>
    <w:basedOn w:val="ChartText"/>
    <w:uiPriority w:val="24"/>
    <w:rsid w:val="00CC4851"/>
    <w:pPr>
      <w:numPr>
        <w:ilvl w:val="1"/>
        <w:numId w:val="3"/>
      </w:numPr>
      <w:spacing w:before="30"/>
    </w:pPr>
  </w:style>
  <w:style w:type="paragraph" w:customStyle="1" w:styleId="ChartListNumber0">
    <w:name w:val="Chart List Number"/>
    <w:basedOn w:val="ChartText"/>
    <w:uiPriority w:val="24"/>
    <w:rsid w:val="004563C5"/>
    <w:pPr>
      <w:numPr>
        <w:numId w:val="4"/>
      </w:numPr>
      <w:spacing w:before="60"/>
    </w:pPr>
  </w:style>
  <w:style w:type="numbering" w:customStyle="1" w:styleId="ChartListNumber">
    <w:name w:val="ChartListNumber"/>
    <w:uiPriority w:val="99"/>
    <w:rsid w:val="004563C5"/>
    <w:pPr>
      <w:numPr>
        <w:numId w:val="4"/>
      </w:numPr>
    </w:pPr>
  </w:style>
  <w:style w:type="numbering" w:customStyle="1" w:styleId="RecommendationNumbers">
    <w:name w:val="RecommendationNumbers"/>
    <w:uiPriority w:val="99"/>
    <w:rsid w:val="002C0234"/>
    <w:pPr>
      <w:numPr>
        <w:numId w:val="6"/>
      </w:numPr>
    </w:pPr>
  </w:style>
  <w:style w:type="paragraph" w:customStyle="1" w:styleId="Abbreviation">
    <w:name w:val="Abbreviation"/>
    <w:basedOn w:val="BodyText"/>
    <w:uiPriority w:val="3"/>
    <w:rsid w:val="002321B8"/>
    <w:pPr>
      <w:ind w:left="1134" w:hanging="1134"/>
    </w:pPr>
  </w:style>
  <w:style w:type="paragraph" w:styleId="TableofFigures">
    <w:name w:val="table of figures"/>
    <w:basedOn w:val="BodyText"/>
    <w:next w:val="BodyText"/>
    <w:uiPriority w:val="99"/>
    <w:qFormat/>
    <w:rsid w:val="00830E27"/>
    <w:pPr>
      <w:tabs>
        <w:tab w:val="left" w:pos="510"/>
        <w:tab w:val="right" w:pos="7938"/>
      </w:tabs>
      <w:spacing w:before="60" w:line="260" w:lineRule="atLeast"/>
      <w:ind w:left="510" w:right="567" w:hanging="510"/>
    </w:pPr>
  </w:style>
  <w:style w:type="table" w:styleId="TableGrid">
    <w:name w:val="Table Grid"/>
    <w:aliases w:val="E&amp;P Style 5"/>
    <w:basedOn w:val="TableNormal"/>
    <w:uiPriority w:val="59"/>
    <w:rsid w:val="00C93691"/>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rsid w:val="008519F1"/>
    <w:rPr>
      <w:color w:val="9B917E" w:themeColor="followedHyperlink"/>
      <w:u w:val="single"/>
    </w:rPr>
  </w:style>
  <w:style w:type="paragraph" w:styleId="NoSpacing">
    <w:name w:val="No Spacing"/>
    <w:basedOn w:val="Normal"/>
    <w:uiPriority w:val="1"/>
    <w:semiHidden/>
    <w:qFormat/>
    <w:rsid w:val="00DD7B16"/>
    <w:pPr>
      <w:spacing w:line="240" w:lineRule="auto"/>
    </w:pPr>
    <w:rPr>
      <w:rFonts w:asciiTheme="minorHAnsi" w:eastAsiaTheme="minorHAnsi" w:hAnsiTheme="minorHAnsi"/>
      <w:color w:val="000000" w:themeColor="text1"/>
      <w:szCs w:val="20"/>
      <w:lang w:val="en-US" w:eastAsia="ja-JP"/>
    </w:rPr>
  </w:style>
  <w:style w:type="paragraph" w:styleId="CommentSubject">
    <w:name w:val="annotation subject"/>
    <w:basedOn w:val="CommentText"/>
    <w:next w:val="CommentText"/>
    <w:link w:val="CommentSubjectChar"/>
    <w:uiPriority w:val="99"/>
    <w:semiHidden/>
    <w:rsid w:val="00EB66C5"/>
    <w:pPr>
      <w:spacing w:before="0" w:line="240" w:lineRule="auto"/>
    </w:pPr>
    <w:rPr>
      <w:rFonts w:ascii="Calibri" w:eastAsiaTheme="minorEastAsia" w:hAnsi="Calibri" w:cstheme="minorBidi"/>
      <w:b/>
      <w:bCs/>
    </w:rPr>
  </w:style>
  <w:style w:type="character" w:customStyle="1" w:styleId="CommentSubjectChar">
    <w:name w:val="Comment Subject Char"/>
    <w:basedOn w:val="CommentTextChar"/>
    <w:link w:val="CommentSubject"/>
    <w:uiPriority w:val="99"/>
    <w:semiHidden/>
    <w:rsid w:val="002812E4"/>
    <w:rPr>
      <w:rFonts w:ascii="Calibri" w:eastAsia="Times New Roman" w:hAnsi="Calibri" w:cstheme="minorBidi"/>
      <w:b/>
      <w:bCs/>
      <w:sz w:val="20"/>
      <w:szCs w:val="20"/>
    </w:rPr>
  </w:style>
  <w:style w:type="paragraph" w:styleId="Revision">
    <w:name w:val="Revision"/>
    <w:hidden/>
    <w:uiPriority w:val="99"/>
    <w:semiHidden/>
    <w:rsid w:val="00EB66C5"/>
    <w:pPr>
      <w:spacing w:before="0" w:line="240" w:lineRule="auto"/>
    </w:pPr>
  </w:style>
  <w:style w:type="paragraph" w:styleId="BalloonText">
    <w:name w:val="Balloon Text"/>
    <w:basedOn w:val="Normal"/>
    <w:link w:val="BalloonTextChar"/>
    <w:semiHidden/>
    <w:unhideWhenUsed/>
    <w:rsid w:val="00EB66C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B66C5"/>
    <w:rPr>
      <w:rFonts w:ascii="Tahoma" w:hAnsi="Tahoma" w:cs="Tahoma"/>
      <w:sz w:val="16"/>
      <w:szCs w:val="16"/>
    </w:rPr>
  </w:style>
  <w:style w:type="paragraph" w:customStyle="1" w:styleId="HighlightMessage">
    <w:name w:val="Highlight Message"/>
    <w:basedOn w:val="BodyText"/>
    <w:next w:val="BodyText"/>
    <w:rsid w:val="00814B8B"/>
    <w:pPr>
      <w:keepNext/>
      <w:spacing w:before="360" w:line="260" w:lineRule="atLeast"/>
      <w:ind w:right="1701"/>
    </w:pPr>
    <w:rPr>
      <w:rFonts w:ascii="Franklin Gothic Heavy" w:hAnsi="Franklin Gothic Heavy"/>
      <w:color w:val="F61D12" w:themeColor="accent2"/>
      <w:szCs w:val="16"/>
      <w:lang w:eastAsia="en-US"/>
    </w:rPr>
  </w:style>
  <w:style w:type="paragraph" w:customStyle="1" w:styleId="Chart">
    <w:name w:val="Chart"/>
    <w:basedOn w:val="BodyText"/>
    <w:uiPriority w:val="99"/>
    <w:unhideWhenUsed/>
    <w:rsid w:val="00576C2E"/>
    <w:pPr>
      <w:spacing w:before="0" w:line="200" w:lineRule="atLeast"/>
    </w:pPr>
    <w:rPr>
      <w:lang w:eastAsia="en-US"/>
    </w:rPr>
  </w:style>
  <w:style w:type="paragraph" w:customStyle="1" w:styleId="KeyPoint">
    <w:name w:val="Key Point"/>
    <w:basedOn w:val="BodyText"/>
    <w:uiPriority w:val="99"/>
    <w:rsid w:val="00825668"/>
    <w:pPr>
      <w:numPr>
        <w:numId w:val="12"/>
      </w:numPr>
    </w:pPr>
    <w:rPr>
      <w:rFonts w:ascii="Franklin Gothic Demi" w:hAnsi="Franklin Gothic Demi"/>
      <w:color w:val="6F6652" w:themeColor="text2"/>
      <w:szCs w:val="20"/>
      <w:lang w:eastAsia="en-US"/>
    </w:rPr>
  </w:style>
  <w:style w:type="paragraph" w:customStyle="1" w:styleId="ChapterSummary">
    <w:name w:val="Chapter Summary"/>
    <w:basedOn w:val="KeyPoint"/>
    <w:uiPriority w:val="1"/>
    <w:rsid w:val="00FC141A"/>
    <w:pPr>
      <w:numPr>
        <w:numId w:val="0"/>
      </w:numPr>
    </w:pPr>
  </w:style>
  <w:style w:type="paragraph" w:customStyle="1" w:styleId="ChapterIntroduction">
    <w:name w:val="Chapter Introduction"/>
    <w:basedOn w:val="ChapterSummary"/>
    <w:next w:val="BodyText"/>
    <w:uiPriority w:val="1"/>
    <w:rsid w:val="00E6555A"/>
    <w:pPr>
      <w:pBdr>
        <w:top w:val="single" w:sz="4" w:space="4" w:color="9B917E" w:themeColor="accent4"/>
        <w:bottom w:val="single" w:sz="4" w:space="6" w:color="9B917E" w:themeColor="accent4"/>
      </w:pBdr>
      <w:spacing w:after="180"/>
    </w:pPr>
    <w:rPr>
      <w:rFonts w:asciiTheme="minorHAnsi" w:hAnsiTheme="minorHAnsi"/>
      <w:b/>
      <w:i/>
      <w:color w:val="F61D12" w:themeColor="accent2"/>
      <w:sz w:val="22"/>
    </w:rPr>
  </w:style>
  <w:style w:type="paragraph" w:customStyle="1" w:styleId="Confidential">
    <w:name w:val="Confidential"/>
    <w:basedOn w:val="Reporttype"/>
    <w:uiPriority w:val="31"/>
    <w:rsid w:val="005D3C6B"/>
    <w:pPr>
      <w:spacing w:after="0"/>
    </w:pPr>
    <w:rPr>
      <w:rFonts w:ascii="Franklin Gothic Book" w:hAnsi="Franklin Gothic Book"/>
      <w:color w:val="auto"/>
      <w:spacing w:val="10"/>
    </w:rPr>
  </w:style>
  <w:style w:type="numbering" w:customStyle="1" w:styleId="ListNumbers">
    <w:name w:val="ListNumbers"/>
    <w:next w:val="NoList"/>
    <w:uiPriority w:val="99"/>
    <w:rsid w:val="00497862"/>
    <w:pPr>
      <w:numPr>
        <w:numId w:val="11"/>
      </w:numPr>
    </w:pPr>
  </w:style>
  <w:style w:type="paragraph" w:customStyle="1" w:styleId="PartNumber">
    <w:name w:val="Part Number"/>
    <w:basedOn w:val="Reporttype"/>
    <w:uiPriority w:val="34"/>
    <w:semiHidden/>
    <w:rsid w:val="006E03FF"/>
  </w:style>
  <w:style w:type="paragraph" w:customStyle="1" w:styleId="PartTitle">
    <w:name w:val="Part Title"/>
    <w:basedOn w:val="Title"/>
    <w:link w:val="PartTitleChar"/>
    <w:uiPriority w:val="34"/>
    <w:semiHidden/>
    <w:rsid w:val="00145444"/>
    <w:pPr>
      <w:spacing w:line="440" w:lineRule="atLeast"/>
    </w:pPr>
    <w:rPr>
      <w:sz w:val="36"/>
    </w:rPr>
  </w:style>
  <w:style w:type="character" w:customStyle="1" w:styleId="PartTitleChar">
    <w:name w:val="Part Title Char"/>
    <w:basedOn w:val="TitleChar"/>
    <w:link w:val="PartTitle"/>
    <w:uiPriority w:val="34"/>
    <w:semiHidden/>
    <w:rsid w:val="007B3F04"/>
    <w:rPr>
      <w:rFonts w:asciiTheme="majorHAnsi" w:eastAsia="Times New Roman" w:hAnsiTheme="majorHAnsi"/>
      <w:spacing w:val="-2"/>
      <w:kern w:val="28"/>
      <w:sz w:val="36"/>
      <w:szCs w:val="48"/>
    </w:rPr>
  </w:style>
  <w:style w:type="character" w:customStyle="1" w:styleId="ListBulletChar">
    <w:name w:val="List Bullet Char"/>
    <w:aliases w:val="Char Char, Char Char"/>
    <w:link w:val="ListBullet"/>
    <w:uiPriority w:val="2"/>
    <w:locked/>
    <w:rsid w:val="00B974A4"/>
    <w:rPr>
      <w:rFonts w:asciiTheme="minorHAnsi" w:eastAsia="Times New Roman" w:hAnsiTheme="minorHAnsi"/>
    </w:rPr>
  </w:style>
  <w:style w:type="paragraph" w:styleId="TOC4">
    <w:name w:val="toc 4"/>
    <w:basedOn w:val="TOC1"/>
    <w:next w:val="TOC1"/>
    <w:uiPriority w:val="39"/>
    <w:semiHidden/>
    <w:rsid w:val="00D908FD"/>
    <w:pPr>
      <w:spacing w:before="360"/>
      <w:ind w:right="0"/>
    </w:pPr>
    <w:rPr>
      <w:caps/>
      <w:color w:val="9B917E" w:themeColor="accent4"/>
      <w:spacing w:val="10"/>
      <w:sz w:val="22"/>
    </w:rPr>
  </w:style>
  <w:style w:type="paragraph" w:styleId="TOCHeading">
    <w:name w:val="TOC Heading"/>
    <w:basedOn w:val="Heading4"/>
    <w:next w:val="TableofFigures"/>
    <w:uiPriority w:val="39"/>
    <w:semiHidden/>
    <w:qFormat/>
    <w:rsid w:val="00FC141A"/>
    <w:pPr>
      <w:keepLines/>
      <w:numPr>
        <w:ilvl w:val="0"/>
        <w:numId w:val="0"/>
      </w:numPr>
      <w:outlineLvl w:val="9"/>
    </w:pPr>
    <w:rPr>
      <w:rFonts w:ascii="Franklin Gothic Demi" w:eastAsiaTheme="majorEastAsia" w:hAnsi="Franklin Gothic Demi" w:cstheme="majorBidi"/>
      <w:b w:val="0"/>
      <w:bCs/>
      <w:i w:val="0"/>
      <w:caps/>
      <w:color w:val="006B7A" w:themeColor="accent1"/>
      <w:spacing w:val="10"/>
      <w:sz w:val="22"/>
      <w:szCs w:val="28"/>
    </w:rPr>
  </w:style>
  <w:style w:type="character" w:customStyle="1" w:styleId="ContinuedChar">
    <w:name w:val="Continued Char"/>
    <w:basedOn w:val="DefaultParagraphFont"/>
    <w:link w:val="Continued"/>
    <w:uiPriority w:val="17"/>
    <w:rsid w:val="007A2A3B"/>
    <w:rPr>
      <w:rFonts w:ascii="Franklin Gothic Book" w:eastAsia="Times New Roman" w:hAnsi="Franklin Gothic Book"/>
      <w:sz w:val="14"/>
      <w:szCs w:val="16"/>
      <w:lang w:eastAsia="en-US"/>
    </w:rPr>
  </w:style>
  <w:style w:type="paragraph" w:styleId="ListParagraph">
    <w:name w:val="List Paragraph"/>
    <w:basedOn w:val="Normal"/>
    <w:link w:val="ListParagraphChar"/>
    <w:uiPriority w:val="99"/>
    <w:qFormat/>
    <w:rsid w:val="005B435E"/>
    <w:pPr>
      <w:ind w:left="720"/>
      <w:contextualSpacing/>
    </w:pPr>
  </w:style>
  <w:style w:type="character" w:customStyle="1" w:styleId="CaptionChar">
    <w:name w:val="Caption Char"/>
    <w:basedOn w:val="BodyTextChar"/>
    <w:link w:val="Caption"/>
    <w:uiPriority w:val="99"/>
    <w:rsid w:val="001E3D69"/>
    <w:rPr>
      <w:rFonts w:ascii="Franklin Gothic Demi" w:eastAsia="Times New Roman" w:hAnsi="Franklin Gothic Demi"/>
      <w:szCs w:val="20"/>
    </w:rPr>
  </w:style>
  <w:style w:type="paragraph" w:customStyle="1" w:styleId="Summary2">
    <w:name w:val="Summary 2"/>
    <w:basedOn w:val="Heading2"/>
    <w:next w:val="BodyText"/>
    <w:rsid w:val="006544F3"/>
  </w:style>
  <w:style w:type="paragraph" w:customStyle="1" w:styleId="Summary3">
    <w:name w:val="Summary 3"/>
    <w:basedOn w:val="Heading3"/>
    <w:next w:val="BodyText"/>
    <w:rsid w:val="006544F3"/>
  </w:style>
  <w:style w:type="paragraph" w:customStyle="1" w:styleId="Summary4">
    <w:name w:val="Summary 4"/>
    <w:basedOn w:val="Heading4"/>
    <w:next w:val="BodyText"/>
    <w:rsid w:val="006544F3"/>
  </w:style>
  <w:style w:type="paragraph" w:customStyle="1" w:styleId="KeyPoint2">
    <w:name w:val="Key Point 2"/>
    <w:basedOn w:val="KeyPoint"/>
    <w:next w:val="BodyText"/>
    <w:uiPriority w:val="1"/>
    <w:rsid w:val="00825668"/>
    <w:pPr>
      <w:numPr>
        <w:ilvl w:val="1"/>
      </w:numPr>
      <w:spacing w:before="80"/>
    </w:pPr>
  </w:style>
  <w:style w:type="paragraph" w:customStyle="1" w:styleId="KeyPoint3">
    <w:name w:val="Key Point 3"/>
    <w:basedOn w:val="KeyPoint2"/>
    <w:next w:val="BodyText"/>
    <w:uiPriority w:val="1"/>
    <w:rsid w:val="00825668"/>
    <w:pPr>
      <w:numPr>
        <w:ilvl w:val="2"/>
      </w:numPr>
      <w:spacing w:before="60"/>
    </w:pPr>
  </w:style>
  <w:style w:type="numbering" w:customStyle="1" w:styleId="KeyPointBullets">
    <w:name w:val="KeyPointBullets"/>
    <w:basedOn w:val="ListBullets"/>
    <w:uiPriority w:val="99"/>
    <w:rsid w:val="00825668"/>
    <w:pPr>
      <w:numPr>
        <w:numId w:val="12"/>
      </w:numPr>
    </w:pPr>
  </w:style>
  <w:style w:type="numbering" w:customStyle="1" w:styleId="NoteListNumber">
    <w:name w:val="NoteListNumber"/>
    <w:uiPriority w:val="99"/>
    <w:rsid w:val="00E864C1"/>
    <w:pPr>
      <w:numPr>
        <w:numId w:val="13"/>
      </w:numPr>
    </w:pPr>
  </w:style>
  <w:style w:type="paragraph" w:styleId="NormalWeb">
    <w:name w:val="Normal (Web)"/>
    <w:basedOn w:val="Normal"/>
    <w:uiPriority w:val="99"/>
    <w:semiHidden/>
    <w:unhideWhenUsed/>
    <w:rsid w:val="0071617D"/>
    <w:pPr>
      <w:spacing w:before="100" w:beforeAutospacing="1" w:after="100" w:afterAutospacing="1" w:line="240" w:lineRule="auto"/>
    </w:pPr>
    <w:rPr>
      <w:rFonts w:ascii="Times New Roman" w:hAnsi="Times New Roman"/>
      <w:sz w:val="24"/>
      <w:szCs w:val="24"/>
    </w:rPr>
  </w:style>
  <w:style w:type="paragraph" w:customStyle="1" w:styleId="NoteNumber">
    <w:name w:val="Note Number"/>
    <w:basedOn w:val="Note"/>
    <w:uiPriority w:val="15"/>
    <w:rsid w:val="00E6555A"/>
    <w:pPr>
      <w:numPr>
        <w:ilvl w:val="1"/>
        <w:numId w:val="15"/>
      </w:numPr>
    </w:pPr>
    <w:rPr>
      <w:szCs w:val="15"/>
    </w:rPr>
  </w:style>
  <w:style w:type="character" w:customStyle="1" w:styleId="SourceChar">
    <w:name w:val="Source Char"/>
    <w:basedOn w:val="DefaultParagraphFont"/>
    <w:link w:val="Source"/>
    <w:uiPriority w:val="16"/>
    <w:locked/>
    <w:rsid w:val="00675046"/>
    <w:rPr>
      <w:rFonts w:ascii="Franklin Gothic Book" w:eastAsia="Times New Roman" w:hAnsi="Franklin Gothic Book"/>
      <w:sz w:val="14"/>
      <w:szCs w:val="16"/>
      <w:lang w:eastAsia="en-US"/>
    </w:rPr>
  </w:style>
  <w:style w:type="character" w:customStyle="1" w:styleId="ListBullet2Char">
    <w:name w:val="List Bullet 2 Char"/>
    <w:basedOn w:val="DefaultParagraphFont"/>
    <w:link w:val="ListBullet2"/>
    <w:uiPriority w:val="2"/>
    <w:locked/>
    <w:rsid w:val="00675046"/>
    <w:rPr>
      <w:rFonts w:asciiTheme="minorHAnsi" w:eastAsia="Times New Roman" w:hAnsiTheme="minorHAnsi"/>
    </w:rPr>
  </w:style>
  <w:style w:type="character" w:customStyle="1" w:styleId="TableTextEntriesChar">
    <w:name w:val="Table Text Entries Char"/>
    <w:link w:val="TableTextEntries"/>
    <w:uiPriority w:val="13"/>
    <w:locked/>
    <w:rsid w:val="00675046"/>
    <w:rPr>
      <w:rFonts w:ascii="Franklin Gothic Book" w:eastAsia="Times New Roman" w:hAnsi="Franklin Gothic Book"/>
      <w:sz w:val="16"/>
      <w:szCs w:val="18"/>
      <w:lang w:eastAsia="en-US"/>
    </w:rPr>
  </w:style>
  <w:style w:type="character" w:styleId="Emphasis">
    <w:name w:val="Emphasis"/>
    <w:basedOn w:val="DefaultParagraphFont"/>
    <w:uiPriority w:val="20"/>
    <w:qFormat/>
    <w:rsid w:val="00675046"/>
    <w:rPr>
      <w:b/>
      <w:bCs/>
      <w:i w:val="0"/>
      <w:iCs w:val="0"/>
    </w:rPr>
  </w:style>
  <w:style w:type="paragraph" w:customStyle="1" w:styleId="FrontPageClientName">
    <w:name w:val="Front Page Client Name"/>
    <w:basedOn w:val="Normal"/>
    <w:next w:val="Normal"/>
    <w:uiPriority w:val="8"/>
    <w:qFormat/>
    <w:rsid w:val="00675046"/>
    <w:pPr>
      <w:spacing w:before="120" w:line="240" w:lineRule="auto"/>
      <w:ind w:left="284"/>
      <w:outlineLvl w:val="8"/>
    </w:pPr>
    <w:rPr>
      <w:rFonts w:ascii="Arial Bold" w:eastAsia="Times New Roman" w:hAnsi="Arial Bold"/>
      <w:b/>
      <w:color w:val="000000" w:themeColor="text1"/>
      <w:sz w:val="24"/>
      <w:szCs w:val="20"/>
    </w:rPr>
  </w:style>
  <w:style w:type="paragraph" w:customStyle="1" w:styleId="FrontPageAssignmentProjectName">
    <w:name w:val="Front Page Assignment Project Name"/>
    <w:basedOn w:val="Normal"/>
    <w:next w:val="Normal"/>
    <w:uiPriority w:val="8"/>
    <w:qFormat/>
    <w:rsid w:val="00675046"/>
    <w:pPr>
      <w:spacing w:before="120" w:line="240" w:lineRule="auto"/>
      <w:ind w:left="284"/>
      <w:outlineLvl w:val="8"/>
    </w:pPr>
    <w:rPr>
      <w:rFonts w:ascii="Arial Bold" w:eastAsia="Times New Roman" w:hAnsi="Arial Bold"/>
      <w:b/>
      <w:color w:val="000000" w:themeColor="text1"/>
      <w:sz w:val="52"/>
      <w:szCs w:val="20"/>
    </w:rPr>
  </w:style>
  <w:style w:type="paragraph" w:customStyle="1" w:styleId="FrontPageDocumentTitle">
    <w:name w:val="Front Page Document Title"/>
    <w:basedOn w:val="Normal"/>
    <w:next w:val="Normal"/>
    <w:uiPriority w:val="8"/>
    <w:qFormat/>
    <w:rsid w:val="00675046"/>
    <w:pPr>
      <w:spacing w:before="120" w:line="240" w:lineRule="auto"/>
      <w:ind w:left="284"/>
      <w:outlineLvl w:val="8"/>
    </w:pPr>
    <w:rPr>
      <w:rFonts w:ascii="Arial" w:hAnsi="Arial"/>
      <w:b/>
      <w:color w:val="FFFFFF"/>
      <w:sz w:val="32"/>
      <w:szCs w:val="20"/>
    </w:rPr>
  </w:style>
  <w:style w:type="paragraph" w:customStyle="1" w:styleId="ListAlpha">
    <w:name w:val="List Alpha"/>
    <w:basedOn w:val="Normal"/>
    <w:qFormat/>
    <w:rsid w:val="00675046"/>
    <w:pPr>
      <w:numPr>
        <w:numId w:val="27"/>
      </w:numPr>
      <w:spacing w:before="120" w:after="60" w:line="260" w:lineRule="atLeast"/>
      <w:jc w:val="both"/>
    </w:pPr>
    <w:rPr>
      <w:rFonts w:ascii="Georgia" w:eastAsia="Times New Roman" w:hAnsi="Georgia"/>
      <w:sz w:val="20"/>
      <w:szCs w:val="20"/>
    </w:rPr>
  </w:style>
  <w:style w:type="table" w:customStyle="1" w:styleId="EPStyle2">
    <w:name w:val="E&amp;P Style 2"/>
    <w:basedOn w:val="TableNormal"/>
    <w:uiPriority w:val="99"/>
    <w:rsid w:val="00675046"/>
    <w:pPr>
      <w:spacing w:before="0" w:line="240" w:lineRule="auto"/>
    </w:pPr>
    <w:rPr>
      <w:rFonts w:ascii="Georgia" w:eastAsiaTheme="minorHAnsi" w:hAnsi="Georgia" w:cstheme="minorBidi"/>
      <w:sz w:val="18"/>
      <w:szCs w:val="20"/>
      <w:lang w:eastAsia="en-US"/>
    </w:rPr>
    <w:tblPr>
      <w:tblInd w:w="11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blStylePr w:type="firstRow">
      <w:pPr>
        <w:wordWrap/>
        <w:spacing w:beforeLines="0" w:before="60" w:beforeAutospacing="0" w:afterLines="0" w:after="60" w:afterAutospacing="0" w:line="240" w:lineRule="auto"/>
        <w:jc w:val="center"/>
      </w:pPr>
      <w:rPr>
        <w:rFonts w:ascii="Arial Bold" w:hAnsi="Arial Bold"/>
        <w:b/>
        <w:i w:val="0"/>
        <w:color w:val="FFFFFF" w:themeColor="background1"/>
        <w:sz w:val="18"/>
      </w:rPr>
      <w:tblPr/>
      <w:trPr>
        <w:tblHeader/>
      </w:trPr>
      <w:tcPr>
        <w:shd w:val="clear" w:color="auto" w:fill="006B7A" w:themeFill="accent1"/>
      </w:tcPr>
    </w:tblStylePr>
  </w:style>
  <w:style w:type="table" w:customStyle="1" w:styleId="EPStyle1">
    <w:name w:val="E&amp;P Style 1"/>
    <w:basedOn w:val="TableNormal"/>
    <w:uiPriority w:val="99"/>
    <w:rsid w:val="00675046"/>
    <w:pPr>
      <w:spacing w:before="60" w:after="60" w:line="240" w:lineRule="auto"/>
    </w:pPr>
    <w:rPr>
      <w:rFonts w:ascii="Georgia" w:eastAsiaTheme="minorHAnsi" w:hAnsi="Georgia" w:cstheme="minorBidi"/>
      <w:sz w:val="18"/>
      <w:szCs w:val="20"/>
      <w:lang w:eastAsia="en-US"/>
    </w:rPr>
    <w:tblPr>
      <w:tblStyleRowBandSize w:val="1"/>
      <w:tblStyleColBandSize w:val="1"/>
      <w:tblInd w:w="1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D7D2CB" w:themeFill="accent4" w:themeFillTint="66"/>
    </w:tcPr>
    <w:tblStylePr w:type="firstRow">
      <w:pPr>
        <w:jc w:val="center"/>
      </w:pPr>
      <w:rPr>
        <w:rFonts w:ascii="Arial Bold" w:hAnsi="Arial Bold"/>
        <w:b/>
        <w:i w:val="0"/>
        <w:color w:val="FFFFFF" w:themeColor="background1"/>
        <w:sz w:val="18"/>
      </w:rPr>
      <w:tblPr/>
      <w:trPr>
        <w:tblHeader/>
      </w:trPr>
      <w:tcPr>
        <w:shd w:val="clear" w:color="auto" w:fill="006B7A" w:themeFill="accent1"/>
      </w:tcPr>
    </w:tblStylePr>
    <w:tblStylePr w:type="band1Vert">
      <w:tblPr/>
      <w:tcPr>
        <w:shd w:val="clear" w:color="auto" w:fill="6F6652" w:themeFill="accent5"/>
      </w:tcPr>
    </w:tblStylePr>
    <w:tblStylePr w:type="band2Vert">
      <w:tblPr/>
      <w:tcPr>
        <w:shd w:val="clear" w:color="auto" w:fill="6F6652" w:themeFill="accent5"/>
      </w:tcPr>
    </w:tblStylePr>
    <w:tblStylePr w:type="band1Horz">
      <w:pPr>
        <w:jc w:val="left"/>
      </w:pPr>
      <w:rPr>
        <w:rFonts w:ascii="Georgia" w:hAnsi="Georgia"/>
        <w:b w:val="0"/>
        <w:i w:val="0"/>
        <w:sz w:val="18"/>
      </w:rPr>
      <w:tblPr/>
      <w:tcPr>
        <w:shd w:val="clear" w:color="auto" w:fill="EBE8E5" w:themeFill="accent4" w:themeFillTint="33"/>
      </w:tcPr>
    </w:tblStylePr>
    <w:tblStylePr w:type="band2Horz">
      <w:tblPr/>
      <w:tcPr>
        <w:shd w:val="clear" w:color="auto" w:fill="6F6652" w:themeFill="accent5"/>
      </w:tcPr>
    </w:tblStylePr>
  </w:style>
  <w:style w:type="table" w:styleId="LightShading-Accent1">
    <w:name w:val="Light Shading Accent 1"/>
    <w:basedOn w:val="TableNormal"/>
    <w:uiPriority w:val="60"/>
    <w:rsid w:val="00675046"/>
    <w:pPr>
      <w:spacing w:before="0" w:line="240" w:lineRule="auto"/>
    </w:pPr>
    <w:rPr>
      <w:rFonts w:ascii="Georgia" w:eastAsiaTheme="minorHAnsi" w:hAnsi="Georgia" w:cstheme="minorBidi"/>
      <w:color w:val="004F5B" w:themeColor="accent1" w:themeShade="BF"/>
      <w:sz w:val="20"/>
      <w:szCs w:val="20"/>
      <w:lang w:eastAsia="en-US"/>
    </w:rPr>
    <w:tblPr>
      <w:tblStyleRowBandSize w:val="1"/>
      <w:tblStyleColBandSize w:val="1"/>
      <w:tblInd w:w="0" w:type="dxa"/>
      <w:tblBorders>
        <w:top w:val="single" w:sz="8" w:space="0" w:color="006B7A" w:themeColor="accent1"/>
        <w:bottom w:val="single" w:sz="8" w:space="0" w:color="006B7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6B7A" w:themeColor="accent1"/>
          <w:left w:val="nil"/>
          <w:bottom w:val="single" w:sz="8" w:space="0" w:color="006B7A" w:themeColor="accent1"/>
          <w:right w:val="nil"/>
          <w:insideH w:val="nil"/>
          <w:insideV w:val="nil"/>
        </w:tcBorders>
      </w:tcPr>
    </w:tblStylePr>
    <w:tblStylePr w:type="lastRow">
      <w:pPr>
        <w:spacing w:before="0" w:after="0" w:line="240" w:lineRule="auto"/>
      </w:pPr>
      <w:rPr>
        <w:b/>
        <w:bCs/>
      </w:rPr>
      <w:tblPr/>
      <w:tcPr>
        <w:tcBorders>
          <w:top w:val="single" w:sz="8" w:space="0" w:color="006B7A" w:themeColor="accent1"/>
          <w:left w:val="nil"/>
          <w:bottom w:val="single" w:sz="8" w:space="0" w:color="006B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2FF" w:themeFill="accent1" w:themeFillTint="3F"/>
      </w:tcPr>
    </w:tblStylePr>
    <w:tblStylePr w:type="band1Horz">
      <w:tblPr/>
      <w:tcPr>
        <w:tcBorders>
          <w:left w:val="nil"/>
          <w:right w:val="nil"/>
          <w:insideH w:val="nil"/>
          <w:insideV w:val="nil"/>
        </w:tcBorders>
        <w:shd w:val="clear" w:color="auto" w:fill="9FF2FF" w:themeFill="accent1" w:themeFillTint="3F"/>
      </w:tcPr>
    </w:tblStylePr>
  </w:style>
  <w:style w:type="table" w:styleId="LightShading-Accent2">
    <w:name w:val="Light Shading Accent 2"/>
    <w:basedOn w:val="TableNormal"/>
    <w:uiPriority w:val="60"/>
    <w:rsid w:val="00675046"/>
    <w:pPr>
      <w:spacing w:before="0" w:line="240" w:lineRule="auto"/>
    </w:pPr>
    <w:rPr>
      <w:rFonts w:ascii="Georgia" w:eastAsiaTheme="minorHAnsi" w:hAnsi="Georgia" w:cstheme="minorBidi"/>
      <w:color w:val="BE0F07" w:themeColor="accent2" w:themeShade="BF"/>
      <w:sz w:val="20"/>
      <w:szCs w:val="20"/>
      <w:lang w:eastAsia="en-US"/>
    </w:rPr>
    <w:tblPr>
      <w:tblStyleRowBandSize w:val="1"/>
      <w:tblStyleColBandSize w:val="1"/>
      <w:tblInd w:w="0" w:type="dxa"/>
      <w:tblBorders>
        <w:top w:val="single" w:sz="8" w:space="0" w:color="F61D12" w:themeColor="accent2"/>
        <w:bottom w:val="single" w:sz="8" w:space="0" w:color="F61D1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61D12" w:themeColor="accent2"/>
          <w:left w:val="nil"/>
          <w:bottom w:val="single" w:sz="8" w:space="0" w:color="F61D12" w:themeColor="accent2"/>
          <w:right w:val="nil"/>
          <w:insideH w:val="nil"/>
          <w:insideV w:val="nil"/>
        </w:tcBorders>
      </w:tcPr>
    </w:tblStylePr>
    <w:tblStylePr w:type="lastRow">
      <w:pPr>
        <w:spacing w:before="0" w:after="0" w:line="240" w:lineRule="auto"/>
      </w:pPr>
      <w:rPr>
        <w:b/>
        <w:bCs/>
      </w:rPr>
      <w:tblPr/>
      <w:tcPr>
        <w:tcBorders>
          <w:top w:val="single" w:sz="8" w:space="0" w:color="F61D12" w:themeColor="accent2"/>
          <w:left w:val="nil"/>
          <w:bottom w:val="single" w:sz="8" w:space="0" w:color="F61D1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6C4" w:themeFill="accent2" w:themeFillTint="3F"/>
      </w:tcPr>
    </w:tblStylePr>
    <w:tblStylePr w:type="band1Horz">
      <w:tblPr/>
      <w:tcPr>
        <w:tcBorders>
          <w:left w:val="nil"/>
          <w:right w:val="nil"/>
          <w:insideH w:val="nil"/>
          <w:insideV w:val="nil"/>
        </w:tcBorders>
        <w:shd w:val="clear" w:color="auto" w:fill="FCC6C4" w:themeFill="accent2" w:themeFillTint="3F"/>
      </w:tcPr>
    </w:tblStylePr>
  </w:style>
  <w:style w:type="table" w:styleId="LightShading-Accent3">
    <w:name w:val="Light Shading Accent 3"/>
    <w:basedOn w:val="TableNormal"/>
    <w:uiPriority w:val="60"/>
    <w:rsid w:val="00675046"/>
    <w:pPr>
      <w:spacing w:before="0" w:line="240" w:lineRule="auto"/>
    </w:pPr>
    <w:rPr>
      <w:rFonts w:ascii="Georgia" w:eastAsiaTheme="minorHAnsi" w:hAnsi="Georgia" w:cstheme="minorBidi"/>
      <w:color w:val="A09473" w:themeColor="accent3" w:themeShade="BF"/>
      <w:sz w:val="20"/>
      <w:szCs w:val="20"/>
      <w:lang w:eastAsia="en-US"/>
    </w:rPr>
    <w:tblPr>
      <w:tblStyleRowBandSize w:val="1"/>
      <w:tblStyleColBandSize w:val="1"/>
      <w:tblInd w:w="0" w:type="dxa"/>
      <w:tblBorders>
        <w:top w:val="single" w:sz="8" w:space="0" w:color="C6BFAB" w:themeColor="accent3"/>
        <w:bottom w:val="single" w:sz="8" w:space="0" w:color="C6BFAB"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6BFAB" w:themeColor="accent3"/>
          <w:left w:val="nil"/>
          <w:bottom w:val="single" w:sz="8" w:space="0" w:color="C6BFAB" w:themeColor="accent3"/>
          <w:right w:val="nil"/>
          <w:insideH w:val="nil"/>
          <w:insideV w:val="nil"/>
        </w:tcBorders>
      </w:tcPr>
    </w:tblStylePr>
    <w:tblStylePr w:type="lastRow">
      <w:pPr>
        <w:spacing w:before="0" w:after="0" w:line="240" w:lineRule="auto"/>
      </w:pPr>
      <w:rPr>
        <w:b/>
        <w:bCs/>
      </w:rPr>
      <w:tblPr/>
      <w:tcPr>
        <w:tcBorders>
          <w:top w:val="single" w:sz="8" w:space="0" w:color="C6BFAB" w:themeColor="accent3"/>
          <w:left w:val="nil"/>
          <w:bottom w:val="single" w:sz="8" w:space="0" w:color="C6BFA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FEA" w:themeFill="accent3" w:themeFillTint="3F"/>
      </w:tcPr>
    </w:tblStylePr>
    <w:tblStylePr w:type="band1Horz">
      <w:tblPr/>
      <w:tcPr>
        <w:tcBorders>
          <w:left w:val="nil"/>
          <w:right w:val="nil"/>
          <w:insideH w:val="nil"/>
          <w:insideV w:val="nil"/>
        </w:tcBorders>
        <w:shd w:val="clear" w:color="auto" w:fill="F1EFEA" w:themeFill="accent3" w:themeFillTint="3F"/>
      </w:tcPr>
    </w:tblStylePr>
  </w:style>
  <w:style w:type="table" w:customStyle="1" w:styleId="EPStyle3">
    <w:name w:val="E&amp;P Style 3"/>
    <w:basedOn w:val="TableNormal"/>
    <w:uiPriority w:val="99"/>
    <w:rsid w:val="00675046"/>
    <w:pPr>
      <w:spacing w:before="0" w:line="240" w:lineRule="auto"/>
    </w:pPr>
    <w:rPr>
      <w:rFonts w:ascii="Georgia" w:eastAsiaTheme="minorHAnsi" w:hAnsi="Georgia" w:cstheme="minorBidi"/>
      <w:sz w:val="18"/>
      <w:szCs w:val="20"/>
      <w:lang w:eastAsia="en-US"/>
    </w:rPr>
    <w:tblPr>
      <w:tblInd w:w="1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6F6652" w:themeFill="accent5"/>
    </w:tcPr>
    <w:tblStylePr w:type="firstRow">
      <w:pPr>
        <w:wordWrap/>
        <w:jc w:val="center"/>
        <w:outlineLvl w:val="8"/>
      </w:pPr>
      <w:rPr>
        <w:rFonts w:ascii="Arial" w:hAnsi="Arial"/>
        <w:b/>
        <w:sz w:val="18"/>
      </w:rPr>
      <w:tblPr/>
      <w:trPr>
        <w:tblHeader/>
      </w:trPr>
      <w:tcPr>
        <w:shd w:val="clear" w:color="auto" w:fill="006B7A" w:themeFill="accent1"/>
      </w:tcPr>
    </w:tblStylePr>
  </w:style>
  <w:style w:type="paragraph" w:customStyle="1" w:styleId="TableHeaderblack">
    <w:name w:val="Table Header black"/>
    <w:basedOn w:val="Normal"/>
    <w:qFormat/>
    <w:rsid w:val="00675046"/>
    <w:pPr>
      <w:spacing w:before="120" w:after="120" w:line="240" w:lineRule="auto"/>
      <w:jc w:val="center"/>
    </w:pPr>
    <w:rPr>
      <w:rFonts w:ascii="Arial" w:eastAsiaTheme="minorHAnsi" w:hAnsi="Arial" w:cstheme="minorBidi"/>
      <w:b/>
      <w:color w:val="000000" w:themeColor="text1"/>
      <w:sz w:val="18"/>
      <w:szCs w:val="20"/>
      <w:lang w:eastAsia="en-US"/>
    </w:rPr>
  </w:style>
  <w:style w:type="paragraph" w:customStyle="1" w:styleId="Heading">
    <w:name w:val="Heading"/>
    <w:basedOn w:val="Heading1"/>
    <w:next w:val="Normal"/>
    <w:link w:val="HeadingChar"/>
    <w:uiPriority w:val="4"/>
    <w:semiHidden/>
    <w:rsid w:val="00675046"/>
    <w:pPr>
      <w:numPr>
        <w:numId w:val="0"/>
      </w:numPr>
      <w:spacing w:before="120" w:after="240" w:line="240" w:lineRule="auto"/>
    </w:pPr>
    <w:rPr>
      <w:rFonts w:ascii="Arial" w:hAnsi="Arial"/>
      <w:b/>
      <w:i w:val="0"/>
      <w:color w:val="0078B9"/>
      <w:szCs w:val="20"/>
      <w:lang w:val="en-NZ"/>
    </w:rPr>
  </w:style>
  <w:style w:type="character" w:customStyle="1" w:styleId="HeadingChar">
    <w:name w:val="Heading Char"/>
    <w:basedOn w:val="Heading1Char"/>
    <w:link w:val="Heading"/>
    <w:uiPriority w:val="4"/>
    <w:semiHidden/>
    <w:rsid w:val="00675046"/>
    <w:rPr>
      <w:rFonts w:ascii="Arial" w:eastAsia="Times New Roman" w:hAnsi="Arial"/>
      <w:b/>
      <w:i w:val="0"/>
      <w:color w:val="0078B9"/>
      <w:kern w:val="28"/>
      <w:sz w:val="36"/>
      <w:szCs w:val="20"/>
      <w:lang w:val="en-NZ"/>
    </w:rPr>
  </w:style>
  <w:style w:type="table" w:customStyle="1" w:styleId="EPStyle4">
    <w:name w:val="E&amp;P Style 4"/>
    <w:basedOn w:val="TableNormal"/>
    <w:rsid w:val="00675046"/>
    <w:pPr>
      <w:spacing w:before="60" w:after="60" w:line="240" w:lineRule="auto"/>
    </w:pPr>
    <w:rPr>
      <w:rFonts w:ascii="Georgia" w:eastAsia="Times New Roman" w:hAnsi="Georgia"/>
      <w:sz w:val="18"/>
      <w:szCs w:val="20"/>
    </w:rPr>
    <w:tblPr>
      <w:tblStyleRowBandSize w:val="1"/>
      <w:tblStyleColBandSize w:val="1"/>
      <w:tblInd w:w="113" w:type="dxa"/>
      <w:tblBorders>
        <w:insideH w:val="single" w:sz="18" w:space="0" w:color="FFFFFF"/>
        <w:insideV w:val="single" w:sz="18" w:space="0" w:color="FFFFFF"/>
      </w:tblBorders>
      <w:tblCellMar>
        <w:top w:w="0" w:type="dxa"/>
        <w:left w:w="108" w:type="dxa"/>
        <w:bottom w:w="0" w:type="dxa"/>
        <w:right w:w="108" w:type="dxa"/>
      </w:tblCellMar>
    </w:tblPr>
    <w:tcPr>
      <w:shd w:val="clear" w:color="auto" w:fill="E6E7E8"/>
    </w:tcPr>
    <w:tblStylePr w:type="firstRow">
      <w:pPr>
        <w:wordWrap/>
        <w:jc w:val="center"/>
      </w:pPr>
      <w:rPr>
        <w:rFonts w:ascii="Arial Bold" w:hAnsi="Arial Bold"/>
        <w:b/>
        <w:i w:val="0"/>
        <w:color w:val="FFFFFF" w:themeColor="background1"/>
        <w:sz w:val="18"/>
      </w:rPr>
      <w:tblPr/>
      <w:trPr>
        <w:tblHeader/>
      </w:trPr>
      <w:tcPr>
        <w:shd w:val="clear" w:color="auto" w:fill="006B7A" w:themeFill="accent1"/>
      </w:tcPr>
    </w:tblStylePr>
    <w:tblStylePr w:type="firstCol">
      <w:tblPr/>
      <w:tcPr>
        <w:shd w:val="clear" w:color="auto" w:fill="C7C8CA"/>
      </w:tcPr>
    </w:tblStylePr>
    <w:tblStylePr w:type="band2Vert">
      <w:tblPr/>
      <w:tcPr>
        <w:shd w:val="clear" w:color="auto" w:fill="C7C8CA"/>
      </w:tcPr>
    </w:tblStylePr>
  </w:style>
  <w:style w:type="paragraph" w:customStyle="1" w:styleId="HeadingNoTOC">
    <w:name w:val="Heading (No TOC)"/>
    <w:next w:val="Normal"/>
    <w:link w:val="HeadingNoTOCChar"/>
    <w:uiPriority w:val="6"/>
    <w:qFormat/>
    <w:rsid w:val="00675046"/>
    <w:pPr>
      <w:spacing w:before="0" w:after="120" w:line="260" w:lineRule="atLeast"/>
      <w:outlineLvl w:val="8"/>
    </w:pPr>
    <w:rPr>
      <w:rFonts w:ascii="Arial" w:eastAsia="Times New Roman" w:hAnsi="Arial"/>
      <w:b/>
      <w:color w:val="006B7A" w:themeColor="accent1"/>
      <w:kern w:val="28"/>
      <w:sz w:val="32"/>
      <w:szCs w:val="20"/>
    </w:rPr>
  </w:style>
  <w:style w:type="character" w:customStyle="1" w:styleId="HeadingNoTOCChar">
    <w:name w:val="Heading (No TOC) Char"/>
    <w:basedOn w:val="Heading1Char"/>
    <w:link w:val="HeadingNoTOC"/>
    <w:uiPriority w:val="6"/>
    <w:rsid w:val="00675046"/>
    <w:rPr>
      <w:rFonts w:ascii="Arial" w:eastAsia="Times New Roman" w:hAnsi="Arial"/>
      <w:b/>
      <w:i w:val="0"/>
      <w:color w:val="006B7A" w:themeColor="accent1"/>
      <w:kern w:val="28"/>
      <w:sz w:val="32"/>
      <w:szCs w:val="20"/>
    </w:rPr>
  </w:style>
  <w:style w:type="paragraph" w:customStyle="1" w:styleId="TableText">
    <w:name w:val="Table Text"/>
    <w:basedOn w:val="Normal"/>
    <w:link w:val="TableTextChar"/>
    <w:uiPriority w:val="1"/>
    <w:qFormat/>
    <w:rsid w:val="00675046"/>
    <w:pPr>
      <w:spacing w:before="60" w:after="60" w:line="240" w:lineRule="auto"/>
    </w:pPr>
    <w:rPr>
      <w:rFonts w:ascii="Georgia" w:eastAsia="Times New Roman" w:hAnsi="Georgia"/>
      <w:sz w:val="18"/>
      <w:szCs w:val="20"/>
    </w:rPr>
  </w:style>
  <w:style w:type="character" w:customStyle="1" w:styleId="TableTextChar">
    <w:name w:val="Table Text Char"/>
    <w:link w:val="TableText"/>
    <w:uiPriority w:val="1"/>
    <w:rsid w:val="00675046"/>
    <w:rPr>
      <w:rFonts w:ascii="Georgia" w:eastAsia="Times New Roman" w:hAnsi="Georgia"/>
      <w:sz w:val="18"/>
      <w:szCs w:val="20"/>
    </w:rPr>
  </w:style>
  <w:style w:type="paragraph" w:customStyle="1" w:styleId="BackCoverAddresses">
    <w:name w:val="Back Cover Addresses"/>
    <w:basedOn w:val="Normal"/>
    <w:qFormat/>
    <w:rsid w:val="00675046"/>
    <w:pPr>
      <w:spacing w:before="120" w:after="240" w:line="260" w:lineRule="atLeast"/>
    </w:pPr>
    <w:rPr>
      <w:rFonts w:ascii="Georgia" w:eastAsiaTheme="minorHAnsi" w:hAnsi="Georgia" w:cstheme="minorBidi"/>
      <w:color w:val="FFFFFF" w:themeColor="background1"/>
      <w:sz w:val="20"/>
      <w:szCs w:val="19"/>
      <w:lang w:eastAsia="en-US"/>
    </w:rPr>
  </w:style>
  <w:style w:type="numbering" w:styleId="111111">
    <w:name w:val="Outline List 2"/>
    <w:basedOn w:val="NoList"/>
    <w:semiHidden/>
    <w:rsid w:val="00675046"/>
    <w:pPr>
      <w:numPr>
        <w:numId w:val="23"/>
      </w:numPr>
    </w:pPr>
  </w:style>
  <w:style w:type="numbering" w:styleId="1ai">
    <w:name w:val="Outline List 1"/>
    <w:basedOn w:val="NoList"/>
    <w:semiHidden/>
    <w:rsid w:val="00675046"/>
    <w:pPr>
      <w:numPr>
        <w:numId w:val="24"/>
      </w:numPr>
    </w:pPr>
  </w:style>
  <w:style w:type="character" w:customStyle="1" w:styleId="ListParagraphChar">
    <w:name w:val="List Paragraph Char"/>
    <w:basedOn w:val="DefaultParagraphFont"/>
    <w:link w:val="ListParagraph"/>
    <w:uiPriority w:val="99"/>
    <w:rsid w:val="00675046"/>
  </w:style>
  <w:style w:type="numbering" w:styleId="ArticleSection">
    <w:name w:val="Outline List 3"/>
    <w:basedOn w:val="NoList"/>
    <w:semiHidden/>
    <w:rsid w:val="00675046"/>
    <w:pPr>
      <w:numPr>
        <w:numId w:val="26"/>
      </w:numPr>
    </w:pPr>
  </w:style>
  <w:style w:type="paragraph" w:styleId="BlockText">
    <w:name w:val="Block Text"/>
    <w:basedOn w:val="Normal"/>
    <w:semiHidden/>
    <w:rsid w:val="00675046"/>
    <w:pPr>
      <w:spacing w:before="240" w:after="60"/>
      <w:ind w:left="1440" w:right="1440"/>
    </w:pPr>
    <w:rPr>
      <w:rFonts w:ascii="Arial" w:eastAsia="Times New Roman" w:hAnsi="Arial"/>
      <w:sz w:val="20"/>
      <w:szCs w:val="20"/>
    </w:rPr>
  </w:style>
  <w:style w:type="paragraph" w:styleId="BodyTextFirstIndent">
    <w:name w:val="Body Text First Indent"/>
    <w:basedOn w:val="Normal"/>
    <w:link w:val="BodyTextFirstIndentChar"/>
    <w:semiHidden/>
    <w:rsid w:val="00675046"/>
    <w:pPr>
      <w:spacing w:before="240"/>
      <w:ind w:firstLine="210"/>
    </w:pPr>
    <w:rPr>
      <w:rFonts w:ascii="Arial" w:eastAsia="Times New Roman" w:hAnsi="Arial"/>
      <w:sz w:val="20"/>
      <w:szCs w:val="20"/>
    </w:rPr>
  </w:style>
  <w:style w:type="character" w:customStyle="1" w:styleId="BodyTextFirstIndentChar">
    <w:name w:val="Body Text First Indent Char"/>
    <w:basedOn w:val="BodyTextChar"/>
    <w:link w:val="BodyTextFirstIndent"/>
    <w:semiHidden/>
    <w:rsid w:val="00675046"/>
    <w:rPr>
      <w:rFonts w:ascii="Arial" w:eastAsia="Times New Roman" w:hAnsi="Arial"/>
      <w:sz w:val="20"/>
      <w:szCs w:val="20"/>
    </w:rPr>
  </w:style>
  <w:style w:type="paragraph" w:styleId="BodyTextIndent">
    <w:name w:val="Body Text Indent"/>
    <w:basedOn w:val="Normal"/>
    <w:link w:val="BodyTextIndentChar"/>
    <w:semiHidden/>
    <w:rsid w:val="00675046"/>
    <w:pPr>
      <w:spacing w:before="240" w:after="60"/>
      <w:ind w:left="283"/>
    </w:pPr>
    <w:rPr>
      <w:rFonts w:ascii="Arial" w:eastAsia="Times New Roman" w:hAnsi="Arial"/>
      <w:sz w:val="20"/>
      <w:szCs w:val="20"/>
    </w:rPr>
  </w:style>
  <w:style w:type="character" w:customStyle="1" w:styleId="BodyTextIndentChar">
    <w:name w:val="Body Text Indent Char"/>
    <w:basedOn w:val="DefaultParagraphFont"/>
    <w:link w:val="BodyTextIndent"/>
    <w:semiHidden/>
    <w:rsid w:val="00675046"/>
    <w:rPr>
      <w:rFonts w:ascii="Arial" w:eastAsia="Times New Roman" w:hAnsi="Arial"/>
      <w:sz w:val="20"/>
      <w:szCs w:val="20"/>
    </w:rPr>
  </w:style>
  <w:style w:type="paragraph" w:styleId="BodyTextFirstIndent2">
    <w:name w:val="Body Text First Indent 2"/>
    <w:basedOn w:val="BodyTextIndent"/>
    <w:link w:val="BodyTextFirstIndent2Char"/>
    <w:semiHidden/>
    <w:rsid w:val="00675046"/>
    <w:pPr>
      <w:ind w:firstLine="210"/>
    </w:pPr>
  </w:style>
  <w:style w:type="character" w:customStyle="1" w:styleId="BodyTextFirstIndent2Char">
    <w:name w:val="Body Text First Indent 2 Char"/>
    <w:basedOn w:val="BodyTextIndentChar"/>
    <w:link w:val="BodyTextFirstIndent2"/>
    <w:semiHidden/>
    <w:rsid w:val="00675046"/>
    <w:rPr>
      <w:rFonts w:ascii="Arial" w:eastAsia="Times New Roman" w:hAnsi="Arial"/>
      <w:sz w:val="20"/>
      <w:szCs w:val="20"/>
    </w:rPr>
  </w:style>
  <w:style w:type="paragraph" w:styleId="BodyTextIndent2">
    <w:name w:val="Body Text Indent 2"/>
    <w:basedOn w:val="Normal"/>
    <w:link w:val="BodyTextIndent2Char"/>
    <w:semiHidden/>
    <w:rsid w:val="00675046"/>
    <w:pPr>
      <w:spacing w:before="240" w:after="60" w:line="480" w:lineRule="auto"/>
      <w:ind w:left="283"/>
    </w:pPr>
    <w:rPr>
      <w:rFonts w:ascii="Arial" w:eastAsia="Times New Roman" w:hAnsi="Arial"/>
      <w:sz w:val="20"/>
      <w:szCs w:val="20"/>
    </w:rPr>
  </w:style>
  <w:style w:type="character" w:customStyle="1" w:styleId="BodyTextIndent2Char">
    <w:name w:val="Body Text Indent 2 Char"/>
    <w:basedOn w:val="DefaultParagraphFont"/>
    <w:link w:val="BodyTextIndent2"/>
    <w:semiHidden/>
    <w:rsid w:val="00675046"/>
    <w:rPr>
      <w:rFonts w:ascii="Arial" w:eastAsia="Times New Roman" w:hAnsi="Arial"/>
      <w:sz w:val="20"/>
      <w:szCs w:val="20"/>
    </w:rPr>
  </w:style>
  <w:style w:type="paragraph" w:styleId="BodyTextIndent3">
    <w:name w:val="Body Text Indent 3"/>
    <w:basedOn w:val="Normal"/>
    <w:link w:val="BodyTextIndent3Char"/>
    <w:semiHidden/>
    <w:rsid w:val="00675046"/>
    <w:pPr>
      <w:spacing w:before="240" w:after="60"/>
      <w:ind w:left="283"/>
    </w:pPr>
    <w:rPr>
      <w:rFonts w:ascii="Arial" w:eastAsia="Times New Roman" w:hAnsi="Arial"/>
      <w:sz w:val="16"/>
      <w:szCs w:val="16"/>
    </w:rPr>
  </w:style>
  <w:style w:type="character" w:customStyle="1" w:styleId="BodyTextIndent3Char">
    <w:name w:val="Body Text Indent 3 Char"/>
    <w:basedOn w:val="DefaultParagraphFont"/>
    <w:link w:val="BodyTextIndent3"/>
    <w:semiHidden/>
    <w:rsid w:val="00675046"/>
    <w:rPr>
      <w:rFonts w:ascii="Arial" w:eastAsia="Times New Roman" w:hAnsi="Arial"/>
      <w:sz w:val="16"/>
      <w:szCs w:val="16"/>
    </w:rPr>
  </w:style>
  <w:style w:type="paragraph" w:styleId="Closing">
    <w:name w:val="Closing"/>
    <w:basedOn w:val="Normal"/>
    <w:link w:val="ClosingChar"/>
    <w:semiHidden/>
    <w:rsid w:val="00675046"/>
    <w:pPr>
      <w:spacing w:before="240"/>
      <w:ind w:left="4252"/>
    </w:pPr>
    <w:rPr>
      <w:rFonts w:ascii="Arial" w:eastAsia="Times New Roman" w:hAnsi="Arial"/>
      <w:sz w:val="20"/>
      <w:szCs w:val="20"/>
    </w:rPr>
  </w:style>
  <w:style w:type="character" w:customStyle="1" w:styleId="ClosingChar">
    <w:name w:val="Closing Char"/>
    <w:basedOn w:val="DefaultParagraphFont"/>
    <w:link w:val="Closing"/>
    <w:semiHidden/>
    <w:rsid w:val="00675046"/>
    <w:rPr>
      <w:rFonts w:ascii="Arial" w:eastAsia="Times New Roman" w:hAnsi="Arial"/>
      <w:sz w:val="20"/>
      <w:szCs w:val="20"/>
    </w:rPr>
  </w:style>
  <w:style w:type="paragraph" w:customStyle="1" w:styleId="CVBodyTextBold">
    <w:name w:val="CV Body Text Bold"/>
    <w:basedOn w:val="Normal"/>
    <w:semiHidden/>
    <w:rsid w:val="00675046"/>
    <w:pPr>
      <w:spacing w:before="60" w:after="60"/>
      <w:contextualSpacing/>
    </w:pPr>
    <w:rPr>
      <w:rFonts w:ascii="Arial" w:eastAsia="Times New Roman" w:hAnsi="Arial"/>
      <w:b/>
      <w:color w:val="FFFFFF"/>
      <w:sz w:val="20"/>
      <w:szCs w:val="20"/>
    </w:rPr>
  </w:style>
  <w:style w:type="paragraph" w:styleId="E-mailSignature">
    <w:name w:val="E-mail Signature"/>
    <w:basedOn w:val="Normal"/>
    <w:link w:val="E-mailSignatureChar"/>
    <w:semiHidden/>
    <w:rsid w:val="00675046"/>
    <w:pPr>
      <w:spacing w:before="240"/>
    </w:pPr>
    <w:rPr>
      <w:rFonts w:ascii="Arial" w:eastAsia="Times New Roman" w:hAnsi="Arial"/>
      <w:sz w:val="20"/>
      <w:szCs w:val="20"/>
    </w:rPr>
  </w:style>
  <w:style w:type="character" w:customStyle="1" w:styleId="E-mailSignatureChar">
    <w:name w:val="E-mail Signature Char"/>
    <w:basedOn w:val="DefaultParagraphFont"/>
    <w:link w:val="E-mailSignature"/>
    <w:semiHidden/>
    <w:rsid w:val="00675046"/>
    <w:rPr>
      <w:rFonts w:ascii="Arial" w:eastAsia="Times New Roman" w:hAnsi="Arial"/>
      <w:sz w:val="20"/>
      <w:szCs w:val="20"/>
    </w:rPr>
  </w:style>
  <w:style w:type="paragraph" w:styleId="EnvelopeAddress">
    <w:name w:val="envelope address"/>
    <w:basedOn w:val="Normal"/>
    <w:semiHidden/>
    <w:rsid w:val="00675046"/>
    <w:pPr>
      <w:framePr w:w="7920" w:h="1980" w:hRule="exact" w:hSpace="180" w:wrap="auto" w:hAnchor="page" w:xAlign="center" w:yAlign="bottom"/>
      <w:spacing w:before="240"/>
      <w:ind w:left="2880"/>
    </w:pPr>
    <w:rPr>
      <w:rFonts w:ascii="Arial" w:eastAsia="Times New Roman" w:hAnsi="Arial" w:cs="Arial"/>
      <w:sz w:val="24"/>
      <w:szCs w:val="20"/>
    </w:rPr>
  </w:style>
  <w:style w:type="paragraph" w:styleId="EnvelopeReturn">
    <w:name w:val="envelope return"/>
    <w:basedOn w:val="Normal"/>
    <w:semiHidden/>
    <w:rsid w:val="00675046"/>
    <w:pPr>
      <w:spacing w:before="240"/>
    </w:pPr>
    <w:rPr>
      <w:rFonts w:ascii="Arial" w:eastAsia="Times New Roman" w:hAnsi="Arial" w:cs="Arial"/>
      <w:sz w:val="20"/>
      <w:szCs w:val="20"/>
    </w:rPr>
  </w:style>
  <w:style w:type="character" w:styleId="HTMLAcronym">
    <w:name w:val="HTML Acronym"/>
    <w:basedOn w:val="DefaultParagraphFont"/>
    <w:semiHidden/>
    <w:rsid w:val="00675046"/>
  </w:style>
  <w:style w:type="paragraph" w:styleId="HTMLAddress">
    <w:name w:val="HTML Address"/>
    <w:basedOn w:val="Normal"/>
    <w:link w:val="HTMLAddressChar"/>
    <w:semiHidden/>
    <w:rsid w:val="00675046"/>
    <w:pPr>
      <w:spacing w:before="240"/>
    </w:pPr>
    <w:rPr>
      <w:rFonts w:ascii="Arial" w:eastAsia="Times New Roman" w:hAnsi="Arial"/>
      <w:i/>
      <w:iCs/>
      <w:sz w:val="20"/>
      <w:szCs w:val="20"/>
    </w:rPr>
  </w:style>
  <w:style w:type="character" w:customStyle="1" w:styleId="HTMLAddressChar">
    <w:name w:val="HTML Address Char"/>
    <w:basedOn w:val="DefaultParagraphFont"/>
    <w:link w:val="HTMLAddress"/>
    <w:semiHidden/>
    <w:rsid w:val="00675046"/>
    <w:rPr>
      <w:rFonts w:ascii="Arial" w:eastAsia="Times New Roman" w:hAnsi="Arial"/>
      <w:i/>
      <w:iCs/>
      <w:sz w:val="20"/>
      <w:szCs w:val="20"/>
    </w:rPr>
  </w:style>
  <w:style w:type="character" w:styleId="HTMLCite">
    <w:name w:val="HTML Cite"/>
    <w:basedOn w:val="DefaultParagraphFont"/>
    <w:semiHidden/>
    <w:rsid w:val="00675046"/>
    <w:rPr>
      <w:i/>
      <w:iCs/>
    </w:rPr>
  </w:style>
  <w:style w:type="character" w:styleId="HTMLCode">
    <w:name w:val="HTML Code"/>
    <w:basedOn w:val="DefaultParagraphFont"/>
    <w:semiHidden/>
    <w:rsid w:val="00675046"/>
    <w:rPr>
      <w:rFonts w:ascii="Courier New" w:hAnsi="Courier New" w:cs="Courier New"/>
      <w:sz w:val="20"/>
      <w:szCs w:val="20"/>
    </w:rPr>
  </w:style>
  <w:style w:type="character" w:styleId="HTMLDefinition">
    <w:name w:val="HTML Definition"/>
    <w:basedOn w:val="DefaultParagraphFont"/>
    <w:semiHidden/>
    <w:rsid w:val="00675046"/>
    <w:rPr>
      <w:i/>
      <w:iCs/>
    </w:rPr>
  </w:style>
  <w:style w:type="character" w:styleId="HTMLKeyboard">
    <w:name w:val="HTML Keyboard"/>
    <w:basedOn w:val="DefaultParagraphFont"/>
    <w:semiHidden/>
    <w:rsid w:val="00675046"/>
    <w:rPr>
      <w:rFonts w:ascii="Courier New" w:hAnsi="Courier New" w:cs="Courier New"/>
      <w:sz w:val="20"/>
      <w:szCs w:val="20"/>
    </w:rPr>
  </w:style>
  <w:style w:type="paragraph" w:styleId="HTMLPreformatted">
    <w:name w:val="HTML Preformatted"/>
    <w:basedOn w:val="Normal"/>
    <w:link w:val="HTMLPreformattedChar"/>
    <w:semiHidden/>
    <w:rsid w:val="00675046"/>
    <w:pPr>
      <w:spacing w:before="24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675046"/>
    <w:rPr>
      <w:rFonts w:ascii="Courier New" w:eastAsia="Times New Roman" w:hAnsi="Courier New" w:cs="Courier New"/>
      <w:sz w:val="20"/>
      <w:szCs w:val="20"/>
    </w:rPr>
  </w:style>
  <w:style w:type="character" w:styleId="HTMLSample">
    <w:name w:val="HTML Sample"/>
    <w:basedOn w:val="DefaultParagraphFont"/>
    <w:semiHidden/>
    <w:rsid w:val="00675046"/>
    <w:rPr>
      <w:rFonts w:ascii="Courier New" w:hAnsi="Courier New" w:cs="Courier New"/>
    </w:rPr>
  </w:style>
  <w:style w:type="character" w:styleId="HTMLTypewriter">
    <w:name w:val="HTML Typewriter"/>
    <w:basedOn w:val="DefaultParagraphFont"/>
    <w:semiHidden/>
    <w:rsid w:val="00675046"/>
    <w:rPr>
      <w:rFonts w:ascii="Courier New" w:hAnsi="Courier New" w:cs="Courier New"/>
      <w:sz w:val="20"/>
      <w:szCs w:val="20"/>
    </w:rPr>
  </w:style>
  <w:style w:type="character" w:styleId="HTMLVariable">
    <w:name w:val="HTML Variable"/>
    <w:basedOn w:val="DefaultParagraphFont"/>
    <w:semiHidden/>
    <w:rsid w:val="00675046"/>
    <w:rPr>
      <w:i/>
      <w:iCs/>
    </w:rPr>
  </w:style>
  <w:style w:type="table" w:styleId="LightList-Accent1">
    <w:name w:val="Light List Accent 1"/>
    <w:basedOn w:val="TableNormal"/>
    <w:uiPriority w:val="61"/>
    <w:rsid w:val="00675046"/>
    <w:pPr>
      <w:spacing w:before="0" w:line="240" w:lineRule="auto"/>
    </w:pPr>
    <w:rPr>
      <w:rFonts w:ascii="Times" w:eastAsia="Times New Roman" w:hAnsi="Times"/>
      <w:sz w:val="20"/>
      <w:szCs w:val="20"/>
    </w:rPr>
    <w:tblPr>
      <w:tblStyleRowBandSize w:val="1"/>
      <w:tblStyleColBandSize w:val="1"/>
      <w:tblInd w:w="0" w:type="dxa"/>
      <w:tblBorders>
        <w:top w:val="single" w:sz="8" w:space="0" w:color="006B7A" w:themeColor="accent1"/>
        <w:left w:val="single" w:sz="8" w:space="0" w:color="006B7A" w:themeColor="accent1"/>
        <w:bottom w:val="single" w:sz="8" w:space="0" w:color="006B7A" w:themeColor="accent1"/>
        <w:right w:val="single" w:sz="8" w:space="0" w:color="006B7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6B7A" w:themeFill="accent1"/>
      </w:tcPr>
    </w:tblStylePr>
    <w:tblStylePr w:type="lastRow">
      <w:pPr>
        <w:spacing w:before="0" w:after="0" w:line="240" w:lineRule="auto"/>
      </w:pPr>
      <w:rPr>
        <w:b/>
        <w:bCs/>
      </w:rPr>
      <w:tblPr/>
      <w:tcPr>
        <w:tcBorders>
          <w:top w:val="double" w:sz="6" w:space="0" w:color="006B7A" w:themeColor="accent1"/>
          <w:left w:val="single" w:sz="8" w:space="0" w:color="006B7A" w:themeColor="accent1"/>
          <w:bottom w:val="single" w:sz="8" w:space="0" w:color="006B7A" w:themeColor="accent1"/>
          <w:right w:val="single" w:sz="8" w:space="0" w:color="006B7A" w:themeColor="accent1"/>
        </w:tcBorders>
      </w:tcPr>
    </w:tblStylePr>
    <w:tblStylePr w:type="firstCol">
      <w:rPr>
        <w:b/>
        <w:bCs/>
      </w:rPr>
    </w:tblStylePr>
    <w:tblStylePr w:type="lastCol">
      <w:rPr>
        <w:b/>
        <w:bCs/>
      </w:rPr>
    </w:tblStylePr>
    <w:tblStylePr w:type="band1Vert">
      <w:tblPr/>
      <w:tcPr>
        <w:tcBorders>
          <w:top w:val="single" w:sz="8" w:space="0" w:color="006B7A" w:themeColor="accent1"/>
          <w:left w:val="single" w:sz="8" w:space="0" w:color="006B7A" w:themeColor="accent1"/>
          <w:bottom w:val="single" w:sz="8" w:space="0" w:color="006B7A" w:themeColor="accent1"/>
          <w:right w:val="single" w:sz="8" w:space="0" w:color="006B7A" w:themeColor="accent1"/>
        </w:tcBorders>
      </w:tcPr>
    </w:tblStylePr>
    <w:tblStylePr w:type="band1Horz">
      <w:tblPr/>
      <w:tcPr>
        <w:tcBorders>
          <w:top w:val="single" w:sz="8" w:space="0" w:color="006B7A" w:themeColor="accent1"/>
          <w:left w:val="single" w:sz="8" w:space="0" w:color="006B7A" w:themeColor="accent1"/>
          <w:bottom w:val="single" w:sz="8" w:space="0" w:color="006B7A" w:themeColor="accent1"/>
          <w:right w:val="single" w:sz="8" w:space="0" w:color="006B7A" w:themeColor="accent1"/>
        </w:tcBorders>
      </w:tcPr>
    </w:tblStylePr>
  </w:style>
  <w:style w:type="character" w:styleId="LineNumber">
    <w:name w:val="line number"/>
    <w:basedOn w:val="DefaultParagraphFont"/>
    <w:semiHidden/>
    <w:rsid w:val="00675046"/>
  </w:style>
  <w:style w:type="paragraph" w:styleId="List2">
    <w:name w:val="List 2"/>
    <w:basedOn w:val="Normal"/>
    <w:semiHidden/>
    <w:rsid w:val="00675046"/>
    <w:pPr>
      <w:spacing w:before="240"/>
      <w:ind w:left="566" w:hanging="283"/>
    </w:pPr>
    <w:rPr>
      <w:rFonts w:ascii="Arial" w:eastAsia="Times New Roman" w:hAnsi="Arial"/>
      <w:sz w:val="20"/>
      <w:szCs w:val="20"/>
    </w:rPr>
  </w:style>
  <w:style w:type="paragraph" w:styleId="List3">
    <w:name w:val="List 3"/>
    <w:basedOn w:val="Normal"/>
    <w:semiHidden/>
    <w:rsid w:val="00675046"/>
    <w:pPr>
      <w:spacing w:before="240"/>
      <w:ind w:left="849" w:hanging="283"/>
    </w:pPr>
    <w:rPr>
      <w:rFonts w:ascii="Arial" w:eastAsia="Times New Roman" w:hAnsi="Arial"/>
      <w:sz w:val="20"/>
      <w:szCs w:val="20"/>
    </w:rPr>
  </w:style>
  <w:style w:type="paragraph" w:styleId="List4">
    <w:name w:val="List 4"/>
    <w:basedOn w:val="Normal"/>
    <w:semiHidden/>
    <w:rsid w:val="00675046"/>
    <w:pPr>
      <w:spacing w:before="240"/>
      <w:ind w:left="1132" w:hanging="283"/>
    </w:pPr>
    <w:rPr>
      <w:rFonts w:ascii="Arial" w:eastAsia="Times New Roman" w:hAnsi="Arial"/>
      <w:sz w:val="20"/>
      <w:szCs w:val="20"/>
    </w:rPr>
  </w:style>
  <w:style w:type="paragraph" w:styleId="List5">
    <w:name w:val="List 5"/>
    <w:basedOn w:val="Normal"/>
    <w:semiHidden/>
    <w:rsid w:val="00675046"/>
    <w:pPr>
      <w:spacing w:before="240"/>
      <w:ind w:left="1415" w:hanging="283"/>
    </w:pPr>
    <w:rPr>
      <w:rFonts w:ascii="Arial" w:eastAsia="Times New Roman" w:hAnsi="Arial"/>
      <w:sz w:val="20"/>
      <w:szCs w:val="20"/>
    </w:rPr>
  </w:style>
  <w:style w:type="paragraph" w:styleId="ListBullet4">
    <w:name w:val="List Bullet 4"/>
    <w:basedOn w:val="Normal"/>
    <w:semiHidden/>
    <w:rsid w:val="00675046"/>
    <w:pPr>
      <w:numPr>
        <w:numId w:val="28"/>
      </w:numPr>
      <w:spacing w:before="240"/>
    </w:pPr>
    <w:rPr>
      <w:rFonts w:ascii="Arial" w:eastAsia="Times New Roman" w:hAnsi="Arial"/>
      <w:sz w:val="20"/>
      <w:szCs w:val="20"/>
    </w:rPr>
  </w:style>
  <w:style w:type="paragraph" w:styleId="ListBullet5">
    <w:name w:val="List Bullet 5"/>
    <w:basedOn w:val="Normal"/>
    <w:semiHidden/>
    <w:rsid w:val="00675046"/>
    <w:pPr>
      <w:numPr>
        <w:numId w:val="29"/>
      </w:numPr>
      <w:spacing w:before="240"/>
    </w:pPr>
    <w:rPr>
      <w:rFonts w:ascii="Arial" w:eastAsia="Times New Roman" w:hAnsi="Arial"/>
      <w:sz w:val="20"/>
      <w:szCs w:val="20"/>
    </w:rPr>
  </w:style>
  <w:style w:type="paragraph" w:styleId="ListContinue">
    <w:name w:val="List Continue"/>
    <w:basedOn w:val="Normal"/>
    <w:semiHidden/>
    <w:rsid w:val="00675046"/>
    <w:pPr>
      <w:spacing w:before="240" w:after="60"/>
      <w:ind w:left="283"/>
    </w:pPr>
    <w:rPr>
      <w:rFonts w:ascii="Arial" w:eastAsia="Times New Roman" w:hAnsi="Arial"/>
      <w:sz w:val="20"/>
      <w:szCs w:val="20"/>
    </w:rPr>
  </w:style>
  <w:style w:type="paragraph" w:styleId="ListContinue2">
    <w:name w:val="List Continue 2"/>
    <w:basedOn w:val="Normal"/>
    <w:semiHidden/>
    <w:rsid w:val="00675046"/>
    <w:pPr>
      <w:spacing w:before="240" w:after="60"/>
      <w:ind w:left="566"/>
    </w:pPr>
    <w:rPr>
      <w:rFonts w:ascii="Arial" w:eastAsia="Times New Roman" w:hAnsi="Arial"/>
      <w:sz w:val="20"/>
      <w:szCs w:val="20"/>
    </w:rPr>
  </w:style>
  <w:style w:type="paragraph" w:styleId="ListContinue3">
    <w:name w:val="List Continue 3"/>
    <w:basedOn w:val="Normal"/>
    <w:semiHidden/>
    <w:rsid w:val="00675046"/>
    <w:pPr>
      <w:spacing w:before="240" w:after="60"/>
      <w:ind w:left="849"/>
    </w:pPr>
    <w:rPr>
      <w:rFonts w:ascii="Arial" w:eastAsia="Times New Roman" w:hAnsi="Arial"/>
      <w:sz w:val="20"/>
      <w:szCs w:val="20"/>
    </w:rPr>
  </w:style>
  <w:style w:type="paragraph" w:styleId="ListContinue4">
    <w:name w:val="List Continue 4"/>
    <w:basedOn w:val="Normal"/>
    <w:semiHidden/>
    <w:rsid w:val="00675046"/>
    <w:pPr>
      <w:spacing w:before="240" w:after="60"/>
      <w:ind w:left="1132"/>
    </w:pPr>
    <w:rPr>
      <w:rFonts w:ascii="Arial" w:eastAsia="Times New Roman" w:hAnsi="Arial"/>
      <w:sz w:val="20"/>
      <w:szCs w:val="20"/>
    </w:rPr>
  </w:style>
  <w:style w:type="paragraph" w:styleId="ListContinue5">
    <w:name w:val="List Continue 5"/>
    <w:basedOn w:val="Normal"/>
    <w:semiHidden/>
    <w:rsid w:val="00675046"/>
    <w:pPr>
      <w:spacing w:before="240" w:after="60"/>
      <w:ind w:left="1415"/>
    </w:pPr>
    <w:rPr>
      <w:rFonts w:ascii="Arial" w:eastAsia="Times New Roman" w:hAnsi="Arial"/>
      <w:sz w:val="20"/>
      <w:szCs w:val="20"/>
    </w:rPr>
  </w:style>
  <w:style w:type="paragraph" w:styleId="ListNumber3">
    <w:name w:val="List Number 3"/>
    <w:basedOn w:val="Normal"/>
    <w:semiHidden/>
    <w:rsid w:val="00675046"/>
    <w:pPr>
      <w:numPr>
        <w:numId w:val="30"/>
      </w:numPr>
      <w:spacing w:before="240"/>
    </w:pPr>
    <w:rPr>
      <w:rFonts w:ascii="Arial" w:eastAsia="Times New Roman" w:hAnsi="Arial"/>
      <w:sz w:val="20"/>
      <w:szCs w:val="20"/>
    </w:rPr>
  </w:style>
  <w:style w:type="paragraph" w:styleId="ListNumber4">
    <w:name w:val="List Number 4"/>
    <w:basedOn w:val="Normal"/>
    <w:semiHidden/>
    <w:rsid w:val="00675046"/>
    <w:pPr>
      <w:numPr>
        <w:numId w:val="31"/>
      </w:numPr>
      <w:spacing w:before="240"/>
    </w:pPr>
    <w:rPr>
      <w:rFonts w:ascii="Arial" w:eastAsia="Times New Roman" w:hAnsi="Arial"/>
      <w:sz w:val="20"/>
      <w:szCs w:val="20"/>
    </w:rPr>
  </w:style>
  <w:style w:type="paragraph" w:styleId="ListNumber5">
    <w:name w:val="List Number 5"/>
    <w:basedOn w:val="Normal"/>
    <w:semiHidden/>
    <w:rsid w:val="00675046"/>
    <w:pPr>
      <w:numPr>
        <w:numId w:val="32"/>
      </w:numPr>
      <w:spacing w:before="240"/>
    </w:pPr>
    <w:rPr>
      <w:rFonts w:ascii="Arial" w:eastAsia="Times New Roman" w:hAnsi="Arial"/>
      <w:sz w:val="20"/>
      <w:szCs w:val="20"/>
    </w:rPr>
  </w:style>
  <w:style w:type="paragraph" w:customStyle="1" w:styleId="ListofLittleLetterandLittleRoman">
    <w:name w:val="List of LittleLetter and LittleRoman"/>
    <w:basedOn w:val="Normal"/>
    <w:semiHidden/>
    <w:rsid w:val="00675046"/>
    <w:pPr>
      <w:numPr>
        <w:numId w:val="33"/>
      </w:numPr>
      <w:tabs>
        <w:tab w:val="left" w:pos="851"/>
        <w:tab w:val="left" w:pos="1985"/>
        <w:tab w:val="left" w:pos="2552"/>
        <w:tab w:val="left" w:pos="3119"/>
        <w:tab w:val="right" w:pos="9027"/>
      </w:tabs>
      <w:spacing w:before="8" w:after="4"/>
    </w:pPr>
    <w:rPr>
      <w:rFonts w:ascii="Verdana" w:eastAsia="Times New Roman" w:hAnsi="Verdana"/>
      <w:sz w:val="18"/>
      <w:szCs w:val="24"/>
      <w:lang w:eastAsia="en-US"/>
    </w:rPr>
  </w:style>
  <w:style w:type="table" w:styleId="MediumShading1">
    <w:name w:val="Medium Shading 1"/>
    <w:basedOn w:val="TableNormal"/>
    <w:uiPriority w:val="63"/>
    <w:rsid w:val="00675046"/>
    <w:pPr>
      <w:spacing w:before="0" w:line="240" w:lineRule="auto"/>
    </w:pPr>
    <w:rPr>
      <w:rFonts w:ascii="Times" w:eastAsia="Times New Roman" w:hAnsi="Times"/>
      <w:sz w:val="20"/>
      <w:szCs w:val="20"/>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MessageHeader">
    <w:name w:val="Message Header"/>
    <w:basedOn w:val="Normal"/>
    <w:link w:val="MessageHeaderChar"/>
    <w:semiHidden/>
    <w:rsid w:val="00675046"/>
    <w:pPr>
      <w:pBdr>
        <w:top w:val="single" w:sz="6" w:space="1" w:color="auto"/>
        <w:left w:val="single" w:sz="6" w:space="1" w:color="auto"/>
        <w:bottom w:val="single" w:sz="6" w:space="1" w:color="auto"/>
        <w:right w:val="single" w:sz="6" w:space="1" w:color="auto"/>
      </w:pBdr>
      <w:shd w:val="pct20" w:color="auto" w:fill="auto"/>
      <w:spacing w:before="240"/>
      <w:ind w:left="1134" w:hanging="1134"/>
    </w:pPr>
    <w:rPr>
      <w:rFonts w:ascii="Arial" w:eastAsia="Times New Roman" w:hAnsi="Arial" w:cs="Arial"/>
      <w:sz w:val="24"/>
      <w:szCs w:val="20"/>
    </w:rPr>
  </w:style>
  <w:style w:type="character" w:customStyle="1" w:styleId="MessageHeaderChar">
    <w:name w:val="Message Header Char"/>
    <w:basedOn w:val="DefaultParagraphFont"/>
    <w:link w:val="MessageHeader"/>
    <w:semiHidden/>
    <w:rsid w:val="00675046"/>
    <w:rPr>
      <w:rFonts w:ascii="Arial" w:eastAsia="Times New Roman" w:hAnsi="Arial" w:cs="Arial"/>
      <w:sz w:val="24"/>
      <w:szCs w:val="20"/>
      <w:shd w:val="pct20" w:color="auto" w:fill="auto"/>
    </w:rPr>
  </w:style>
  <w:style w:type="paragraph" w:styleId="NoteHeading">
    <w:name w:val="Note Heading"/>
    <w:basedOn w:val="Normal"/>
    <w:next w:val="Normal"/>
    <w:link w:val="NoteHeadingChar"/>
    <w:semiHidden/>
    <w:rsid w:val="00675046"/>
    <w:pPr>
      <w:spacing w:before="240"/>
    </w:pPr>
    <w:rPr>
      <w:rFonts w:ascii="Arial" w:eastAsia="Times New Roman" w:hAnsi="Arial"/>
      <w:sz w:val="20"/>
      <w:szCs w:val="20"/>
    </w:rPr>
  </w:style>
  <w:style w:type="character" w:customStyle="1" w:styleId="NoteHeadingChar">
    <w:name w:val="Note Heading Char"/>
    <w:basedOn w:val="DefaultParagraphFont"/>
    <w:link w:val="NoteHeading"/>
    <w:semiHidden/>
    <w:rsid w:val="00675046"/>
    <w:rPr>
      <w:rFonts w:ascii="Arial" w:eastAsia="Times New Roman" w:hAnsi="Arial"/>
      <w:sz w:val="20"/>
      <w:szCs w:val="20"/>
    </w:rPr>
  </w:style>
  <w:style w:type="paragraph" w:customStyle="1" w:styleId="FrontPageDate">
    <w:name w:val="Front Page Date"/>
    <w:basedOn w:val="Normal"/>
    <w:uiPriority w:val="8"/>
    <w:qFormat/>
    <w:rsid w:val="00675046"/>
    <w:pPr>
      <w:spacing w:before="120" w:after="120" w:line="260" w:lineRule="atLeast"/>
      <w:ind w:left="284"/>
    </w:pPr>
    <w:rPr>
      <w:rFonts w:ascii="Arial Bold" w:eastAsiaTheme="minorHAnsi" w:hAnsi="Arial Bold" w:cstheme="minorBidi"/>
      <w:b/>
      <w:color w:val="FFFFFF"/>
      <w:sz w:val="28"/>
      <w:szCs w:val="22"/>
      <w:lang w:eastAsia="en-US"/>
    </w:rPr>
  </w:style>
  <w:style w:type="paragraph" w:styleId="PlainText">
    <w:name w:val="Plain Text"/>
    <w:basedOn w:val="Normal"/>
    <w:link w:val="PlainTextChar"/>
    <w:semiHidden/>
    <w:rsid w:val="00675046"/>
    <w:pPr>
      <w:spacing w:before="240"/>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675046"/>
    <w:rPr>
      <w:rFonts w:ascii="Courier New" w:eastAsia="Times New Roman" w:hAnsi="Courier New" w:cs="Courier New"/>
      <w:sz w:val="20"/>
      <w:szCs w:val="20"/>
    </w:rPr>
  </w:style>
  <w:style w:type="paragraph" w:styleId="Salutation">
    <w:name w:val="Salutation"/>
    <w:basedOn w:val="Normal"/>
    <w:next w:val="Normal"/>
    <w:link w:val="SalutationChar"/>
    <w:semiHidden/>
    <w:rsid w:val="00675046"/>
    <w:pPr>
      <w:spacing w:before="240"/>
    </w:pPr>
    <w:rPr>
      <w:rFonts w:ascii="Arial" w:eastAsia="Times New Roman" w:hAnsi="Arial"/>
      <w:sz w:val="20"/>
      <w:szCs w:val="20"/>
    </w:rPr>
  </w:style>
  <w:style w:type="character" w:customStyle="1" w:styleId="SalutationChar">
    <w:name w:val="Salutation Char"/>
    <w:basedOn w:val="DefaultParagraphFont"/>
    <w:link w:val="Salutation"/>
    <w:semiHidden/>
    <w:rsid w:val="00675046"/>
    <w:rPr>
      <w:rFonts w:ascii="Arial" w:eastAsia="Times New Roman" w:hAnsi="Arial"/>
      <w:sz w:val="20"/>
      <w:szCs w:val="20"/>
    </w:rPr>
  </w:style>
  <w:style w:type="paragraph" w:styleId="Signature">
    <w:name w:val="Signature"/>
    <w:basedOn w:val="Normal"/>
    <w:link w:val="SignatureChar"/>
    <w:semiHidden/>
    <w:rsid w:val="00675046"/>
    <w:pPr>
      <w:spacing w:before="240"/>
      <w:ind w:left="4252"/>
    </w:pPr>
    <w:rPr>
      <w:rFonts w:ascii="Arial" w:eastAsia="Times New Roman" w:hAnsi="Arial"/>
      <w:sz w:val="20"/>
      <w:szCs w:val="20"/>
    </w:rPr>
  </w:style>
  <w:style w:type="character" w:customStyle="1" w:styleId="SignatureChar">
    <w:name w:val="Signature Char"/>
    <w:basedOn w:val="DefaultParagraphFont"/>
    <w:link w:val="Signature"/>
    <w:semiHidden/>
    <w:rsid w:val="00675046"/>
    <w:rPr>
      <w:rFonts w:ascii="Arial" w:eastAsia="Times New Roman" w:hAnsi="Arial"/>
      <w:sz w:val="20"/>
      <w:szCs w:val="20"/>
    </w:rPr>
  </w:style>
  <w:style w:type="table" w:styleId="Table3Deffects1">
    <w:name w:val="Table 3D effects 1"/>
    <w:basedOn w:val="TableNormal"/>
    <w:semiHidden/>
    <w:rsid w:val="00675046"/>
    <w:pPr>
      <w:spacing w:before="0" w:line="240" w:lineRule="auto"/>
    </w:pPr>
    <w:rPr>
      <w:rFonts w:ascii="Times" w:eastAsia="Times New Roman" w:hAnsi="Times"/>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75046"/>
    <w:pPr>
      <w:spacing w:before="0" w:line="240" w:lineRule="auto"/>
    </w:pPr>
    <w:rPr>
      <w:rFonts w:ascii="Times" w:eastAsia="Times New Roman" w:hAnsi="Times"/>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75046"/>
    <w:pPr>
      <w:spacing w:before="0" w:line="240" w:lineRule="auto"/>
    </w:pPr>
    <w:rPr>
      <w:rFonts w:ascii="Times" w:eastAsia="Times New Roman" w:hAnsi="Times"/>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TableText"/>
    <w:qFormat/>
    <w:rsid w:val="00675046"/>
    <w:pPr>
      <w:numPr>
        <w:numId w:val="34"/>
      </w:numPr>
      <w:tabs>
        <w:tab w:val="num" w:pos="360"/>
      </w:tabs>
      <w:ind w:left="284" w:hanging="284"/>
    </w:pPr>
  </w:style>
  <w:style w:type="table" w:styleId="TableClassic1">
    <w:name w:val="Table Classic 1"/>
    <w:basedOn w:val="TableNormal"/>
    <w:semiHidden/>
    <w:rsid w:val="00675046"/>
    <w:pPr>
      <w:spacing w:before="0" w:line="240" w:lineRule="auto"/>
    </w:pPr>
    <w:rPr>
      <w:rFonts w:ascii="Times" w:eastAsia="Times New Roman" w:hAnsi="Times"/>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75046"/>
    <w:pPr>
      <w:spacing w:before="0" w:line="240" w:lineRule="auto"/>
    </w:pPr>
    <w:rPr>
      <w:rFonts w:ascii="Times" w:eastAsia="Times New Roman" w:hAnsi="Times"/>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75046"/>
    <w:pPr>
      <w:spacing w:before="0" w:line="240" w:lineRule="auto"/>
    </w:pPr>
    <w:rPr>
      <w:rFonts w:ascii="Times" w:eastAsia="Times New Roman" w:hAnsi="Times"/>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75046"/>
    <w:pPr>
      <w:spacing w:before="0" w:line="240" w:lineRule="auto"/>
    </w:pPr>
    <w:rPr>
      <w:rFonts w:ascii="Times" w:eastAsia="Times New Roman" w:hAnsi="Times"/>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75046"/>
    <w:pPr>
      <w:spacing w:before="0" w:line="240" w:lineRule="auto"/>
    </w:pPr>
    <w:rPr>
      <w:rFonts w:ascii="Times" w:eastAsia="Times New Roman" w:hAnsi="Times"/>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75046"/>
    <w:pPr>
      <w:spacing w:before="0" w:line="240" w:lineRule="auto"/>
    </w:pPr>
    <w:rPr>
      <w:rFonts w:ascii="Times" w:eastAsia="Times New Roman" w:hAnsi="Times"/>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75046"/>
    <w:pPr>
      <w:spacing w:before="0" w:line="240" w:lineRule="auto"/>
    </w:pPr>
    <w:rPr>
      <w:rFonts w:ascii="Times" w:eastAsia="Times New Roman" w:hAnsi="Times"/>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75046"/>
    <w:pPr>
      <w:spacing w:before="0" w:line="240" w:lineRule="auto"/>
    </w:pPr>
    <w:rPr>
      <w:rFonts w:ascii="Times" w:eastAsia="Times New Roman" w:hAnsi="Times"/>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75046"/>
    <w:pPr>
      <w:spacing w:before="0" w:line="240" w:lineRule="auto"/>
    </w:pPr>
    <w:rPr>
      <w:rFonts w:ascii="Times" w:eastAsia="Times New Roman" w:hAnsi="Times"/>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75046"/>
    <w:pPr>
      <w:spacing w:before="0" w:line="240" w:lineRule="auto"/>
    </w:pPr>
    <w:rPr>
      <w:rFonts w:ascii="Times" w:eastAsia="Times New Roman" w:hAnsi="Times"/>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75046"/>
    <w:pPr>
      <w:spacing w:before="0" w:line="240" w:lineRule="auto"/>
    </w:pPr>
    <w:rPr>
      <w:rFonts w:ascii="Times" w:eastAsia="Times New Roman" w:hAnsi="Time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75046"/>
    <w:pPr>
      <w:spacing w:before="0" w:line="240" w:lineRule="auto"/>
    </w:pPr>
    <w:rPr>
      <w:rFonts w:ascii="Times" w:eastAsia="Times New Roman" w:hAnsi="Times"/>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75046"/>
    <w:pPr>
      <w:spacing w:before="0" w:line="240" w:lineRule="auto"/>
    </w:pPr>
    <w:rPr>
      <w:rFonts w:ascii="Times" w:eastAsia="Times New Roman" w:hAnsi="Times"/>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75046"/>
    <w:pPr>
      <w:spacing w:before="0" w:line="240" w:lineRule="auto"/>
    </w:pPr>
    <w:rPr>
      <w:rFonts w:ascii="Times" w:eastAsia="Times New Roman" w:hAnsi="Times"/>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75046"/>
    <w:pPr>
      <w:spacing w:before="0" w:line="240" w:lineRule="auto"/>
    </w:pPr>
    <w:rPr>
      <w:rFonts w:ascii="Times" w:eastAsia="Times New Roman" w:hAnsi="Time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75046"/>
    <w:pPr>
      <w:spacing w:before="0" w:line="240" w:lineRule="auto"/>
    </w:pPr>
    <w:rPr>
      <w:rFonts w:ascii="Times" w:eastAsia="Times New Roman" w:hAnsi="Times"/>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75046"/>
    <w:pPr>
      <w:spacing w:before="0" w:line="240" w:lineRule="auto"/>
    </w:pPr>
    <w:rPr>
      <w:rFonts w:ascii="Times" w:eastAsia="Times New Roman" w:hAnsi="Times"/>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75046"/>
    <w:pPr>
      <w:spacing w:before="0" w:line="240" w:lineRule="auto"/>
    </w:pPr>
    <w:rPr>
      <w:rFonts w:ascii="Times" w:eastAsia="Times New Roman" w:hAnsi="Times"/>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75046"/>
    <w:pPr>
      <w:spacing w:before="0" w:line="240" w:lineRule="auto"/>
    </w:pPr>
    <w:rPr>
      <w:rFonts w:ascii="Times" w:eastAsia="Times New Roman" w:hAnsi="Time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75046"/>
    <w:pPr>
      <w:spacing w:before="0" w:line="240" w:lineRule="auto"/>
    </w:pPr>
    <w:rPr>
      <w:rFonts w:ascii="Times" w:eastAsia="Times New Roman" w:hAnsi="Times"/>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75046"/>
    <w:pPr>
      <w:spacing w:before="0" w:line="240" w:lineRule="auto"/>
    </w:pPr>
    <w:rPr>
      <w:rFonts w:ascii="Times" w:eastAsia="Times New Roman" w:hAnsi="Times"/>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75046"/>
    <w:pPr>
      <w:spacing w:before="0" w:line="240" w:lineRule="auto"/>
    </w:pPr>
    <w:rPr>
      <w:rFonts w:ascii="Times" w:eastAsia="Times New Roman" w:hAnsi="Times"/>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semiHidden/>
    <w:rsid w:val="00675046"/>
    <w:pPr>
      <w:spacing w:before="0" w:line="240" w:lineRule="auto"/>
    </w:pPr>
    <w:rPr>
      <w:rFonts w:ascii="Times" w:eastAsia="Times New Roman" w:hAnsi="Times"/>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75046"/>
    <w:pPr>
      <w:spacing w:before="0" w:line="240" w:lineRule="auto"/>
    </w:pPr>
    <w:rPr>
      <w:rFonts w:ascii="Times" w:eastAsia="Times New Roman" w:hAnsi="Times"/>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75046"/>
    <w:pPr>
      <w:spacing w:before="0" w:line="240" w:lineRule="auto"/>
    </w:pPr>
    <w:rPr>
      <w:rFonts w:ascii="Times" w:eastAsia="Times New Roman" w:hAnsi="Time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75046"/>
    <w:pPr>
      <w:spacing w:before="0" w:line="240" w:lineRule="auto"/>
    </w:pPr>
    <w:rPr>
      <w:rFonts w:ascii="Times" w:eastAsia="Times New Roman" w:hAnsi="Time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75046"/>
    <w:pPr>
      <w:spacing w:before="0" w:line="240" w:lineRule="auto"/>
    </w:pPr>
    <w:rPr>
      <w:rFonts w:ascii="Times" w:eastAsia="Times New Roman" w:hAnsi="Times"/>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75046"/>
    <w:pPr>
      <w:spacing w:before="0" w:line="240" w:lineRule="auto"/>
    </w:pPr>
    <w:rPr>
      <w:rFonts w:ascii="Times" w:eastAsia="Times New Roman" w:hAnsi="Times"/>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75046"/>
    <w:pPr>
      <w:spacing w:before="0" w:line="240" w:lineRule="auto"/>
    </w:pPr>
    <w:rPr>
      <w:rFonts w:ascii="Times" w:eastAsia="Times New Roman" w:hAnsi="Times"/>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Number">
    <w:name w:val="Table Number"/>
    <w:basedOn w:val="TableText"/>
    <w:qFormat/>
    <w:rsid w:val="00675046"/>
    <w:pPr>
      <w:numPr>
        <w:numId w:val="35"/>
      </w:numPr>
      <w:tabs>
        <w:tab w:val="num" w:pos="360"/>
      </w:tabs>
      <w:ind w:left="360" w:hanging="360"/>
    </w:pPr>
  </w:style>
  <w:style w:type="table" w:styleId="TableProfessional">
    <w:name w:val="Table Professional"/>
    <w:basedOn w:val="TableNormal"/>
    <w:semiHidden/>
    <w:rsid w:val="00675046"/>
    <w:pPr>
      <w:spacing w:before="0" w:line="240" w:lineRule="auto"/>
    </w:pPr>
    <w:rPr>
      <w:rFonts w:ascii="Times" w:eastAsia="Times New Roman" w:hAnsi="Time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75046"/>
    <w:pPr>
      <w:spacing w:before="0" w:line="240" w:lineRule="auto"/>
    </w:pPr>
    <w:rPr>
      <w:rFonts w:ascii="Times" w:eastAsia="Times New Roman" w:hAnsi="Times"/>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75046"/>
    <w:pPr>
      <w:spacing w:before="0" w:line="240" w:lineRule="auto"/>
    </w:pPr>
    <w:rPr>
      <w:rFonts w:ascii="Times" w:eastAsia="Times New Roman" w:hAnsi="Times"/>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75046"/>
    <w:pPr>
      <w:spacing w:before="0" w:line="240" w:lineRule="auto"/>
    </w:pPr>
    <w:rPr>
      <w:rFonts w:ascii="Times" w:eastAsia="Times New Roman" w:hAnsi="Time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75046"/>
    <w:pPr>
      <w:spacing w:before="0" w:line="240" w:lineRule="auto"/>
    </w:pPr>
    <w:rPr>
      <w:rFonts w:ascii="Times" w:eastAsia="Times New Roman" w:hAnsi="Times"/>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75046"/>
    <w:pPr>
      <w:spacing w:before="0" w:line="240" w:lineRule="auto"/>
    </w:pPr>
    <w:rPr>
      <w:rFonts w:ascii="Times" w:eastAsia="Times New Roman" w:hAnsi="Times"/>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75046"/>
    <w:pPr>
      <w:spacing w:before="0" w:line="240" w:lineRule="auto"/>
    </w:pPr>
    <w:rPr>
      <w:rFonts w:ascii="Times" w:eastAsia="Times New Roman" w:hAnsi="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75046"/>
    <w:pPr>
      <w:spacing w:before="0" w:line="240" w:lineRule="auto"/>
    </w:pPr>
    <w:rPr>
      <w:rFonts w:ascii="Times" w:eastAsia="Times New Roman" w:hAnsi="Times"/>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75046"/>
    <w:pPr>
      <w:spacing w:before="0" w:line="240" w:lineRule="auto"/>
    </w:pPr>
    <w:rPr>
      <w:rFonts w:ascii="Times" w:eastAsia="Times New Roman" w:hAnsi="Times"/>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75046"/>
    <w:pPr>
      <w:spacing w:before="0" w:line="240" w:lineRule="auto"/>
    </w:pPr>
    <w:rPr>
      <w:rFonts w:ascii="Times" w:eastAsia="Times New Roman" w:hAnsi="Times"/>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5">
    <w:name w:val="toc 5"/>
    <w:basedOn w:val="Normal"/>
    <w:next w:val="Normal"/>
    <w:autoRedefine/>
    <w:uiPriority w:val="39"/>
    <w:semiHidden/>
    <w:rsid w:val="00675046"/>
    <w:pPr>
      <w:spacing w:before="120" w:after="100" w:line="276" w:lineRule="auto"/>
      <w:ind w:left="880"/>
    </w:pPr>
    <w:rPr>
      <w:rFonts w:asciiTheme="minorHAnsi" w:hAnsiTheme="minorHAnsi" w:cstheme="minorBidi"/>
      <w:sz w:val="22"/>
      <w:szCs w:val="20"/>
    </w:rPr>
  </w:style>
  <w:style w:type="paragraph" w:styleId="TOC8">
    <w:name w:val="toc 8"/>
    <w:basedOn w:val="Normal"/>
    <w:next w:val="Normal"/>
    <w:autoRedefine/>
    <w:uiPriority w:val="39"/>
    <w:semiHidden/>
    <w:rsid w:val="00675046"/>
    <w:pPr>
      <w:spacing w:before="120" w:after="100" w:line="276" w:lineRule="auto"/>
      <w:ind w:left="1540"/>
    </w:pPr>
    <w:rPr>
      <w:rFonts w:asciiTheme="minorHAnsi" w:hAnsiTheme="minorHAnsi" w:cstheme="minorBidi"/>
      <w:sz w:val="22"/>
      <w:szCs w:val="20"/>
    </w:rPr>
  </w:style>
  <w:style w:type="paragraph" w:styleId="TOC9">
    <w:name w:val="toc 9"/>
    <w:basedOn w:val="Normal"/>
    <w:next w:val="Normal"/>
    <w:autoRedefine/>
    <w:uiPriority w:val="39"/>
    <w:semiHidden/>
    <w:rsid w:val="00675046"/>
    <w:pPr>
      <w:spacing w:before="120" w:after="100" w:line="260" w:lineRule="atLeast"/>
    </w:pPr>
    <w:rPr>
      <w:rFonts w:ascii="Georgia" w:eastAsiaTheme="minorHAnsi" w:hAnsi="Georgia" w:cstheme="minorBidi"/>
      <w:sz w:val="20"/>
      <w:szCs w:val="20"/>
      <w:lang w:eastAsia="en-US"/>
    </w:rPr>
  </w:style>
  <w:style w:type="paragraph" w:customStyle="1" w:styleId="PenPicName">
    <w:name w:val="PenPic Name"/>
    <w:basedOn w:val="Normal"/>
    <w:uiPriority w:val="5"/>
    <w:qFormat/>
    <w:rsid w:val="00675046"/>
    <w:pPr>
      <w:spacing w:beforeLines="60" w:before="60" w:afterLines="60" w:after="60" w:line="240" w:lineRule="auto"/>
      <w:ind w:left="709" w:hanging="709"/>
      <w:outlineLvl w:val="8"/>
    </w:pPr>
    <w:rPr>
      <w:rFonts w:ascii="Georgia" w:eastAsiaTheme="minorHAnsi" w:hAnsi="Georgia" w:cstheme="minorBidi"/>
      <w:b/>
      <w:color w:val="006B7A" w:themeColor="accent1"/>
      <w:sz w:val="24"/>
      <w:szCs w:val="24"/>
      <w:lang w:eastAsia="en-US"/>
    </w:rPr>
  </w:style>
  <w:style w:type="paragraph" w:customStyle="1" w:styleId="PenPicTitle">
    <w:name w:val="PenPic Title"/>
    <w:basedOn w:val="PenPicName"/>
    <w:uiPriority w:val="5"/>
    <w:qFormat/>
    <w:rsid w:val="00675046"/>
    <w:rPr>
      <w:b w:val="0"/>
      <w:szCs w:val="19"/>
    </w:rPr>
  </w:style>
  <w:style w:type="paragraph" w:customStyle="1" w:styleId="AppendixTitlePage">
    <w:name w:val="Appendix Title Page"/>
    <w:next w:val="Normal"/>
    <w:link w:val="AppendixTitlePageChar"/>
    <w:uiPriority w:val="7"/>
    <w:qFormat/>
    <w:rsid w:val="00675046"/>
    <w:pPr>
      <w:pageBreakBefore/>
      <w:numPr>
        <w:numId w:val="25"/>
      </w:numPr>
      <w:spacing w:before="1680" w:after="1120" w:line="360" w:lineRule="auto"/>
      <w:ind w:left="2835" w:firstLine="0"/>
      <w:outlineLvl w:val="0"/>
    </w:pPr>
    <w:rPr>
      <w:rFonts w:ascii="Arial" w:eastAsia="Times New Roman" w:hAnsi="Arial"/>
      <w:b/>
      <w:color w:val="000000" w:themeColor="text1"/>
      <w:sz w:val="36"/>
      <w:szCs w:val="36"/>
    </w:rPr>
  </w:style>
  <w:style w:type="character" w:customStyle="1" w:styleId="AppendixTitlePageChar">
    <w:name w:val="Appendix Title Page Char"/>
    <w:basedOn w:val="DefaultParagraphFont"/>
    <w:link w:val="AppendixTitlePage"/>
    <w:uiPriority w:val="7"/>
    <w:rsid w:val="00675046"/>
    <w:rPr>
      <w:rFonts w:ascii="Arial" w:eastAsia="Times New Roman" w:hAnsi="Arial"/>
      <w:b/>
      <w:color w:val="000000" w:themeColor="text1"/>
      <w:sz w:val="36"/>
      <w:szCs w:val="36"/>
    </w:rPr>
  </w:style>
  <w:style w:type="paragraph" w:customStyle="1" w:styleId="TableHeaderwhite">
    <w:name w:val="Table Header white"/>
    <w:basedOn w:val="Normal"/>
    <w:qFormat/>
    <w:rsid w:val="00675046"/>
    <w:pPr>
      <w:spacing w:before="120" w:after="120" w:line="240" w:lineRule="auto"/>
      <w:jc w:val="center"/>
    </w:pPr>
    <w:rPr>
      <w:rFonts w:ascii="Arial" w:eastAsia="Times New Roman" w:hAnsi="Arial"/>
      <w:b/>
      <w:sz w:val="18"/>
      <w:szCs w:val="20"/>
    </w:rPr>
  </w:style>
  <w:style w:type="table" w:customStyle="1" w:styleId="Style1">
    <w:name w:val="Style1"/>
    <w:basedOn w:val="TableNormal"/>
    <w:uiPriority w:val="99"/>
    <w:rsid w:val="00675046"/>
    <w:pPr>
      <w:spacing w:before="0" w:line="240" w:lineRule="auto"/>
    </w:pPr>
    <w:rPr>
      <w:rFonts w:ascii="Georgia" w:eastAsiaTheme="minorHAnsi" w:hAnsi="Georgia" w:cstheme="minorBidi"/>
      <w:sz w:val="20"/>
      <w:szCs w:val="20"/>
      <w:lang w:eastAsia="en-US"/>
    </w:rPr>
    <w:tblPr>
      <w:tblInd w:w="0" w:type="dxa"/>
      <w:tblCellMar>
        <w:top w:w="0" w:type="dxa"/>
        <w:left w:w="108" w:type="dxa"/>
        <w:bottom w:w="0" w:type="dxa"/>
        <w:right w:w="108" w:type="dxa"/>
      </w:tblCellMar>
    </w:tblPr>
    <w:tblStylePr w:type="firstRow">
      <w:tblPr/>
      <w:trPr>
        <w:tblHeader/>
      </w:trPr>
    </w:tblStylePr>
  </w:style>
  <w:style w:type="paragraph" w:customStyle="1" w:styleId="Default">
    <w:name w:val="Default"/>
    <w:rsid w:val="00675046"/>
    <w:pPr>
      <w:autoSpaceDE w:val="0"/>
      <w:autoSpaceDN w:val="0"/>
      <w:adjustRightInd w:val="0"/>
      <w:spacing w:before="0" w:line="240" w:lineRule="auto"/>
    </w:pPr>
    <w:rPr>
      <w:rFonts w:ascii="Georgia" w:eastAsiaTheme="minorHAnsi" w:hAnsi="Georgia" w:cs="Georgia"/>
      <w:color w:val="000000"/>
      <w:sz w:val="24"/>
      <w:szCs w:val="24"/>
      <w:lang w:val="en-US" w:eastAsia="en-US"/>
    </w:rPr>
  </w:style>
  <w:style w:type="paragraph" w:customStyle="1" w:styleId="Pa7">
    <w:name w:val="Pa7"/>
    <w:basedOn w:val="Default"/>
    <w:next w:val="Default"/>
    <w:uiPriority w:val="99"/>
    <w:rsid w:val="00675046"/>
    <w:pPr>
      <w:spacing w:line="201" w:lineRule="atLeast"/>
    </w:pPr>
    <w:rPr>
      <w:rFonts w:cstheme="minorBidi"/>
      <w:color w:val="auto"/>
    </w:rPr>
  </w:style>
  <w:style w:type="paragraph" w:customStyle="1" w:styleId="Pa2">
    <w:name w:val="Pa2"/>
    <w:basedOn w:val="Default"/>
    <w:next w:val="Default"/>
    <w:uiPriority w:val="99"/>
    <w:rsid w:val="00675046"/>
    <w:pPr>
      <w:spacing w:line="241" w:lineRule="atLeast"/>
    </w:pPr>
    <w:rPr>
      <w:rFonts w:cstheme="minorBidi"/>
      <w:color w:val="auto"/>
    </w:rPr>
  </w:style>
  <w:style w:type="paragraph" w:customStyle="1" w:styleId="TableHeading">
    <w:name w:val="Table Heading"/>
    <w:basedOn w:val="Normal"/>
    <w:rsid w:val="00675046"/>
    <w:pPr>
      <w:spacing w:line="240" w:lineRule="atLeast"/>
    </w:pPr>
    <w:rPr>
      <w:rFonts w:ascii="Arial" w:eastAsia="Times New Roman" w:hAnsi="Arial"/>
      <w:b/>
      <w:sz w:val="20"/>
      <w:szCs w:val="24"/>
    </w:rPr>
  </w:style>
  <w:style w:type="paragraph" w:customStyle="1" w:styleId="Bodysubheader">
    <w:name w:val="Body sub header"/>
    <w:basedOn w:val="Normal"/>
    <w:next w:val="Normal"/>
    <w:rsid w:val="00675046"/>
    <w:pPr>
      <w:spacing w:line="240" w:lineRule="atLeast"/>
    </w:pPr>
    <w:rPr>
      <w:rFonts w:ascii="Arial" w:eastAsia="Times New Roman" w:hAnsi="Arial"/>
      <w:b/>
      <w:i/>
      <w:sz w:val="20"/>
      <w:szCs w:val="24"/>
    </w:rPr>
  </w:style>
  <w:style w:type="paragraph" w:customStyle="1" w:styleId="ACMATableText">
    <w:name w:val="ACMA Table Text"/>
    <w:rsid w:val="00675046"/>
    <w:pPr>
      <w:spacing w:before="40" w:after="40" w:line="240" w:lineRule="auto"/>
    </w:pPr>
    <w:rPr>
      <w:rFonts w:ascii="Arial" w:eastAsia="Times New Roman" w:hAnsi="Arial"/>
      <w:sz w:val="20"/>
      <w:szCs w:val="20"/>
      <w:lang w:eastAsia="en-US"/>
    </w:rPr>
  </w:style>
  <w:style w:type="paragraph" w:styleId="EndnoteText">
    <w:name w:val="endnote text"/>
    <w:basedOn w:val="Normal"/>
    <w:link w:val="EndnoteTextChar"/>
    <w:unhideWhenUsed/>
    <w:rsid w:val="00675046"/>
    <w:pPr>
      <w:spacing w:line="240" w:lineRule="auto"/>
    </w:pPr>
    <w:rPr>
      <w:rFonts w:ascii="HelveticaNeueLT Std Lt" w:eastAsia="Times New Roman" w:hAnsi="HelveticaNeueLT Std Lt"/>
      <w:sz w:val="20"/>
      <w:szCs w:val="20"/>
    </w:rPr>
  </w:style>
  <w:style w:type="character" w:customStyle="1" w:styleId="EndnoteTextChar">
    <w:name w:val="Endnote Text Char"/>
    <w:basedOn w:val="DefaultParagraphFont"/>
    <w:link w:val="EndnoteText"/>
    <w:rsid w:val="00675046"/>
    <w:rPr>
      <w:rFonts w:ascii="HelveticaNeueLT Std Lt" w:eastAsia="Times New Roman" w:hAnsi="HelveticaNeueLT Std Lt"/>
      <w:sz w:val="20"/>
      <w:szCs w:val="20"/>
    </w:rPr>
  </w:style>
  <w:style w:type="character" w:styleId="EndnoteReference">
    <w:name w:val="endnote reference"/>
    <w:basedOn w:val="DefaultParagraphFont"/>
    <w:unhideWhenUsed/>
    <w:rsid w:val="00675046"/>
    <w:rPr>
      <w:vertAlign w:val="superscript"/>
    </w:rPr>
  </w:style>
  <w:style w:type="paragraph" w:customStyle="1" w:styleId="TableHeader">
    <w:name w:val="Table Header"/>
    <w:basedOn w:val="Normal"/>
    <w:autoRedefine/>
    <w:rsid w:val="00675046"/>
    <w:pPr>
      <w:keepNext/>
      <w:spacing w:before="120" w:after="120" w:line="240" w:lineRule="auto"/>
      <w:ind w:left="1191" w:hanging="1191"/>
    </w:pPr>
    <w:rPr>
      <w:rFonts w:ascii="Times New Roman" w:eastAsia="Times New Roman" w:hAnsi="Times New Roman"/>
      <w:b/>
      <w:sz w:val="24"/>
      <w:szCs w:val="24"/>
    </w:rPr>
  </w:style>
  <w:style w:type="character" w:customStyle="1" w:styleId="01bodybold">
    <w:name w:val="01 body bold"/>
    <w:uiPriority w:val="99"/>
    <w:rsid w:val="00675046"/>
    <w:rPr>
      <w:b/>
    </w:rPr>
  </w:style>
  <w:style w:type="paragraph" w:customStyle="1" w:styleId="03Figurepara">
    <w:name w:val="03 Figure para"/>
    <w:basedOn w:val="Normal"/>
    <w:uiPriority w:val="99"/>
    <w:rsid w:val="00675046"/>
    <w:pPr>
      <w:keepNext/>
      <w:keepLines/>
      <w:widowControl w:val="0"/>
      <w:tabs>
        <w:tab w:val="left" w:pos="964"/>
      </w:tabs>
      <w:suppressAutoHyphens/>
      <w:autoSpaceDE w:val="0"/>
      <w:autoSpaceDN w:val="0"/>
      <w:adjustRightInd w:val="0"/>
      <w:spacing w:before="170" w:after="57" w:line="288" w:lineRule="auto"/>
      <w:textAlignment w:val="center"/>
    </w:pPr>
    <w:rPr>
      <w:rFonts w:ascii="Arial" w:eastAsia="Times New Roman" w:hAnsi="Arial" w:cs="HelveticaNeueLTStd-Md"/>
      <w:color w:val="196DFF"/>
      <w:sz w:val="16"/>
      <w:szCs w:val="16"/>
      <w:lang w:val="en-GB"/>
    </w:rPr>
  </w:style>
  <w:style w:type="character" w:customStyle="1" w:styleId="01bodyitalic">
    <w:name w:val="01 body italic"/>
    <w:uiPriority w:val="99"/>
    <w:rsid w:val="00675046"/>
    <w:rPr>
      <w:i/>
      <w:iCs/>
    </w:rPr>
  </w:style>
  <w:style w:type="paragraph" w:customStyle="1" w:styleId="Customtabletitle">
    <w:name w:val="Custom table title"/>
    <w:rsid w:val="00881AFD"/>
    <w:pPr>
      <w:keepNext/>
      <w:spacing w:before="360" w:after="80" w:line="260" w:lineRule="atLeast"/>
    </w:pPr>
    <w:rPr>
      <w:rFonts w:ascii="Franklin Gothic Demi" w:eastAsia="Times New Roman" w:hAnsi="Franklin Gothic Demi"/>
      <w:szCs w:val="20"/>
    </w:rPr>
  </w:style>
  <w:style w:type="paragraph" w:customStyle="1" w:styleId="MELegal4">
    <w:name w:val="ME Legal 4"/>
    <w:aliases w:val="l4"/>
    <w:basedOn w:val="Normal"/>
    <w:next w:val="Normal"/>
    <w:uiPriority w:val="99"/>
    <w:rsid w:val="00A86FF3"/>
    <w:pPr>
      <w:numPr>
        <w:ilvl w:val="3"/>
        <w:numId w:val="39"/>
      </w:numPr>
      <w:tabs>
        <w:tab w:val="left" w:pos="2041"/>
      </w:tabs>
      <w:spacing w:after="140"/>
      <w:outlineLvl w:val="3"/>
    </w:pPr>
    <w:rPr>
      <w:rFonts w:ascii="Times New Roman" w:eastAsia="Times New Roman" w:hAnsi="Times New Roman"/>
      <w:sz w:val="24"/>
      <w:szCs w:val="24"/>
      <w:lang w:eastAsia="zh-CN"/>
    </w:rPr>
  </w:style>
  <w:style w:type="paragraph" w:customStyle="1" w:styleId="ExariLevel1">
    <w:name w:val="Exari Level 1"/>
    <w:uiPriority w:val="99"/>
    <w:rsid w:val="00A86FF3"/>
    <w:pPr>
      <w:numPr>
        <w:numId w:val="39"/>
      </w:numPr>
      <w:spacing w:before="240" w:after="60" w:line="240" w:lineRule="auto"/>
    </w:pPr>
    <w:rPr>
      <w:rFonts w:ascii="Arial" w:eastAsia="Times New Roman" w:hAnsi="Arial" w:cs="Arial"/>
      <w:bCs/>
      <w:kern w:val="32"/>
      <w:sz w:val="32"/>
      <w:szCs w:val="32"/>
      <w:lang w:val="en-US"/>
    </w:rPr>
  </w:style>
  <w:style w:type="paragraph" w:customStyle="1" w:styleId="ExariLevel2">
    <w:name w:val="Exari Level 2"/>
    <w:uiPriority w:val="99"/>
    <w:rsid w:val="00A86FF3"/>
    <w:pPr>
      <w:numPr>
        <w:ilvl w:val="1"/>
        <w:numId w:val="39"/>
      </w:numPr>
      <w:spacing w:before="240" w:after="60" w:line="240" w:lineRule="auto"/>
    </w:pPr>
    <w:rPr>
      <w:rFonts w:ascii="Arial" w:eastAsia="Times New Roman" w:hAnsi="Arial" w:cs="Arial"/>
      <w:b/>
      <w:bCs/>
      <w:kern w:val="32"/>
      <w:sz w:val="24"/>
      <w:szCs w:val="32"/>
      <w:lang w:val="en-US"/>
    </w:rPr>
  </w:style>
  <w:style w:type="character" w:customStyle="1" w:styleId="ExariLevel3Char">
    <w:name w:val="Exari Level 3 Char"/>
    <w:link w:val="ExariLevel3"/>
    <w:uiPriority w:val="99"/>
    <w:locked/>
    <w:rsid w:val="00A86FF3"/>
    <w:rPr>
      <w:rFonts w:ascii="Arial" w:hAnsi="Arial" w:cs="Arial"/>
      <w:bCs/>
      <w:kern w:val="32"/>
      <w:sz w:val="24"/>
      <w:szCs w:val="32"/>
      <w:lang w:val="en-US"/>
    </w:rPr>
  </w:style>
  <w:style w:type="paragraph" w:customStyle="1" w:styleId="ExariLevel3">
    <w:name w:val="Exari Level 3"/>
    <w:link w:val="ExariLevel3Char"/>
    <w:uiPriority w:val="99"/>
    <w:rsid w:val="00A86FF3"/>
    <w:pPr>
      <w:numPr>
        <w:ilvl w:val="2"/>
        <w:numId w:val="39"/>
      </w:numPr>
      <w:spacing w:before="240" w:after="60" w:line="240" w:lineRule="auto"/>
    </w:pPr>
    <w:rPr>
      <w:rFonts w:ascii="Arial" w:hAnsi="Arial" w:cs="Arial"/>
      <w:bCs/>
      <w:kern w:val="32"/>
      <w:sz w:val="24"/>
      <w:szCs w:val="32"/>
      <w:lang w:val="en-US"/>
    </w:rPr>
  </w:style>
  <w:style w:type="paragraph" w:customStyle="1" w:styleId="ExariLevel5">
    <w:name w:val="Exari Level 5"/>
    <w:basedOn w:val="Normal"/>
    <w:uiPriority w:val="99"/>
    <w:rsid w:val="00A86FF3"/>
    <w:pPr>
      <w:numPr>
        <w:ilvl w:val="4"/>
        <w:numId w:val="39"/>
      </w:numPr>
      <w:spacing w:before="240" w:after="60" w:line="240" w:lineRule="auto"/>
    </w:pPr>
    <w:rPr>
      <w:rFonts w:ascii="Arial" w:eastAsia="Times New Roman" w:hAnsi="Arial"/>
      <w:sz w:val="24"/>
      <w:szCs w:val="24"/>
    </w:rPr>
  </w:style>
  <w:style w:type="paragraph" w:customStyle="1" w:styleId="ExariLevel6">
    <w:name w:val="Exari Level 6"/>
    <w:uiPriority w:val="99"/>
    <w:rsid w:val="00A86FF3"/>
    <w:pPr>
      <w:numPr>
        <w:ilvl w:val="5"/>
        <w:numId w:val="39"/>
      </w:numPr>
      <w:spacing w:before="240" w:after="60" w:line="240" w:lineRule="auto"/>
    </w:pPr>
    <w:rPr>
      <w:rFonts w:ascii="Arial" w:eastAsia="Times New Roman" w:hAnsi="Arial"/>
      <w:sz w:val="24"/>
      <w:szCs w:val="24"/>
    </w:rPr>
  </w:style>
  <w:style w:type="paragraph" w:customStyle="1" w:styleId="Tablecells">
    <w:name w:val="Table: cells"/>
    <w:qFormat/>
    <w:rsid w:val="00A906FD"/>
    <w:pPr>
      <w:spacing w:before="40" w:after="40" w:line="240" w:lineRule="exact"/>
      <w:ind w:right="113"/>
    </w:pPr>
    <w:rPr>
      <w:rFonts w:ascii="Arial" w:eastAsiaTheme="minorHAnsi" w:hAnsi="Arial" w:cstheme="minorBidi"/>
      <w:sz w:val="18"/>
      <w:szCs w:val="22"/>
      <w:lang w:val="en-GB" w:eastAsia="en-US"/>
    </w:rPr>
  </w:style>
  <w:style w:type="paragraph" w:customStyle="1" w:styleId="Tableheading0">
    <w:name w:val="Table: heading"/>
    <w:basedOn w:val="Tablecells"/>
    <w:next w:val="Tablecells"/>
    <w:qFormat/>
    <w:rsid w:val="00A906FD"/>
    <w:pPr>
      <w:keepNext/>
    </w:pPr>
    <w:rPr>
      <w:b/>
      <w:color w:val="FFFFFF"/>
    </w:rPr>
  </w:style>
  <w:style w:type="table" w:styleId="MediumShading2-Accent1">
    <w:name w:val="Medium Shading 2 Accent 1"/>
    <w:basedOn w:val="TableNormal"/>
    <w:uiPriority w:val="64"/>
    <w:rsid w:val="00A906FD"/>
    <w:pPr>
      <w:spacing w:before="0" w:line="240" w:lineRule="auto"/>
    </w:pPr>
    <w:rPr>
      <w:rFonts w:asciiTheme="minorHAnsi" w:eastAsiaTheme="minorHAnsi" w:hAnsiTheme="minorHAnsi" w:cstheme="minorBidi"/>
      <w:sz w:val="22"/>
      <w:szCs w:val="22"/>
      <w:lang w:val="en-GB"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B7A"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B7A" w:themeFill="accent1"/>
      </w:tcPr>
    </w:tblStylePr>
    <w:tblStylePr w:type="lastCol">
      <w:rPr>
        <w:b/>
        <w:bCs/>
        <w:color w:val="FFFFFF" w:themeColor="background1"/>
      </w:rPr>
      <w:tblPr/>
      <w:tcPr>
        <w:tcBorders>
          <w:left w:val="nil"/>
          <w:right w:val="nil"/>
          <w:insideH w:val="nil"/>
          <w:insideV w:val="nil"/>
        </w:tcBorders>
        <w:shd w:val="clear" w:color="auto" w:fill="006B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82705">
      <w:bodyDiv w:val="1"/>
      <w:marLeft w:val="0"/>
      <w:marRight w:val="0"/>
      <w:marTop w:val="0"/>
      <w:marBottom w:val="0"/>
      <w:divBdr>
        <w:top w:val="none" w:sz="0" w:space="0" w:color="auto"/>
        <w:left w:val="none" w:sz="0" w:space="0" w:color="auto"/>
        <w:bottom w:val="none" w:sz="0" w:space="0" w:color="auto"/>
        <w:right w:val="none" w:sz="0" w:space="0" w:color="auto"/>
      </w:divBdr>
    </w:div>
    <w:div w:id="315961375">
      <w:bodyDiv w:val="1"/>
      <w:marLeft w:val="0"/>
      <w:marRight w:val="0"/>
      <w:marTop w:val="0"/>
      <w:marBottom w:val="0"/>
      <w:divBdr>
        <w:top w:val="none" w:sz="0" w:space="0" w:color="auto"/>
        <w:left w:val="none" w:sz="0" w:space="0" w:color="auto"/>
        <w:bottom w:val="none" w:sz="0" w:space="0" w:color="auto"/>
        <w:right w:val="none" w:sz="0" w:space="0" w:color="auto"/>
      </w:divBdr>
    </w:div>
    <w:div w:id="406997902">
      <w:bodyDiv w:val="1"/>
      <w:marLeft w:val="0"/>
      <w:marRight w:val="0"/>
      <w:marTop w:val="0"/>
      <w:marBottom w:val="0"/>
      <w:divBdr>
        <w:top w:val="none" w:sz="0" w:space="0" w:color="auto"/>
        <w:left w:val="none" w:sz="0" w:space="0" w:color="auto"/>
        <w:bottom w:val="none" w:sz="0" w:space="0" w:color="auto"/>
        <w:right w:val="none" w:sz="0" w:space="0" w:color="auto"/>
      </w:divBdr>
    </w:div>
    <w:div w:id="634454243">
      <w:bodyDiv w:val="1"/>
      <w:marLeft w:val="0"/>
      <w:marRight w:val="0"/>
      <w:marTop w:val="0"/>
      <w:marBottom w:val="0"/>
      <w:divBdr>
        <w:top w:val="none" w:sz="0" w:space="0" w:color="auto"/>
        <w:left w:val="none" w:sz="0" w:space="0" w:color="auto"/>
        <w:bottom w:val="none" w:sz="0" w:space="0" w:color="auto"/>
        <w:right w:val="none" w:sz="0" w:space="0" w:color="auto"/>
      </w:divBdr>
    </w:div>
    <w:div w:id="681470667">
      <w:bodyDiv w:val="1"/>
      <w:marLeft w:val="0"/>
      <w:marRight w:val="0"/>
      <w:marTop w:val="0"/>
      <w:marBottom w:val="0"/>
      <w:divBdr>
        <w:top w:val="none" w:sz="0" w:space="0" w:color="auto"/>
        <w:left w:val="none" w:sz="0" w:space="0" w:color="auto"/>
        <w:bottom w:val="none" w:sz="0" w:space="0" w:color="auto"/>
        <w:right w:val="none" w:sz="0" w:space="0" w:color="auto"/>
      </w:divBdr>
    </w:div>
    <w:div w:id="686180482">
      <w:bodyDiv w:val="1"/>
      <w:marLeft w:val="0"/>
      <w:marRight w:val="0"/>
      <w:marTop w:val="0"/>
      <w:marBottom w:val="0"/>
      <w:divBdr>
        <w:top w:val="none" w:sz="0" w:space="0" w:color="auto"/>
        <w:left w:val="none" w:sz="0" w:space="0" w:color="auto"/>
        <w:bottom w:val="none" w:sz="0" w:space="0" w:color="auto"/>
        <w:right w:val="none" w:sz="0" w:space="0" w:color="auto"/>
      </w:divBdr>
    </w:div>
    <w:div w:id="752816416">
      <w:bodyDiv w:val="1"/>
      <w:marLeft w:val="0"/>
      <w:marRight w:val="0"/>
      <w:marTop w:val="0"/>
      <w:marBottom w:val="0"/>
      <w:divBdr>
        <w:top w:val="none" w:sz="0" w:space="0" w:color="auto"/>
        <w:left w:val="none" w:sz="0" w:space="0" w:color="auto"/>
        <w:bottom w:val="none" w:sz="0" w:space="0" w:color="auto"/>
        <w:right w:val="none" w:sz="0" w:space="0" w:color="auto"/>
      </w:divBdr>
    </w:div>
    <w:div w:id="808670838">
      <w:bodyDiv w:val="1"/>
      <w:marLeft w:val="0"/>
      <w:marRight w:val="0"/>
      <w:marTop w:val="0"/>
      <w:marBottom w:val="0"/>
      <w:divBdr>
        <w:top w:val="none" w:sz="0" w:space="0" w:color="auto"/>
        <w:left w:val="none" w:sz="0" w:space="0" w:color="auto"/>
        <w:bottom w:val="none" w:sz="0" w:space="0" w:color="auto"/>
        <w:right w:val="none" w:sz="0" w:space="0" w:color="auto"/>
      </w:divBdr>
    </w:div>
    <w:div w:id="908803003">
      <w:bodyDiv w:val="1"/>
      <w:marLeft w:val="0"/>
      <w:marRight w:val="0"/>
      <w:marTop w:val="0"/>
      <w:marBottom w:val="0"/>
      <w:divBdr>
        <w:top w:val="none" w:sz="0" w:space="0" w:color="auto"/>
        <w:left w:val="none" w:sz="0" w:space="0" w:color="auto"/>
        <w:bottom w:val="none" w:sz="0" w:space="0" w:color="auto"/>
        <w:right w:val="none" w:sz="0" w:space="0" w:color="auto"/>
      </w:divBdr>
    </w:div>
    <w:div w:id="915242328">
      <w:bodyDiv w:val="1"/>
      <w:marLeft w:val="0"/>
      <w:marRight w:val="0"/>
      <w:marTop w:val="0"/>
      <w:marBottom w:val="0"/>
      <w:divBdr>
        <w:top w:val="none" w:sz="0" w:space="0" w:color="auto"/>
        <w:left w:val="none" w:sz="0" w:space="0" w:color="auto"/>
        <w:bottom w:val="none" w:sz="0" w:space="0" w:color="auto"/>
        <w:right w:val="none" w:sz="0" w:space="0" w:color="auto"/>
      </w:divBdr>
    </w:div>
    <w:div w:id="1018652995">
      <w:bodyDiv w:val="1"/>
      <w:marLeft w:val="0"/>
      <w:marRight w:val="0"/>
      <w:marTop w:val="0"/>
      <w:marBottom w:val="0"/>
      <w:divBdr>
        <w:top w:val="none" w:sz="0" w:space="0" w:color="auto"/>
        <w:left w:val="none" w:sz="0" w:space="0" w:color="auto"/>
        <w:bottom w:val="none" w:sz="0" w:space="0" w:color="auto"/>
        <w:right w:val="none" w:sz="0" w:space="0" w:color="auto"/>
      </w:divBdr>
    </w:div>
    <w:div w:id="1031686297">
      <w:bodyDiv w:val="1"/>
      <w:marLeft w:val="0"/>
      <w:marRight w:val="0"/>
      <w:marTop w:val="0"/>
      <w:marBottom w:val="0"/>
      <w:divBdr>
        <w:top w:val="none" w:sz="0" w:space="0" w:color="auto"/>
        <w:left w:val="none" w:sz="0" w:space="0" w:color="auto"/>
        <w:bottom w:val="none" w:sz="0" w:space="0" w:color="auto"/>
        <w:right w:val="none" w:sz="0" w:space="0" w:color="auto"/>
      </w:divBdr>
    </w:div>
    <w:div w:id="1298536351">
      <w:bodyDiv w:val="1"/>
      <w:marLeft w:val="0"/>
      <w:marRight w:val="0"/>
      <w:marTop w:val="0"/>
      <w:marBottom w:val="0"/>
      <w:divBdr>
        <w:top w:val="none" w:sz="0" w:space="0" w:color="auto"/>
        <w:left w:val="none" w:sz="0" w:space="0" w:color="auto"/>
        <w:bottom w:val="none" w:sz="0" w:space="0" w:color="auto"/>
        <w:right w:val="none" w:sz="0" w:space="0" w:color="auto"/>
      </w:divBdr>
    </w:div>
    <w:div w:id="1805728941">
      <w:bodyDiv w:val="1"/>
      <w:marLeft w:val="0"/>
      <w:marRight w:val="0"/>
      <w:marTop w:val="0"/>
      <w:marBottom w:val="0"/>
      <w:divBdr>
        <w:top w:val="none" w:sz="0" w:space="0" w:color="auto"/>
        <w:left w:val="none" w:sz="0" w:space="0" w:color="auto"/>
        <w:bottom w:val="none" w:sz="0" w:space="0" w:color="auto"/>
        <w:right w:val="none" w:sz="0" w:space="0" w:color="auto"/>
      </w:divBdr>
    </w:div>
    <w:div w:id="194827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6.emf"/><Relationship Id="rId39" Type="http://schemas.openxmlformats.org/officeDocument/2006/relationships/header" Target="header7.xml"/><Relationship Id="rId21" Type="http://schemas.openxmlformats.org/officeDocument/2006/relationships/footer" Target="footer5.xml"/><Relationship Id="rId34" Type="http://schemas.openxmlformats.org/officeDocument/2006/relationships/image" Target="media/image14.emf"/><Relationship Id="rId42" Type="http://schemas.openxmlformats.org/officeDocument/2006/relationships/header" Target="header8.xml"/><Relationship Id="rId47" Type="http://schemas.openxmlformats.org/officeDocument/2006/relationships/hyperlink" Target="http://registers.accc.gov.au/content/index.phtml/itemId/1035508" TargetMode="External"/><Relationship Id="rId50" Type="http://schemas.openxmlformats.org/officeDocument/2006/relationships/hyperlink" Target="http://registers.accc.gov.au/content/index.phtml/itemId/885821" TargetMode="External"/><Relationship Id="rId55" Type="http://schemas.openxmlformats.org/officeDocument/2006/relationships/hyperlink" Target="http://registers.accc.gov.au/content/index.phtml/itemId/885818" TargetMode="External"/><Relationship Id="rId63" Type="http://schemas.openxmlformats.org/officeDocument/2006/relationships/hyperlink" Target="http://www.austlii.edu.au/au/legis/cth/consol_act/tpassa1999620/" TargetMode="External"/><Relationship Id="rId68" Type="http://schemas.openxmlformats.org/officeDocument/2006/relationships/header" Target="header11.xm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image" Target="media/image9.emf"/><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chart" Target="charts/chart1.xml"/><Relationship Id="rId40" Type="http://schemas.openxmlformats.org/officeDocument/2006/relationships/footer" Target="footer6.xml"/><Relationship Id="rId45" Type="http://schemas.openxmlformats.org/officeDocument/2006/relationships/footer" Target="footer9.xml"/><Relationship Id="rId53" Type="http://schemas.openxmlformats.org/officeDocument/2006/relationships/hyperlink" Target="http://registers.accc.gov.au/content/index.phtml/itemId/885829" TargetMode="External"/><Relationship Id="rId58" Type="http://schemas.openxmlformats.org/officeDocument/2006/relationships/hyperlink" Target="http://registers.accc.gov.au/content/index.phtml/itemId/1133877" TargetMode="External"/><Relationship Id="rId66" Type="http://schemas.openxmlformats.org/officeDocument/2006/relationships/image" Target="media/image18.emf"/><Relationship Id="rId74"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yperlink" Target="http://www.TheCIE.com.au" TargetMode="Externa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hyperlink" Target="http://registers.accc.gov.au/content/index.phtml/itemId/801778" TargetMode="External"/><Relationship Id="rId57" Type="http://schemas.openxmlformats.org/officeDocument/2006/relationships/hyperlink" Target="http://registers.accc.gov.au/content/index.phtml/itemId/951805" TargetMode="External"/><Relationship Id="rId61" Type="http://schemas.openxmlformats.org/officeDocument/2006/relationships/hyperlink" Target="http://www.aca.gov.au/index/default.htm"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image" Target="media/image11.emf"/><Relationship Id="rId44" Type="http://schemas.openxmlformats.org/officeDocument/2006/relationships/footer" Target="footer8.xml"/><Relationship Id="rId52" Type="http://schemas.openxmlformats.org/officeDocument/2006/relationships/hyperlink" Target="http://registers.accc.gov.au/content/index.phtml/itemId/885827" TargetMode="External"/><Relationship Id="rId60" Type="http://schemas.openxmlformats.org/officeDocument/2006/relationships/hyperlink" Target="http://www.austlii.edu.au/au/legis/cth/consol_act/tpassa1999620/" TargetMode="External"/><Relationship Id="rId65" Type="http://schemas.openxmlformats.org/officeDocument/2006/relationships/image" Target="media/image17.emf"/><Relationship Id="rId73"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iesyd@TheCIE.com.au" TargetMode="Externa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header" Target="header9.xml"/><Relationship Id="rId48" Type="http://schemas.openxmlformats.org/officeDocument/2006/relationships/hyperlink" Target="http://registers.accc.gov.au/content/index.phtml/itemId/1035509" TargetMode="External"/><Relationship Id="rId56" Type="http://schemas.openxmlformats.org/officeDocument/2006/relationships/hyperlink" Target="http://registers.accc.gov.au/content/index.phtml/itemId/885825" TargetMode="External"/><Relationship Id="rId64" Type="http://schemas.openxmlformats.org/officeDocument/2006/relationships/hyperlink" Target="http://www.austlii.edu.au/au/legis/cth/consol_act/tpassa1999620/" TargetMode="External"/><Relationship Id="rId69" Type="http://schemas.openxmlformats.org/officeDocument/2006/relationships/footer" Target="footer10.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registers.accc.gov.au/content/index.phtml/itemId/885823" TargetMode="External"/><Relationship Id="rId72" Type="http://schemas.openxmlformats.org/officeDocument/2006/relationships/header" Target="header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header" Target="header6.xml"/><Relationship Id="rId46" Type="http://schemas.openxmlformats.org/officeDocument/2006/relationships/hyperlink" Target="https://www.accc.gov.au/regulated-infrastructure/fuel/acccs-fuel-monitoring-role" TargetMode="External"/><Relationship Id="rId59" Type="http://schemas.openxmlformats.org/officeDocument/2006/relationships/hyperlink" Target="http://www.austlii.edu.au/au/legis/cth/consol_act/topoa1996399/" TargetMode="External"/><Relationship Id="rId67" Type="http://schemas.openxmlformats.org/officeDocument/2006/relationships/header" Target="header10.xml"/><Relationship Id="rId20" Type="http://schemas.openxmlformats.org/officeDocument/2006/relationships/footer" Target="footer4.xml"/><Relationship Id="rId41" Type="http://schemas.openxmlformats.org/officeDocument/2006/relationships/footer" Target="footer7.xml"/><Relationship Id="rId54" Type="http://schemas.openxmlformats.org/officeDocument/2006/relationships/hyperlink" Target="http://registers.accc.gov.au/content/index.phtml/itemId/551958" TargetMode="External"/><Relationship Id="rId62" Type="http://schemas.openxmlformats.org/officeDocument/2006/relationships/hyperlink" Target="http://www.tio.com.au/" TargetMode="External"/><Relationship Id="rId70" Type="http://schemas.openxmlformats.org/officeDocument/2006/relationships/footer" Target="footer11.xml"/><Relationship Id="rId75"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tusma.gov.au/registers?list_id=148510&amp;result_148510_result_page=2" TargetMode="External"/><Relationship Id="rId2" Type="http://schemas.openxmlformats.org/officeDocument/2006/relationships/hyperlink" Target="http://www.tusma.gov.au/registers?result_148510_result_page=2" TargetMode="External"/><Relationship Id="rId1" Type="http://schemas.openxmlformats.org/officeDocument/2006/relationships/hyperlink" Target="http://ris.dpmc.gov.au/files/2012/03/pir_guidance_note.pdf" TargetMode="External"/><Relationship Id="rId5" Type="http://schemas.openxmlformats.org/officeDocument/2006/relationships/hyperlink" Target="http://www.accc.gov.au/regulated-infrastructure/communications/fixed-line-services/fixed-line-services-final-access-determination-fad-2011/final-report" TargetMode="External"/><Relationship Id="rId4" Type="http://schemas.openxmlformats.org/officeDocument/2006/relationships/hyperlink" Target="http://www.telstra.com.au/abouttelstra/commitments/us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Office%202010%20Templates%20(2013)\CIE%20report.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10.5.5.1\group\SYDNEY%20CLIENTS\DoC_Economic%20analysis%20of%20Telstra%20retail%20price%20controls\Data\Telstra%20chart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028247750916293"/>
          <c:y val="8.5760454585811954E-2"/>
          <c:w val="0.82643408652442008"/>
          <c:h val="0.79283790582734015"/>
        </c:manualLayout>
      </c:layout>
      <c:lineChart>
        <c:grouping val="standard"/>
        <c:varyColors val="0"/>
        <c:ser>
          <c:idx val="0"/>
          <c:order val="0"/>
          <c:tx>
            <c:strRef>
              <c:f>'[Telstra charts.xlsx]Sheet1'!$B$133</c:f>
              <c:strCache>
                <c:ptCount val="1"/>
                <c:pt idx="0">
                  <c:v>Total use VoIP</c:v>
                </c:pt>
              </c:strCache>
            </c:strRef>
          </c:tx>
          <c:spPr>
            <a:ln>
              <a:solidFill>
                <a:srgbClr val="006B7A"/>
              </a:solidFill>
            </a:ln>
          </c:spPr>
          <c:marker>
            <c:symbol val="none"/>
          </c:marker>
          <c:cat>
            <c:numRef>
              <c:f>'[Telstra charts.xlsx]Sheet1'!$A$134:$A$138</c:f>
              <c:numCache>
                <c:formatCode>mmmm\ yyyy</c:formatCode>
                <c:ptCount val="5"/>
                <c:pt idx="0">
                  <c:v>39965</c:v>
                </c:pt>
                <c:pt idx="1">
                  <c:v>40330</c:v>
                </c:pt>
                <c:pt idx="2">
                  <c:v>40695</c:v>
                </c:pt>
                <c:pt idx="3">
                  <c:v>41061</c:v>
                </c:pt>
                <c:pt idx="4">
                  <c:v>41426</c:v>
                </c:pt>
              </c:numCache>
            </c:numRef>
          </c:cat>
          <c:val>
            <c:numRef>
              <c:f>'[Telstra charts.xlsx]Sheet1'!$B$134:$B$138</c:f>
              <c:numCache>
                <c:formatCode>#\ ##0</c:formatCode>
                <c:ptCount val="5"/>
                <c:pt idx="0">
                  <c:v>2107</c:v>
                </c:pt>
                <c:pt idx="1">
                  <c:v>2759</c:v>
                </c:pt>
                <c:pt idx="2">
                  <c:v>3602</c:v>
                </c:pt>
                <c:pt idx="3">
                  <c:v>4342</c:v>
                </c:pt>
                <c:pt idx="4">
                  <c:v>4593</c:v>
                </c:pt>
              </c:numCache>
            </c:numRef>
          </c:val>
          <c:smooth val="0"/>
        </c:ser>
        <c:ser>
          <c:idx val="1"/>
          <c:order val="1"/>
          <c:tx>
            <c:strRef>
              <c:f>'[Telstra charts.xlsx]Sheet1'!$C$133</c:f>
              <c:strCache>
                <c:ptCount val="1"/>
                <c:pt idx="0">
                  <c:v>Computer/laptop</c:v>
                </c:pt>
              </c:strCache>
            </c:strRef>
          </c:tx>
          <c:spPr>
            <a:ln w="25400">
              <a:solidFill>
                <a:srgbClr val="F61D12"/>
              </a:solidFill>
              <a:prstDash val="solid"/>
            </a:ln>
          </c:spPr>
          <c:marker>
            <c:symbol val="none"/>
          </c:marker>
          <c:cat>
            <c:numRef>
              <c:f>'[Telstra charts.xlsx]Sheet1'!$A$134:$A$138</c:f>
              <c:numCache>
                <c:formatCode>mmmm\ yyyy</c:formatCode>
                <c:ptCount val="5"/>
                <c:pt idx="0">
                  <c:v>39965</c:v>
                </c:pt>
                <c:pt idx="1">
                  <c:v>40330</c:v>
                </c:pt>
                <c:pt idx="2">
                  <c:v>40695</c:v>
                </c:pt>
                <c:pt idx="3">
                  <c:v>41061</c:v>
                </c:pt>
                <c:pt idx="4">
                  <c:v>41426</c:v>
                </c:pt>
              </c:numCache>
            </c:numRef>
          </c:cat>
          <c:val>
            <c:numRef>
              <c:f>'[Telstra charts.xlsx]Sheet1'!$C$134:$C$138</c:f>
              <c:numCache>
                <c:formatCode>#\ ##0</c:formatCode>
                <c:ptCount val="5"/>
                <c:pt idx="0">
                  <c:v>1624</c:v>
                </c:pt>
                <c:pt idx="1">
                  <c:v>2244</c:v>
                </c:pt>
                <c:pt idx="2">
                  <c:v>2970</c:v>
                </c:pt>
                <c:pt idx="3">
                  <c:v>3610</c:v>
                </c:pt>
                <c:pt idx="4">
                  <c:v>3678</c:v>
                </c:pt>
              </c:numCache>
            </c:numRef>
          </c:val>
          <c:smooth val="0"/>
        </c:ser>
        <c:ser>
          <c:idx val="2"/>
          <c:order val="2"/>
          <c:tx>
            <c:strRef>
              <c:f>'[Telstra charts.xlsx]Sheet1'!$D$133</c:f>
              <c:strCache>
                <c:ptCount val="1"/>
                <c:pt idx="0">
                  <c:v>Internet phone or voice box/adaptor</c:v>
                </c:pt>
              </c:strCache>
            </c:strRef>
          </c:tx>
          <c:spPr>
            <a:ln w="25400">
              <a:solidFill>
                <a:srgbClr val="9B917E"/>
              </a:solidFill>
              <a:prstDash val="solid"/>
            </a:ln>
          </c:spPr>
          <c:marker>
            <c:symbol val="none"/>
          </c:marker>
          <c:cat>
            <c:numRef>
              <c:f>'[Telstra charts.xlsx]Sheet1'!$A$134:$A$138</c:f>
              <c:numCache>
                <c:formatCode>mmmm\ yyyy</c:formatCode>
                <c:ptCount val="5"/>
                <c:pt idx="0">
                  <c:v>39965</c:v>
                </c:pt>
                <c:pt idx="1">
                  <c:v>40330</c:v>
                </c:pt>
                <c:pt idx="2">
                  <c:v>40695</c:v>
                </c:pt>
                <c:pt idx="3">
                  <c:v>41061</c:v>
                </c:pt>
                <c:pt idx="4">
                  <c:v>41426</c:v>
                </c:pt>
              </c:numCache>
            </c:numRef>
          </c:cat>
          <c:val>
            <c:numRef>
              <c:f>'[Telstra charts.xlsx]Sheet1'!$D$134:$D$138</c:f>
              <c:numCache>
                <c:formatCode>#\ ##0</c:formatCode>
                <c:ptCount val="5"/>
                <c:pt idx="0">
                  <c:v>397</c:v>
                </c:pt>
                <c:pt idx="1">
                  <c:v>461</c:v>
                </c:pt>
                <c:pt idx="2">
                  <c:v>546</c:v>
                </c:pt>
                <c:pt idx="3">
                  <c:v>564</c:v>
                </c:pt>
                <c:pt idx="4">
                  <c:v>459</c:v>
                </c:pt>
              </c:numCache>
            </c:numRef>
          </c:val>
          <c:smooth val="0"/>
        </c:ser>
        <c:ser>
          <c:idx val="3"/>
          <c:order val="3"/>
          <c:tx>
            <c:strRef>
              <c:f>'[Telstra charts.xlsx]Sheet1'!$E$133</c:f>
              <c:strCache>
                <c:ptCount val="1"/>
                <c:pt idx="0">
                  <c:v>Mobile phone</c:v>
                </c:pt>
              </c:strCache>
            </c:strRef>
          </c:tx>
          <c:spPr>
            <a:ln w="25400">
              <a:solidFill>
                <a:srgbClr val="9AC2C4"/>
              </a:solidFill>
              <a:prstDash val="solid"/>
            </a:ln>
          </c:spPr>
          <c:marker>
            <c:symbol val="none"/>
          </c:marker>
          <c:cat>
            <c:numRef>
              <c:f>'[Telstra charts.xlsx]Sheet1'!$A$134:$A$138</c:f>
              <c:numCache>
                <c:formatCode>mmmm\ yyyy</c:formatCode>
                <c:ptCount val="5"/>
                <c:pt idx="0">
                  <c:v>39965</c:v>
                </c:pt>
                <c:pt idx="1">
                  <c:v>40330</c:v>
                </c:pt>
                <c:pt idx="2">
                  <c:v>40695</c:v>
                </c:pt>
                <c:pt idx="3">
                  <c:v>41061</c:v>
                </c:pt>
                <c:pt idx="4">
                  <c:v>41426</c:v>
                </c:pt>
              </c:numCache>
            </c:numRef>
          </c:cat>
          <c:val>
            <c:numRef>
              <c:f>'[Telstra charts.xlsx]Sheet1'!$E$134:$E$138</c:f>
              <c:numCache>
                <c:formatCode>#\ ##0</c:formatCode>
                <c:ptCount val="5"/>
                <c:pt idx="0">
                  <c:v>47</c:v>
                </c:pt>
                <c:pt idx="1">
                  <c:v>84</c:v>
                </c:pt>
                <c:pt idx="2">
                  <c:v>264</c:v>
                </c:pt>
                <c:pt idx="3">
                  <c:v>616</c:v>
                </c:pt>
                <c:pt idx="4">
                  <c:v>1063</c:v>
                </c:pt>
              </c:numCache>
            </c:numRef>
          </c:val>
          <c:smooth val="0"/>
        </c:ser>
        <c:ser>
          <c:idx val="4"/>
          <c:order val="4"/>
          <c:tx>
            <c:strRef>
              <c:f>'[Telstra charts.xlsx]Sheet1'!$F$133</c:f>
              <c:strCache>
                <c:ptCount val="1"/>
                <c:pt idx="0">
                  <c:v>Tablet (e.g. iPad)</c:v>
                </c:pt>
              </c:strCache>
            </c:strRef>
          </c:tx>
          <c:spPr>
            <a:ln w="25400">
              <a:solidFill>
                <a:srgbClr val="F38464"/>
              </a:solidFill>
              <a:prstDash val="solid"/>
            </a:ln>
          </c:spPr>
          <c:marker>
            <c:symbol val="none"/>
          </c:marker>
          <c:cat>
            <c:numRef>
              <c:f>'[Telstra charts.xlsx]Sheet1'!$A$134:$A$138</c:f>
              <c:numCache>
                <c:formatCode>mmmm\ yyyy</c:formatCode>
                <c:ptCount val="5"/>
                <c:pt idx="0">
                  <c:v>39965</c:v>
                </c:pt>
                <c:pt idx="1">
                  <c:v>40330</c:v>
                </c:pt>
                <c:pt idx="2">
                  <c:v>40695</c:v>
                </c:pt>
                <c:pt idx="3">
                  <c:v>41061</c:v>
                </c:pt>
                <c:pt idx="4">
                  <c:v>41426</c:v>
                </c:pt>
              </c:numCache>
            </c:numRef>
          </c:cat>
          <c:val>
            <c:numRef>
              <c:f>'[Telstra charts.xlsx]Sheet1'!$F$134:$F$138</c:f>
              <c:numCache>
                <c:formatCode>General</c:formatCode>
                <c:ptCount val="5"/>
                <c:pt idx="2" formatCode="#\ ##0">
                  <c:v>142</c:v>
                </c:pt>
                <c:pt idx="3" formatCode="#\ ##0">
                  <c:v>386</c:v>
                </c:pt>
                <c:pt idx="4" formatCode="#\ ##0">
                  <c:v>966</c:v>
                </c:pt>
              </c:numCache>
            </c:numRef>
          </c:val>
          <c:smooth val="0"/>
        </c:ser>
        <c:dLbls>
          <c:showLegendKey val="0"/>
          <c:showVal val="0"/>
          <c:showCatName val="0"/>
          <c:showSerName val="0"/>
          <c:showPercent val="0"/>
          <c:showBubbleSize val="0"/>
        </c:dLbls>
        <c:marker val="1"/>
        <c:smooth val="0"/>
        <c:axId val="163930880"/>
        <c:axId val="163932416"/>
      </c:lineChart>
      <c:dateAx>
        <c:axId val="163930880"/>
        <c:scaling>
          <c:orientation val="minMax"/>
        </c:scaling>
        <c:delete val="0"/>
        <c:axPos val="b"/>
        <c:numFmt formatCode="mmmm\ yyyy" sourceLinked="1"/>
        <c:majorTickMark val="out"/>
        <c:minorTickMark val="none"/>
        <c:tickLblPos val="nextTo"/>
        <c:spPr>
          <a:ln w="3175">
            <a:solidFill>
              <a:srgbClr val="000000"/>
            </a:solidFill>
            <a:prstDash val="solid"/>
          </a:ln>
        </c:spPr>
        <c:txPr>
          <a:bodyPr rot="0" vert="horz"/>
          <a:lstStyle/>
          <a:p>
            <a:pPr>
              <a:defRPr/>
            </a:pPr>
            <a:endParaRPr lang="en-US"/>
          </a:p>
        </c:txPr>
        <c:crossAx val="163932416"/>
        <c:crosses val="autoZero"/>
        <c:auto val="1"/>
        <c:lblOffset val="100"/>
        <c:baseTimeUnit val="years"/>
      </c:dateAx>
      <c:valAx>
        <c:axId val="163932416"/>
        <c:scaling>
          <c:orientation val="minMax"/>
        </c:scaling>
        <c:delete val="0"/>
        <c:axPos val="l"/>
        <c:majorGridlines>
          <c:spPr>
            <a:ln w="3175">
              <a:solidFill>
                <a:srgbClr val="000000"/>
              </a:solidFill>
              <a:prstDash val="solid"/>
            </a:ln>
          </c:spPr>
        </c:majorGridlines>
        <c:title>
          <c:tx>
            <c:rich>
              <a:bodyPr/>
              <a:lstStyle/>
              <a:p>
                <a:pPr>
                  <a:defRPr sz="800" b="0">
                    <a:latin typeface="Franklin Gothic Medium"/>
                    <a:ea typeface="Franklin Gothic Medium"/>
                    <a:cs typeface="Franklin Gothic Medium"/>
                  </a:defRPr>
                </a:pPr>
                <a:r>
                  <a:rPr lang="en-US"/>
                  <a:t>People (''000s)l</a:t>
                </a:r>
              </a:p>
            </c:rich>
          </c:tx>
          <c:layout>
            <c:manualLayout>
              <c:xMode val="edge"/>
              <c:yMode val="edge"/>
              <c:x val="3.5842293906810085E-4"/>
              <c:y val="0.40600135696040868"/>
            </c:manualLayout>
          </c:layout>
          <c:overlay val="0"/>
        </c:title>
        <c:numFmt formatCode="#\ ##0" sourceLinked="1"/>
        <c:majorTickMark val="out"/>
        <c:minorTickMark val="none"/>
        <c:tickLblPos val="nextTo"/>
        <c:spPr>
          <a:ln w="9525">
            <a:noFill/>
          </a:ln>
        </c:spPr>
        <c:txPr>
          <a:bodyPr rot="0" vert="horz"/>
          <a:lstStyle/>
          <a:p>
            <a:pPr>
              <a:defRPr/>
            </a:pPr>
            <a:endParaRPr lang="en-US"/>
          </a:p>
        </c:txPr>
        <c:crossAx val="163930880"/>
        <c:crosses val="autoZero"/>
        <c:crossBetween val="between"/>
      </c:valAx>
      <c:spPr>
        <a:noFill/>
        <a:ln w="25400">
          <a:noFill/>
        </a:ln>
      </c:spPr>
    </c:plotArea>
    <c:legend>
      <c:legendPos val="r"/>
      <c:layout>
        <c:manualLayout>
          <c:xMode val="edge"/>
          <c:yMode val="edge"/>
          <c:x val="0.10771455250741466"/>
          <c:y val="2.6943679895824083E-2"/>
          <c:w val="0.81704717008297034"/>
          <c:h val="0.19996211784900414"/>
        </c:manualLayout>
      </c:layout>
      <c:overlay val="0"/>
      <c:spPr>
        <a:noFill/>
        <a:ln w="25400">
          <a:noFill/>
        </a:ln>
      </c:spPr>
    </c:legend>
    <c:plotVisOnly val="1"/>
    <c:dispBlanksAs val="gap"/>
    <c:showDLblsOverMax val="0"/>
  </c:chart>
  <c:spPr>
    <a:noFill/>
    <a:ln w="9525">
      <a:noFill/>
    </a:ln>
  </c:spPr>
  <c:txPr>
    <a:bodyPr/>
    <a:lstStyle/>
    <a:p>
      <a:pPr>
        <a:defRPr sz="800" b="0" i="0" u="none" strike="noStrike" baseline="0">
          <a:solidFill>
            <a:srgbClr val="000000"/>
          </a:solidFill>
          <a:latin typeface="Franklin Gothic Book" pitchFamily="34" charset="0"/>
          <a:ea typeface="Arial"/>
          <a:cs typeface="Arial"/>
        </a:defRPr>
      </a:pPr>
      <a:endParaRPr lang="en-US"/>
    </a:p>
  </c:txPr>
  <c:externalData r:id="rId2">
    <c:autoUpdate val="0"/>
  </c:externalData>
</c:chartSpace>
</file>

<file path=word/theme/theme1.xml><?xml version="1.0" encoding="utf-8"?>
<a:theme xmlns:a="http://schemas.openxmlformats.org/drawingml/2006/main" name="TheCIE">
  <a:themeElements>
    <a:clrScheme name="TheCIE">
      <a:dk1>
        <a:sysClr val="windowText" lastClr="000000"/>
      </a:dk1>
      <a:lt1>
        <a:sysClr val="window" lastClr="FFFFFF"/>
      </a:lt1>
      <a:dk2>
        <a:srgbClr val="6F6652"/>
      </a:dk2>
      <a:lt2>
        <a:srgbClr val="E9E8E5"/>
      </a:lt2>
      <a:accent1>
        <a:srgbClr val="006B7A"/>
      </a:accent1>
      <a:accent2>
        <a:srgbClr val="F61D12"/>
      </a:accent2>
      <a:accent3>
        <a:srgbClr val="C6BFAB"/>
      </a:accent3>
      <a:accent4>
        <a:srgbClr val="9B917E"/>
      </a:accent4>
      <a:accent5>
        <a:srgbClr val="6F6652"/>
      </a:accent5>
      <a:accent6>
        <a:srgbClr val="9AC2C4"/>
      </a:accent6>
      <a:hlink>
        <a:srgbClr val="6F6652"/>
      </a:hlink>
      <a:folHlink>
        <a:srgbClr val="9B917E"/>
      </a:folHlink>
    </a:clrScheme>
    <a:fontScheme name="TheCIE">
      <a:majorFont>
        <a:latin typeface="Calisto MT"/>
        <a:ea typeface=""/>
        <a:cs typeface=""/>
      </a:majorFont>
      <a:minorFont>
        <a:latin typeface="Calisto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0AB401-26CD-408C-8AC4-5560C120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CIE report</Template>
  <TotalTime>105</TotalTime>
  <Pages>94</Pages>
  <Words>30883</Words>
  <Characters>176037</Characters>
  <Application>Microsoft Office Word</Application>
  <DocSecurity>0</DocSecurity>
  <Lines>1466</Lines>
  <Paragraphs>413</Paragraphs>
  <ScaleCrop>false</ScaleCrop>
  <HeadingPairs>
    <vt:vector size="2" baseType="variant">
      <vt:variant>
        <vt:lpstr>Title</vt:lpstr>
      </vt:variant>
      <vt:variant>
        <vt:i4>1</vt:i4>
      </vt:variant>
    </vt:vector>
  </HeadingPairs>
  <TitlesOfParts>
    <vt:vector size="1" baseType="lpstr">
      <vt:lpstr>CIE Final Report_Consolidated comments_16May2014</vt:lpstr>
    </vt:vector>
  </TitlesOfParts>
  <Company>Microsoft</Company>
  <LinksUpToDate>false</LinksUpToDate>
  <CharactersWithSpaces>206507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 Final Report_Consolidated comments_16May2014</dc:title>
  <dc:creator>Sheree</dc:creator>
  <cp:lastModifiedBy>Sturdy, Mark</cp:lastModifiedBy>
  <cp:revision>5</cp:revision>
  <cp:lastPrinted>2014-04-28T07:00:00Z</cp:lastPrinted>
  <dcterms:created xsi:type="dcterms:W3CDTF">2014-07-11T01:16:00Z</dcterms:created>
  <dcterms:modified xsi:type="dcterms:W3CDTF">2014-07-15T00:53:00Z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DEPT DOCUMENT</vt:lpwstr>
  </property>
  <property fmtid="{D5CDD505-2E9C-101B-9397-08002B2CF9AE}" pid="3" name="ContentTypeId">
    <vt:lpwstr>0x010100407620DDFF47524F86BCF55EDD39464301</vt:lpwstr>
  </property>
</Properties>
</file>