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41E42F" w14:textId="77777777" w:rsidR="005B762B" w:rsidRDefault="005B762B" w:rsidP="005B762B">
      <w:pPr>
        <w:pStyle w:val="Heading1"/>
      </w:pPr>
      <w:bookmarkStart w:id="0" w:name="_Toc371074964"/>
      <w:bookmarkStart w:id="1" w:name="_Toc371589355"/>
    </w:p>
    <w:p w14:paraId="5EDBBDA2" w14:textId="77777777" w:rsidR="005B762B" w:rsidRPr="0065569F" w:rsidRDefault="005B762B" w:rsidP="005B762B"/>
    <w:p w14:paraId="2F06D289" w14:textId="77777777" w:rsidR="005B762B" w:rsidRDefault="005B762B" w:rsidP="005B762B">
      <w:pPr>
        <w:rPr>
          <w:color w:val="404040" w:themeColor="text1" w:themeTint="BF"/>
          <w:sz w:val="56"/>
          <w:szCs w:val="56"/>
        </w:rPr>
      </w:pPr>
      <w:bookmarkStart w:id="2" w:name="_Toc370722893"/>
      <w:bookmarkStart w:id="3" w:name="_Toc371074965"/>
      <w:bookmarkStart w:id="4" w:name="_Toc371589356"/>
      <w:bookmarkStart w:id="5" w:name="_Toc371941822"/>
      <w:bookmarkStart w:id="6" w:name="_Toc373339343"/>
      <w:bookmarkStart w:id="7" w:name="_Toc373339479"/>
      <w:bookmarkStart w:id="8" w:name="_Toc373341394"/>
      <w:bookmarkStart w:id="9" w:name="_Toc373481206"/>
      <w:bookmarkStart w:id="10" w:name="_Toc373483616"/>
      <w:bookmarkStart w:id="11" w:name="_Toc373483969"/>
      <w:bookmarkEnd w:id="0"/>
      <w:bookmarkEnd w:id="1"/>
    </w:p>
    <w:p w14:paraId="33C78DB7" w14:textId="77777777" w:rsidR="005B762B" w:rsidRDefault="005B762B" w:rsidP="005B762B">
      <w:pPr>
        <w:rPr>
          <w:color w:val="404040" w:themeColor="text1" w:themeTint="BF"/>
          <w:sz w:val="56"/>
          <w:szCs w:val="56"/>
        </w:rPr>
      </w:pPr>
    </w:p>
    <w:p w14:paraId="099464F3" w14:textId="77777777" w:rsidR="005B762B" w:rsidRDefault="005B762B" w:rsidP="005B762B">
      <w:pPr>
        <w:rPr>
          <w:i/>
          <w:color w:val="404040" w:themeColor="text1" w:themeTint="BF"/>
          <w:sz w:val="56"/>
        </w:rPr>
      </w:pPr>
      <w:r w:rsidRPr="005429DC">
        <w:rPr>
          <w:color w:val="404040" w:themeColor="text1" w:themeTint="BF"/>
          <w:sz w:val="56"/>
          <w:szCs w:val="56"/>
        </w:rPr>
        <w:t>Broadband Availability and Quality</w:t>
      </w:r>
    </w:p>
    <w:p w14:paraId="1CF16BFC" w14:textId="77777777" w:rsidR="005B762B" w:rsidRPr="008C28BD" w:rsidRDefault="005B762B" w:rsidP="005B762B">
      <w:pPr>
        <w:rPr>
          <w:color w:val="404040" w:themeColor="text1" w:themeTint="BF"/>
          <w:sz w:val="56"/>
        </w:rPr>
      </w:pPr>
      <w:r w:rsidRPr="008C28BD">
        <w:rPr>
          <w:color w:val="404040" w:themeColor="text1" w:themeTint="BF"/>
          <w:sz w:val="56"/>
        </w:rPr>
        <w:t>Report</w:t>
      </w:r>
    </w:p>
    <w:p w14:paraId="74C874BE" w14:textId="77777777" w:rsidR="005B762B" w:rsidRPr="005429DC" w:rsidRDefault="005B762B" w:rsidP="005B762B">
      <w:pPr>
        <w:rPr>
          <w:color w:val="404040" w:themeColor="text1" w:themeTint="BF"/>
          <w:sz w:val="56"/>
          <w:szCs w:val="56"/>
        </w:rPr>
      </w:pPr>
    </w:p>
    <w:p w14:paraId="493380D4" w14:textId="77777777" w:rsidR="005B762B" w:rsidRPr="004F0288" w:rsidRDefault="005B762B" w:rsidP="005B762B">
      <w:pPr>
        <w:rPr>
          <w:color w:val="404040" w:themeColor="text1" w:themeTint="BF"/>
          <w:sz w:val="56"/>
          <w:szCs w:val="56"/>
        </w:rPr>
      </w:pPr>
      <w:r>
        <w:rPr>
          <w:color w:val="404040" w:themeColor="text1" w:themeTint="BF"/>
          <w:sz w:val="56"/>
          <w:szCs w:val="56"/>
        </w:rPr>
        <w:t>December</w:t>
      </w:r>
      <w:r w:rsidRPr="004F0288">
        <w:rPr>
          <w:color w:val="404040" w:themeColor="text1" w:themeTint="BF"/>
          <w:sz w:val="56"/>
          <w:szCs w:val="56"/>
        </w:rPr>
        <w:t xml:space="preserve"> 201</w:t>
      </w:r>
      <w:bookmarkEnd w:id="2"/>
      <w:bookmarkEnd w:id="3"/>
      <w:bookmarkEnd w:id="4"/>
      <w:bookmarkEnd w:id="5"/>
      <w:bookmarkEnd w:id="6"/>
      <w:bookmarkEnd w:id="7"/>
      <w:bookmarkEnd w:id="8"/>
      <w:bookmarkEnd w:id="9"/>
      <w:bookmarkEnd w:id="10"/>
      <w:bookmarkEnd w:id="11"/>
      <w:r>
        <w:rPr>
          <w:color w:val="404040" w:themeColor="text1" w:themeTint="BF"/>
          <w:sz w:val="56"/>
          <w:szCs w:val="56"/>
        </w:rPr>
        <w:t xml:space="preserve">3 </w:t>
      </w:r>
    </w:p>
    <w:p w14:paraId="57E21CC1" w14:textId="77777777" w:rsidR="005B762B" w:rsidRDefault="005B762B" w:rsidP="00F36053">
      <w:pPr>
        <w:jc w:val="center"/>
      </w:pPr>
    </w:p>
    <w:p w14:paraId="18760CDB" w14:textId="77777777" w:rsidR="005B762B" w:rsidRDefault="005B762B" w:rsidP="005B762B"/>
    <w:p w14:paraId="03D7E0E3" w14:textId="77777777" w:rsidR="005B762B" w:rsidRDefault="005B762B" w:rsidP="005B762B"/>
    <w:p w14:paraId="0BDB2834" w14:textId="77777777" w:rsidR="005B762B" w:rsidRDefault="005B762B" w:rsidP="005B762B">
      <w:pPr>
        <w:sectPr w:rsidR="005B762B" w:rsidSect="003F006C">
          <w:headerReference w:type="default" r:id="rId12"/>
          <w:footerReference w:type="default" r:id="rId13"/>
          <w:headerReference w:type="first" r:id="rId14"/>
          <w:footerReference w:type="first" r:id="rId15"/>
          <w:pgSz w:w="11900" w:h="16840" w:code="9"/>
          <w:pgMar w:top="1560" w:right="1440" w:bottom="1440" w:left="1440" w:header="708" w:footer="708" w:gutter="0"/>
          <w:cols w:space="708"/>
          <w:titlePg/>
          <w:docGrid w:linePitch="360"/>
        </w:sectPr>
      </w:pPr>
    </w:p>
    <w:p w14:paraId="71A20E28" w14:textId="77777777" w:rsidR="005B762B" w:rsidRDefault="005B762B" w:rsidP="005B762B"/>
    <w:bookmarkStart w:id="12" w:name="_Toc373483617" w:displacedByCustomXml="next"/>
    <w:bookmarkStart w:id="13" w:name="_Toc373481207" w:displacedByCustomXml="next"/>
    <w:bookmarkStart w:id="14" w:name="_Toc371074967" w:displacedByCustomXml="next"/>
    <w:bookmarkStart w:id="15" w:name="_Toc370225838" w:displacedByCustomXml="next"/>
    <w:sdt>
      <w:sdtPr>
        <w:rPr>
          <w:rFonts w:ascii="Calibri" w:eastAsia="Cambria" w:hAnsi="Calibri" w:cs="Times New Roman"/>
          <w:b w:val="0"/>
          <w:bCs w:val="0"/>
          <w:color w:val="3B3C3B"/>
          <w:sz w:val="24"/>
          <w:szCs w:val="24"/>
          <w:lang w:eastAsia="en-US"/>
        </w:rPr>
        <w:id w:val="1770580472"/>
        <w:docPartObj>
          <w:docPartGallery w:val="Table of Contents"/>
          <w:docPartUnique/>
        </w:docPartObj>
      </w:sdtPr>
      <w:sdtEndPr>
        <w:rPr>
          <w:noProof/>
        </w:rPr>
      </w:sdtEndPr>
      <w:sdtContent>
        <w:p w14:paraId="7106085E" w14:textId="77777777" w:rsidR="005B762B" w:rsidRDefault="005B762B" w:rsidP="005B762B">
          <w:pPr>
            <w:pStyle w:val="TOCHeading"/>
            <w:spacing w:before="0"/>
          </w:pPr>
          <w:r>
            <w:t>Contents</w:t>
          </w:r>
        </w:p>
        <w:p w14:paraId="48F224F9" w14:textId="77777777" w:rsidR="0041297F" w:rsidRDefault="005B762B">
          <w:pPr>
            <w:pStyle w:val="TOC1"/>
            <w:rPr>
              <w:rFonts w:asciiTheme="minorHAnsi" w:eastAsiaTheme="minorEastAsia" w:hAnsiTheme="minorHAnsi" w:cstheme="minorBidi"/>
              <w:noProof/>
              <w:color w:val="auto"/>
              <w:sz w:val="22"/>
              <w:szCs w:val="22"/>
              <w:lang w:val="en-AU" w:eastAsia="en-AU"/>
            </w:rPr>
          </w:pPr>
          <w:r>
            <w:fldChar w:fldCharType="begin"/>
          </w:r>
          <w:r>
            <w:instrText xml:space="preserve"> TOC \o "1-2" \h \z \u </w:instrText>
          </w:r>
          <w:r>
            <w:fldChar w:fldCharType="separate"/>
          </w:r>
          <w:hyperlink w:anchor="_Toc380479889" w:history="1">
            <w:r w:rsidR="0041297F" w:rsidRPr="007C3141">
              <w:rPr>
                <w:rStyle w:val="Hyperlink"/>
                <w:noProof/>
              </w:rPr>
              <w:t>1. Executive Summary</w:t>
            </w:r>
            <w:r w:rsidR="0041297F">
              <w:rPr>
                <w:noProof/>
                <w:webHidden/>
              </w:rPr>
              <w:tab/>
            </w:r>
            <w:r w:rsidR="0041297F">
              <w:rPr>
                <w:noProof/>
                <w:webHidden/>
              </w:rPr>
              <w:fldChar w:fldCharType="begin"/>
            </w:r>
            <w:r w:rsidR="0041297F">
              <w:rPr>
                <w:noProof/>
                <w:webHidden/>
              </w:rPr>
              <w:instrText xml:space="preserve"> PAGEREF _Toc380479889 \h </w:instrText>
            </w:r>
            <w:r w:rsidR="0041297F">
              <w:rPr>
                <w:noProof/>
                <w:webHidden/>
              </w:rPr>
            </w:r>
            <w:r w:rsidR="0041297F">
              <w:rPr>
                <w:noProof/>
                <w:webHidden/>
              </w:rPr>
              <w:fldChar w:fldCharType="separate"/>
            </w:r>
            <w:r w:rsidR="0089210A">
              <w:rPr>
                <w:noProof/>
                <w:webHidden/>
              </w:rPr>
              <w:t>3</w:t>
            </w:r>
            <w:r w:rsidR="0041297F">
              <w:rPr>
                <w:noProof/>
                <w:webHidden/>
              </w:rPr>
              <w:fldChar w:fldCharType="end"/>
            </w:r>
          </w:hyperlink>
        </w:p>
        <w:p w14:paraId="0C812FC3"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890" w:history="1">
            <w:r w:rsidR="0041297F" w:rsidRPr="007C3141">
              <w:rPr>
                <w:rStyle w:val="Hyperlink"/>
                <w:noProof/>
                <w:lang w:val="en-US"/>
              </w:rPr>
              <w:t>1.1. Availability</w:t>
            </w:r>
            <w:r w:rsidR="0041297F">
              <w:rPr>
                <w:noProof/>
                <w:webHidden/>
              </w:rPr>
              <w:tab/>
            </w:r>
            <w:r w:rsidR="0041297F">
              <w:rPr>
                <w:noProof/>
                <w:webHidden/>
              </w:rPr>
              <w:fldChar w:fldCharType="begin"/>
            </w:r>
            <w:r w:rsidR="0041297F">
              <w:rPr>
                <w:noProof/>
                <w:webHidden/>
              </w:rPr>
              <w:instrText xml:space="preserve"> PAGEREF _Toc380479890 \h </w:instrText>
            </w:r>
            <w:r w:rsidR="0041297F">
              <w:rPr>
                <w:noProof/>
                <w:webHidden/>
              </w:rPr>
            </w:r>
            <w:r w:rsidR="0041297F">
              <w:rPr>
                <w:noProof/>
                <w:webHidden/>
              </w:rPr>
              <w:fldChar w:fldCharType="separate"/>
            </w:r>
            <w:r w:rsidR="0089210A">
              <w:rPr>
                <w:noProof/>
                <w:webHidden/>
              </w:rPr>
              <w:t>3</w:t>
            </w:r>
            <w:r w:rsidR="0041297F">
              <w:rPr>
                <w:noProof/>
                <w:webHidden/>
              </w:rPr>
              <w:fldChar w:fldCharType="end"/>
            </w:r>
          </w:hyperlink>
        </w:p>
        <w:p w14:paraId="5312145F"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891" w:history="1">
            <w:r w:rsidR="0041297F" w:rsidRPr="007C3141">
              <w:rPr>
                <w:rStyle w:val="Hyperlink"/>
                <w:noProof/>
              </w:rPr>
              <w:t>1.2. Quality</w:t>
            </w:r>
            <w:r w:rsidR="0041297F">
              <w:rPr>
                <w:noProof/>
                <w:webHidden/>
              </w:rPr>
              <w:tab/>
            </w:r>
            <w:r w:rsidR="0041297F">
              <w:rPr>
                <w:noProof/>
                <w:webHidden/>
              </w:rPr>
              <w:fldChar w:fldCharType="begin"/>
            </w:r>
            <w:r w:rsidR="0041297F">
              <w:rPr>
                <w:noProof/>
                <w:webHidden/>
              </w:rPr>
              <w:instrText xml:space="preserve"> PAGEREF _Toc380479891 \h </w:instrText>
            </w:r>
            <w:r w:rsidR="0041297F">
              <w:rPr>
                <w:noProof/>
                <w:webHidden/>
              </w:rPr>
            </w:r>
            <w:r w:rsidR="0041297F">
              <w:rPr>
                <w:noProof/>
                <w:webHidden/>
              </w:rPr>
              <w:fldChar w:fldCharType="separate"/>
            </w:r>
            <w:r w:rsidR="0089210A">
              <w:rPr>
                <w:noProof/>
                <w:webHidden/>
              </w:rPr>
              <w:t>4</w:t>
            </w:r>
            <w:r w:rsidR="0041297F">
              <w:rPr>
                <w:noProof/>
                <w:webHidden/>
              </w:rPr>
              <w:fldChar w:fldCharType="end"/>
            </w:r>
          </w:hyperlink>
        </w:p>
        <w:p w14:paraId="77A453C1" w14:textId="77777777" w:rsidR="0041297F" w:rsidRDefault="009828D6">
          <w:pPr>
            <w:pStyle w:val="TOC1"/>
            <w:rPr>
              <w:rFonts w:asciiTheme="minorHAnsi" w:eastAsiaTheme="minorEastAsia" w:hAnsiTheme="minorHAnsi" w:cstheme="minorBidi"/>
              <w:noProof/>
              <w:color w:val="auto"/>
              <w:sz w:val="22"/>
              <w:szCs w:val="22"/>
              <w:lang w:val="en-AU" w:eastAsia="en-AU"/>
            </w:rPr>
          </w:pPr>
          <w:hyperlink w:anchor="_Toc380479892" w:history="1">
            <w:r w:rsidR="0041297F" w:rsidRPr="007C3141">
              <w:rPr>
                <w:rStyle w:val="Hyperlink"/>
                <w:noProof/>
              </w:rPr>
              <w:t>2. Introduction</w:t>
            </w:r>
            <w:r w:rsidR="0041297F">
              <w:rPr>
                <w:noProof/>
                <w:webHidden/>
              </w:rPr>
              <w:tab/>
            </w:r>
            <w:r w:rsidR="0041297F">
              <w:rPr>
                <w:noProof/>
                <w:webHidden/>
              </w:rPr>
              <w:fldChar w:fldCharType="begin"/>
            </w:r>
            <w:r w:rsidR="0041297F">
              <w:rPr>
                <w:noProof/>
                <w:webHidden/>
              </w:rPr>
              <w:instrText xml:space="preserve"> PAGEREF _Toc380479892 \h </w:instrText>
            </w:r>
            <w:r w:rsidR="0041297F">
              <w:rPr>
                <w:noProof/>
                <w:webHidden/>
              </w:rPr>
            </w:r>
            <w:r w:rsidR="0041297F">
              <w:rPr>
                <w:noProof/>
                <w:webHidden/>
              </w:rPr>
              <w:fldChar w:fldCharType="separate"/>
            </w:r>
            <w:r w:rsidR="0089210A">
              <w:rPr>
                <w:noProof/>
                <w:webHidden/>
              </w:rPr>
              <w:t>5</w:t>
            </w:r>
            <w:r w:rsidR="0041297F">
              <w:rPr>
                <w:noProof/>
                <w:webHidden/>
              </w:rPr>
              <w:fldChar w:fldCharType="end"/>
            </w:r>
          </w:hyperlink>
        </w:p>
        <w:p w14:paraId="762E0BBF"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893" w:history="1">
            <w:r w:rsidR="0041297F" w:rsidRPr="007C3141">
              <w:rPr>
                <w:rStyle w:val="Hyperlink"/>
                <w:noProof/>
                <w:lang w:val="en-US"/>
              </w:rPr>
              <w:t>2.1. What is the purpose of this work?</w:t>
            </w:r>
            <w:r w:rsidR="0041297F">
              <w:rPr>
                <w:noProof/>
                <w:webHidden/>
              </w:rPr>
              <w:tab/>
            </w:r>
            <w:r w:rsidR="0041297F">
              <w:rPr>
                <w:noProof/>
                <w:webHidden/>
              </w:rPr>
              <w:fldChar w:fldCharType="begin"/>
            </w:r>
            <w:r w:rsidR="0041297F">
              <w:rPr>
                <w:noProof/>
                <w:webHidden/>
              </w:rPr>
              <w:instrText xml:space="preserve"> PAGEREF _Toc380479893 \h </w:instrText>
            </w:r>
            <w:r w:rsidR="0041297F">
              <w:rPr>
                <w:noProof/>
                <w:webHidden/>
              </w:rPr>
            </w:r>
            <w:r w:rsidR="0041297F">
              <w:rPr>
                <w:noProof/>
                <w:webHidden/>
              </w:rPr>
              <w:fldChar w:fldCharType="separate"/>
            </w:r>
            <w:r w:rsidR="0089210A">
              <w:rPr>
                <w:noProof/>
                <w:webHidden/>
              </w:rPr>
              <w:t>5</w:t>
            </w:r>
            <w:r w:rsidR="0041297F">
              <w:rPr>
                <w:noProof/>
                <w:webHidden/>
              </w:rPr>
              <w:fldChar w:fldCharType="end"/>
            </w:r>
          </w:hyperlink>
        </w:p>
        <w:p w14:paraId="5F858928"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894" w:history="1">
            <w:r w:rsidR="0041297F" w:rsidRPr="007C3141">
              <w:rPr>
                <w:rStyle w:val="Hyperlink"/>
                <w:noProof/>
              </w:rPr>
              <w:t>2.2. Broadband access technologies and service constraints</w:t>
            </w:r>
            <w:r w:rsidR="0041297F">
              <w:rPr>
                <w:noProof/>
                <w:webHidden/>
              </w:rPr>
              <w:tab/>
            </w:r>
            <w:r w:rsidR="0041297F">
              <w:rPr>
                <w:noProof/>
                <w:webHidden/>
              </w:rPr>
              <w:fldChar w:fldCharType="begin"/>
            </w:r>
            <w:r w:rsidR="0041297F">
              <w:rPr>
                <w:noProof/>
                <w:webHidden/>
              </w:rPr>
              <w:instrText xml:space="preserve"> PAGEREF _Toc380479894 \h </w:instrText>
            </w:r>
            <w:r w:rsidR="0041297F">
              <w:rPr>
                <w:noProof/>
                <w:webHidden/>
              </w:rPr>
            </w:r>
            <w:r w:rsidR="0041297F">
              <w:rPr>
                <w:noProof/>
                <w:webHidden/>
              </w:rPr>
              <w:fldChar w:fldCharType="separate"/>
            </w:r>
            <w:r w:rsidR="0089210A">
              <w:rPr>
                <w:noProof/>
                <w:webHidden/>
              </w:rPr>
              <w:t>6</w:t>
            </w:r>
            <w:r w:rsidR="0041297F">
              <w:rPr>
                <w:noProof/>
                <w:webHidden/>
              </w:rPr>
              <w:fldChar w:fldCharType="end"/>
            </w:r>
          </w:hyperlink>
        </w:p>
        <w:p w14:paraId="20EBBD97" w14:textId="77777777" w:rsidR="0041297F" w:rsidRDefault="009828D6">
          <w:pPr>
            <w:pStyle w:val="TOC1"/>
            <w:rPr>
              <w:rFonts w:asciiTheme="minorHAnsi" w:eastAsiaTheme="minorEastAsia" w:hAnsiTheme="minorHAnsi" w:cstheme="minorBidi"/>
              <w:noProof/>
              <w:color w:val="auto"/>
              <w:sz w:val="22"/>
              <w:szCs w:val="22"/>
              <w:lang w:val="en-AU" w:eastAsia="en-AU"/>
            </w:rPr>
          </w:pPr>
          <w:hyperlink w:anchor="_Toc380479895" w:history="1">
            <w:r w:rsidR="0041297F" w:rsidRPr="007C3141">
              <w:rPr>
                <w:rStyle w:val="Hyperlink"/>
                <w:noProof/>
              </w:rPr>
              <w:t>3. Findings</w:t>
            </w:r>
            <w:r w:rsidR="0041297F">
              <w:rPr>
                <w:noProof/>
                <w:webHidden/>
              </w:rPr>
              <w:tab/>
            </w:r>
            <w:r w:rsidR="0041297F">
              <w:rPr>
                <w:noProof/>
                <w:webHidden/>
              </w:rPr>
              <w:fldChar w:fldCharType="begin"/>
            </w:r>
            <w:r w:rsidR="0041297F">
              <w:rPr>
                <w:noProof/>
                <w:webHidden/>
              </w:rPr>
              <w:instrText xml:space="preserve"> PAGEREF _Toc380479895 \h </w:instrText>
            </w:r>
            <w:r w:rsidR="0041297F">
              <w:rPr>
                <w:noProof/>
                <w:webHidden/>
              </w:rPr>
            </w:r>
            <w:r w:rsidR="0041297F">
              <w:rPr>
                <w:noProof/>
                <w:webHidden/>
              </w:rPr>
              <w:fldChar w:fldCharType="separate"/>
            </w:r>
            <w:r w:rsidR="0089210A">
              <w:rPr>
                <w:noProof/>
                <w:webHidden/>
              </w:rPr>
              <w:t>8</w:t>
            </w:r>
            <w:r w:rsidR="0041297F">
              <w:rPr>
                <w:noProof/>
                <w:webHidden/>
              </w:rPr>
              <w:fldChar w:fldCharType="end"/>
            </w:r>
          </w:hyperlink>
        </w:p>
        <w:p w14:paraId="0ED51F94"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896" w:history="1">
            <w:r w:rsidR="0041297F" w:rsidRPr="007C3141">
              <w:rPr>
                <w:rStyle w:val="Hyperlink"/>
                <w:noProof/>
              </w:rPr>
              <w:t>3.1. Fixed broadband availability</w:t>
            </w:r>
            <w:r w:rsidR="0041297F">
              <w:rPr>
                <w:noProof/>
                <w:webHidden/>
              </w:rPr>
              <w:tab/>
            </w:r>
            <w:r w:rsidR="0041297F">
              <w:rPr>
                <w:noProof/>
                <w:webHidden/>
              </w:rPr>
              <w:fldChar w:fldCharType="begin"/>
            </w:r>
            <w:r w:rsidR="0041297F">
              <w:rPr>
                <w:noProof/>
                <w:webHidden/>
              </w:rPr>
              <w:instrText xml:space="preserve"> PAGEREF _Toc380479896 \h </w:instrText>
            </w:r>
            <w:r w:rsidR="0041297F">
              <w:rPr>
                <w:noProof/>
                <w:webHidden/>
              </w:rPr>
            </w:r>
            <w:r w:rsidR="0041297F">
              <w:rPr>
                <w:noProof/>
                <w:webHidden/>
              </w:rPr>
              <w:fldChar w:fldCharType="separate"/>
            </w:r>
            <w:r w:rsidR="0089210A">
              <w:rPr>
                <w:noProof/>
                <w:webHidden/>
              </w:rPr>
              <w:t>8</w:t>
            </w:r>
            <w:r w:rsidR="0041297F">
              <w:rPr>
                <w:noProof/>
                <w:webHidden/>
              </w:rPr>
              <w:fldChar w:fldCharType="end"/>
            </w:r>
          </w:hyperlink>
        </w:p>
        <w:p w14:paraId="21291C73"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897" w:history="1">
            <w:r w:rsidR="0041297F" w:rsidRPr="007C3141">
              <w:rPr>
                <w:rStyle w:val="Hyperlink"/>
                <w:noProof/>
              </w:rPr>
              <w:t>3.2. Fixed broadband quality</w:t>
            </w:r>
            <w:r w:rsidR="0041297F">
              <w:rPr>
                <w:noProof/>
                <w:webHidden/>
              </w:rPr>
              <w:tab/>
            </w:r>
            <w:r w:rsidR="0041297F">
              <w:rPr>
                <w:noProof/>
                <w:webHidden/>
              </w:rPr>
              <w:fldChar w:fldCharType="begin"/>
            </w:r>
            <w:r w:rsidR="0041297F">
              <w:rPr>
                <w:noProof/>
                <w:webHidden/>
              </w:rPr>
              <w:instrText xml:space="preserve"> PAGEREF _Toc380479897 \h </w:instrText>
            </w:r>
            <w:r w:rsidR="0041297F">
              <w:rPr>
                <w:noProof/>
                <w:webHidden/>
              </w:rPr>
            </w:r>
            <w:r w:rsidR="0041297F">
              <w:rPr>
                <w:noProof/>
                <w:webHidden/>
              </w:rPr>
              <w:fldChar w:fldCharType="separate"/>
            </w:r>
            <w:r w:rsidR="0089210A">
              <w:rPr>
                <w:noProof/>
                <w:webHidden/>
              </w:rPr>
              <w:t>21</w:t>
            </w:r>
            <w:r w:rsidR="0041297F">
              <w:rPr>
                <w:noProof/>
                <w:webHidden/>
              </w:rPr>
              <w:fldChar w:fldCharType="end"/>
            </w:r>
          </w:hyperlink>
        </w:p>
        <w:p w14:paraId="41353DA5"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898" w:history="1">
            <w:r w:rsidR="0041297F" w:rsidRPr="007C3141">
              <w:rPr>
                <w:rStyle w:val="Hyperlink"/>
                <w:noProof/>
              </w:rPr>
              <w:t>3.3. Mobile broadband</w:t>
            </w:r>
            <w:r w:rsidR="0041297F">
              <w:rPr>
                <w:noProof/>
                <w:webHidden/>
              </w:rPr>
              <w:tab/>
            </w:r>
            <w:r w:rsidR="0041297F">
              <w:rPr>
                <w:noProof/>
                <w:webHidden/>
              </w:rPr>
              <w:fldChar w:fldCharType="begin"/>
            </w:r>
            <w:r w:rsidR="0041297F">
              <w:rPr>
                <w:noProof/>
                <w:webHidden/>
              </w:rPr>
              <w:instrText xml:space="preserve"> PAGEREF _Toc380479898 \h </w:instrText>
            </w:r>
            <w:r w:rsidR="0041297F">
              <w:rPr>
                <w:noProof/>
                <w:webHidden/>
              </w:rPr>
            </w:r>
            <w:r w:rsidR="0041297F">
              <w:rPr>
                <w:noProof/>
                <w:webHidden/>
              </w:rPr>
              <w:fldChar w:fldCharType="separate"/>
            </w:r>
            <w:r w:rsidR="0089210A">
              <w:rPr>
                <w:noProof/>
                <w:webHidden/>
              </w:rPr>
              <w:t>34</w:t>
            </w:r>
            <w:r w:rsidR="0041297F">
              <w:rPr>
                <w:noProof/>
                <w:webHidden/>
              </w:rPr>
              <w:fldChar w:fldCharType="end"/>
            </w:r>
          </w:hyperlink>
        </w:p>
        <w:p w14:paraId="328AC2ED"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899" w:history="1">
            <w:r w:rsidR="0041297F" w:rsidRPr="007C3141">
              <w:rPr>
                <w:rStyle w:val="Hyperlink"/>
                <w:noProof/>
              </w:rPr>
              <w:t>3.4. Satellite broadband</w:t>
            </w:r>
            <w:r w:rsidR="0041297F">
              <w:rPr>
                <w:noProof/>
                <w:webHidden/>
              </w:rPr>
              <w:tab/>
            </w:r>
            <w:r w:rsidR="0041297F">
              <w:rPr>
                <w:noProof/>
                <w:webHidden/>
              </w:rPr>
              <w:fldChar w:fldCharType="begin"/>
            </w:r>
            <w:r w:rsidR="0041297F">
              <w:rPr>
                <w:noProof/>
                <w:webHidden/>
              </w:rPr>
              <w:instrText xml:space="preserve"> PAGEREF _Toc380479899 \h </w:instrText>
            </w:r>
            <w:r w:rsidR="0041297F">
              <w:rPr>
                <w:noProof/>
                <w:webHidden/>
              </w:rPr>
            </w:r>
            <w:r w:rsidR="0041297F">
              <w:rPr>
                <w:noProof/>
                <w:webHidden/>
              </w:rPr>
              <w:fldChar w:fldCharType="separate"/>
            </w:r>
            <w:r w:rsidR="0089210A">
              <w:rPr>
                <w:noProof/>
                <w:webHidden/>
              </w:rPr>
              <w:t>35</w:t>
            </w:r>
            <w:r w:rsidR="0041297F">
              <w:rPr>
                <w:noProof/>
                <w:webHidden/>
              </w:rPr>
              <w:fldChar w:fldCharType="end"/>
            </w:r>
          </w:hyperlink>
        </w:p>
        <w:p w14:paraId="1064CBBA" w14:textId="77777777" w:rsidR="0041297F" w:rsidRDefault="009828D6">
          <w:pPr>
            <w:pStyle w:val="TOC1"/>
            <w:rPr>
              <w:rFonts w:asciiTheme="minorHAnsi" w:eastAsiaTheme="minorEastAsia" w:hAnsiTheme="minorHAnsi" w:cstheme="minorBidi"/>
              <w:noProof/>
              <w:color w:val="auto"/>
              <w:sz w:val="22"/>
              <w:szCs w:val="22"/>
              <w:lang w:val="en-AU" w:eastAsia="en-AU"/>
            </w:rPr>
          </w:pPr>
          <w:hyperlink w:anchor="_Toc380479900" w:history="1">
            <w:r w:rsidR="0041297F" w:rsidRPr="007C3141">
              <w:rPr>
                <w:rStyle w:val="Hyperlink"/>
                <w:noProof/>
              </w:rPr>
              <w:t>4. Methodology</w:t>
            </w:r>
            <w:r w:rsidR="0041297F">
              <w:rPr>
                <w:noProof/>
                <w:webHidden/>
              </w:rPr>
              <w:tab/>
            </w:r>
            <w:r w:rsidR="0041297F">
              <w:rPr>
                <w:noProof/>
                <w:webHidden/>
              </w:rPr>
              <w:fldChar w:fldCharType="begin"/>
            </w:r>
            <w:r w:rsidR="0041297F">
              <w:rPr>
                <w:noProof/>
                <w:webHidden/>
              </w:rPr>
              <w:instrText xml:space="preserve"> PAGEREF _Toc380479900 \h </w:instrText>
            </w:r>
            <w:r w:rsidR="0041297F">
              <w:rPr>
                <w:noProof/>
                <w:webHidden/>
              </w:rPr>
            </w:r>
            <w:r w:rsidR="0041297F">
              <w:rPr>
                <w:noProof/>
                <w:webHidden/>
              </w:rPr>
              <w:fldChar w:fldCharType="separate"/>
            </w:r>
            <w:r w:rsidR="0089210A">
              <w:rPr>
                <w:noProof/>
                <w:webHidden/>
              </w:rPr>
              <w:t>36</w:t>
            </w:r>
            <w:r w:rsidR="0041297F">
              <w:rPr>
                <w:noProof/>
                <w:webHidden/>
              </w:rPr>
              <w:fldChar w:fldCharType="end"/>
            </w:r>
          </w:hyperlink>
        </w:p>
        <w:p w14:paraId="05E858F1"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901" w:history="1">
            <w:r w:rsidR="0041297F" w:rsidRPr="007C3141">
              <w:rPr>
                <w:rStyle w:val="Hyperlink"/>
                <w:noProof/>
              </w:rPr>
              <w:t>4.1. Telstra Distribution Area – geographical building block</w:t>
            </w:r>
            <w:r w:rsidR="0041297F">
              <w:rPr>
                <w:noProof/>
                <w:webHidden/>
              </w:rPr>
              <w:tab/>
            </w:r>
            <w:r w:rsidR="0041297F">
              <w:rPr>
                <w:noProof/>
                <w:webHidden/>
              </w:rPr>
              <w:fldChar w:fldCharType="begin"/>
            </w:r>
            <w:r w:rsidR="0041297F">
              <w:rPr>
                <w:noProof/>
                <w:webHidden/>
              </w:rPr>
              <w:instrText xml:space="preserve"> PAGEREF _Toc380479901 \h </w:instrText>
            </w:r>
            <w:r w:rsidR="0041297F">
              <w:rPr>
                <w:noProof/>
                <w:webHidden/>
              </w:rPr>
            </w:r>
            <w:r w:rsidR="0041297F">
              <w:rPr>
                <w:noProof/>
                <w:webHidden/>
              </w:rPr>
              <w:fldChar w:fldCharType="separate"/>
            </w:r>
            <w:r w:rsidR="0089210A">
              <w:rPr>
                <w:noProof/>
                <w:webHidden/>
              </w:rPr>
              <w:t>36</w:t>
            </w:r>
            <w:r w:rsidR="0041297F">
              <w:rPr>
                <w:noProof/>
                <w:webHidden/>
              </w:rPr>
              <w:fldChar w:fldCharType="end"/>
            </w:r>
          </w:hyperlink>
        </w:p>
        <w:p w14:paraId="3DA8DC22"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902" w:history="1">
            <w:r w:rsidR="0041297F" w:rsidRPr="007C3141">
              <w:rPr>
                <w:rStyle w:val="Hyperlink"/>
                <w:noProof/>
              </w:rPr>
              <w:t>4.2. Broadband availability calculation</w:t>
            </w:r>
            <w:r w:rsidR="0041297F">
              <w:rPr>
                <w:noProof/>
                <w:webHidden/>
              </w:rPr>
              <w:tab/>
            </w:r>
            <w:r w:rsidR="0041297F">
              <w:rPr>
                <w:noProof/>
                <w:webHidden/>
              </w:rPr>
              <w:fldChar w:fldCharType="begin"/>
            </w:r>
            <w:r w:rsidR="0041297F">
              <w:rPr>
                <w:noProof/>
                <w:webHidden/>
              </w:rPr>
              <w:instrText xml:space="preserve"> PAGEREF _Toc380479902 \h </w:instrText>
            </w:r>
            <w:r w:rsidR="0041297F">
              <w:rPr>
                <w:noProof/>
                <w:webHidden/>
              </w:rPr>
            </w:r>
            <w:r w:rsidR="0041297F">
              <w:rPr>
                <w:noProof/>
                <w:webHidden/>
              </w:rPr>
              <w:fldChar w:fldCharType="separate"/>
            </w:r>
            <w:r w:rsidR="0089210A">
              <w:rPr>
                <w:noProof/>
                <w:webHidden/>
              </w:rPr>
              <w:t>37</w:t>
            </w:r>
            <w:r w:rsidR="0041297F">
              <w:rPr>
                <w:noProof/>
                <w:webHidden/>
              </w:rPr>
              <w:fldChar w:fldCharType="end"/>
            </w:r>
          </w:hyperlink>
        </w:p>
        <w:p w14:paraId="1211E23D"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903" w:history="1">
            <w:r w:rsidR="0041297F" w:rsidRPr="007C3141">
              <w:rPr>
                <w:rStyle w:val="Hyperlink"/>
                <w:noProof/>
              </w:rPr>
              <w:t>4.3. Broadband quality calculation</w:t>
            </w:r>
            <w:r w:rsidR="0041297F">
              <w:rPr>
                <w:noProof/>
                <w:webHidden/>
              </w:rPr>
              <w:tab/>
            </w:r>
            <w:r w:rsidR="0041297F">
              <w:rPr>
                <w:noProof/>
                <w:webHidden/>
              </w:rPr>
              <w:fldChar w:fldCharType="begin"/>
            </w:r>
            <w:r w:rsidR="0041297F">
              <w:rPr>
                <w:noProof/>
                <w:webHidden/>
              </w:rPr>
              <w:instrText xml:space="preserve"> PAGEREF _Toc380479903 \h </w:instrText>
            </w:r>
            <w:r w:rsidR="0041297F">
              <w:rPr>
                <w:noProof/>
                <w:webHidden/>
              </w:rPr>
            </w:r>
            <w:r w:rsidR="0041297F">
              <w:rPr>
                <w:noProof/>
                <w:webHidden/>
              </w:rPr>
              <w:fldChar w:fldCharType="separate"/>
            </w:r>
            <w:r w:rsidR="0089210A">
              <w:rPr>
                <w:noProof/>
                <w:webHidden/>
              </w:rPr>
              <w:t>39</w:t>
            </w:r>
            <w:r w:rsidR="0041297F">
              <w:rPr>
                <w:noProof/>
                <w:webHidden/>
              </w:rPr>
              <w:fldChar w:fldCharType="end"/>
            </w:r>
          </w:hyperlink>
        </w:p>
        <w:p w14:paraId="5321087D" w14:textId="77777777" w:rsidR="0041297F" w:rsidRDefault="009828D6">
          <w:pPr>
            <w:pStyle w:val="TOC2"/>
            <w:rPr>
              <w:rFonts w:asciiTheme="minorHAnsi" w:eastAsiaTheme="minorEastAsia" w:hAnsiTheme="minorHAnsi" w:cstheme="minorBidi"/>
              <w:noProof/>
              <w:color w:val="auto"/>
              <w:sz w:val="22"/>
              <w:szCs w:val="22"/>
              <w:lang w:val="en-AU" w:eastAsia="en-AU"/>
            </w:rPr>
          </w:pPr>
          <w:hyperlink w:anchor="_Toc380479904" w:history="1">
            <w:r w:rsidR="0041297F" w:rsidRPr="007C3141">
              <w:rPr>
                <w:rStyle w:val="Hyperlink"/>
                <w:noProof/>
              </w:rPr>
              <w:t>4.4. Data Inputs</w:t>
            </w:r>
            <w:r w:rsidR="0041297F">
              <w:rPr>
                <w:noProof/>
                <w:webHidden/>
              </w:rPr>
              <w:tab/>
            </w:r>
            <w:r w:rsidR="0041297F">
              <w:rPr>
                <w:noProof/>
                <w:webHidden/>
              </w:rPr>
              <w:fldChar w:fldCharType="begin"/>
            </w:r>
            <w:r w:rsidR="0041297F">
              <w:rPr>
                <w:noProof/>
                <w:webHidden/>
              </w:rPr>
              <w:instrText xml:space="preserve"> PAGEREF _Toc380479904 \h </w:instrText>
            </w:r>
            <w:r w:rsidR="0041297F">
              <w:rPr>
                <w:noProof/>
                <w:webHidden/>
              </w:rPr>
            </w:r>
            <w:r w:rsidR="0041297F">
              <w:rPr>
                <w:noProof/>
                <w:webHidden/>
              </w:rPr>
              <w:fldChar w:fldCharType="separate"/>
            </w:r>
            <w:r w:rsidR="0089210A">
              <w:rPr>
                <w:noProof/>
                <w:webHidden/>
              </w:rPr>
              <w:t>42</w:t>
            </w:r>
            <w:r w:rsidR="0041297F">
              <w:rPr>
                <w:noProof/>
                <w:webHidden/>
              </w:rPr>
              <w:fldChar w:fldCharType="end"/>
            </w:r>
          </w:hyperlink>
        </w:p>
        <w:p w14:paraId="354F8471" w14:textId="77777777" w:rsidR="0041297F" w:rsidRDefault="009828D6">
          <w:pPr>
            <w:pStyle w:val="TOC1"/>
            <w:rPr>
              <w:rFonts w:asciiTheme="minorHAnsi" w:eastAsiaTheme="minorEastAsia" w:hAnsiTheme="minorHAnsi" w:cstheme="minorBidi"/>
              <w:noProof/>
              <w:color w:val="auto"/>
              <w:sz w:val="22"/>
              <w:szCs w:val="22"/>
              <w:lang w:val="en-AU" w:eastAsia="en-AU"/>
            </w:rPr>
          </w:pPr>
          <w:hyperlink w:anchor="_Toc380479905" w:history="1">
            <w:r w:rsidR="0041297F" w:rsidRPr="007C3141">
              <w:rPr>
                <w:rStyle w:val="Hyperlink"/>
                <w:noProof/>
              </w:rPr>
              <w:t>5.  More information</w:t>
            </w:r>
            <w:r w:rsidR="0041297F">
              <w:rPr>
                <w:noProof/>
                <w:webHidden/>
              </w:rPr>
              <w:tab/>
            </w:r>
            <w:r w:rsidR="0041297F">
              <w:rPr>
                <w:noProof/>
                <w:webHidden/>
              </w:rPr>
              <w:fldChar w:fldCharType="begin"/>
            </w:r>
            <w:r w:rsidR="0041297F">
              <w:rPr>
                <w:noProof/>
                <w:webHidden/>
              </w:rPr>
              <w:instrText xml:space="preserve"> PAGEREF _Toc380479905 \h </w:instrText>
            </w:r>
            <w:r w:rsidR="0041297F">
              <w:rPr>
                <w:noProof/>
                <w:webHidden/>
              </w:rPr>
            </w:r>
            <w:r w:rsidR="0041297F">
              <w:rPr>
                <w:noProof/>
                <w:webHidden/>
              </w:rPr>
              <w:fldChar w:fldCharType="separate"/>
            </w:r>
            <w:r w:rsidR="0089210A">
              <w:rPr>
                <w:noProof/>
                <w:webHidden/>
              </w:rPr>
              <w:t>42</w:t>
            </w:r>
            <w:r w:rsidR="0041297F">
              <w:rPr>
                <w:noProof/>
                <w:webHidden/>
              </w:rPr>
              <w:fldChar w:fldCharType="end"/>
            </w:r>
          </w:hyperlink>
        </w:p>
        <w:p w14:paraId="07037C4D" w14:textId="77777777" w:rsidR="005B762B" w:rsidRDefault="005B762B" w:rsidP="005B762B">
          <w:r>
            <w:fldChar w:fldCharType="end"/>
          </w:r>
        </w:p>
      </w:sdtContent>
    </w:sdt>
    <w:p w14:paraId="2BC4440E" w14:textId="77777777" w:rsidR="005B762B" w:rsidRPr="00FA19BE" w:rsidRDefault="005B762B" w:rsidP="005B762B">
      <w:pPr>
        <w:pStyle w:val="Heading4"/>
        <w:rPr>
          <w:i w:val="0"/>
          <w:iCs w:val="0"/>
          <w:color w:val="365F91" w:themeColor="accent1" w:themeShade="BF"/>
          <w:sz w:val="28"/>
          <w:szCs w:val="28"/>
          <w:lang w:eastAsia="ja-JP"/>
        </w:rPr>
      </w:pPr>
      <w:r w:rsidRPr="00FA19BE">
        <w:rPr>
          <w:i w:val="0"/>
          <w:iCs w:val="0"/>
          <w:color w:val="365F91" w:themeColor="accent1" w:themeShade="BF"/>
          <w:sz w:val="28"/>
          <w:szCs w:val="28"/>
          <w:lang w:eastAsia="ja-JP"/>
        </w:rPr>
        <w:t>Appendices:</w:t>
      </w:r>
    </w:p>
    <w:p w14:paraId="23739BC3" w14:textId="77777777" w:rsidR="005B762B" w:rsidRDefault="005B762B" w:rsidP="005B762B">
      <w:pPr>
        <w:spacing w:line="276" w:lineRule="auto"/>
      </w:pPr>
      <w:r>
        <w:rPr>
          <w:b/>
        </w:rPr>
        <w:t>Appendix A</w:t>
      </w:r>
      <w:r w:rsidRPr="00FA19BE">
        <w:rPr>
          <w:b/>
        </w:rPr>
        <w:t>:</w:t>
      </w:r>
      <w:r w:rsidRPr="00B05639">
        <w:rPr>
          <w:b/>
        </w:rPr>
        <w:t xml:space="preserve"> </w:t>
      </w:r>
      <w:r w:rsidRPr="00B05639">
        <w:rPr>
          <w:b/>
        </w:rPr>
        <w:tab/>
      </w:r>
      <w:r>
        <w:t>Broadband technologies explained</w:t>
      </w:r>
    </w:p>
    <w:p w14:paraId="252B570A" w14:textId="77777777" w:rsidR="005B762B" w:rsidRDefault="005B762B" w:rsidP="005B762B">
      <w:pPr>
        <w:spacing w:line="276" w:lineRule="auto"/>
        <w:rPr>
          <w:b/>
        </w:rPr>
      </w:pPr>
      <w:r>
        <w:rPr>
          <w:b/>
        </w:rPr>
        <w:t>Appendix B:</w:t>
      </w:r>
      <w:r>
        <w:rPr>
          <w:b/>
        </w:rPr>
        <w:tab/>
      </w:r>
      <w:r>
        <w:t>Broadband maps</w:t>
      </w:r>
      <w:r w:rsidRPr="00FA19BE">
        <w:rPr>
          <w:b/>
        </w:rPr>
        <w:t xml:space="preserve"> </w:t>
      </w:r>
    </w:p>
    <w:p w14:paraId="0AB6F440" w14:textId="1AC43131" w:rsidR="005B762B" w:rsidRDefault="005B762B" w:rsidP="005B762B">
      <w:pPr>
        <w:spacing w:line="276" w:lineRule="auto"/>
      </w:pPr>
      <w:r w:rsidRPr="00FA19BE">
        <w:rPr>
          <w:b/>
        </w:rPr>
        <w:t xml:space="preserve">Appendix </w:t>
      </w:r>
      <w:r>
        <w:rPr>
          <w:b/>
        </w:rPr>
        <w:t>C</w:t>
      </w:r>
      <w:r w:rsidRPr="00FA19BE">
        <w:rPr>
          <w:b/>
        </w:rPr>
        <w:t>:</w:t>
      </w:r>
      <w:r w:rsidR="00F57A07">
        <w:t xml:space="preserve"> </w:t>
      </w:r>
      <w:r w:rsidR="00F57A07">
        <w:tab/>
      </w:r>
      <w:r w:rsidR="007F2AB4">
        <w:t>International examples of broadband assessment</w:t>
      </w:r>
    </w:p>
    <w:p w14:paraId="27C4F805" w14:textId="7C6B8B84" w:rsidR="005B762B" w:rsidRDefault="005B762B" w:rsidP="005B762B">
      <w:pPr>
        <w:spacing w:line="276" w:lineRule="auto"/>
      </w:pPr>
      <w:r w:rsidRPr="00FA19BE">
        <w:rPr>
          <w:b/>
        </w:rPr>
        <w:t xml:space="preserve">Appendix </w:t>
      </w:r>
      <w:r>
        <w:rPr>
          <w:b/>
        </w:rPr>
        <w:t>D</w:t>
      </w:r>
      <w:r w:rsidRPr="00FA19BE">
        <w:rPr>
          <w:b/>
        </w:rPr>
        <w:t>:</w:t>
      </w:r>
      <w:r>
        <w:rPr>
          <w:b/>
        </w:rPr>
        <w:tab/>
      </w:r>
      <w:r w:rsidR="007F2AB4">
        <w:t>Broadband availability and quality analytical model</w:t>
      </w:r>
    </w:p>
    <w:p w14:paraId="4A6B9735" w14:textId="7D346A4D" w:rsidR="005B762B" w:rsidRDefault="005B762B" w:rsidP="005B762B">
      <w:pPr>
        <w:spacing w:line="276" w:lineRule="auto"/>
        <w:rPr>
          <w:b/>
        </w:rPr>
      </w:pPr>
      <w:r>
        <w:rPr>
          <w:b/>
        </w:rPr>
        <w:t>Appendix E</w:t>
      </w:r>
      <w:r w:rsidRPr="00FA19BE">
        <w:rPr>
          <w:b/>
        </w:rPr>
        <w:t>:</w:t>
      </w:r>
      <w:r w:rsidRPr="00B05639">
        <w:rPr>
          <w:b/>
        </w:rPr>
        <w:t xml:space="preserve"> </w:t>
      </w:r>
      <w:r w:rsidRPr="00B05639">
        <w:rPr>
          <w:b/>
        </w:rPr>
        <w:tab/>
      </w:r>
      <w:r w:rsidR="007F2AB4">
        <w:t>Factors that affect the availability and quality of ADSL services over copper</w:t>
      </w:r>
    </w:p>
    <w:p w14:paraId="1C94995C" w14:textId="4B995964" w:rsidR="005B762B" w:rsidRDefault="005B762B" w:rsidP="005B762B">
      <w:pPr>
        <w:spacing w:line="276" w:lineRule="auto"/>
        <w:rPr>
          <w:b/>
        </w:rPr>
      </w:pPr>
      <w:r w:rsidRPr="00FA19BE">
        <w:rPr>
          <w:b/>
        </w:rPr>
        <w:t xml:space="preserve">Appendix </w:t>
      </w:r>
      <w:r>
        <w:rPr>
          <w:b/>
        </w:rPr>
        <w:t>F</w:t>
      </w:r>
      <w:r w:rsidRPr="00FA19BE">
        <w:rPr>
          <w:b/>
        </w:rPr>
        <w:t>:</w:t>
      </w:r>
      <w:r>
        <w:t xml:space="preserve"> </w:t>
      </w:r>
      <w:r>
        <w:tab/>
      </w:r>
      <w:r w:rsidR="007F2AB4">
        <w:t>Data inputs to the analytical model</w:t>
      </w:r>
    </w:p>
    <w:p w14:paraId="0BCC0E61" w14:textId="5B1B0C56" w:rsidR="005B762B" w:rsidRDefault="005B762B" w:rsidP="005B762B">
      <w:pPr>
        <w:spacing w:line="276" w:lineRule="auto"/>
      </w:pPr>
      <w:r>
        <w:rPr>
          <w:b/>
        </w:rPr>
        <w:t>Appendix G</w:t>
      </w:r>
      <w:r w:rsidRPr="00FA19BE">
        <w:rPr>
          <w:b/>
        </w:rPr>
        <w:t>:</w:t>
      </w:r>
      <w:r>
        <w:t xml:space="preserve"> </w:t>
      </w:r>
      <w:r>
        <w:tab/>
      </w:r>
      <w:r w:rsidR="007F2AB4">
        <w:t>Broadband glossary</w:t>
      </w:r>
    </w:p>
    <w:p w14:paraId="5BF1F799" w14:textId="77777777" w:rsidR="005B762B" w:rsidRDefault="005B762B" w:rsidP="005B762B">
      <w:pPr>
        <w:spacing w:line="276" w:lineRule="auto"/>
        <w:rPr>
          <w:rFonts w:eastAsia="Times New Roman"/>
          <w:b/>
          <w:bCs/>
          <w:color w:val="1A7399"/>
          <w:sz w:val="44"/>
          <w:szCs w:val="32"/>
        </w:rPr>
      </w:pPr>
      <w:r>
        <w:br w:type="page"/>
      </w:r>
    </w:p>
    <w:p w14:paraId="6CB48B8F" w14:textId="77777777" w:rsidR="005B762B" w:rsidRPr="00CF3571" w:rsidRDefault="005B762B" w:rsidP="005B762B">
      <w:pPr>
        <w:pStyle w:val="Heading1"/>
      </w:pPr>
      <w:bookmarkStart w:id="16" w:name="_Toc377044233"/>
      <w:bookmarkStart w:id="17" w:name="_Toc377046982"/>
      <w:bookmarkStart w:id="18" w:name="_Toc377120873"/>
      <w:bookmarkStart w:id="19" w:name="_Toc377123928"/>
      <w:bookmarkStart w:id="20" w:name="_Toc377134434"/>
      <w:bookmarkStart w:id="21" w:name="_Toc377215438"/>
      <w:bookmarkStart w:id="22" w:name="_Toc377376493"/>
      <w:bookmarkStart w:id="23" w:name="_Toc377380815"/>
      <w:bookmarkStart w:id="24" w:name="_Toc377381963"/>
      <w:bookmarkStart w:id="25" w:name="_Toc377656474"/>
      <w:bookmarkStart w:id="26" w:name="_Toc377722534"/>
      <w:bookmarkStart w:id="27" w:name="_Toc380479889"/>
      <w:r>
        <w:lastRenderedPageBreak/>
        <w:t>1. Executive Summary</w:t>
      </w:r>
      <w:bookmarkEnd w:id="16"/>
      <w:bookmarkEnd w:id="17"/>
      <w:bookmarkEnd w:id="18"/>
      <w:bookmarkEnd w:id="19"/>
      <w:bookmarkEnd w:id="20"/>
      <w:bookmarkEnd w:id="21"/>
      <w:bookmarkEnd w:id="22"/>
      <w:bookmarkEnd w:id="23"/>
      <w:bookmarkEnd w:id="24"/>
      <w:bookmarkEnd w:id="25"/>
      <w:bookmarkEnd w:id="26"/>
      <w:bookmarkEnd w:id="27"/>
      <w:bookmarkEnd w:id="13"/>
      <w:bookmarkEnd w:id="12"/>
    </w:p>
    <w:p w14:paraId="655AEB20" w14:textId="77777777" w:rsidR="005B762B" w:rsidRPr="001813FE" w:rsidRDefault="005B762B" w:rsidP="001813FE">
      <w:pPr>
        <w:pStyle w:val="BodyText"/>
      </w:pPr>
      <w:bookmarkStart w:id="28" w:name="_Toc373481210"/>
      <w:bookmarkStart w:id="29" w:name="_Toc373483620"/>
      <w:r w:rsidRPr="001813FE">
        <w:rPr>
          <w:noProof/>
          <w:lang w:val="en-AU" w:eastAsia="en-AU"/>
        </w:rPr>
        <w:drawing>
          <wp:anchor distT="0" distB="0" distL="114300" distR="114300" simplePos="0" relativeHeight="251658240" behindDoc="1" locked="0" layoutInCell="1" allowOverlap="1" wp14:anchorId="13B99FBE" wp14:editId="5331F20C">
            <wp:simplePos x="0" y="0"/>
            <wp:positionH relativeFrom="column">
              <wp:posOffset>4400550</wp:posOffset>
            </wp:positionH>
            <wp:positionV relativeFrom="paragraph">
              <wp:posOffset>1052195</wp:posOffset>
            </wp:positionV>
            <wp:extent cx="2071370" cy="1776095"/>
            <wp:effectExtent l="0" t="0" r="5080" b="0"/>
            <wp:wrapTight wrapText="bothSides">
              <wp:wrapPolygon edited="0">
                <wp:start x="0" y="0"/>
                <wp:lineTo x="0" y="21314"/>
                <wp:lineTo x="21454" y="21314"/>
                <wp:lineTo x="21454" y="0"/>
                <wp:lineTo x="0" y="0"/>
              </wp:wrapPolygon>
            </wp:wrapTight>
            <wp:docPr id="56" name="Picture 56" descr="C:\Users\lbirchall\AppData\Local\Microsoft\Windows\Temporary Internet Files\Content.Outlook\SHNVTGHR\Australia with green localities_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irchall\AppData\Local\Microsoft\Windows\Temporary Internet Files\Content.Outlook\SHNVTGHR\Australia with green localities_ed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137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3FE">
        <w:t xml:space="preserve">The Australian Government has asked NBN Co, the company building the National Broadband Network (NBN), to prioritise the many Australians without adequate fixed line broadband in the rollout. To assist with the prioritisation of under-served areas, the Government asked the Department of Communications to undertake an analysis of broadband quality and availability in all areas of Australia.  </w:t>
      </w:r>
    </w:p>
    <w:p w14:paraId="6BFB2654" w14:textId="39FCAC99" w:rsidR="005B762B" w:rsidRPr="001813FE" w:rsidRDefault="005B762B" w:rsidP="00906DE9">
      <w:pPr>
        <w:pStyle w:val="BodyText"/>
      </w:pPr>
      <w:r w:rsidRPr="001813FE">
        <w:t xml:space="preserve">Broadband services are delivered using a range of technologies to homes and businesses across the country. The infrastructure most often used to provide broadband includes </w:t>
      </w:r>
      <w:r w:rsidR="0008357F">
        <w:rPr>
          <w:lang w:val="en-US"/>
        </w:rPr>
        <w:t xml:space="preserve">asymmetric </w:t>
      </w:r>
      <w:r w:rsidRPr="001813FE">
        <w:t>digital subscriber line (</w:t>
      </w:r>
      <w:r w:rsidR="003830A1" w:rsidRPr="00906DE9">
        <w:t>ADSL</w:t>
      </w:r>
      <w:r w:rsidRPr="00906DE9">
        <w:t>) technology over the copper access network, the 3G and 4G mobile networks, hybrid fibre coaxial (HFC) networks originally rolled out for subscription</w:t>
      </w:r>
      <w:r w:rsidRPr="001813FE">
        <w:t xml:space="preserve"> television, fibre to the node (FTTN) networks and fibre to the premises (FTTP) networks. In addition to these terrestrial networks, all Australian premises are covered by satellite broadband networks.</w:t>
      </w:r>
    </w:p>
    <w:p w14:paraId="1CFA6073" w14:textId="5ECE09A2" w:rsidR="005B762B" w:rsidRPr="001813FE" w:rsidRDefault="005B762B" w:rsidP="001813FE">
      <w:pPr>
        <w:pStyle w:val="BodyText"/>
      </w:pPr>
      <w:r w:rsidRPr="001813FE">
        <w:t xml:space="preserve">The findings presented in this document are based on a detailed spatial analysis of the coverage of broadband customer access networks, along with estimates of their </w:t>
      </w:r>
      <w:r w:rsidR="00145C24" w:rsidRPr="001813FE">
        <w:t>likely</w:t>
      </w:r>
      <w:r w:rsidRPr="001813FE">
        <w:t xml:space="preserve"> performance given known constraints. This analysis uses the available information to measure broadband availability in terms of the infrastructure currently in place. It uses the possible speeds achievable over that infrastructure to measure quality. This methodology was determined after reference to international examples.</w:t>
      </w:r>
    </w:p>
    <w:p w14:paraId="4C52DFE3" w14:textId="77777777" w:rsidR="005B762B" w:rsidRDefault="005B762B" w:rsidP="001813FE">
      <w:pPr>
        <w:pStyle w:val="BodyText"/>
      </w:pPr>
      <w:r w:rsidRPr="001813FE">
        <w:t>Overall the analysis found that there are areas of inadequate access to infrastructure across the country—approximately 1.4 million premises (13 per cent) are in areas where fewer than 40 per cent of premises can access a fixed broadband service. The premises in this category are typically located in regional or remote areas of Australia, or in small pockets of poor service in metropolitan and outer metropolitan areas. The key findings of the premises-level analysis of broadband availability and quality are:</w:t>
      </w:r>
    </w:p>
    <w:p w14:paraId="2263E594" w14:textId="77777777" w:rsidR="005B762B" w:rsidRPr="00BD7A97" w:rsidRDefault="005B762B" w:rsidP="005B762B">
      <w:pPr>
        <w:pStyle w:val="BodyText"/>
        <w:spacing w:before="240" w:after="0"/>
        <w:rPr>
          <w:b/>
        </w:rPr>
      </w:pPr>
      <w:bookmarkStart w:id="30" w:name="_Toc377044234"/>
      <w:bookmarkStart w:id="31" w:name="_Toc377046983"/>
      <w:bookmarkStart w:id="32" w:name="_Toc377120874"/>
      <w:bookmarkStart w:id="33" w:name="_Toc377123929"/>
      <w:bookmarkStart w:id="34" w:name="_Toc377134435"/>
      <w:bookmarkStart w:id="35" w:name="_Toc377215439"/>
      <w:bookmarkStart w:id="36" w:name="_Toc377376494"/>
      <w:bookmarkStart w:id="37" w:name="_Toc377380816"/>
      <w:bookmarkStart w:id="38" w:name="_Toc377381964"/>
      <w:bookmarkStart w:id="39" w:name="_Toc377656475"/>
      <w:bookmarkStart w:id="40" w:name="_Toc377722535"/>
      <w:bookmarkStart w:id="41" w:name="_Toc380479890"/>
      <w:r>
        <w:rPr>
          <w:rStyle w:val="Heading2Char"/>
          <w:rFonts w:eastAsiaTheme="minorEastAsia"/>
        </w:rPr>
        <w:t xml:space="preserve">1.1. </w:t>
      </w:r>
      <w:r w:rsidRPr="00A319ED">
        <w:rPr>
          <w:rStyle w:val="Heading2Char"/>
          <w:rFonts w:eastAsiaTheme="minorEastAsia"/>
        </w:rPr>
        <w:t>Availability</w:t>
      </w:r>
      <w:bookmarkEnd w:id="30"/>
      <w:bookmarkEnd w:id="31"/>
      <w:bookmarkEnd w:id="32"/>
      <w:bookmarkEnd w:id="33"/>
      <w:bookmarkEnd w:id="34"/>
      <w:bookmarkEnd w:id="35"/>
      <w:bookmarkEnd w:id="36"/>
      <w:bookmarkEnd w:id="37"/>
      <w:bookmarkEnd w:id="38"/>
      <w:bookmarkEnd w:id="39"/>
      <w:bookmarkEnd w:id="40"/>
      <w:bookmarkEnd w:id="41"/>
      <w:r w:rsidRPr="000C5B53">
        <w:rPr>
          <w:rStyle w:val="FootnoteReference"/>
          <w:b/>
          <w:color w:val="31849B" w:themeColor="accent5" w:themeShade="BF"/>
        </w:rPr>
        <w:footnoteReference w:id="2"/>
      </w:r>
    </w:p>
    <w:p w14:paraId="6D6B17A2" w14:textId="5DB0EA32" w:rsidR="005B762B" w:rsidRDefault="005B762B" w:rsidP="005B762B">
      <w:pPr>
        <w:pStyle w:val="BodyText"/>
        <w:numPr>
          <w:ilvl w:val="0"/>
          <w:numId w:val="3"/>
        </w:numPr>
        <w:tabs>
          <w:tab w:val="clear" w:pos="0"/>
        </w:tabs>
        <w:spacing w:before="240"/>
        <w:ind w:left="425" w:hanging="357"/>
      </w:pPr>
      <w:r>
        <w:t xml:space="preserve">Approximately 9.9 million premises (91 per cent) have access to fixed line broadband services delivered via </w:t>
      </w:r>
      <w:r w:rsidR="003830A1">
        <w:t>ADSL</w:t>
      </w:r>
      <w:r>
        <w:t xml:space="preserve"> technology. </w:t>
      </w:r>
    </w:p>
    <w:p w14:paraId="40769CE2" w14:textId="77777777" w:rsidR="005B762B" w:rsidRDefault="005B762B" w:rsidP="005B762B">
      <w:pPr>
        <w:pStyle w:val="BodyText"/>
        <w:numPr>
          <w:ilvl w:val="0"/>
          <w:numId w:val="3"/>
        </w:numPr>
        <w:tabs>
          <w:tab w:val="clear" w:pos="0"/>
        </w:tabs>
        <w:ind w:left="426"/>
      </w:pPr>
      <w:r>
        <w:t xml:space="preserve">Approximately 3.1 million premises (28 per cent) have </w:t>
      </w:r>
      <w:r w:rsidRPr="00344E5B">
        <w:t xml:space="preserve">access to a high speed broadband platform </w:t>
      </w:r>
      <w:r>
        <w:t>(defined as including</w:t>
      </w:r>
      <w:r w:rsidRPr="00344E5B">
        <w:t xml:space="preserve"> fibr</w:t>
      </w:r>
      <w:r>
        <w:t xml:space="preserve">e to the </w:t>
      </w:r>
      <w:r w:rsidRPr="00344E5B">
        <w:t>pr</w:t>
      </w:r>
      <w:r>
        <w:t xml:space="preserve">emises, fibre to the node, </w:t>
      </w:r>
      <w:r w:rsidRPr="00344E5B">
        <w:t xml:space="preserve">hybrid fibre </w:t>
      </w:r>
      <w:r>
        <w:t>coaxial</w:t>
      </w:r>
      <w:r w:rsidRPr="00344E5B">
        <w:t xml:space="preserve"> networks</w:t>
      </w:r>
      <w:r>
        <w:t xml:space="preserve"> and fixed wireless networks)</w:t>
      </w:r>
      <w:r w:rsidRPr="00344E5B">
        <w:t>.</w:t>
      </w:r>
    </w:p>
    <w:p w14:paraId="216D6DAF" w14:textId="77777777" w:rsidR="005B762B" w:rsidRDefault="005B762B" w:rsidP="005B762B">
      <w:pPr>
        <w:pStyle w:val="BodyText"/>
        <w:numPr>
          <w:ilvl w:val="0"/>
          <w:numId w:val="3"/>
        </w:numPr>
        <w:tabs>
          <w:tab w:val="clear" w:pos="0"/>
        </w:tabs>
        <w:ind w:left="426"/>
      </w:pPr>
      <w:r>
        <w:t>Approximately 8.8 million premises</w:t>
      </w:r>
      <w:r w:rsidRPr="00344E5B">
        <w:t xml:space="preserve"> </w:t>
      </w:r>
      <w:r>
        <w:t>(</w:t>
      </w:r>
      <w:r w:rsidRPr="00344E5B">
        <w:t>81 per cent</w:t>
      </w:r>
      <w:r>
        <w:t xml:space="preserve">) have access to 3G mobile broadband services and about 6.4 million premises (59 per cent) have access to 4G services. </w:t>
      </w:r>
    </w:p>
    <w:p w14:paraId="7E159568" w14:textId="77777777" w:rsidR="005B762B" w:rsidRDefault="005B762B" w:rsidP="005B762B">
      <w:pPr>
        <w:pStyle w:val="BodyText"/>
        <w:numPr>
          <w:ilvl w:val="0"/>
          <w:numId w:val="3"/>
        </w:numPr>
        <w:tabs>
          <w:tab w:val="clear" w:pos="0"/>
        </w:tabs>
        <w:ind w:left="426"/>
      </w:pPr>
      <w:r>
        <w:t>All Australian premises are covered by satellite broadband, although there is a ceiling to the capacity of these services and therefore not all premises can access a service.</w:t>
      </w:r>
    </w:p>
    <w:p w14:paraId="1D11B7E3" w14:textId="77777777" w:rsidR="005B762B" w:rsidRPr="00BD7A97" w:rsidRDefault="005B762B" w:rsidP="005B762B">
      <w:pPr>
        <w:pStyle w:val="Heading2"/>
      </w:pPr>
      <w:bookmarkStart w:id="42" w:name="_Toc377044235"/>
      <w:bookmarkStart w:id="43" w:name="_Toc377046984"/>
      <w:bookmarkStart w:id="44" w:name="_Toc377120875"/>
      <w:bookmarkStart w:id="45" w:name="_Toc377123930"/>
      <w:bookmarkStart w:id="46" w:name="_Toc377134436"/>
      <w:bookmarkStart w:id="47" w:name="_Toc377215440"/>
      <w:bookmarkStart w:id="48" w:name="_Toc377376495"/>
      <w:bookmarkStart w:id="49" w:name="_Toc377380817"/>
      <w:bookmarkStart w:id="50" w:name="_Toc377381965"/>
      <w:bookmarkStart w:id="51" w:name="_Toc377656476"/>
      <w:bookmarkStart w:id="52" w:name="_Toc377722536"/>
      <w:bookmarkStart w:id="53" w:name="_Toc380479891"/>
      <w:r>
        <w:lastRenderedPageBreak/>
        <w:t xml:space="preserve">1.2. </w:t>
      </w:r>
      <w:r w:rsidRPr="00BD7A97">
        <w:t>Quality</w:t>
      </w:r>
      <w:bookmarkEnd w:id="42"/>
      <w:bookmarkEnd w:id="43"/>
      <w:bookmarkEnd w:id="44"/>
      <w:bookmarkEnd w:id="45"/>
      <w:bookmarkEnd w:id="46"/>
      <w:bookmarkEnd w:id="47"/>
      <w:bookmarkEnd w:id="48"/>
      <w:bookmarkEnd w:id="49"/>
      <w:bookmarkEnd w:id="50"/>
      <w:bookmarkEnd w:id="51"/>
      <w:bookmarkEnd w:id="52"/>
      <w:bookmarkEnd w:id="53"/>
    </w:p>
    <w:p w14:paraId="4BC831BE" w14:textId="77777777" w:rsidR="005B762B" w:rsidRPr="00006829" w:rsidRDefault="005B762B" w:rsidP="005B762B">
      <w:pPr>
        <w:pStyle w:val="BodyText"/>
        <w:numPr>
          <w:ilvl w:val="0"/>
          <w:numId w:val="3"/>
        </w:numPr>
        <w:spacing w:before="240"/>
        <w:ind w:left="425" w:hanging="357"/>
        <w:rPr>
          <w:lang w:val="en-US"/>
        </w:rPr>
      </w:pPr>
      <w:r w:rsidRPr="00006829">
        <w:rPr>
          <w:lang w:val="en-US"/>
        </w:rPr>
        <w:t>Approximately 3.1 million premises (28 per cent) have access to peak download speeds of between 25 </w:t>
      </w:r>
      <w:r>
        <w:rPr>
          <w:lang w:val="en-US"/>
        </w:rPr>
        <w:t>megabits per second</w:t>
      </w:r>
      <w:r w:rsidRPr="00006829">
        <w:rPr>
          <w:lang w:val="en-US"/>
        </w:rPr>
        <w:t xml:space="preserve"> (Mbps) and 110 Mbps. </w:t>
      </w:r>
    </w:p>
    <w:p w14:paraId="5A291B4A" w14:textId="77777777" w:rsidR="005B762B" w:rsidRPr="00F50643" w:rsidRDefault="005B762B" w:rsidP="005B762B">
      <w:pPr>
        <w:pStyle w:val="BodyText"/>
        <w:numPr>
          <w:ilvl w:val="0"/>
          <w:numId w:val="21"/>
        </w:numPr>
        <w:ind w:left="426"/>
        <w:rPr>
          <w:lang w:val="en-US"/>
        </w:rPr>
      </w:pPr>
      <w:r>
        <w:rPr>
          <w:lang w:val="en-US"/>
        </w:rPr>
        <w:t>Approximately 7.1 million premises</w:t>
      </w:r>
      <w:r>
        <w:t xml:space="preserve"> (65 per </w:t>
      </w:r>
      <w:r w:rsidRPr="00F50643">
        <w:rPr>
          <w:lang w:val="en-US"/>
        </w:rPr>
        <w:t>cent)</w:t>
      </w:r>
      <w:r>
        <w:rPr>
          <w:lang w:val="en-US"/>
        </w:rPr>
        <w:t xml:space="preserve"> </w:t>
      </w:r>
      <w:r w:rsidRPr="00F50643">
        <w:rPr>
          <w:lang w:val="en-US"/>
        </w:rPr>
        <w:t xml:space="preserve">are in areas that have access to </w:t>
      </w:r>
      <w:r>
        <w:rPr>
          <w:lang w:val="en-US"/>
        </w:rPr>
        <w:t>peak median download speed</w:t>
      </w:r>
      <w:r w:rsidRPr="00F50643">
        <w:rPr>
          <w:lang w:val="en-US"/>
        </w:rPr>
        <w:t>s</w:t>
      </w:r>
      <w:r>
        <w:rPr>
          <w:lang w:val="en-US"/>
        </w:rPr>
        <w:t xml:space="preserve"> of less than 2</w:t>
      </w:r>
      <w:r w:rsidRPr="00F50643">
        <w:rPr>
          <w:lang w:val="en-US"/>
        </w:rPr>
        <w:t>4</w:t>
      </w:r>
      <w:r>
        <w:rPr>
          <w:lang w:val="en-US"/>
        </w:rPr>
        <w:t xml:space="preserve"> Mbps o</w:t>
      </w:r>
      <w:r w:rsidRPr="00F50643">
        <w:rPr>
          <w:lang w:val="en-US"/>
        </w:rPr>
        <w:t xml:space="preserve">ver the copper network. </w:t>
      </w:r>
    </w:p>
    <w:p w14:paraId="7608DAD8" w14:textId="77777777" w:rsidR="005B762B" w:rsidRDefault="005B762B" w:rsidP="005B762B">
      <w:pPr>
        <w:pStyle w:val="BodyText"/>
        <w:numPr>
          <w:ilvl w:val="0"/>
          <w:numId w:val="21"/>
        </w:numPr>
        <w:ind w:left="426"/>
        <w:rPr>
          <w:lang w:val="en-US"/>
        </w:rPr>
      </w:pPr>
      <w:r>
        <w:rPr>
          <w:lang w:val="en-US"/>
        </w:rPr>
        <w:t>About 0.</w:t>
      </w:r>
      <w:r w:rsidRPr="00F50643">
        <w:rPr>
          <w:lang w:val="en-US"/>
        </w:rPr>
        <w:t>7</w:t>
      </w:r>
      <w:r>
        <w:rPr>
          <w:lang w:val="en-US"/>
        </w:rPr>
        <w:t xml:space="preserve"> million</w:t>
      </w:r>
      <w:r w:rsidRPr="00F50643">
        <w:rPr>
          <w:lang w:val="en-US"/>
        </w:rPr>
        <w:t xml:space="preserve"> </w:t>
      </w:r>
      <w:r>
        <w:rPr>
          <w:lang w:val="en-US"/>
        </w:rPr>
        <w:t xml:space="preserve">premises </w:t>
      </w:r>
      <w:r w:rsidRPr="00F50643">
        <w:rPr>
          <w:lang w:val="en-US"/>
        </w:rPr>
        <w:t xml:space="preserve">(6 per cent) </w:t>
      </w:r>
      <w:r>
        <w:rPr>
          <w:lang w:val="en-US"/>
        </w:rPr>
        <w:t>are unable to access a fixed broadband service.</w:t>
      </w:r>
    </w:p>
    <w:p w14:paraId="4CC07F10" w14:textId="39642773" w:rsidR="005B762B" w:rsidRDefault="005B762B" w:rsidP="005B762B">
      <w:pPr>
        <w:pStyle w:val="BodyText"/>
        <w:numPr>
          <w:ilvl w:val="0"/>
          <w:numId w:val="21"/>
        </w:numPr>
        <w:ind w:left="426"/>
        <w:rPr>
          <w:lang w:val="en-US"/>
        </w:rPr>
      </w:pPr>
      <w:r w:rsidRPr="00480E1E">
        <w:rPr>
          <w:lang w:val="en-US"/>
        </w:rPr>
        <w:t>Of p</w:t>
      </w:r>
      <w:r>
        <w:rPr>
          <w:lang w:val="en-US"/>
        </w:rPr>
        <w:t xml:space="preserve">remises with access to </w:t>
      </w:r>
      <w:r w:rsidR="003830A1">
        <w:rPr>
          <w:lang w:val="en-US"/>
        </w:rPr>
        <w:t>ADSL</w:t>
      </w:r>
      <w:r>
        <w:rPr>
          <w:lang w:val="en-US"/>
        </w:rPr>
        <w:t xml:space="preserve"> broadband services over copper</w:t>
      </w:r>
      <w:r w:rsidRPr="00480E1E">
        <w:rPr>
          <w:lang w:val="en-US"/>
        </w:rPr>
        <w:t xml:space="preserve">, </w:t>
      </w:r>
      <w:r>
        <w:rPr>
          <w:lang w:val="en-US"/>
        </w:rPr>
        <w:t>about 3.7 million are located in areas with a</w:t>
      </w:r>
      <w:r w:rsidRPr="00480E1E">
        <w:rPr>
          <w:lang w:val="en-US"/>
        </w:rPr>
        <w:t>n estimated</w:t>
      </w:r>
      <w:r>
        <w:rPr>
          <w:lang w:val="en-US"/>
        </w:rPr>
        <w:t xml:space="preserve"> peak median download speed of less than 9</w:t>
      </w:r>
      <w:r w:rsidRPr="00480E1E">
        <w:rPr>
          <w:lang w:val="en-US"/>
        </w:rPr>
        <w:t xml:space="preserve"> Mbps, and </w:t>
      </w:r>
      <w:r>
        <w:rPr>
          <w:lang w:val="en-US"/>
        </w:rPr>
        <w:t>920,000 in areas with an estimated peak median download speed of less than 4.8 </w:t>
      </w:r>
      <w:r w:rsidRPr="00480E1E">
        <w:rPr>
          <w:lang w:val="en-US"/>
        </w:rPr>
        <w:t>Mbps.</w:t>
      </w:r>
      <w:r>
        <w:rPr>
          <w:lang w:val="en-US"/>
        </w:rPr>
        <w:t xml:space="preserve"> </w:t>
      </w:r>
    </w:p>
    <w:p w14:paraId="1B09F5DD" w14:textId="200AD764" w:rsidR="009919A0" w:rsidRPr="009919A0" w:rsidRDefault="005B762B" w:rsidP="009919A0">
      <w:pPr>
        <w:pStyle w:val="BodyText"/>
      </w:pPr>
      <w:r w:rsidRPr="009919A0">
        <w:t>In summary, whilst there are Australian communities who have severely limited access to broadband services, the more significant national issue is the quality of services (Figure 1).</w:t>
      </w:r>
    </w:p>
    <w:p w14:paraId="5585EB9D" w14:textId="7C3B477B" w:rsidR="005B762B" w:rsidRDefault="005B762B" w:rsidP="005B762B">
      <w:pPr>
        <w:pStyle w:val="BodyText"/>
        <w:ind w:left="66"/>
      </w:pPr>
      <w:r>
        <w:rPr>
          <w:noProof/>
          <w:lang w:val="en-AU" w:eastAsia="en-AU"/>
        </w:rPr>
        <w:drawing>
          <wp:inline distT="0" distB="0" distL="0" distR="0" wp14:anchorId="3E1F8EC6" wp14:editId="75BB8B5E">
            <wp:extent cx="5760000" cy="2520000"/>
            <wp:effectExtent l="0" t="0" r="12700" b="13970"/>
            <wp:docPr id="57" name="Chart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ACCF50" w14:textId="77777777" w:rsidR="005B762B" w:rsidRDefault="005B762B" w:rsidP="005B762B">
      <w:pPr>
        <w:pStyle w:val="Subtitle"/>
        <w:rPr>
          <w:sz w:val="20"/>
          <w:szCs w:val="20"/>
        </w:rPr>
      </w:pPr>
      <w:r>
        <w:rPr>
          <w:sz w:val="20"/>
          <w:szCs w:val="20"/>
        </w:rPr>
        <w:t>Figure 1</w:t>
      </w:r>
      <w:r w:rsidRPr="005B1ECC">
        <w:rPr>
          <w:sz w:val="20"/>
          <w:szCs w:val="20"/>
        </w:rPr>
        <w:t xml:space="preserve">. </w:t>
      </w:r>
      <w:r>
        <w:rPr>
          <w:sz w:val="20"/>
          <w:szCs w:val="20"/>
        </w:rPr>
        <w:t xml:space="preserve">Percentage of premises in each fixed broadband availability and quality band (see page 8 for fixed broadband availability rating scale and page 22 for quality rating scale) </w:t>
      </w:r>
    </w:p>
    <w:p w14:paraId="10D5A48B" w14:textId="77777777" w:rsidR="001813FE" w:rsidRPr="001813FE" w:rsidRDefault="001813FE" w:rsidP="001813FE"/>
    <w:p w14:paraId="3999EB68" w14:textId="77777777" w:rsidR="005B762B" w:rsidRPr="001813FE" w:rsidRDefault="005B762B" w:rsidP="001813FE">
      <w:pPr>
        <w:pStyle w:val="BodyText"/>
      </w:pPr>
      <w:r w:rsidRPr="001813FE">
        <w:t xml:space="preserve">In terms of the spatial distribution of broadband availability and quality, the analysis indicated that the Northern Territory, Tasmania and Western Australia have more areas with poor access to quality broadband services compared to the remaining states. </w:t>
      </w:r>
    </w:p>
    <w:p w14:paraId="60E8C939" w14:textId="04B209AE" w:rsidR="005B762B" w:rsidRPr="001813FE" w:rsidRDefault="005B762B" w:rsidP="001813FE">
      <w:pPr>
        <w:pStyle w:val="BodyText"/>
      </w:pPr>
      <w:r w:rsidRPr="001813FE">
        <w:t xml:space="preserve">In each state or territory, broadband services are generally more available and of higher quality in metropolitan areas than in regional and remote areas. Although premises within regional and remote areas that are located close to local telephone exchanges typically have access to higher quality </w:t>
      </w:r>
      <w:r w:rsidR="003830A1" w:rsidRPr="001813FE">
        <w:t>ADSL</w:t>
      </w:r>
      <w:r w:rsidRPr="001813FE">
        <w:t xml:space="preserve"> services, premises further away from exchanges generally do not. The analysis also identified many small metropolitan areas where there is limited availability of fixed broadband, and a large number of premises that can access a basic service only at download speeds less than 9 Mbps. </w:t>
      </w:r>
    </w:p>
    <w:p w14:paraId="5D7C84BE" w14:textId="77777777" w:rsidR="005B762B" w:rsidRPr="001813FE" w:rsidRDefault="005B762B" w:rsidP="001813FE">
      <w:pPr>
        <w:pStyle w:val="BodyText"/>
      </w:pPr>
      <w:r w:rsidRPr="001813FE">
        <w:t xml:space="preserve">It is important to note that broadband availability and quality is affected by multiple factors. Key elements were considered in this analysis, but a range of factors may impact individual circumstances. In many locations there will be premises whose circumstances vary from the ratings for broadband availability and quality that their area receives in this analysis. </w:t>
      </w:r>
    </w:p>
    <w:p w14:paraId="0CFD6297" w14:textId="77777777" w:rsidR="005B762B" w:rsidRPr="00787891" w:rsidRDefault="005B762B" w:rsidP="005B762B">
      <w:pPr>
        <w:pStyle w:val="Heading1"/>
      </w:pPr>
      <w:bookmarkStart w:id="54" w:name="_Toc377120877"/>
      <w:bookmarkStart w:id="55" w:name="_Toc377123932"/>
      <w:bookmarkStart w:id="56" w:name="_Toc377134438"/>
      <w:bookmarkStart w:id="57" w:name="_Toc377215442"/>
      <w:bookmarkStart w:id="58" w:name="_Toc377376496"/>
      <w:bookmarkStart w:id="59" w:name="_Toc377380818"/>
      <w:bookmarkStart w:id="60" w:name="_Toc377381966"/>
      <w:bookmarkStart w:id="61" w:name="_Toc377383501"/>
      <w:bookmarkStart w:id="62" w:name="_Toc377722537"/>
      <w:bookmarkStart w:id="63" w:name="_Toc380479892"/>
      <w:bookmarkStart w:id="64" w:name="_Toc375150652"/>
      <w:bookmarkStart w:id="65" w:name="_Toc375216641"/>
      <w:bookmarkStart w:id="66" w:name="_Toc377044239"/>
      <w:bookmarkStart w:id="67" w:name="_Toc377046988"/>
      <w:bookmarkStart w:id="68" w:name="_Toc377120879"/>
      <w:bookmarkStart w:id="69" w:name="_Toc377123934"/>
      <w:bookmarkStart w:id="70" w:name="_Toc377134440"/>
      <w:bookmarkStart w:id="71" w:name="_Toc377215444"/>
      <w:bookmarkStart w:id="72" w:name="_Toc377376498"/>
      <w:bookmarkStart w:id="73" w:name="_Toc377380820"/>
      <w:bookmarkStart w:id="74" w:name="_Toc377381968"/>
      <w:bookmarkStart w:id="75" w:name="_Toc377656479"/>
      <w:bookmarkEnd w:id="28"/>
      <w:bookmarkEnd w:id="29"/>
      <w:r>
        <w:t>2. Introduction</w:t>
      </w:r>
      <w:bookmarkEnd w:id="54"/>
      <w:bookmarkEnd w:id="55"/>
      <w:bookmarkEnd w:id="56"/>
      <w:bookmarkEnd w:id="57"/>
      <w:bookmarkEnd w:id="58"/>
      <w:bookmarkEnd w:id="59"/>
      <w:bookmarkEnd w:id="60"/>
      <w:bookmarkEnd w:id="61"/>
      <w:bookmarkEnd w:id="62"/>
      <w:bookmarkEnd w:id="63"/>
    </w:p>
    <w:p w14:paraId="6FBBEE1B" w14:textId="35FE5345" w:rsidR="005B762B" w:rsidRPr="005B1ECC" w:rsidRDefault="005B762B" w:rsidP="005B762B">
      <w:pPr>
        <w:pStyle w:val="BodyText"/>
        <w:spacing w:before="240"/>
      </w:pPr>
      <w:r w:rsidRPr="005B1ECC">
        <w:t xml:space="preserve">In </w:t>
      </w:r>
      <w:r>
        <w:t>September 2013</w:t>
      </w:r>
      <w:r w:rsidRPr="005B1ECC">
        <w:t xml:space="preserve"> the Australian Government asked the Department of Communications to prepare a report on broadband availability and quality. </w:t>
      </w:r>
      <w:r>
        <w:t xml:space="preserve">On 23 December 2013, the Minister for Communications, the Hon Malcolm Turnbull MP, released a national summary report of broadband infrastructure and performance. Production of maps and a website to provide consumers with the opportunity to search the results for their local area occurred in </w:t>
      </w:r>
      <w:r w:rsidR="00611D72">
        <w:t xml:space="preserve">February </w:t>
      </w:r>
      <w:r>
        <w:t xml:space="preserve">2014. The website is available at </w:t>
      </w:r>
      <w:r w:rsidRPr="000C5B53">
        <w:rPr>
          <w:b/>
        </w:rPr>
        <w:t>www.communications.gov.au/mybroadband</w:t>
      </w:r>
      <w:r w:rsidRPr="000C5B53">
        <w:t>.</w:t>
      </w:r>
    </w:p>
    <w:p w14:paraId="17AA64F1" w14:textId="2D70E7D7" w:rsidR="005B762B" w:rsidRPr="001813FE" w:rsidRDefault="005B762B" w:rsidP="001813FE">
      <w:pPr>
        <w:pStyle w:val="BodyText"/>
      </w:pPr>
      <w:r w:rsidRPr="001813FE">
        <w:t xml:space="preserve">This report is based on a spatial analysis of the coverage of broadband customer access networks, along with an estimate of their likely performance using known constraints. The analysis of broadband availability and quality considers three categories of broadband delivery separately: fixed broadband (including fibre to the premises (FTTP), fibre to the node (FTTN), </w:t>
      </w:r>
      <w:r w:rsidR="00661EE3" w:rsidRPr="001813FE">
        <w:t xml:space="preserve">asymmetric </w:t>
      </w:r>
      <w:r w:rsidRPr="001813FE">
        <w:t>digital subscriber line (</w:t>
      </w:r>
      <w:r w:rsidR="003830A1" w:rsidRPr="001813FE">
        <w:t>ADSL</w:t>
      </w:r>
      <w:r w:rsidRPr="001813FE">
        <w:t xml:space="preserve">), hybrid fibre coaxial (HFC) and fixed wireless), mobile broadband (3G and 4G) and satellite broadband. </w:t>
      </w:r>
    </w:p>
    <w:p w14:paraId="7EEF3103" w14:textId="77777777" w:rsidR="005B762B" w:rsidRPr="001813FE" w:rsidRDefault="005B762B" w:rsidP="001813FE">
      <w:pPr>
        <w:pStyle w:val="BodyText"/>
      </w:pPr>
      <w:r w:rsidRPr="001813FE">
        <w:t xml:space="preserve">It is important to note that broadband availability and quality is affected by multiple factors. Key elements are considered in this analysis but there are other factors that will impact individual circumstances. The approach seeks to measure availability as a description of the infrastructure currently in place and the possible speeds achievable over that infrastructure as the measure of quality. </w:t>
      </w:r>
    </w:p>
    <w:p w14:paraId="39383A86" w14:textId="4DA2029D" w:rsidR="005B762B" w:rsidRPr="001813FE" w:rsidRDefault="005B762B" w:rsidP="001813FE">
      <w:pPr>
        <w:pStyle w:val="BodyText"/>
      </w:pPr>
      <w:r w:rsidRPr="001813FE">
        <w:t xml:space="preserve">The analysis is a supply side picture of what broadband infrastructure is available and the speeds the technology is capable of supporting. It does not consider demand side factors such as the services purchased, which is the focus of the Australian Bureau of Statistics Internet Activity Survey where Internet Service Providers (ISPs) report the number of subscribers by the advertised download speed (in ranges) </w:t>
      </w:r>
      <w:r w:rsidR="003830A1" w:rsidRPr="001813FE">
        <w:t>according to access technology</w:t>
      </w:r>
      <w:r w:rsidRPr="001813FE">
        <w:t xml:space="preserve">. </w:t>
      </w:r>
    </w:p>
    <w:p w14:paraId="3D29F8E0" w14:textId="77777777" w:rsidR="005B762B" w:rsidRPr="005B1ECC" w:rsidRDefault="005B762B" w:rsidP="005B762B">
      <w:pPr>
        <w:pStyle w:val="BodyText"/>
        <w:numPr>
          <w:ilvl w:val="0"/>
          <w:numId w:val="3"/>
        </w:numPr>
        <w:tabs>
          <w:tab w:val="clear" w:pos="0"/>
        </w:tabs>
        <w:ind w:left="426"/>
      </w:pPr>
      <w:r w:rsidRPr="005B1ECC">
        <w:t>The analysis has not assessed local or temporary variations in broadband infrastructure, services available or service quality, network dimensioning or other operational factors that are the responsibility of individual network owner</w:t>
      </w:r>
      <w:r>
        <w:t>s</w:t>
      </w:r>
      <w:r w:rsidRPr="005B1ECC">
        <w:t xml:space="preserve">. Other factors that impact on an end user’s experience and perception of quality such as reliability, </w:t>
      </w:r>
      <w:r>
        <w:t>retail pricing</w:t>
      </w:r>
      <w:r w:rsidRPr="005B1ECC">
        <w:t>,</w:t>
      </w:r>
      <w:r>
        <w:t xml:space="preserve"> </w:t>
      </w:r>
      <w:r w:rsidRPr="00E162F6">
        <w:t>competition, value</w:t>
      </w:r>
      <w:r w:rsidRPr="005B1ECC">
        <w:t>-added components to the service</w:t>
      </w:r>
      <w:r>
        <w:t>, weather events</w:t>
      </w:r>
      <w:r w:rsidRPr="005B1ECC">
        <w:t xml:space="preserve"> and mobility </w:t>
      </w:r>
      <w:r>
        <w:t>were</w:t>
      </w:r>
      <w:r w:rsidRPr="005B1ECC">
        <w:t xml:space="preserve"> also </w:t>
      </w:r>
      <w:r>
        <w:t>excluded from</w:t>
      </w:r>
      <w:r w:rsidRPr="005B1ECC">
        <w:t xml:space="preserve"> the analysis. </w:t>
      </w:r>
    </w:p>
    <w:p w14:paraId="0E3D8D2F" w14:textId="77777777" w:rsidR="005B762B" w:rsidRPr="005B1ECC" w:rsidRDefault="005B762B" w:rsidP="005B762B">
      <w:pPr>
        <w:pStyle w:val="BodyText"/>
        <w:numPr>
          <w:ilvl w:val="0"/>
          <w:numId w:val="3"/>
        </w:numPr>
        <w:tabs>
          <w:tab w:val="clear" w:pos="0"/>
        </w:tabs>
        <w:ind w:left="426"/>
      </w:pPr>
      <w:r w:rsidRPr="005B1ECC">
        <w:t>Broadband access networks that specifically address the communication</w:t>
      </w:r>
      <w:r>
        <w:t>s</w:t>
      </w:r>
      <w:r w:rsidRPr="005B1ECC">
        <w:t xml:space="preserve"> requirements of the medium and large enterprise sector and tertiary education institutions are not the focus of this study, and have been excluded. </w:t>
      </w:r>
    </w:p>
    <w:p w14:paraId="6A5DF573" w14:textId="77777777" w:rsidR="005B762B" w:rsidRPr="001813FE" w:rsidRDefault="005B762B" w:rsidP="001813FE">
      <w:pPr>
        <w:pStyle w:val="BodyText"/>
      </w:pPr>
      <w:r w:rsidRPr="001813FE">
        <w:t xml:space="preserve">There are various options for undertaking an analysis of broadband availability and quality. The methodology adopted is set out in this report and feedback is sought on the approach taken. It is noted that telecommunications carriers continue to invest in infrastructure such that broadband availability and quality is dynamic. This analysis represents a snapshot of broadband access as at December 2013.  </w:t>
      </w:r>
    </w:p>
    <w:p w14:paraId="319E3184" w14:textId="77777777" w:rsidR="005B762B" w:rsidRPr="00AC55F6" w:rsidRDefault="005B762B" w:rsidP="005B762B">
      <w:pPr>
        <w:pStyle w:val="Heading2"/>
        <w:rPr>
          <w:sz w:val="32"/>
          <w:lang w:val="en-US"/>
        </w:rPr>
      </w:pPr>
      <w:bookmarkStart w:id="76" w:name="_Toc375150651"/>
      <w:bookmarkStart w:id="77" w:name="_Toc375216640"/>
      <w:bookmarkStart w:id="78" w:name="_Toc377044238"/>
      <w:bookmarkStart w:id="79" w:name="_Toc377046987"/>
      <w:bookmarkStart w:id="80" w:name="_Toc377120878"/>
      <w:bookmarkStart w:id="81" w:name="_Toc377123933"/>
      <w:bookmarkStart w:id="82" w:name="_Toc377134439"/>
      <w:bookmarkStart w:id="83" w:name="_Toc377215443"/>
      <w:bookmarkStart w:id="84" w:name="_Toc377376497"/>
      <w:bookmarkStart w:id="85" w:name="_Toc377380819"/>
      <w:bookmarkStart w:id="86" w:name="_Toc377381967"/>
      <w:bookmarkStart w:id="87" w:name="_Toc377383502"/>
      <w:bookmarkStart w:id="88" w:name="_Toc377722538"/>
      <w:bookmarkStart w:id="89" w:name="_Toc380479893"/>
      <w:r>
        <w:rPr>
          <w:sz w:val="32"/>
          <w:lang w:val="en-US"/>
        </w:rPr>
        <w:t xml:space="preserve">2.1. </w:t>
      </w:r>
      <w:r w:rsidRPr="00AC55F6">
        <w:rPr>
          <w:sz w:val="32"/>
          <w:lang w:val="en-US"/>
        </w:rPr>
        <w:t xml:space="preserve">What is the purpose of this </w:t>
      </w:r>
      <w:r>
        <w:rPr>
          <w:sz w:val="32"/>
          <w:lang w:val="en-US"/>
        </w:rPr>
        <w:t>work</w:t>
      </w:r>
      <w:r w:rsidRPr="00AC55F6">
        <w:rPr>
          <w:sz w:val="32"/>
          <w:lang w:val="en-US"/>
        </w:rPr>
        <w:t>?</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CDE6EA5" w14:textId="77777777" w:rsidR="005B762B" w:rsidRPr="001813FE" w:rsidRDefault="005B762B" w:rsidP="001813FE">
      <w:pPr>
        <w:pStyle w:val="BodyText"/>
      </w:pPr>
      <w:r w:rsidRPr="001813FE">
        <w:t>The purpose of the broadband availability and quality analysis is to describe broadband access across Australia and identify areas with poor broadband services.</w:t>
      </w:r>
    </w:p>
    <w:p w14:paraId="1C4773AE" w14:textId="77777777" w:rsidR="005B762B" w:rsidRPr="001813FE" w:rsidRDefault="005B762B" w:rsidP="001813FE">
      <w:pPr>
        <w:pStyle w:val="BodyText"/>
      </w:pPr>
      <w:r w:rsidRPr="001813FE">
        <w:t xml:space="preserve">The analysis has been provided to NBN Co which is required to consider those areas with a low rating when prioritising the NBN rollout. However, NBN Co will also need to consider the cost and logistics of prioritising deployment of the network to particular areas. </w:t>
      </w:r>
    </w:p>
    <w:p w14:paraId="7C2D957A" w14:textId="77777777" w:rsidR="005B762B" w:rsidRPr="001813FE" w:rsidRDefault="005B762B" w:rsidP="001813FE">
      <w:pPr>
        <w:pStyle w:val="BodyText"/>
      </w:pPr>
      <w:r w:rsidRPr="001813FE">
        <w:t>The highly distributed nature of the NBN project requires that a range of logistical factors must be considered to ensure that the project objectives of rolling out the NBN more quickly and in a cost-effective manner are achieved. The scale and location of underserved premises means that not all of these premises can be addressed first.</w:t>
      </w:r>
    </w:p>
    <w:p w14:paraId="7BCC5D28" w14:textId="77777777" w:rsidR="005B762B" w:rsidRPr="001813FE" w:rsidRDefault="005B762B" w:rsidP="001813FE">
      <w:pPr>
        <w:pStyle w:val="BodyText"/>
      </w:pPr>
      <w:r w:rsidRPr="001813FE">
        <w:t>For instance, the analysis has found that there are areas of inadequate access to infrastructure across the country, including areas distributed as small pockets of poor service in metropolitan and outer metropolitan areas. It will be difficult for NBN Co to deploy in these areas but the objective is to prioritise the areas of greatest need where this is logistically and commercially feasible.</w:t>
      </w:r>
    </w:p>
    <w:p w14:paraId="6A1EC0B0" w14:textId="77777777" w:rsidR="005B762B" w:rsidRPr="001813FE" w:rsidRDefault="005B762B" w:rsidP="001813FE">
      <w:pPr>
        <w:pStyle w:val="BodyText"/>
      </w:pPr>
      <w:r w:rsidRPr="001813FE">
        <w:t>This approach is in line with NBN Co’s recommended deployment scenario arising from the Strategic Review undertaken by the company between October and December 2013. The review assessed, among other things, the progress and cost of the rollout and the estimated cost and time of completing the rollout under a number of scenarios.</w:t>
      </w:r>
    </w:p>
    <w:p w14:paraId="38D31533" w14:textId="77777777" w:rsidR="005B762B" w:rsidRPr="001813FE" w:rsidRDefault="005B762B" w:rsidP="001813FE">
      <w:pPr>
        <w:pStyle w:val="BodyText"/>
      </w:pPr>
      <w:r w:rsidRPr="001813FE">
        <w:t xml:space="preserve">The Strategic Review </w:t>
      </w:r>
      <w:r>
        <w:rPr>
          <w:rFonts w:eastAsia="Times New Roman"/>
        </w:rPr>
        <w:t>included estimated costs to allow for areas with poorer current broadband service to be prioritised. It assumed prioritisation will take into account reasonable operational efficiency considerations, such as needing to rollout in contiguous work fronts and dealing with an area as a whole. The analysis and modelled scenarios included cost allocation for copper remediation and for upgrades to the HFC network to complete connections to premises and fill in gaps in the HFC footprint.</w:t>
      </w:r>
    </w:p>
    <w:p w14:paraId="14E129A2" w14:textId="4908C11D" w:rsidR="005B762B" w:rsidRDefault="005B762B" w:rsidP="001813FE">
      <w:pPr>
        <w:pStyle w:val="BodyText"/>
        <w:rPr>
          <w:lang w:val="en-US"/>
        </w:rPr>
      </w:pPr>
      <w:r w:rsidRPr="001813FE">
        <w:t>It is important to note that this study is a national overview and, as such, it is likely that there will be premises whose individual circumstances don’t accord with the high or low rating for broadband availability and quality that their local area has received. For example, premises in multi-dwelling units may be unable to access a HFC connection due to a body corporate’s decision not to allow a connection to be made.</w:t>
      </w:r>
      <w:r w:rsidRPr="005B1ECC">
        <w:rPr>
          <w:lang w:val="en-US"/>
        </w:rPr>
        <w:t xml:space="preserve"> </w:t>
      </w:r>
    </w:p>
    <w:p w14:paraId="1D06F91B" w14:textId="77777777" w:rsidR="005B762B" w:rsidRPr="00AC55F6" w:rsidRDefault="005B762B" w:rsidP="005B762B">
      <w:pPr>
        <w:pStyle w:val="Heading2"/>
        <w:rPr>
          <w:sz w:val="32"/>
        </w:rPr>
      </w:pPr>
      <w:bookmarkStart w:id="90" w:name="_Toc377722539"/>
      <w:bookmarkStart w:id="91" w:name="_Toc380479894"/>
      <w:r>
        <w:rPr>
          <w:sz w:val="32"/>
        </w:rPr>
        <w:t xml:space="preserve">2.2. </w:t>
      </w:r>
      <w:r w:rsidRPr="00AC55F6">
        <w:rPr>
          <w:sz w:val="32"/>
        </w:rPr>
        <w:t xml:space="preserve">Broadband access technologies </w:t>
      </w:r>
      <w:r>
        <w:rPr>
          <w:sz w:val="32"/>
        </w:rPr>
        <w:t>and service constraints</w:t>
      </w:r>
      <w:bookmarkEnd w:id="90"/>
      <w:bookmarkEnd w:id="91"/>
      <w:r>
        <w:rPr>
          <w:sz w:val="32"/>
        </w:rPr>
        <w:t xml:space="preserve"> </w:t>
      </w:r>
      <w:bookmarkEnd w:id="64"/>
      <w:bookmarkEnd w:id="65"/>
      <w:bookmarkEnd w:id="66"/>
      <w:bookmarkEnd w:id="67"/>
      <w:bookmarkEnd w:id="68"/>
      <w:bookmarkEnd w:id="69"/>
      <w:bookmarkEnd w:id="70"/>
      <w:bookmarkEnd w:id="71"/>
      <w:bookmarkEnd w:id="72"/>
      <w:bookmarkEnd w:id="73"/>
      <w:bookmarkEnd w:id="74"/>
      <w:bookmarkEnd w:id="75"/>
    </w:p>
    <w:p w14:paraId="2F8F3EB3" w14:textId="77777777" w:rsidR="005B762B" w:rsidRPr="000B781F" w:rsidRDefault="005B762B" w:rsidP="001813FE">
      <w:pPr>
        <w:pStyle w:val="BodyText"/>
        <w:rPr>
          <w:lang w:val="en-US"/>
        </w:rPr>
      </w:pPr>
      <w:r w:rsidRPr="000B781F">
        <w:rPr>
          <w:lang w:val="en-US"/>
        </w:rPr>
        <w:t>Broadband services are delivered across the country to homes and businesses using a range of fixed line and mobile technologies. There are also a small number of fixed wireless networks. In addition, all Australian premises are covered by satellite broadband networks.</w:t>
      </w:r>
    </w:p>
    <w:p w14:paraId="25653438" w14:textId="4805EB92" w:rsidR="005B762B" w:rsidRPr="000B781F" w:rsidRDefault="005B762B" w:rsidP="001813FE">
      <w:pPr>
        <w:pStyle w:val="BodyText"/>
        <w:rPr>
          <w:lang w:val="en-US"/>
        </w:rPr>
      </w:pPr>
      <w:r w:rsidRPr="000B781F">
        <w:rPr>
          <w:lang w:val="en-US"/>
        </w:rPr>
        <w:t xml:space="preserve">Each access technology has different constraints. For example, broadband services may be limited in some areas over the copper access network due to the distance of a premises from the exchange. This is because achievable speeds over </w:t>
      </w:r>
      <w:r w:rsidR="003830A1" w:rsidRPr="000B781F">
        <w:rPr>
          <w:lang w:val="en-US"/>
        </w:rPr>
        <w:t>ADSL</w:t>
      </w:r>
      <w:r w:rsidRPr="000B781F">
        <w:rPr>
          <w:lang w:val="en-US"/>
        </w:rPr>
        <w:t xml:space="preserve"> networks decline with distance from the exchange and therefore there is a distance beyond which an </w:t>
      </w:r>
      <w:r w:rsidR="003830A1" w:rsidRPr="000B781F">
        <w:rPr>
          <w:lang w:val="en-US"/>
        </w:rPr>
        <w:t>ADSL</w:t>
      </w:r>
      <w:r w:rsidRPr="000B781F">
        <w:rPr>
          <w:lang w:val="en-US"/>
        </w:rPr>
        <w:t xml:space="preserve"> service is effectively not capable of being supplied. The condition of the copper line and customer premises wiring can also affect the service quality.</w:t>
      </w:r>
    </w:p>
    <w:p w14:paraId="3690FDFE" w14:textId="77777777" w:rsidR="005B762B" w:rsidRPr="000B781F" w:rsidRDefault="005B762B" w:rsidP="001813FE">
      <w:pPr>
        <w:pStyle w:val="BodyText"/>
        <w:rPr>
          <w:lang w:val="en-US"/>
        </w:rPr>
      </w:pPr>
      <w:r w:rsidRPr="000B781F">
        <w:rPr>
          <w:lang w:val="en-US"/>
        </w:rPr>
        <w:t xml:space="preserve">There are also technological barriers preventing access to broadband over the copper network such as pair gain systems. Pair gain systems (both small and medium) are equipment which allows multiple standard telephone lines to be carried over a single pair of copper wires. There are also large pair gain systems including remote integrated multiplexers (RIMS) which can typically deliver between 120 and 480 telephone services. </w:t>
      </w:r>
    </w:p>
    <w:p w14:paraId="736CD535" w14:textId="414F7186" w:rsidR="005B762B" w:rsidRPr="000B781F" w:rsidRDefault="005B762B" w:rsidP="001813FE">
      <w:pPr>
        <w:pStyle w:val="BodyText"/>
        <w:rPr>
          <w:lang w:val="en-US"/>
        </w:rPr>
      </w:pPr>
      <w:r w:rsidRPr="000B781F">
        <w:rPr>
          <w:lang w:val="en-US"/>
        </w:rPr>
        <w:t xml:space="preserve">Generally, </w:t>
      </w:r>
      <w:r w:rsidR="003830A1" w:rsidRPr="000B781F">
        <w:rPr>
          <w:lang w:val="en-US"/>
        </w:rPr>
        <w:t>ADSL</w:t>
      </w:r>
      <w:r w:rsidRPr="000B781F">
        <w:rPr>
          <w:lang w:val="en-US"/>
        </w:rPr>
        <w:t xml:space="preserve"> services are not available to premises on the end of a small or medium pair gain system, although in some circumstances the network provider can re-use an available line for </w:t>
      </w:r>
      <w:r w:rsidR="003830A1" w:rsidRPr="000B781F">
        <w:rPr>
          <w:lang w:val="en-US"/>
        </w:rPr>
        <w:t>ADSL</w:t>
      </w:r>
      <w:r w:rsidRPr="000B781F">
        <w:rPr>
          <w:lang w:val="en-US"/>
        </w:rPr>
        <w:t xml:space="preserve"> services. Many of the large pair gain systems have been upgraded to provide </w:t>
      </w:r>
      <w:r w:rsidR="003830A1" w:rsidRPr="000B781F">
        <w:rPr>
          <w:lang w:val="en-US"/>
        </w:rPr>
        <w:t>ADSL</w:t>
      </w:r>
      <w:r w:rsidRPr="000B781F">
        <w:rPr>
          <w:lang w:val="en-US"/>
        </w:rPr>
        <w:t xml:space="preserve"> services although this depends on the type of pair gain system used and the port capacity within it.</w:t>
      </w:r>
    </w:p>
    <w:p w14:paraId="313C4D96" w14:textId="15A275B7" w:rsidR="005B762B" w:rsidRPr="000B781F" w:rsidRDefault="005B762B" w:rsidP="001813FE">
      <w:pPr>
        <w:pStyle w:val="BodyText"/>
        <w:rPr>
          <w:lang w:val="en-US"/>
        </w:rPr>
      </w:pPr>
      <w:r w:rsidRPr="000B781F">
        <w:rPr>
          <w:lang w:val="en-US"/>
        </w:rPr>
        <w:t xml:space="preserve">Access to broadband services over the copper network may also be constrained due to there being no available ports at the exchange, including if the exchange is capped and no further equipment to support </w:t>
      </w:r>
      <w:r w:rsidR="003830A1" w:rsidRPr="000B781F">
        <w:rPr>
          <w:lang w:val="en-US"/>
        </w:rPr>
        <w:t>ADSL</w:t>
      </w:r>
      <w:r w:rsidRPr="000B781F">
        <w:rPr>
          <w:lang w:val="en-US"/>
        </w:rPr>
        <w:t xml:space="preserve"> services can be installed. </w:t>
      </w:r>
    </w:p>
    <w:p w14:paraId="71794C94" w14:textId="77777777" w:rsidR="005B762B" w:rsidRPr="000B781F" w:rsidRDefault="005B762B" w:rsidP="001813FE">
      <w:pPr>
        <w:pStyle w:val="BodyText"/>
        <w:rPr>
          <w:lang w:val="en-US"/>
        </w:rPr>
      </w:pPr>
      <w:r w:rsidRPr="000B781F">
        <w:rPr>
          <w:lang w:val="en-US"/>
        </w:rPr>
        <w:t xml:space="preserve">Once connected to a service, broadband quality can be affected by customer equipment, interference from other devices, software, the broadband plan purchased, how each service provider designs its network (including congestion in the network) and the level of concurrent usage for technologies such as HFC, mobile and satellite (where limited bandwidth in the customer access component of the network can limit performance at peak times). Not all of these factors are within the control of the retail service provider or the network provider. </w:t>
      </w:r>
    </w:p>
    <w:p w14:paraId="557BC8D8" w14:textId="77777777" w:rsidR="005B762B" w:rsidRDefault="005B762B" w:rsidP="001813FE">
      <w:pPr>
        <w:pStyle w:val="BodyText"/>
      </w:pPr>
      <w:r w:rsidRPr="000B781F">
        <w:rPr>
          <w:lang w:val="en-US"/>
        </w:rPr>
        <w:t>Appendix A provides further information on available broadband technologies and factors that impact data speeds.</w:t>
      </w:r>
      <w:r w:rsidRPr="005B1ECC">
        <w:t xml:space="preserve"> </w:t>
      </w:r>
      <w:bookmarkStart w:id="92" w:name="_Toc372889241"/>
      <w:bookmarkEnd w:id="15"/>
      <w:bookmarkEnd w:id="14"/>
    </w:p>
    <w:p w14:paraId="08D4E2B6" w14:textId="77777777" w:rsidR="005B762B" w:rsidRDefault="005B762B" w:rsidP="005B762B">
      <w:pPr>
        <w:pStyle w:val="BodyText"/>
      </w:pPr>
    </w:p>
    <w:p w14:paraId="6A0A043B" w14:textId="77777777" w:rsidR="005B762B" w:rsidRDefault="005B762B" w:rsidP="005B762B">
      <w:pPr>
        <w:pStyle w:val="BodyText"/>
      </w:pPr>
    </w:p>
    <w:p w14:paraId="1D513A68" w14:textId="77777777" w:rsidR="005B762B" w:rsidRDefault="005B762B" w:rsidP="005B762B">
      <w:pPr>
        <w:pStyle w:val="Heading1"/>
        <w:spacing w:before="0"/>
      </w:pPr>
      <w:r>
        <w:br w:type="page"/>
      </w:r>
      <w:bookmarkStart w:id="93" w:name="_Toc370225843"/>
      <w:bookmarkStart w:id="94" w:name="_Toc371074989"/>
      <w:bookmarkStart w:id="95" w:name="_Toc373481219"/>
      <w:bookmarkStart w:id="96" w:name="_Toc373483629"/>
      <w:bookmarkStart w:id="97" w:name="_Toc377044240"/>
      <w:bookmarkStart w:id="98" w:name="_Toc377046989"/>
      <w:bookmarkStart w:id="99" w:name="_Toc377120880"/>
      <w:bookmarkStart w:id="100" w:name="_Toc377123935"/>
      <w:bookmarkStart w:id="101" w:name="_Toc377134441"/>
      <w:bookmarkStart w:id="102" w:name="_Toc377215445"/>
      <w:bookmarkStart w:id="103" w:name="_Toc377376499"/>
      <w:bookmarkStart w:id="104" w:name="_Toc377380822"/>
      <w:bookmarkStart w:id="105" w:name="_Toc377381970"/>
      <w:bookmarkStart w:id="106" w:name="_Toc377656480"/>
      <w:bookmarkStart w:id="107" w:name="_Toc377722540"/>
      <w:bookmarkStart w:id="108" w:name="_Toc380479895"/>
      <w:bookmarkEnd w:id="92"/>
      <w:r>
        <w:t>3. Findings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503A5BA2" w14:textId="77777777" w:rsidR="005B762B" w:rsidRDefault="005B762B" w:rsidP="005B762B">
      <w:pPr>
        <w:pStyle w:val="Heading2"/>
      </w:pPr>
      <w:bookmarkStart w:id="109" w:name="_Toc377120881"/>
      <w:bookmarkStart w:id="110" w:name="_Toc377123936"/>
      <w:bookmarkStart w:id="111" w:name="_Toc377134442"/>
      <w:bookmarkStart w:id="112" w:name="_Toc377215446"/>
      <w:bookmarkStart w:id="113" w:name="_Toc377376500"/>
      <w:bookmarkStart w:id="114" w:name="_Toc377380823"/>
      <w:bookmarkStart w:id="115" w:name="_Toc377381971"/>
      <w:bookmarkStart w:id="116" w:name="_Toc377656481"/>
      <w:bookmarkStart w:id="117" w:name="_Toc377722541"/>
      <w:bookmarkStart w:id="118" w:name="_Toc380479896"/>
      <w:r>
        <w:t>3.1. Fixed broadband availability</w:t>
      </w:r>
      <w:bookmarkEnd w:id="109"/>
      <w:bookmarkEnd w:id="110"/>
      <w:bookmarkEnd w:id="111"/>
      <w:bookmarkEnd w:id="112"/>
      <w:bookmarkEnd w:id="113"/>
      <w:bookmarkEnd w:id="114"/>
      <w:bookmarkEnd w:id="115"/>
      <w:bookmarkEnd w:id="116"/>
      <w:bookmarkEnd w:id="117"/>
      <w:bookmarkEnd w:id="118"/>
    </w:p>
    <w:p w14:paraId="69DA2400" w14:textId="045A49D2" w:rsidR="005B762B" w:rsidRPr="001813FE" w:rsidRDefault="005B762B" w:rsidP="001813FE">
      <w:pPr>
        <w:pStyle w:val="BodyText"/>
      </w:pPr>
      <w:r w:rsidRPr="001813FE">
        <w:t xml:space="preserve">The analysis found that approximately 91 per cent of Australian premises have access to fixed line broadband services delivered over </w:t>
      </w:r>
      <w:r w:rsidR="0008357F">
        <w:t xml:space="preserve">asymmetric </w:t>
      </w:r>
      <w:r w:rsidRPr="001813FE">
        <w:t>digital subscriber line (</w:t>
      </w:r>
      <w:r w:rsidR="003830A1" w:rsidRPr="001813FE">
        <w:t>ADSL</w:t>
      </w:r>
      <w:r w:rsidRPr="001813FE">
        <w:t>) platforms. Approximately 28 per cent of premises have access to a high speed broadband platform including fibre to the premises (FTTP), fibre to the node (FTTN), hybrid fibre coaxial (HFC) and fixed wireless networks.</w:t>
      </w:r>
    </w:p>
    <w:p w14:paraId="70A3FF25" w14:textId="77777777" w:rsidR="005B762B" w:rsidRPr="001813FE" w:rsidRDefault="005B762B" w:rsidP="001813FE">
      <w:pPr>
        <w:pStyle w:val="BodyText"/>
      </w:pPr>
      <w:r w:rsidRPr="001813FE">
        <w:t xml:space="preserve">The primary unit of analysis for this report is the Telstra Distribution Area (DA). A DA is a network component of a Telstra Exchange Service Area (ESA) and typically comprises </w:t>
      </w:r>
      <w:r w:rsidRPr="001813FE">
        <w:br/>
        <w:t xml:space="preserve">100-200 premises. DAs are assessed against an A (highest) to E (lowest) rating scale for availability and quality, and the sum of the premises within those DAs is how premises figures are calculated. A measure for broadband availability for each DA was determined in accordance with the scale in Table 1. </w:t>
      </w:r>
    </w:p>
    <w:p w14:paraId="5E8024E7" w14:textId="77777777" w:rsidR="005B762B" w:rsidRPr="0083479B" w:rsidRDefault="005B762B" w:rsidP="005B762B">
      <w:pPr>
        <w:pStyle w:val="Subtitle"/>
        <w:rPr>
          <w:sz w:val="20"/>
          <w:szCs w:val="20"/>
        </w:rPr>
      </w:pPr>
      <w:r w:rsidRPr="0083479B">
        <w:rPr>
          <w:sz w:val="20"/>
          <w:szCs w:val="20"/>
        </w:rPr>
        <w:t>Table 1. Fixed broadband availability rating scale.</w:t>
      </w:r>
    </w:p>
    <w:tbl>
      <w:tblPr>
        <w:tblStyle w:val="MediumGrid3-Accent1"/>
        <w:tblW w:w="0" w:type="auto"/>
        <w:jc w:val="center"/>
        <w:tblLook w:val="04A0" w:firstRow="1" w:lastRow="0" w:firstColumn="1" w:lastColumn="0" w:noHBand="0" w:noVBand="1"/>
      </w:tblPr>
      <w:tblGrid>
        <w:gridCol w:w="1525"/>
        <w:gridCol w:w="7711"/>
      </w:tblGrid>
      <w:tr w:rsidR="005B762B" w:rsidRPr="00793C7E" w14:paraId="31451783" w14:textId="77777777" w:rsidTr="00F802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36" w:type="dxa"/>
            <w:gridSpan w:val="2"/>
            <w:hideMark/>
          </w:tcPr>
          <w:p w14:paraId="7514927F" w14:textId="77777777" w:rsidR="005B762B" w:rsidRPr="00DE7A2D" w:rsidRDefault="005B762B" w:rsidP="00F8020A">
            <w:pPr>
              <w:pStyle w:val="BodyText"/>
            </w:pPr>
            <w:r w:rsidRPr="00DE7A2D">
              <w:rPr>
                <w:color w:val="FFFFFF" w:themeColor="background1"/>
              </w:rPr>
              <w:t>Availability Rating</w:t>
            </w:r>
          </w:p>
        </w:tc>
      </w:tr>
      <w:tr w:rsidR="005B762B" w:rsidRPr="00793C7E" w14:paraId="58212D4A" w14:textId="77777777" w:rsidTr="00F802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hideMark/>
          </w:tcPr>
          <w:p w14:paraId="42A3BC5B" w14:textId="77777777" w:rsidR="005B762B" w:rsidRPr="00DE7A2D" w:rsidRDefault="005B762B" w:rsidP="00F8020A">
            <w:pPr>
              <w:pStyle w:val="BodyText"/>
              <w:rPr>
                <w:color w:val="FFFFFF" w:themeColor="background1"/>
              </w:rPr>
            </w:pPr>
            <w:r w:rsidRPr="00DE7A2D">
              <w:rPr>
                <w:color w:val="FFFFFF" w:themeColor="background1"/>
              </w:rPr>
              <w:t>A</w:t>
            </w:r>
          </w:p>
        </w:tc>
        <w:tc>
          <w:tcPr>
            <w:tcW w:w="7711" w:type="dxa"/>
          </w:tcPr>
          <w:p w14:paraId="1E7DB8A4" w14:textId="77777777" w:rsidR="005B762B" w:rsidRPr="00DE7A2D" w:rsidRDefault="005B762B" w:rsidP="00F8020A">
            <w:pPr>
              <w:pStyle w:val="BodyText"/>
              <w:cnfStyle w:val="000000100000" w:firstRow="0" w:lastRow="0" w:firstColumn="0" w:lastColumn="0" w:oddVBand="0" w:evenVBand="0" w:oddHBand="1" w:evenHBand="0" w:firstRowFirstColumn="0" w:firstRowLastColumn="0" w:lastRowFirstColumn="0" w:lastRowLastColumn="0"/>
            </w:pPr>
            <w:r>
              <w:t>Highest availability r</w:t>
            </w:r>
            <w:r w:rsidRPr="00DE7A2D">
              <w:t>ating: Between 8</w:t>
            </w:r>
            <w:r>
              <w:t>0</w:t>
            </w:r>
            <w:r w:rsidRPr="00DE7A2D">
              <w:t>-100 per cent of premises in the DAs in this group have access to at least one fixed broadband technology.</w:t>
            </w:r>
          </w:p>
        </w:tc>
      </w:tr>
      <w:tr w:rsidR="005B762B" w:rsidRPr="00793C7E" w14:paraId="22434D67" w14:textId="77777777" w:rsidTr="00F8020A">
        <w:trPr>
          <w:jc w:val="center"/>
        </w:trPr>
        <w:tc>
          <w:tcPr>
            <w:cnfStyle w:val="001000000000" w:firstRow="0" w:lastRow="0" w:firstColumn="1" w:lastColumn="0" w:oddVBand="0" w:evenVBand="0" w:oddHBand="0" w:evenHBand="0" w:firstRowFirstColumn="0" w:firstRowLastColumn="0" w:lastRowFirstColumn="0" w:lastRowLastColumn="0"/>
            <w:tcW w:w="1525" w:type="dxa"/>
            <w:hideMark/>
          </w:tcPr>
          <w:p w14:paraId="0BD35530" w14:textId="77777777" w:rsidR="005B762B" w:rsidRPr="00DE7A2D" w:rsidRDefault="005B762B" w:rsidP="00F8020A">
            <w:pPr>
              <w:pStyle w:val="BodyText"/>
              <w:rPr>
                <w:color w:val="FFFFFF" w:themeColor="background1"/>
              </w:rPr>
            </w:pPr>
            <w:r w:rsidRPr="00DE7A2D">
              <w:rPr>
                <w:color w:val="FFFFFF" w:themeColor="background1"/>
              </w:rPr>
              <w:t>B</w:t>
            </w:r>
          </w:p>
        </w:tc>
        <w:tc>
          <w:tcPr>
            <w:tcW w:w="7711" w:type="dxa"/>
          </w:tcPr>
          <w:p w14:paraId="4577DC18" w14:textId="77777777" w:rsidR="005B762B" w:rsidRPr="00DE7A2D" w:rsidRDefault="005B762B" w:rsidP="00F8020A">
            <w:pPr>
              <w:pStyle w:val="BodyText"/>
              <w:cnfStyle w:val="000000000000" w:firstRow="0" w:lastRow="0" w:firstColumn="0" w:lastColumn="0" w:oddVBand="0" w:evenVBand="0" w:oddHBand="0" w:evenHBand="0" w:firstRowFirstColumn="0" w:firstRowLastColumn="0" w:lastRowFirstColumn="0" w:lastRowLastColumn="0"/>
            </w:pPr>
            <w:r w:rsidRPr="00DE7A2D">
              <w:t>Between 6</w:t>
            </w:r>
            <w:r>
              <w:t>0</w:t>
            </w:r>
            <w:r w:rsidRPr="00DE7A2D">
              <w:t>-80 per cent of premises in the DAs in this group have access to at least one fixed broadband technology.</w:t>
            </w:r>
          </w:p>
        </w:tc>
      </w:tr>
      <w:tr w:rsidR="005B762B" w:rsidRPr="00793C7E" w14:paraId="53F70DF5" w14:textId="77777777" w:rsidTr="00F802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hideMark/>
          </w:tcPr>
          <w:p w14:paraId="0AFD233E" w14:textId="77777777" w:rsidR="005B762B" w:rsidRPr="00DE7A2D" w:rsidRDefault="005B762B" w:rsidP="00F8020A">
            <w:pPr>
              <w:pStyle w:val="BodyText"/>
              <w:rPr>
                <w:color w:val="FFFFFF" w:themeColor="background1"/>
              </w:rPr>
            </w:pPr>
            <w:r w:rsidRPr="00DE7A2D">
              <w:rPr>
                <w:color w:val="FFFFFF" w:themeColor="background1"/>
              </w:rPr>
              <w:t>C</w:t>
            </w:r>
          </w:p>
        </w:tc>
        <w:tc>
          <w:tcPr>
            <w:tcW w:w="7711" w:type="dxa"/>
            <w:hideMark/>
          </w:tcPr>
          <w:p w14:paraId="2C3DA531" w14:textId="77777777" w:rsidR="005B762B" w:rsidRPr="00DE7A2D" w:rsidRDefault="005B762B" w:rsidP="00F8020A">
            <w:pPr>
              <w:pStyle w:val="BodyText"/>
              <w:cnfStyle w:val="000000100000" w:firstRow="0" w:lastRow="0" w:firstColumn="0" w:lastColumn="0" w:oddVBand="0" w:evenVBand="0" w:oddHBand="1" w:evenHBand="0" w:firstRowFirstColumn="0" w:firstRowLastColumn="0" w:lastRowFirstColumn="0" w:lastRowLastColumn="0"/>
            </w:pPr>
            <w:r w:rsidRPr="00DE7A2D">
              <w:t>Between 4</w:t>
            </w:r>
            <w:r>
              <w:t>0</w:t>
            </w:r>
            <w:r w:rsidRPr="00DE7A2D">
              <w:t>-60 per cent of premises in the DAs in this group have access to at least one fixed broadband technology.</w:t>
            </w:r>
          </w:p>
        </w:tc>
      </w:tr>
      <w:tr w:rsidR="005B762B" w:rsidRPr="00793C7E" w14:paraId="3BF690D7" w14:textId="77777777" w:rsidTr="00F8020A">
        <w:trPr>
          <w:jc w:val="center"/>
        </w:trPr>
        <w:tc>
          <w:tcPr>
            <w:cnfStyle w:val="001000000000" w:firstRow="0" w:lastRow="0" w:firstColumn="1" w:lastColumn="0" w:oddVBand="0" w:evenVBand="0" w:oddHBand="0" w:evenHBand="0" w:firstRowFirstColumn="0" w:firstRowLastColumn="0" w:lastRowFirstColumn="0" w:lastRowLastColumn="0"/>
            <w:tcW w:w="1525" w:type="dxa"/>
            <w:hideMark/>
          </w:tcPr>
          <w:p w14:paraId="47DF62F2" w14:textId="77777777" w:rsidR="005B762B" w:rsidRPr="00DE7A2D" w:rsidRDefault="005B762B" w:rsidP="00F8020A">
            <w:pPr>
              <w:pStyle w:val="BodyText"/>
              <w:rPr>
                <w:color w:val="FFFFFF" w:themeColor="background1"/>
              </w:rPr>
            </w:pPr>
            <w:r w:rsidRPr="00DE7A2D">
              <w:rPr>
                <w:color w:val="FFFFFF" w:themeColor="background1"/>
              </w:rPr>
              <w:t>D</w:t>
            </w:r>
          </w:p>
        </w:tc>
        <w:tc>
          <w:tcPr>
            <w:tcW w:w="7711" w:type="dxa"/>
          </w:tcPr>
          <w:p w14:paraId="5FE3A9D1" w14:textId="77777777" w:rsidR="005B762B" w:rsidRPr="00DE7A2D" w:rsidRDefault="005B762B" w:rsidP="00F8020A">
            <w:pPr>
              <w:pStyle w:val="BodyText"/>
              <w:cnfStyle w:val="000000000000" w:firstRow="0" w:lastRow="0" w:firstColumn="0" w:lastColumn="0" w:oddVBand="0" w:evenVBand="0" w:oddHBand="0" w:evenHBand="0" w:firstRowFirstColumn="0" w:firstRowLastColumn="0" w:lastRowFirstColumn="0" w:lastRowLastColumn="0"/>
            </w:pPr>
            <w:r w:rsidRPr="00DE7A2D">
              <w:t>Between 2</w:t>
            </w:r>
            <w:r>
              <w:t>0</w:t>
            </w:r>
            <w:r w:rsidRPr="00DE7A2D">
              <w:t>-40 per cent of premises in the DAs in this group have access to at least one fixed broadband technology.</w:t>
            </w:r>
          </w:p>
        </w:tc>
      </w:tr>
      <w:tr w:rsidR="005B762B" w:rsidRPr="00793C7E" w14:paraId="27EF7FA2" w14:textId="77777777" w:rsidTr="00F802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5" w:type="dxa"/>
            <w:hideMark/>
          </w:tcPr>
          <w:p w14:paraId="7D1F60BE" w14:textId="77777777" w:rsidR="005B762B" w:rsidRPr="00DE7A2D" w:rsidRDefault="005B762B" w:rsidP="00F8020A">
            <w:pPr>
              <w:pStyle w:val="BodyText"/>
              <w:rPr>
                <w:color w:val="FFFFFF" w:themeColor="background1"/>
              </w:rPr>
            </w:pPr>
            <w:r w:rsidRPr="00DE7A2D">
              <w:rPr>
                <w:color w:val="FFFFFF" w:themeColor="background1"/>
              </w:rPr>
              <w:t>E</w:t>
            </w:r>
          </w:p>
        </w:tc>
        <w:tc>
          <w:tcPr>
            <w:tcW w:w="7711" w:type="dxa"/>
          </w:tcPr>
          <w:p w14:paraId="37CF54A8" w14:textId="77777777" w:rsidR="005B762B" w:rsidRPr="00DE7A2D" w:rsidRDefault="005B762B" w:rsidP="00F8020A">
            <w:pPr>
              <w:pStyle w:val="BodyText"/>
              <w:cnfStyle w:val="000000100000" w:firstRow="0" w:lastRow="0" w:firstColumn="0" w:lastColumn="0" w:oddVBand="0" w:evenVBand="0" w:oddHBand="1" w:evenHBand="0" w:firstRowFirstColumn="0" w:firstRowLastColumn="0" w:lastRowFirstColumn="0" w:lastRowLastColumn="0"/>
            </w:pPr>
            <w:r>
              <w:t>Lowest a</w:t>
            </w:r>
            <w:r w:rsidRPr="00DE7A2D">
              <w:t xml:space="preserve">vailability </w:t>
            </w:r>
            <w:r>
              <w:t>r</w:t>
            </w:r>
            <w:r w:rsidRPr="00DE7A2D">
              <w:t>ating: Between 0-20 per cent of premises in the DAs in this group have access to at least one fixed broadband technology.</w:t>
            </w:r>
          </w:p>
        </w:tc>
      </w:tr>
    </w:tbl>
    <w:p w14:paraId="402AA5BD" w14:textId="77777777" w:rsidR="001813FE" w:rsidRDefault="001813FE" w:rsidP="001813FE">
      <w:pPr>
        <w:pStyle w:val="BodyText"/>
      </w:pPr>
    </w:p>
    <w:p w14:paraId="2A003216" w14:textId="24AE255B" w:rsidR="005B762B" w:rsidRPr="001813FE" w:rsidRDefault="005B762B" w:rsidP="001813FE">
      <w:pPr>
        <w:pStyle w:val="BodyText"/>
      </w:pPr>
      <w:r w:rsidRPr="001813FE">
        <w:t xml:space="preserve">Of 10.9 million Australian premises, approximately 9.2 million are in DAs assessed to have the highest availability rating of A. There are approximately 1.4 million premises assessed in the two lowest availability ratings, D and E (Figure 2). </w:t>
      </w:r>
    </w:p>
    <w:p w14:paraId="648E2D5D" w14:textId="77777777" w:rsidR="005B762B" w:rsidRPr="00165614" w:rsidRDefault="005B762B" w:rsidP="005B762B">
      <w:pPr>
        <w:pStyle w:val="Heading3"/>
      </w:pPr>
      <w:r w:rsidRPr="0083479B">
        <w:t>Broadband</w:t>
      </w:r>
      <w:r>
        <w:t xml:space="preserve"> availability profile: Band A</w:t>
      </w:r>
    </w:p>
    <w:p w14:paraId="3D6F2B8B" w14:textId="5E8C623D" w:rsidR="005B762B" w:rsidRPr="001813FE" w:rsidRDefault="005B762B" w:rsidP="001813FE">
      <w:pPr>
        <w:pStyle w:val="BodyText"/>
      </w:pPr>
      <w:r w:rsidRPr="001813FE">
        <w:t>An availability rating of A, the highest rating, indicates that the vast majority of premises in a D</w:t>
      </w:r>
      <w:r w:rsidR="003830A1" w:rsidRPr="001813FE">
        <w:t xml:space="preserve">A </w:t>
      </w:r>
      <w:r w:rsidRPr="001813FE">
        <w:t xml:space="preserve">can access at least one form of fixed broadband. Most premises in this category typically have good access to </w:t>
      </w:r>
      <w:r w:rsidR="003830A1" w:rsidRPr="001813FE">
        <w:t>ADSL</w:t>
      </w:r>
      <w:r w:rsidRPr="001813FE">
        <w:t xml:space="preserve"> services and many can access a variety of technologies including FTTP, FTTN, HFC or NBN fixed wireless services. 80 per cent of all DAs covering approximately 9.2 million premises (84 per cent of premises) achieve an A rating.</w:t>
      </w:r>
    </w:p>
    <w:p w14:paraId="6CE63668" w14:textId="77777777" w:rsidR="005B762B" w:rsidRPr="00165614" w:rsidRDefault="005B762B" w:rsidP="005B762B">
      <w:pPr>
        <w:pStyle w:val="Heading3"/>
      </w:pPr>
      <w:r>
        <w:t>Broadband availability profile: Band B</w:t>
      </w:r>
    </w:p>
    <w:p w14:paraId="56C2157D" w14:textId="70DDBA63" w:rsidR="005B762B" w:rsidRPr="001813FE" w:rsidRDefault="005B762B" w:rsidP="001813FE">
      <w:pPr>
        <w:pStyle w:val="BodyText"/>
      </w:pPr>
      <w:r w:rsidRPr="001813FE">
        <w:t xml:space="preserve">An availability rating of B indicates that the majority of premises in a DA (between 60 and 80 per cent) have access to at least one form of fixed broadband. </w:t>
      </w:r>
      <w:r w:rsidR="003830A1" w:rsidRPr="001813FE">
        <w:t>ADSL</w:t>
      </w:r>
      <w:r w:rsidRPr="001813FE">
        <w:t xml:space="preserve"> infrastructure is typically widely deployed, although access may be constrained by pair gain systems and the areas may be served by exchanges that are capped or have low port availability. </w:t>
      </w:r>
    </w:p>
    <w:p w14:paraId="6EBF30DA" w14:textId="7FAC1030" w:rsidR="005B762B" w:rsidRPr="0050754B" w:rsidRDefault="005B762B" w:rsidP="001813FE">
      <w:pPr>
        <w:pStyle w:val="BodyText"/>
      </w:pPr>
      <w:r w:rsidRPr="001813FE">
        <w:t xml:space="preserve">High speed broadband technologies such as FTTP, FTTN, HFC and NBN fixed wireless services are available to small pockets of premises. </w:t>
      </w:r>
      <w:r w:rsidR="00DF2178" w:rsidRPr="001813FE">
        <w:t xml:space="preserve">Approximately two </w:t>
      </w:r>
      <w:r w:rsidRPr="001813FE">
        <w:t xml:space="preserve">per cent of DAs covering almost </w:t>
      </w:r>
      <w:r w:rsidR="00E80262" w:rsidRPr="001813FE">
        <w:t>211,</w:t>
      </w:r>
      <w:r w:rsidR="00C91B34" w:rsidRPr="001813FE">
        <w:t>300</w:t>
      </w:r>
      <w:r w:rsidRPr="001813FE">
        <w:t xml:space="preserve"> premises achieve a B rating for availability.</w:t>
      </w:r>
      <w:r w:rsidRPr="0050754B">
        <w:t xml:space="preserve"> </w:t>
      </w:r>
    </w:p>
    <w:p w14:paraId="37C2103C" w14:textId="77777777" w:rsidR="005B762B" w:rsidRPr="00165614" w:rsidRDefault="005B762B" w:rsidP="005B762B">
      <w:pPr>
        <w:pStyle w:val="Heading3"/>
      </w:pPr>
      <w:r>
        <w:t>Broadband availability profile: Band C</w:t>
      </w:r>
    </w:p>
    <w:p w14:paraId="2AF59CFF" w14:textId="66FD4431" w:rsidR="005B762B" w:rsidRPr="001813FE" w:rsidRDefault="005B762B" w:rsidP="001813FE">
      <w:pPr>
        <w:pStyle w:val="BodyText"/>
      </w:pPr>
      <w:r w:rsidRPr="001813FE">
        <w:t xml:space="preserve">An availability rating of C indicates that approximately half of the premises in a DA (between 40 and 60 per cent) have access to at least one form of fixed broadband. There is typically mixed </w:t>
      </w:r>
      <w:r w:rsidR="00AD0FA4" w:rsidRPr="001813FE">
        <w:t>availability</w:t>
      </w:r>
      <w:r w:rsidRPr="001813FE">
        <w:t xml:space="preserve"> of </w:t>
      </w:r>
      <w:r w:rsidR="003830A1" w:rsidRPr="001813FE">
        <w:t>ADSL</w:t>
      </w:r>
      <w:r w:rsidRPr="001813FE">
        <w:t xml:space="preserve"> technology, as impediments such as pair gain systems are likely to constrain access to services. Few premises in this category can access high speed technologies such as FTTP, FTTN, HFC and NBN fixed wireless. </w:t>
      </w:r>
      <w:r w:rsidR="00DF2178" w:rsidRPr="001813FE">
        <w:t xml:space="preserve">Over one </w:t>
      </w:r>
      <w:r w:rsidRPr="001813FE">
        <w:t xml:space="preserve">per cent of all DAs covering approximately </w:t>
      </w:r>
      <w:r w:rsidR="00E80262" w:rsidRPr="001813FE">
        <w:t>153,</w:t>
      </w:r>
      <w:r w:rsidR="00C91B34" w:rsidRPr="001813FE">
        <w:t>1</w:t>
      </w:r>
      <w:r w:rsidR="00E80262" w:rsidRPr="001813FE">
        <w:t>00</w:t>
      </w:r>
      <w:r w:rsidRPr="001813FE">
        <w:t xml:space="preserve"> premises achieve a C rating for availability. </w:t>
      </w:r>
    </w:p>
    <w:p w14:paraId="2B94BC41" w14:textId="77777777" w:rsidR="005B762B" w:rsidRPr="00165614" w:rsidRDefault="005B762B" w:rsidP="005B762B">
      <w:pPr>
        <w:pStyle w:val="Heading3"/>
      </w:pPr>
      <w:r>
        <w:t>Broadband availability profile: Band D</w:t>
      </w:r>
    </w:p>
    <w:p w14:paraId="0406C662" w14:textId="330B008D" w:rsidR="005B762B" w:rsidRPr="001813FE" w:rsidRDefault="005B762B" w:rsidP="001813FE">
      <w:pPr>
        <w:pStyle w:val="BodyText"/>
      </w:pPr>
      <w:r w:rsidRPr="001813FE">
        <w:t xml:space="preserve">An availability rating of D indicates that less than 40 per cent of the premises in a DA have access to fixed broadband. As high speed technologies such as FTTP, HFC, FTTN and NBN fixed wireless are available to less than 1 per cent of premises in this category, the availability rating is usually based on </w:t>
      </w:r>
      <w:r w:rsidR="003830A1" w:rsidRPr="001813FE">
        <w:t>ADSL</w:t>
      </w:r>
      <w:r w:rsidR="00AF18C2" w:rsidRPr="001813FE">
        <w:t xml:space="preserve"> </w:t>
      </w:r>
      <w:r w:rsidRPr="001813FE">
        <w:t xml:space="preserve">related factors. It often indicates major impediments to </w:t>
      </w:r>
      <w:r w:rsidR="003830A1" w:rsidRPr="001813FE">
        <w:t>ADSL</w:t>
      </w:r>
      <w:r w:rsidRPr="001813FE">
        <w:t xml:space="preserve"> services such as capped exchanges, low port availability </w:t>
      </w:r>
      <w:r w:rsidR="00AF18C2" w:rsidRPr="001813FE">
        <w:t xml:space="preserve">or </w:t>
      </w:r>
      <w:r w:rsidRPr="001813FE">
        <w:t xml:space="preserve">large pair gain systems. In some instances, this rating reflects that </w:t>
      </w:r>
      <w:r w:rsidR="003830A1" w:rsidRPr="001813FE">
        <w:t>ADSL</w:t>
      </w:r>
      <w:r w:rsidRPr="001813FE">
        <w:t xml:space="preserve"> infrastructure has not been enabled at the local exchange. </w:t>
      </w:r>
      <w:r w:rsidR="00DF2178" w:rsidRPr="001813FE">
        <w:t>Approximately nine</w:t>
      </w:r>
      <w:r w:rsidRPr="001813FE">
        <w:t xml:space="preserve"> per cent of all DAs covering approximately </w:t>
      </w:r>
      <w:r w:rsidR="00E80262" w:rsidRPr="001813FE">
        <w:t>954,</w:t>
      </w:r>
      <w:r w:rsidR="00C91B34" w:rsidRPr="001813FE">
        <w:t>8</w:t>
      </w:r>
      <w:r w:rsidR="00E80262" w:rsidRPr="001813FE">
        <w:t>00</w:t>
      </w:r>
      <w:r w:rsidRPr="001813FE">
        <w:t xml:space="preserve"> premises achieve a D rating for availability. </w:t>
      </w:r>
    </w:p>
    <w:p w14:paraId="12F55CFE" w14:textId="77777777" w:rsidR="005B762B" w:rsidRPr="00165614" w:rsidRDefault="005B762B" w:rsidP="005B762B">
      <w:pPr>
        <w:pStyle w:val="Heading3"/>
      </w:pPr>
      <w:r>
        <w:t>Broadband availability profile: Band E</w:t>
      </w:r>
    </w:p>
    <w:p w14:paraId="34F4BE32" w14:textId="0A6FE037" w:rsidR="005B762B" w:rsidRPr="00AA646F" w:rsidRDefault="005B762B" w:rsidP="001813FE">
      <w:pPr>
        <w:pStyle w:val="BodyText"/>
        <w:rPr>
          <w:sz w:val="16"/>
        </w:rPr>
      </w:pPr>
      <w:r w:rsidRPr="001813FE">
        <w:t xml:space="preserve">An availability rating of E, the lowest availability rating, indicates that 80 per cent or more of the premises in a DA have no access to fixed broadband. The vast majority of premises in this category cannot access </w:t>
      </w:r>
      <w:r w:rsidR="003830A1" w:rsidRPr="001813FE">
        <w:t>ADSL</w:t>
      </w:r>
      <w:r w:rsidRPr="001813FE">
        <w:t xml:space="preserve"> services, and high speed platforms such as FTTP, FTTN, HFC and NBN fixed wireless are mostly not available. As such, many households in this category rely on mobile or satellite technology as their so</w:t>
      </w:r>
      <w:r w:rsidR="00291C44" w:rsidRPr="001813FE">
        <w:t xml:space="preserve">le source of broadband access. </w:t>
      </w:r>
      <w:r w:rsidR="00DF2178" w:rsidRPr="001813FE">
        <w:t xml:space="preserve">Approximately eight </w:t>
      </w:r>
      <w:r w:rsidRPr="001813FE">
        <w:t xml:space="preserve">per cent of all DAs covering almost </w:t>
      </w:r>
      <w:r w:rsidR="00E80262" w:rsidRPr="001813FE">
        <w:t>45</w:t>
      </w:r>
      <w:r w:rsidR="003039EF" w:rsidRPr="001813FE">
        <w:t>3</w:t>
      </w:r>
      <w:r w:rsidRPr="001813FE">
        <w:t>,</w:t>
      </w:r>
      <w:r w:rsidR="003039EF" w:rsidRPr="001813FE">
        <w:t>0</w:t>
      </w:r>
      <w:r w:rsidRPr="001813FE">
        <w:t xml:space="preserve">00 premises have the lowest availability rating. </w:t>
      </w:r>
    </w:p>
    <w:p w14:paraId="74E4604A" w14:textId="09AB700E" w:rsidR="006E5177" w:rsidRDefault="006E5177" w:rsidP="005B762B">
      <w:pPr>
        <w:pStyle w:val="BodyText"/>
        <w:rPr>
          <w:rStyle w:val="SubtitleChar"/>
          <w:sz w:val="20"/>
        </w:rPr>
      </w:pPr>
      <w:r>
        <w:rPr>
          <w:noProof/>
          <w:lang w:val="en-AU" w:eastAsia="en-AU"/>
        </w:rPr>
        <w:drawing>
          <wp:inline distT="0" distB="0" distL="0" distR="0" wp14:anchorId="10F68F99" wp14:editId="6A387CB1">
            <wp:extent cx="5760000" cy="2520000"/>
            <wp:effectExtent l="0" t="0" r="12700" b="139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31413B" w14:textId="69C47672" w:rsidR="005B762B" w:rsidRPr="00AA646F" w:rsidRDefault="005B762B" w:rsidP="005B762B">
      <w:pPr>
        <w:pStyle w:val="BodyText"/>
      </w:pPr>
      <w:r w:rsidRPr="00AA646F">
        <w:rPr>
          <w:rStyle w:val="SubtitleChar"/>
          <w:sz w:val="20"/>
        </w:rPr>
        <w:t>Figure 2: Percentage of premises</w:t>
      </w:r>
      <w:r w:rsidR="00A8548B">
        <w:rPr>
          <w:rStyle w:val="SubtitleChar"/>
          <w:sz w:val="20"/>
        </w:rPr>
        <w:t xml:space="preserve"> </w:t>
      </w:r>
      <w:r w:rsidRPr="00AA646F">
        <w:rPr>
          <w:rStyle w:val="SubtitleChar"/>
          <w:sz w:val="20"/>
        </w:rPr>
        <w:t>in each fixed broadband availability rating band</w:t>
      </w:r>
    </w:p>
    <w:p w14:paraId="78A04FB1" w14:textId="0F2EDB94" w:rsidR="005B762B" w:rsidRPr="000B781F" w:rsidRDefault="00AF18C2" w:rsidP="001813FE">
      <w:pPr>
        <w:pStyle w:val="BodyText"/>
        <w:rPr>
          <w:lang w:val="en-US"/>
        </w:rPr>
      </w:pPr>
      <w:r>
        <w:br w:type="page"/>
      </w:r>
      <w:r w:rsidR="005B762B" w:rsidRPr="000B781F">
        <w:rPr>
          <w:lang w:val="en-US"/>
        </w:rPr>
        <w:t xml:space="preserve">The map provided in Figure 3 represents the picture of fixed broadband availability across the country. It displays modelled results by Telstra Exchange Service Areas (ESA) assessed against the five-point fixed broadband availability rating scale (A to E). </w:t>
      </w:r>
    </w:p>
    <w:p w14:paraId="391E42A5" w14:textId="77777777" w:rsidR="005B762B" w:rsidRPr="000B781F" w:rsidRDefault="005B762B" w:rsidP="001813FE">
      <w:pPr>
        <w:pStyle w:val="BodyText"/>
        <w:rPr>
          <w:lang w:val="en-US"/>
        </w:rPr>
      </w:pPr>
      <w:r w:rsidRPr="000B781F">
        <w:rPr>
          <w:lang w:val="en-US"/>
        </w:rPr>
        <w:t>In regard to interpreting the map, it is important to note that ESAs come in various shapes and sizes (circles, squares and irregular shapes), and the size of the ESA generally increases as premises density decreases. As such, ESA boundaries in regional and remote Australia are far larger than the towns they encompass, and the ratings of such areas are driven heavily by the availability and quality of services in the more densely populated areas of that ESA.</w:t>
      </w:r>
    </w:p>
    <w:p w14:paraId="58EF8BD5" w14:textId="77777777" w:rsidR="005B762B" w:rsidRPr="000B781F" w:rsidRDefault="005B762B" w:rsidP="001813FE">
      <w:pPr>
        <w:pStyle w:val="BodyText"/>
        <w:rPr>
          <w:lang w:val="en-US"/>
        </w:rPr>
      </w:pPr>
      <w:r w:rsidRPr="000B781F">
        <w:rPr>
          <w:lang w:val="en-US"/>
        </w:rPr>
        <w:t xml:space="preserve">For example, the ESA for Coober Pedy in central South Australia is a rectangle shape which is much larger than the actual town boundary. This ESA is in category A as approximately 98 per cent of premises in Coober Pedy have access to a fixed line broadband service. </w:t>
      </w:r>
    </w:p>
    <w:p w14:paraId="78D446B0" w14:textId="527A0F96" w:rsidR="005B762B" w:rsidRPr="000B781F" w:rsidRDefault="005B762B" w:rsidP="001813FE">
      <w:pPr>
        <w:pStyle w:val="BodyText"/>
        <w:rPr>
          <w:lang w:val="en-US"/>
        </w:rPr>
      </w:pPr>
      <w:r w:rsidRPr="000B781F">
        <w:rPr>
          <w:lang w:val="en-US"/>
        </w:rPr>
        <w:t xml:space="preserve">Similarly the circular ESA boundary encompassing </w:t>
      </w:r>
      <w:r w:rsidR="00F7522E" w:rsidRPr="000B781F">
        <w:rPr>
          <w:lang w:val="en-US"/>
        </w:rPr>
        <w:t>Uluru</w:t>
      </w:r>
      <w:r w:rsidRPr="000B781F">
        <w:rPr>
          <w:lang w:val="en-US"/>
        </w:rPr>
        <w:t>, Yulara and Mutitjulu in the Northern Territory is far larger in size than the communities it encompasses. This ESA is in category A as approximately 9</w:t>
      </w:r>
      <w:r w:rsidR="001F457C" w:rsidRPr="000B781F">
        <w:rPr>
          <w:lang w:val="en-US"/>
        </w:rPr>
        <w:t>8</w:t>
      </w:r>
      <w:r w:rsidRPr="000B781F">
        <w:rPr>
          <w:lang w:val="en-US"/>
        </w:rPr>
        <w:t xml:space="preserve"> per cent of premises within </w:t>
      </w:r>
      <w:r w:rsidR="00F7522E" w:rsidRPr="000B781F">
        <w:rPr>
          <w:lang w:val="en-US"/>
        </w:rPr>
        <w:t>Yulara</w:t>
      </w:r>
      <w:r w:rsidRPr="000B781F">
        <w:rPr>
          <w:lang w:val="en-US"/>
        </w:rPr>
        <w:t xml:space="preserve"> have access to a fixed line broadband service. </w:t>
      </w:r>
    </w:p>
    <w:p w14:paraId="02A8C5C0" w14:textId="77777777" w:rsidR="005B762B" w:rsidRPr="000B781F" w:rsidRDefault="005B762B" w:rsidP="001813FE">
      <w:pPr>
        <w:pStyle w:val="BodyText"/>
        <w:rPr>
          <w:lang w:val="en-US"/>
        </w:rPr>
      </w:pPr>
      <w:r w:rsidRPr="000B781F">
        <w:rPr>
          <w:lang w:val="en-US"/>
        </w:rPr>
        <w:t>The three large ESA shapes in the Northern Territory are neighbouring ESAs which fall into the same category of fixed broadband availability and as such appear as a block together. Accordingly, these ESA boundaries should not be interpreted to mean that every premises within that area has access to broadband. Rather the communities within these ESAs will have a high proportion of premises with access to fixed line broadband. There will be premises on the fringe of communities and isolated locations that will not necessarily have access to any broadband or will have access to mobile or satellite broadband which is considered separately in this analysis and is not reflected in this map.</w:t>
      </w:r>
    </w:p>
    <w:p w14:paraId="235BE35D" w14:textId="625A0754" w:rsidR="003830A1" w:rsidRDefault="003830A1" w:rsidP="001813FE">
      <w:pPr>
        <w:pStyle w:val="BodyText"/>
        <w:sectPr w:rsidR="003830A1" w:rsidSect="00B24B43">
          <w:headerReference w:type="first" r:id="rId19"/>
          <w:pgSz w:w="11900" w:h="16840" w:code="9"/>
          <w:pgMar w:top="1560" w:right="1440" w:bottom="1276" w:left="1440" w:header="709" w:footer="665" w:gutter="0"/>
          <w:cols w:space="708"/>
          <w:docGrid w:linePitch="360"/>
        </w:sectPr>
      </w:pPr>
      <w:r w:rsidRPr="000B781F">
        <w:rPr>
          <w:lang w:val="en-US"/>
        </w:rPr>
        <w:t>Additional detailed maps are provided in Appendix B</w:t>
      </w:r>
      <w:r>
        <w:t xml:space="preserve">. </w:t>
      </w:r>
    </w:p>
    <w:p w14:paraId="5914CC7C" w14:textId="7C91A3B6" w:rsidR="005B762B" w:rsidRDefault="00B33A36" w:rsidP="005B762B">
      <w:pPr>
        <w:pStyle w:val="Subtitle"/>
        <w:jc w:val="center"/>
        <w:rPr>
          <w:noProof/>
          <w:sz w:val="20"/>
          <w:szCs w:val="20"/>
          <w:lang w:val="en-AU" w:eastAsia="en-AU"/>
        </w:rPr>
      </w:pPr>
      <w:r>
        <w:rPr>
          <w:noProof/>
          <w:lang w:val="en-AU" w:eastAsia="en-AU"/>
        </w:rPr>
        <w:drawing>
          <wp:inline distT="0" distB="0" distL="0" distR="0" wp14:anchorId="1DB66375" wp14:editId="7778920B">
            <wp:extent cx="8036119" cy="5450774"/>
            <wp:effectExtent l="0" t="0" r="3175" b="0"/>
            <wp:docPr id="3" name="Picture 3" descr="http://ims.dept.gov.au/tccache74/3876674/Fixed%20Broadband%20Availability%20by%20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s.dept.gov.au/tccache74/3876674/Fixed%20Broadband%20Availability%20by%20ESA.png"/>
                    <pic:cNvPicPr>
                      <a:picLocks noChangeAspect="1" noChangeArrowheads="1"/>
                    </pic:cNvPicPr>
                  </pic:nvPicPr>
                  <pic:blipFill rotWithShape="1">
                    <a:blip r:embed="rId20">
                      <a:extLst>
                        <a:ext uri="{28A0092B-C50C-407E-A947-70E740481C1C}">
                          <a14:useLocalDpi xmlns:a14="http://schemas.microsoft.com/office/drawing/2010/main" val="0"/>
                        </a:ext>
                      </a:extLst>
                    </a:blip>
                    <a:srcRect t="2276" b="1729"/>
                    <a:stretch/>
                  </pic:blipFill>
                  <pic:spPr bwMode="auto">
                    <a:xfrm>
                      <a:off x="0" y="0"/>
                      <a:ext cx="8042217" cy="5454910"/>
                    </a:xfrm>
                    <a:prstGeom prst="rect">
                      <a:avLst/>
                    </a:prstGeom>
                    <a:noFill/>
                    <a:ln>
                      <a:noFill/>
                    </a:ln>
                    <a:extLst>
                      <a:ext uri="{53640926-AAD7-44D8-BBD7-CCE9431645EC}">
                        <a14:shadowObscured xmlns:a14="http://schemas.microsoft.com/office/drawing/2010/main"/>
                      </a:ext>
                    </a:extLst>
                  </pic:spPr>
                </pic:pic>
              </a:graphicData>
            </a:graphic>
          </wp:inline>
        </w:drawing>
      </w:r>
    </w:p>
    <w:p w14:paraId="0DF5A544" w14:textId="77777777" w:rsidR="005B762B" w:rsidRPr="00720C54" w:rsidRDefault="005B762B" w:rsidP="005B762B">
      <w:pPr>
        <w:pStyle w:val="Subtitle"/>
        <w:ind w:firstLine="720"/>
        <w:sectPr w:rsidR="005B762B" w:rsidRPr="00720C54" w:rsidSect="003F006C">
          <w:pgSz w:w="16840" w:h="11900" w:orient="landscape" w:code="9"/>
          <w:pgMar w:top="1560" w:right="1440" w:bottom="1440" w:left="1440" w:header="709" w:footer="357" w:gutter="0"/>
          <w:cols w:space="708"/>
          <w:docGrid w:linePitch="360"/>
        </w:sectPr>
      </w:pPr>
      <w:r>
        <w:rPr>
          <w:sz w:val="20"/>
          <w:szCs w:val="20"/>
        </w:rPr>
        <w:t xml:space="preserve"> </w:t>
      </w:r>
      <w:r w:rsidRPr="005B1ECC">
        <w:rPr>
          <w:sz w:val="20"/>
          <w:szCs w:val="20"/>
        </w:rPr>
        <w:t xml:space="preserve">Figure </w:t>
      </w:r>
      <w:r>
        <w:rPr>
          <w:sz w:val="20"/>
          <w:szCs w:val="20"/>
        </w:rPr>
        <w:t>3</w:t>
      </w:r>
      <w:r w:rsidRPr="005B1ECC">
        <w:rPr>
          <w:sz w:val="20"/>
          <w:szCs w:val="20"/>
        </w:rPr>
        <w:t xml:space="preserve">. National map of </w:t>
      </w:r>
      <w:r>
        <w:rPr>
          <w:sz w:val="20"/>
          <w:szCs w:val="20"/>
        </w:rPr>
        <w:t>fixed b</w:t>
      </w:r>
      <w:r w:rsidRPr="005B1ECC">
        <w:rPr>
          <w:sz w:val="20"/>
          <w:szCs w:val="20"/>
        </w:rPr>
        <w:t xml:space="preserve">roadband </w:t>
      </w:r>
      <w:r>
        <w:rPr>
          <w:sz w:val="20"/>
          <w:szCs w:val="20"/>
        </w:rPr>
        <w:t>a</w:t>
      </w:r>
      <w:r w:rsidRPr="005B1ECC">
        <w:rPr>
          <w:sz w:val="20"/>
          <w:szCs w:val="20"/>
        </w:rPr>
        <w:t xml:space="preserve">vailability by </w:t>
      </w:r>
      <w:r>
        <w:rPr>
          <w:sz w:val="20"/>
          <w:szCs w:val="20"/>
        </w:rPr>
        <w:t>E</w:t>
      </w:r>
      <w:r w:rsidRPr="005B1ECC">
        <w:rPr>
          <w:sz w:val="20"/>
          <w:szCs w:val="20"/>
        </w:rPr>
        <w:t xml:space="preserve">xchange </w:t>
      </w:r>
      <w:r>
        <w:rPr>
          <w:sz w:val="20"/>
          <w:szCs w:val="20"/>
        </w:rPr>
        <w:t>S</w:t>
      </w:r>
      <w:r w:rsidRPr="005B1ECC">
        <w:rPr>
          <w:sz w:val="20"/>
          <w:szCs w:val="20"/>
        </w:rPr>
        <w:t xml:space="preserve">ervice </w:t>
      </w:r>
      <w:r>
        <w:rPr>
          <w:sz w:val="20"/>
          <w:szCs w:val="20"/>
        </w:rPr>
        <w:t>A</w:t>
      </w:r>
      <w:r w:rsidRPr="005B1ECC">
        <w:rPr>
          <w:sz w:val="20"/>
          <w:szCs w:val="20"/>
        </w:rPr>
        <w:t>rea</w:t>
      </w:r>
    </w:p>
    <w:p w14:paraId="23D1CA9E" w14:textId="77777777" w:rsidR="005B762B" w:rsidRDefault="005B762B" w:rsidP="005B762B">
      <w:pPr>
        <w:pStyle w:val="Heading3"/>
        <w:spacing w:before="0"/>
      </w:pPr>
      <w:bookmarkStart w:id="119" w:name="_Toc377044242"/>
      <w:bookmarkStart w:id="120" w:name="_Toc377046991"/>
      <w:r>
        <w:t>3.1. (a)  Fixed broadband availability – state and territory overview</w:t>
      </w:r>
    </w:p>
    <w:p w14:paraId="4256C99E" w14:textId="77777777" w:rsidR="005B762B" w:rsidRPr="001813FE" w:rsidRDefault="005B762B" w:rsidP="001813FE">
      <w:pPr>
        <w:pStyle w:val="BodyText"/>
      </w:pPr>
      <w:r w:rsidRPr="001813FE">
        <w:t xml:space="preserve">A breakdown of fixed broadband availability ratings by state and territory is provided in Figure 4. </w:t>
      </w:r>
    </w:p>
    <w:p w14:paraId="16819169" w14:textId="10B3E48F" w:rsidR="005B762B" w:rsidRPr="005B1ECC" w:rsidRDefault="00C17BCE" w:rsidP="005B762B">
      <w:pPr>
        <w:pStyle w:val="BodyText"/>
      </w:pPr>
      <w:r>
        <w:rPr>
          <w:noProof/>
          <w:lang w:val="en-AU" w:eastAsia="en-AU"/>
        </w:rPr>
        <w:drawing>
          <wp:inline distT="0" distB="0" distL="0" distR="0" wp14:anchorId="69C0A45D" wp14:editId="6B1AE411">
            <wp:extent cx="5760000" cy="2520000"/>
            <wp:effectExtent l="0" t="0" r="12700" b="139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B428EA" w14:textId="77777777" w:rsidR="005B762B" w:rsidRDefault="005B762B" w:rsidP="005B762B">
      <w:pPr>
        <w:pStyle w:val="Subtitle"/>
        <w:rPr>
          <w:sz w:val="20"/>
          <w:szCs w:val="20"/>
        </w:rPr>
      </w:pPr>
      <w:r w:rsidRPr="005B1ECC">
        <w:rPr>
          <w:sz w:val="20"/>
          <w:szCs w:val="20"/>
        </w:rPr>
        <w:t>Figure</w:t>
      </w:r>
      <w:r>
        <w:rPr>
          <w:sz w:val="20"/>
          <w:szCs w:val="20"/>
        </w:rPr>
        <w:t xml:space="preserve"> 4.</w:t>
      </w:r>
      <w:r w:rsidRPr="005B1ECC">
        <w:rPr>
          <w:sz w:val="20"/>
          <w:szCs w:val="20"/>
        </w:rPr>
        <w:t xml:space="preserve"> Percentage of </w:t>
      </w:r>
      <w:r>
        <w:rPr>
          <w:sz w:val="20"/>
          <w:szCs w:val="20"/>
        </w:rPr>
        <w:t>premises</w:t>
      </w:r>
      <w:r w:rsidRPr="005B1ECC">
        <w:rPr>
          <w:sz w:val="20"/>
          <w:szCs w:val="20"/>
        </w:rPr>
        <w:t xml:space="preserve"> in each</w:t>
      </w:r>
      <w:r>
        <w:rPr>
          <w:sz w:val="20"/>
          <w:szCs w:val="20"/>
        </w:rPr>
        <w:t xml:space="preserve"> fixed</w:t>
      </w:r>
      <w:r w:rsidRPr="005B1ECC">
        <w:rPr>
          <w:sz w:val="20"/>
          <w:szCs w:val="20"/>
        </w:rPr>
        <w:t xml:space="preserve"> </w:t>
      </w:r>
      <w:r>
        <w:rPr>
          <w:sz w:val="20"/>
          <w:szCs w:val="20"/>
        </w:rPr>
        <w:t>b</w:t>
      </w:r>
      <w:r w:rsidRPr="005B1ECC">
        <w:rPr>
          <w:sz w:val="20"/>
          <w:szCs w:val="20"/>
        </w:rPr>
        <w:t xml:space="preserve">roadband </w:t>
      </w:r>
      <w:r>
        <w:rPr>
          <w:sz w:val="20"/>
          <w:szCs w:val="20"/>
        </w:rPr>
        <w:t>availability</w:t>
      </w:r>
      <w:r w:rsidRPr="005B1ECC">
        <w:rPr>
          <w:sz w:val="20"/>
          <w:szCs w:val="20"/>
        </w:rPr>
        <w:t xml:space="preserve"> band by state/territory</w:t>
      </w:r>
    </w:p>
    <w:p w14:paraId="31923C3A" w14:textId="77777777" w:rsidR="005B762B" w:rsidRDefault="005B762B" w:rsidP="005B762B"/>
    <w:p w14:paraId="521D3EC8" w14:textId="14D50DBD" w:rsidR="005B762B" w:rsidRPr="001813FE" w:rsidRDefault="005B762B" w:rsidP="001813FE">
      <w:pPr>
        <w:pStyle w:val="BodyText"/>
      </w:pPr>
      <w:r w:rsidRPr="001813FE">
        <w:t>In general, states or territories with either a higher population density</w:t>
      </w:r>
      <w:r w:rsidRPr="00C011C8">
        <w:rPr>
          <w:vertAlign w:val="superscript"/>
        </w:rPr>
        <w:footnoteReference w:id="3"/>
      </w:r>
      <w:r w:rsidRPr="001813FE">
        <w:t xml:space="preserve"> or more urbanised</w:t>
      </w:r>
      <w:r w:rsidRPr="00C011C8">
        <w:rPr>
          <w:vertAlign w:val="superscript"/>
        </w:rPr>
        <w:footnoteReference w:id="4"/>
      </w:r>
      <w:r w:rsidRPr="001813FE">
        <w:t xml:space="preserve"> population were found to have a greater level of access to broadband services. For example, the more densely populated and urbanised Australian Capital Territory has the largest percentage of premises with the highest (A) broadband availability rating (9</w:t>
      </w:r>
      <w:r w:rsidR="00254034" w:rsidRPr="001813FE">
        <w:t>4</w:t>
      </w:r>
      <w:r w:rsidRPr="001813FE">
        <w:t xml:space="preserve"> per cent). Similarly the relatively densely populated states of Victoria and New South Wales also have </w:t>
      </w:r>
      <w:r w:rsidR="00254034" w:rsidRPr="001813FE">
        <w:t xml:space="preserve">generally </w:t>
      </w:r>
      <w:r w:rsidRPr="001813FE">
        <w:t>high broadband availability ratings. In contrast the sparsely populated Northern Territory has the lowest percentage of premises with the highest broadband availability rating (</w:t>
      </w:r>
      <w:r w:rsidR="00254034" w:rsidRPr="001813FE">
        <w:t xml:space="preserve">60 </w:t>
      </w:r>
      <w:r w:rsidRPr="001813FE">
        <w:t xml:space="preserve">per cent). </w:t>
      </w:r>
    </w:p>
    <w:p w14:paraId="46FE63F6" w14:textId="695B8C46" w:rsidR="005B762B" w:rsidRPr="001813FE" w:rsidRDefault="005B762B" w:rsidP="001813FE">
      <w:pPr>
        <w:pStyle w:val="BodyText"/>
      </w:pPr>
      <w:r w:rsidRPr="001813FE">
        <w:t xml:space="preserve">The analysis found that the Northern Territory, </w:t>
      </w:r>
      <w:r w:rsidR="00254034" w:rsidRPr="001813FE">
        <w:t xml:space="preserve">South </w:t>
      </w:r>
      <w:r w:rsidRPr="001813FE">
        <w:t xml:space="preserve">Australia and Tasmania have comparatively poorer access to </w:t>
      </w:r>
      <w:r w:rsidR="003830A1" w:rsidRPr="001813FE">
        <w:t>ADSL</w:t>
      </w:r>
      <w:r w:rsidRPr="001813FE">
        <w:t xml:space="preserve"> than other states or territories. </w:t>
      </w:r>
    </w:p>
    <w:p w14:paraId="284D9E06" w14:textId="46E62D1F" w:rsidR="005B762B" w:rsidRPr="001813FE" w:rsidRDefault="005B762B" w:rsidP="001813FE">
      <w:pPr>
        <w:pStyle w:val="BodyText"/>
      </w:pPr>
      <w:r w:rsidRPr="001813FE">
        <w:t xml:space="preserve">New South Wales and Victoria generally present similar scores on most metrics, which are also higher than the other states, largely driven by the availability of HFC across significant portions of metropolitan Sydney and Melbourne. New South Wales shows a marginally higher </w:t>
      </w:r>
      <w:r w:rsidR="00D363DE" w:rsidRPr="001813FE">
        <w:t>proportion</w:t>
      </w:r>
      <w:r w:rsidRPr="001813FE">
        <w:t xml:space="preserve"> of </w:t>
      </w:r>
      <w:r w:rsidR="00D363DE" w:rsidRPr="001813FE">
        <w:t>premises</w:t>
      </w:r>
      <w:r w:rsidRPr="001813FE">
        <w:t xml:space="preserve"> without access to </w:t>
      </w:r>
      <w:r w:rsidR="003830A1" w:rsidRPr="001813FE">
        <w:t>ADSL</w:t>
      </w:r>
      <w:r w:rsidRPr="001813FE">
        <w:t xml:space="preserve">, </w:t>
      </w:r>
      <w:r w:rsidR="00D363DE" w:rsidRPr="001813FE">
        <w:t>as compared with Victoria</w:t>
      </w:r>
      <w:r w:rsidRPr="001813FE">
        <w:t>.</w:t>
      </w:r>
    </w:p>
    <w:p w14:paraId="44B414DC" w14:textId="77777777" w:rsidR="005B762B" w:rsidRPr="001813FE" w:rsidRDefault="005B762B" w:rsidP="001813FE">
      <w:pPr>
        <w:pStyle w:val="BodyText"/>
      </w:pPr>
      <w:r w:rsidRPr="001813FE">
        <w:t xml:space="preserve">Figures 5a to 5h provide detailed information about the coverage of each broadband access technology for all states and territories.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6"/>
        <w:gridCol w:w="5270"/>
      </w:tblGrid>
      <w:tr w:rsidR="005B762B" w14:paraId="19165ED7" w14:textId="77777777" w:rsidTr="00F8020A">
        <w:trPr>
          <w:cantSplit/>
        </w:trPr>
        <w:tc>
          <w:tcPr>
            <w:tcW w:w="9236" w:type="dxa"/>
            <w:gridSpan w:val="2"/>
          </w:tcPr>
          <w:bookmarkEnd w:id="119"/>
          <w:bookmarkEnd w:id="120"/>
          <w:p w14:paraId="4B911D1A" w14:textId="7AE93C33" w:rsidR="005B762B" w:rsidRDefault="005B762B" w:rsidP="00F8020A">
            <w:pPr>
              <w:pStyle w:val="Heading4"/>
            </w:pPr>
            <w:r>
              <w:t xml:space="preserve">Figure 5a. </w:t>
            </w:r>
            <w:r w:rsidRPr="002D69BB">
              <w:t>Australian Capital Territory</w:t>
            </w:r>
            <w:r w:rsidR="00DF2178">
              <w:rPr>
                <w:rStyle w:val="FootnoteReference"/>
              </w:rPr>
              <w:footnoteReference w:id="5"/>
            </w:r>
          </w:p>
        </w:tc>
      </w:tr>
      <w:tr w:rsidR="005B762B" w14:paraId="218552AC" w14:textId="77777777" w:rsidTr="00F8020A">
        <w:trPr>
          <w:cantSplit/>
        </w:trPr>
        <w:tc>
          <w:tcPr>
            <w:tcW w:w="3966" w:type="dxa"/>
          </w:tcPr>
          <w:p w14:paraId="0A412345" w14:textId="77777777" w:rsidR="005B762B" w:rsidRDefault="005B762B" w:rsidP="00F8020A">
            <w:r>
              <w:rPr>
                <w:noProof/>
                <w:lang w:val="en-AU" w:eastAsia="en-AU"/>
              </w:rPr>
              <w:drawing>
                <wp:inline distT="0" distB="0" distL="0" distR="0" wp14:anchorId="0FABD83C" wp14:editId="4E9328BF">
                  <wp:extent cx="2392326" cy="1722474"/>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mapdata.png"/>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2396750" cy="1725659"/>
                          </a:xfrm>
                          <a:prstGeom prst="rect">
                            <a:avLst/>
                          </a:prstGeom>
                          <a:ln>
                            <a:noFill/>
                          </a:ln>
                          <a:extLst>
                            <a:ext uri="{53640926-AAD7-44D8-BBD7-CCE9431645EC}">
                              <a14:shadowObscured xmlns:a14="http://schemas.microsoft.com/office/drawing/2010/main"/>
                            </a:ext>
                          </a:extLst>
                        </pic:spPr>
                      </pic:pic>
                    </a:graphicData>
                  </a:graphic>
                </wp:inline>
              </w:drawing>
            </w:r>
          </w:p>
        </w:tc>
        <w:tc>
          <w:tcPr>
            <w:tcW w:w="5270" w:type="dxa"/>
          </w:tcPr>
          <w:tbl>
            <w:tblPr>
              <w:tblStyle w:val="MediumGrid3-Accent11"/>
              <w:tblpPr w:leftFromText="180" w:rightFromText="180" w:vertAnchor="text" w:horzAnchor="margin" w:tblpY="256"/>
              <w:tblOverlap w:val="never"/>
              <w:tblW w:w="0" w:type="auto"/>
              <w:tblLayout w:type="fixed"/>
              <w:tblLook w:val="04A0" w:firstRow="1" w:lastRow="0" w:firstColumn="1" w:lastColumn="0" w:noHBand="0" w:noVBand="1"/>
            </w:tblPr>
            <w:tblGrid>
              <w:gridCol w:w="1655"/>
              <w:gridCol w:w="1170"/>
              <w:gridCol w:w="1276"/>
            </w:tblGrid>
            <w:tr w:rsidR="005B762B" w:rsidRPr="00BA311F" w14:paraId="1954BFC2"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7FF2B447" w14:textId="77777777" w:rsidR="005B762B" w:rsidRPr="00BA311F" w:rsidRDefault="005B762B" w:rsidP="00F8020A">
                  <w:pPr>
                    <w:rPr>
                      <w:rFonts w:eastAsia="Calibri"/>
                      <w:color w:val="FFFFFF"/>
                      <w:sz w:val="18"/>
                      <w:lang w:val="en-AU"/>
                    </w:rPr>
                  </w:pPr>
                  <w:r w:rsidRPr="00BA311F">
                    <w:rPr>
                      <w:rFonts w:eastAsia="Calibri"/>
                      <w:color w:val="FFFFFF"/>
                      <w:sz w:val="18"/>
                      <w:lang w:val="en-AU"/>
                    </w:rPr>
                    <w:t>Technology</w:t>
                  </w:r>
                </w:p>
              </w:tc>
              <w:tc>
                <w:tcPr>
                  <w:tcW w:w="1170" w:type="dxa"/>
                </w:tcPr>
                <w:p w14:paraId="1CFAFA10"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 (premises)</w:t>
                  </w:r>
                </w:p>
              </w:tc>
              <w:tc>
                <w:tcPr>
                  <w:tcW w:w="1276" w:type="dxa"/>
                </w:tcPr>
                <w:p w14:paraId="6357EB70"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w:t>
                  </w:r>
                </w:p>
                <w:p w14:paraId="3EF0074C"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w:t>
                  </w:r>
                  <w:r>
                    <w:rPr>
                      <w:rFonts w:eastAsia="Calibri"/>
                      <w:color w:val="FFFFFF"/>
                      <w:sz w:val="18"/>
                      <w:lang w:val="en-AU"/>
                    </w:rPr>
                    <w:t>percentage</w:t>
                  </w:r>
                  <w:r w:rsidRPr="00BA311F">
                    <w:rPr>
                      <w:rFonts w:eastAsia="Calibri"/>
                      <w:color w:val="FFFFFF"/>
                      <w:sz w:val="18"/>
                      <w:lang w:val="en-AU"/>
                    </w:rPr>
                    <w:t>)</w:t>
                  </w:r>
                </w:p>
              </w:tc>
            </w:tr>
            <w:tr w:rsidR="005B762B" w:rsidRPr="00BA311F" w14:paraId="7A30A2C7"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634D4473" w14:textId="77777777" w:rsidR="005B762B" w:rsidRPr="00BA311F" w:rsidRDefault="005B762B" w:rsidP="00F8020A">
                  <w:pPr>
                    <w:rPr>
                      <w:rFonts w:eastAsia="Calibri"/>
                      <w:color w:val="FFFFFF"/>
                      <w:sz w:val="18"/>
                      <w:lang w:val="en-AU"/>
                    </w:rPr>
                  </w:pPr>
                  <w:r w:rsidRPr="00BA311F">
                    <w:rPr>
                      <w:rFonts w:eastAsia="Calibri"/>
                      <w:color w:val="FFFFFF"/>
                      <w:sz w:val="18"/>
                      <w:lang w:val="en-AU"/>
                    </w:rPr>
                    <w:t>Total premises</w:t>
                  </w:r>
                </w:p>
              </w:tc>
              <w:tc>
                <w:tcPr>
                  <w:tcW w:w="1170" w:type="dxa"/>
                </w:tcPr>
                <w:p w14:paraId="2647DADA"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sidRPr="00BA311F">
                    <w:rPr>
                      <w:rFonts w:eastAsia="Calibri"/>
                      <w:color w:val="auto"/>
                      <w:sz w:val="18"/>
                      <w:lang w:val="en-AU"/>
                    </w:rPr>
                    <w:t>0.18 million</w:t>
                  </w:r>
                </w:p>
              </w:tc>
              <w:tc>
                <w:tcPr>
                  <w:tcW w:w="1276" w:type="dxa"/>
                </w:tcPr>
                <w:p w14:paraId="2DA3A654"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sidRPr="00BA311F">
                    <w:rPr>
                      <w:rFonts w:eastAsia="Calibri"/>
                      <w:color w:val="auto"/>
                      <w:sz w:val="18"/>
                      <w:lang w:val="en-AU"/>
                    </w:rPr>
                    <w:t>-</w:t>
                  </w:r>
                </w:p>
              </w:tc>
            </w:tr>
            <w:tr w:rsidR="005B762B" w:rsidRPr="00BA311F" w14:paraId="7860BC32" w14:textId="77777777" w:rsidTr="00F8020A">
              <w:tc>
                <w:tcPr>
                  <w:cnfStyle w:val="001000000000" w:firstRow="0" w:lastRow="0" w:firstColumn="1" w:lastColumn="0" w:oddVBand="0" w:evenVBand="0" w:oddHBand="0" w:evenHBand="0" w:firstRowFirstColumn="0" w:firstRowLastColumn="0" w:lastRowFirstColumn="0" w:lastRowLastColumn="0"/>
                  <w:tcW w:w="1655" w:type="dxa"/>
                </w:tcPr>
                <w:p w14:paraId="36E1AA53" w14:textId="79B54931" w:rsidR="005B762B" w:rsidRPr="00BA311F" w:rsidRDefault="003830A1" w:rsidP="00F8020A">
                  <w:pPr>
                    <w:rPr>
                      <w:rFonts w:eastAsia="Calibri"/>
                      <w:color w:val="FFFFFF"/>
                      <w:sz w:val="18"/>
                      <w:lang w:val="en-AU"/>
                    </w:rPr>
                  </w:pPr>
                  <w:r>
                    <w:rPr>
                      <w:rFonts w:eastAsia="Calibri"/>
                      <w:color w:val="FFFFFF"/>
                      <w:sz w:val="18"/>
                      <w:lang w:val="en-AU"/>
                    </w:rPr>
                    <w:t>ADSL</w:t>
                  </w:r>
                </w:p>
              </w:tc>
              <w:tc>
                <w:tcPr>
                  <w:tcW w:w="1170" w:type="dxa"/>
                </w:tcPr>
                <w:p w14:paraId="0A4FF990"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sidRPr="00BA311F">
                    <w:rPr>
                      <w:rFonts w:eastAsia="Calibri"/>
                      <w:color w:val="auto"/>
                      <w:sz w:val="18"/>
                      <w:lang w:val="en-AU"/>
                    </w:rPr>
                    <w:t>0.17 million</w:t>
                  </w:r>
                </w:p>
              </w:tc>
              <w:tc>
                <w:tcPr>
                  <w:tcW w:w="1276" w:type="dxa"/>
                </w:tcPr>
                <w:p w14:paraId="3925C0C3" w14:textId="78213656"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9</w:t>
                  </w:r>
                  <w:r w:rsidR="00001891">
                    <w:rPr>
                      <w:rFonts w:eastAsia="Calibri"/>
                      <w:color w:val="auto"/>
                      <w:sz w:val="18"/>
                      <w:lang w:val="en-AU"/>
                    </w:rPr>
                    <w:t>4</w:t>
                  </w:r>
                  <w:r>
                    <w:rPr>
                      <w:rFonts w:eastAsia="Calibri"/>
                      <w:color w:val="auto"/>
                      <w:sz w:val="18"/>
                      <w:lang w:val="en-AU"/>
                    </w:rPr>
                    <w:t xml:space="preserve"> </w:t>
                  </w:r>
                </w:p>
              </w:tc>
            </w:tr>
            <w:tr w:rsidR="005B762B" w:rsidRPr="00BA311F" w14:paraId="1467EE0F"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3220D5AF" w14:textId="77777777" w:rsidR="005B762B" w:rsidRPr="00BA311F" w:rsidRDefault="005B762B" w:rsidP="00F8020A">
                  <w:pPr>
                    <w:rPr>
                      <w:rFonts w:eastAsia="Calibri"/>
                      <w:color w:val="FFFFFF"/>
                      <w:sz w:val="18"/>
                      <w:lang w:val="en-AU"/>
                    </w:rPr>
                  </w:pPr>
                  <w:r w:rsidRPr="00BA311F">
                    <w:rPr>
                      <w:rFonts w:eastAsia="Calibri"/>
                      <w:color w:val="FFFFFF"/>
                      <w:sz w:val="18"/>
                      <w:lang w:val="en-AU"/>
                    </w:rPr>
                    <w:t>3G mobile data</w:t>
                  </w:r>
                </w:p>
              </w:tc>
              <w:tc>
                <w:tcPr>
                  <w:tcW w:w="1170" w:type="dxa"/>
                </w:tcPr>
                <w:p w14:paraId="30B2564B"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sidRPr="00BA311F">
                    <w:rPr>
                      <w:rFonts w:eastAsia="Calibri"/>
                      <w:color w:val="auto"/>
                      <w:sz w:val="18"/>
                      <w:lang w:val="en-AU"/>
                    </w:rPr>
                    <w:t>0.17 million</w:t>
                  </w:r>
                </w:p>
              </w:tc>
              <w:tc>
                <w:tcPr>
                  <w:tcW w:w="1276" w:type="dxa"/>
                </w:tcPr>
                <w:p w14:paraId="44A54C2B"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sidRPr="00BA311F">
                    <w:rPr>
                      <w:rFonts w:eastAsia="Calibri"/>
                      <w:color w:val="auto"/>
                      <w:sz w:val="18"/>
                      <w:lang w:val="en-AU"/>
                    </w:rPr>
                    <w:t>95</w:t>
                  </w:r>
                  <w:r>
                    <w:rPr>
                      <w:rFonts w:eastAsia="Calibri"/>
                      <w:color w:val="auto"/>
                      <w:sz w:val="18"/>
                      <w:lang w:val="en-AU"/>
                    </w:rPr>
                    <w:t xml:space="preserve"> </w:t>
                  </w:r>
                </w:p>
              </w:tc>
            </w:tr>
            <w:tr w:rsidR="005B762B" w:rsidRPr="00BA311F" w14:paraId="1855A874" w14:textId="77777777" w:rsidTr="00F8020A">
              <w:tc>
                <w:tcPr>
                  <w:cnfStyle w:val="001000000000" w:firstRow="0" w:lastRow="0" w:firstColumn="1" w:lastColumn="0" w:oddVBand="0" w:evenVBand="0" w:oddHBand="0" w:evenHBand="0" w:firstRowFirstColumn="0" w:firstRowLastColumn="0" w:lastRowFirstColumn="0" w:lastRowLastColumn="0"/>
                  <w:tcW w:w="1655" w:type="dxa"/>
                </w:tcPr>
                <w:p w14:paraId="72246028" w14:textId="77777777" w:rsidR="005B762B" w:rsidRPr="00BA311F" w:rsidRDefault="005B762B" w:rsidP="00F8020A">
                  <w:pPr>
                    <w:rPr>
                      <w:rFonts w:eastAsia="Calibri"/>
                      <w:color w:val="FFFFFF"/>
                      <w:sz w:val="18"/>
                      <w:lang w:val="en-AU"/>
                    </w:rPr>
                  </w:pPr>
                  <w:r w:rsidRPr="00BA311F">
                    <w:rPr>
                      <w:rFonts w:eastAsia="Calibri"/>
                      <w:color w:val="FFFFFF"/>
                      <w:sz w:val="18"/>
                      <w:lang w:val="en-AU"/>
                    </w:rPr>
                    <w:t>4G mobile data</w:t>
                  </w:r>
                </w:p>
              </w:tc>
              <w:tc>
                <w:tcPr>
                  <w:tcW w:w="1170" w:type="dxa"/>
                </w:tcPr>
                <w:p w14:paraId="7889CCE6" w14:textId="2D2E8A70"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sidRPr="00BA311F">
                    <w:rPr>
                      <w:rFonts w:eastAsia="Calibri"/>
                      <w:color w:val="auto"/>
                      <w:sz w:val="18"/>
                      <w:lang w:val="en-AU"/>
                    </w:rPr>
                    <w:t>0.</w:t>
                  </w:r>
                  <w:r>
                    <w:rPr>
                      <w:rFonts w:eastAsia="Calibri"/>
                      <w:color w:val="auto"/>
                      <w:sz w:val="18"/>
                      <w:lang w:val="en-AU"/>
                    </w:rPr>
                    <w:t>1</w:t>
                  </w:r>
                  <w:r w:rsidR="00096553">
                    <w:rPr>
                      <w:rFonts w:eastAsia="Calibri"/>
                      <w:color w:val="auto"/>
                      <w:sz w:val="18"/>
                      <w:lang w:val="en-AU"/>
                    </w:rPr>
                    <w:t>2</w:t>
                  </w:r>
                  <w:r w:rsidRPr="00BA311F">
                    <w:rPr>
                      <w:rFonts w:eastAsia="Calibri"/>
                      <w:color w:val="auto"/>
                      <w:sz w:val="18"/>
                      <w:lang w:val="en-AU"/>
                    </w:rPr>
                    <w:t xml:space="preserve"> million</w:t>
                  </w:r>
                </w:p>
              </w:tc>
              <w:tc>
                <w:tcPr>
                  <w:tcW w:w="1276" w:type="dxa"/>
                </w:tcPr>
                <w:p w14:paraId="598682D2" w14:textId="7D5944D0" w:rsidR="005B762B" w:rsidRPr="00BA311F" w:rsidRDefault="00FC185D"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66</w:t>
                  </w:r>
                </w:p>
              </w:tc>
            </w:tr>
            <w:tr w:rsidR="005B762B" w:rsidRPr="00BA311F" w14:paraId="5FAAFE1E"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292C2EC7"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FTTN or HFC</w:t>
                  </w:r>
                </w:p>
              </w:tc>
              <w:tc>
                <w:tcPr>
                  <w:tcW w:w="1170" w:type="dxa"/>
                </w:tcPr>
                <w:p w14:paraId="1F0B4A75"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sidRPr="00BA311F">
                    <w:rPr>
                      <w:rFonts w:eastAsia="Calibri"/>
                      <w:color w:val="auto"/>
                      <w:sz w:val="18"/>
                      <w:lang w:val="en-AU"/>
                    </w:rPr>
                    <w:t>0.06 million</w:t>
                  </w:r>
                </w:p>
              </w:tc>
              <w:tc>
                <w:tcPr>
                  <w:tcW w:w="1276" w:type="dxa"/>
                </w:tcPr>
                <w:p w14:paraId="0F342CE5"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sidRPr="00BA311F">
                    <w:rPr>
                      <w:rFonts w:eastAsia="Calibri"/>
                      <w:color w:val="auto"/>
                      <w:sz w:val="18"/>
                      <w:lang w:val="en-AU"/>
                    </w:rPr>
                    <w:t>32</w:t>
                  </w:r>
                  <w:r>
                    <w:rPr>
                      <w:rFonts w:eastAsia="Calibri"/>
                      <w:color w:val="auto"/>
                      <w:sz w:val="18"/>
                      <w:lang w:val="en-AU"/>
                    </w:rPr>
                    <w:t xml:space="preserve"> </w:t>
                  </w:r>
                </w:p>
              </w:tc>
            </w:tr>
            <w:tr w:rsidR="005B762B" w:rsidRPr="00BA311F" w14:paraId="19B80CC3" w14:textId="77777777" w:rsidTr="00F8020A">
              <w:tc>
                <w:tcPr>
                  <w:cnfStyle w:val="001000000000" w:firstRow="0" w:lastRow="0" w:firstColumn="1" w:lastColumn="0" w:oddVBand="0" w:evenVBand="0" w:oddHBand="0" w:evenHBand="0" w:firstRowFirstColumn="0" w:firstRowLastColumn="0" w:lastRowFirstColumn="0" w:lastRowLastColumn="0"/>
                  <w:tcW w:w="1655" w:type="dxa"/>
                </w:tcPr>
                <w:p w14:paraId="3DE3B631"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FTTP</w:t>
                  </w:r>
                </w:p>
              </w:tc>
              <w:tc>
                <w:tcPr>
                  <w:tcW w:w="1170" w:type="dxa"/>
                </w:tcPr>
                <w:p w14:paraId="63D141DA" w14:textId="6D81B4A4"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sidRPr="00BA311F">
                    <w:rPr>
                      <w:rFonts w:eastAsia="Calibri"/>
                      <w:color w:val="auto"/>
                      <w:sz w:val="18"/>
                      <w:lang w:val="en-AU"/>
                    </w:rPr>
                    <w:t>0.0</w:t>
                  </w:r>
                  <w:r w:rsidR="00001891">
                    <w:rPr>
                      <w:rFonts w:eastAsia="Calibri"/>
                      <w:color w:val="auto"/>
                      <w:sz w:val="18"/>
                      <w:lang w:val="en-AU"/>
                    </w:rPr>
                    <w:t>2</w:t>
                  </w:r>
                  <w:r w:rsidRPr="00BA311F">
                    <w:rPr>
                      <w:rFonts w:eastAsia="Calibri"/>
                      <w:color w:val="auto"/>
                      <w:sz w:val="18"/>
                      <w:lang w:val="en-AU"/>
                    </w:rPr>
                    <w:t xml:space="preserve"> million</w:t>
                  </w:r>
                </w:p>
              </w:tc>
              <w:tc>
                <w:tcPr>
                  <w:tcW w:w="1276" w:type="dxa"/>
                </w:tcPr>
                <w:p w14:paraId="6DD8300B" w14:textId="1038D50D"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sidRPr="00BA311F">
                    <w:rPr>
                      <w:rFonts w:eastAsia="Calibri"/>
                      <w:color w:val="auto"/>
                      <w:sz w:val="18"/>
                      <w:lang w:val="en-AU"/>
                    </w:rPr>
                    <w:t>1</w:t>
                  </w:r>
                  <w:r w:rsidR="00014FB9">
                    <w:rPr>
                      <w:rFonts w:eastAsia="Calibri"/>
                      <w:color w:val="auto"/>
                      <w:sz w:val="18"/>
                      <w:lang w:val="en-AU"/>
                    </w:rPr>
                    <w:t>3</w:t>
                  </w:r>
                </w:p>
              </w:tc>
            </w:tr>
            <w:tr w:rsidR="005B762B" w:rsidRPr="00BA311F" w14:paraId="188F430C"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44CE4492" w14:textId="77777777" w:rsidR="005B762B" w:rsidRPr="00BA311F" w:rsidRDefault="005B762B" w:rsidP="00F8020A">
                  <w:pPr>
                    <w:rPr>
                      <w:rFonts w:eastAsia="Calibri"/>
                      <w:color w:val="FFFFFF"/>
                      <w:sz w:val="18"/>
                      <w:lang w:val="en-AU"/>
                    </w:rPr>
                  </w:pPr>
                  <w:r w:rsidRPr="00BA311F">
                    <w:rPr>
                      <w:rFonts w:eastAsia="Calibri"/>
                      <w:color w:val="FFFFFF"/>
                      <w:sz w:val="18"/>
                      <w:lang w:val="en-AU"/>
                    </w:rPr>
                    <w:t>NBN fixed wireless</w:t>
                  </w:r>
                </w:p>
              </w:tc>
              <w:tc>
                <w:tcPr>
                  <w:tcW w:w="1170" w:type="dxa"/>
                </w:tcPr>
                <w:p w14:paraId="38296391"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sidRPr="00BA311F">
                    <w:rPr>
                      <w:rFonts w:eastAsia="Calibri"/>
                      <w:color w:val="auto"/>
                      <w:sz w:val="18"/>
                      <w:lang w:val="en-AU"/>
                    </w:rPr>
                    <w:t>0</w:t>
                  </w:r>
                </w:p>
              </w:tc>
              <w:tc>
                <w:tcPr>
                  <w:tcW w:w="1276" w:type="dxa"/>
                </w:tcPr>
                <w:p w14:paraId="26DD72F1"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sidRPr="00BA311F">
                    <w:rPr>
                      <w:rFonts w:eastAsia="Calibri"/>
                      <w:color w:val="auto"/>
                      <w:sz w:val="18"/>
                      <w:lang w:val="en-AU"/>
                    </w:rPr>
                    <w:t>0</w:t>
                  </w:r>
                  <w:r>
                    <w:rPr>
                      <w:rFonts w:eastAsia="Calibri"/>
                      <w:color w:val="auto"/>
                      <w:sz w:val="18"/>
                      <w:lang w:val="en-AU"/>
                    </w:rPr>
                    <w:t xml:space="preserve"> </w:t>
                  </w:r>
                </w:p>
              </w:tc>
            </w:tr>
          </w:tbl>
          <w:p w14:paraId="4B0BDF60" w14:textId="77777777" w:rsidR="005B762B" w:rsidRDefault="005B762B" w:rsidP="00F8020A"/>
        </w:tc>
      </w:tr>
      <w:tr w:rsidR="005B762B" w14:paraId="1F9D54E6" w14:textId="77777777" w:rsidTr="00F8020A">
        <w:trPr>
          <w:cantSplit/>
        </w:trPr>
        <w:tc>
          <w:tcPr>
            <w:tcW w:w="9236" w:type="dxa"/>
            <w:gridSpan w:val="2"/>
          </w:tcPr>
          <w:p w14:paraId="12C16070" w14:textId="77777777" w:rsidR="005B762B" w:rsidRDefault="005B762B" w:rsidP="00F8020A">
            <w:pPr>
              <w:pStyle w:val="Heading4"/>
            </w:pPr>
            <w:r>
              <w:t xml:space="preserve">Figure 5b. </w:t>
            </w:r>
            <w:r w:rsidRPr="002D69BB">
              <w:t>New South Wales</w:t>
            </w:r>
          </w:p>
        </w:tc>
      </w:tr>
      <w:tr w:rsidR="005B762B" w14:paraId="1355A346" w14:textId="77777777" w:rsidTr="00F8020A">
        <w:trPr>
          <w:cantSplit/>
        </w:trPr>
        <w:tc>
          <w:tcPr>
            <w:tcW w:w="3966" w:type="dxa"/>
          </w:tcPr>
          <w:p w14:paraId="71CEB579" w14:textId="77777777" w:rsidR="005B762B" w:rsidRDefault="005B762B" w:rsidP="00F8020A">
            <w:r>
              <w:rPr>
                <w:noProof/>
                <w:lang w:val="en-AU" w:eastAsia="en-AU"/>
              </w:rPr>
              <w:drawing>
                <wp:inline distT="0" distB="0" distL="0" distR="0" wp14:anchorId="7E8F1501" wp14:editId="5225BD99">
                  <wp:extent cx="2317897" cy="1796903"/>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mapdata.png"/>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2327593" cy="1804420"/>
                          </a:xfrm>
                          <a:prstGeom prst="rect">
                            <a:avLst/>
                          </a:prstGeom>
                          <a:ln>
                            <a:noFill/>
                          </a:ln>
                          <a:extLst>
                            <a:ext uri="{53640926-AAD7-44D8-BBD7-CCE9431645EC}">
                              <a14:shadowObscured xmlns:a14="http://schemas.microsoft.com/office/drawing/2010/main"/>
                            </a:ext>
                          </a:extLst>
                        </pic:spPr>
                      </pic:pic>
                    </a:graphicData>
                  </a:graphic>
                </wp:inline>
              </w:drawing>
            </w:r>
          </w:p>
        </w:tc>
        <w:tc>
          <w:tcPr>
            <w:tcW w:w="5270" w:type="dxa"/>
          </w:tcPr>
          <w:tbl>
            <w:tblPr>
              <w:tblStyle w:val="MediumGrid3-Accent11"/>
              <w:tblpPr w:leftFromText="180" w:rightFromText="180" w:vertAnchor="text" w:horzAnchor="margin" w:tblpY="256"/>
              <w:tblOverlap w:val="never"/>
              <w:tblW w:w="0" w:type="auto"/>
              <w:tblLayout w:type="fixed"/>
              <w:tblLook w:val="04A0" w:firstRow="1" w:lastRow="0" w:firstColumn="1" w:lastColumn="0" w:noHBand="0" w:noVBand="1"/>
            </w:tblPr>
            <w:tblGrid>
              <w:gridCol w:w="1691"/>
              <w:gridCol w:w="1134"/>
              <w:gridCol w:w="1276"/>
            </w:tblGrid>
            <w:tr w:rsidR="005B762B" w:rsidRPr="00BA311F" w14:paraId="5408595D"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214CC75" w14:textId="77777777" w:rsidR="005B762B" w:rsidRPr="00BA311F" w:rsidRDefault="005B762B" w:rsidP="00F8020A">
                  <w:pPr>
                    <w:rPr>
                      <w:rFonts w:eastAsia="Calibri"/>
                      <w:color w:val="FFFFFF"/>
                      <w:sz w:val="18"/>
                      <w:lang w:val="en-AU"/>
                    </w:rPr>
                  </w:pPr>
                  <w:r w:rsidRPr="00BA311F">
                    <w:rPr>
                      <w:rFonts w:eastAsia="Calibri"/>
                      <w:color w:val="FFFFFF"/>
                      <w:sz w:val="18"/>
                      <w:lang w:val="en-AU"/>
                    </w:rPr>
                    <w:t>Technology</w:t>
                  </w:r>
                </w:p>
              </w:tc>
              <w:tc>
                <w:tcPr>
                  <w:tcW w:w="1134" w:type="dxa"/>
                </w:tcPr>
                <w:p w14:paraId="12F474C1"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 (premises)</w:t>
                  </w:r>
                </w:p>
              </w:tc>
              <w:tc>
                <w:tcPr>
                  <w:tcW w:w="1276" w:type="dxa"/>
                </w:tcPr>
                <w:p w14:paraId="472FD832"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w:t>
                  </w:r>
                </w:p>
                <w:p w14:paraId="1185C5F7"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w:t>
                  </w:r>
                  <w:r>
                    <w:rPr>
                      <w:rFonts w:eastAsia="Calibri"/>
                      <w:color w:val="FFFFFF"/>
                      <w:sz w:val="18"/>
                      <w:lang w:val="en-AU"/>
                    </w:rPr>
                    <w:t>percentage</w:t>
                  </w:r>
                  <w:r w:rsidRPr="00BA311F">
                    <w:rPr>
                      <w:rFonts w:eastAsia="Calibri"/>
                      <w:color w:val="FFFFFF"/>
                      <w:sz w:val="18"/>
                      <w:lang w:val="en-AU"/>
                    </w:rPr>
                    <w:t>)</w:t>
                  </w:r>
                </w:p>
              </w:tc>
            </w:tr>
            <w:tr w:rsidR="005B762B" w:rsidRPr="00BA311F" w14:paraId="17253C8C"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F592D4F" w14:textId="77777777" w:rsidR="005B762B" w:rsidRPr="00BA311F" w:rsidRDefault="005B762B" w:rsidP="00F8020A">
                  <w:pPr>
                    <w:rPr>
                      <w:rFonts w:eastAsia="Calibri"/>
                      <w:color w:val="FFFFFF"/>
                      <w:sz w:val="18"/>
                      <w:lang w:val="en-AU"/>
                    </w:rPr>
                  </w:pPr>
                  <w:r w:rsidRPr="00BA311F">
                    <w:rPr>
                      <w:rFonts w:eastAsia="Calibri"/>
                      <w:color w:val="FFFFFF"/>
                      <w:sz w:val="18"/>
                      <w:lang w:val="en-AU"/>
                    </w:rPr>
                    <w:t>Total premises</w:t>
                  </w:r>
                </w:p>
              </w:tc>
              <w:tc>
                <w:tcPr>
                  <w:tcW w:w="1134" w:type="dxa"/>
                </w:tcPr>
                <w:p w14:paraId="7B2C1872" w14:textId="6F521F3F" w:rsidR="005B762B" w:rsidRPr="00BA311F" w:rsidRDefault="005B762B" w:rsidP="00096553">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3.</w:t>
                  </w:r>
                  <w:r w:rsidR="00001891">
                    <w:rPr>
                      <w:rFonts w:eastAsia="Calibri"/>
                      <w:color w:val="auto"/>
                      <w:sz w:val="18"/>
                      <w:lang w:val="en-AU"/>
                    </w:rPr>
                    <w:t>3</w:t>
                  </w:r>
                  <w:r w:rsidR="00096553">
                    <w:rPr>
                      <w:rFonts w:eastAsia="Calibri"/>
                      <w:color w:val="auto"/>
                      <w:sz w:val="18"/>
                      <w:lang w:val="en-AU"/>
                    </w:rPr>
                    <w:t>8</w:t>
                  </w:r>
                  <w:r>
                    <w:rPr>
                      <w:rFonts w:eastAsia="Calibri"/>
                      <w:color w:val="auto"/>
                      <w:sz w:val="18"/>
                      <w:lang w:val="en-AU"/>
                    </w:rPr>
                    <w:t xml:space="preserve"> million</w:t>
                  </w:r>
                </w:p>
              </w:tc>
              <w:tc>
                <w:tcPr>
                  <w:tcW w:w="1276" w:type="dxa"/>
                </w:tcPr>
                <w:p w14:paraId="65B2CB11"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w:t>
                  </w:r>
                </w:p>
              </w:tc>
            </w:tr>
            <w:tr w:rsidR="005B762B" w:rsidRPr="00BA311F" w14:paraId="1B544CD5"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0A907385" w14:textId="50388983" w:rsidR="005B762B" w:rsidRPr="00BA311F" w:rsidRDefault="003830A1" w:rsidP="00F8020A">
                  <w:pPr>
                    <w:rPr>
                      <w:rFonts w:eastAsia="Calibri"/>
                      <w:color w:val="FFFFFF"/>
                      <w:sz w:val="18"/>
                      <w:lang w:val="en-AU"/>
                    </w:rPr>
                  </w:pPr>
                  <w:r>
                    <w:rPr>
                      <w:rFonts w:eastAsia="Calibri"/>
                      <w:color w:val="FFFFFF"/>
                      <w:sz w:val="18"/>
                      <w:lang w:val="en-AU"/>
                    </w:rPr>
                    <w:t>ADSL</w:t>
                  </w:r>
                </w:p>
              </w:tc>
              <w:tc>
                <w:tcPr>
                  <w:tcW w:w="1134" w:type="dxa"/>
                </w:tcPr>
                <w:p w14:paraId="62AC72AE"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3 million</w:t>
                  </w:r>
                </w:p>
              </w:tc>
              <w:tc>
                <w:tcPr>
                  <w:tcW w:w="1276" w:type="dxa"/>
                </w:tcPr>
                <w:p w14:paraId="0CB8745A"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 xml:space="preserve">90 </w:t>
                  </w:r>
                </w:p>
              </w:tc>
            </w:tr>
            <w:tr w:rsidR="005B762B" w:rsidRPr="00BA311F" w14:paraId="0FF84876"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C143A55" w14:textId="77777777" w:rsidR="005B762B" w:rsidRPr="00BA311F" w:rsidRDefault="005B762B" w:rsidP="00F8020A">
                  <w:pPr>
                    <w:rPr>
                      <w:rFonts w:eastAsia="Calibri"/>
                      <w:color w:val="FFFFFF"/>
                      <w:sz w:val="18"/>
                      <w:lang w:val="en-AU"/>
                    </w:rPr>
                  </w:pPr>
                  <w:r w:rsidRPr="00BA311F">
                    <w:rPr>
                      <w:rFonts w:eastAsia="Calibri"/>
                      <w:color w:val="FFFFFF"/>
                      <w:sz w:val="18"/>
                      <w:lang w:val="en-AU"/>
                    </w:rPr>
                    <w:t>3G mobile data</w:t>
                  </w:r>
                </w:p>
              </w:tc>
              <w:tc>
                <w:tcPr>
                  <w:tcW w:w="1134" w:type="dxa"/>
                </w:tcPr>
                <w:p w14:paraId="7F0E9622" w14:textId="3C85B7B0" w:rsidR="005B762B" w:rsidRPr="00BA311F" w:rsidRDefault="005B762B" w:rsidP="00096553">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2.</w:t>
                  </w:r>
                  <w:r w:rsidR="00096553">
                    <w:rPr>
                      <w:rFonts w:eastAsia="Calibri"/>
                      <w:color w:val="auto"/>
                      <w:sz w:val="18"/>
                      <w:lang w:val="en-AU"/>
                    </w:rPr>
                    <w:t>9</w:t>
                  </w:r>
                  <w:r>
                    <w:rPr>
                      <w:rFonts w:eastAsia="Calibri"/>
                      <w:color w:val="auto"/>
                      <w:sz w:val="18"/>
                      <w:lang w:val="en-AU"/>
                    </w:rPr>
                    <w:t xml:space="preserve"> million</w:t>
                  </w:r>
                </w:p>
              </w:tc>
              <w:tc>
                <w:tcPr>
                  <w:tcW w:w="1276" w:type="dxa"/>
                </w:tcPr>
                <w:p w14:paraId="6DA28C96"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84 </w:t>
                  </w:r>
                </w:p>
              </w:tc>
            </w:tr>
            <w:tr w:rsidR="005B762B" w:rsidRPr="00BA311F" w14:paraId="0C212C1D"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430094FC" w14:textId="77777777" w:rsidR="005B762B" w:rsidRPr="00BA311F" w:rsidRDefault="005B762B" w:rsidP="00F8020A">
                  <w:pPr>
                    <w:rPr>
                      <w:rFonts w:eastAsia="Calibri"/>
                      <w:color w:val="FFFFFF"/>
                      <w:sz w:val="18"/>
                      <w:lang w:val="en-AU"/>
                    </w:rPr>
                  </w:pPr>
                  <w:r w:rsidRPr="00BA311F">
                    <w:rPr>
                      <w:rFonts w:eastAsia="Calibri"/>
                      <w:color w:val="FFFFFF"/>
                      <w:sz w:val="18"/>
                      <w:lang w:val="en-AU"/>
                    </w:rPr>
                    <w:t>4G mobile data</w:t>
                  </w:r>
                </w:p>
              </w:tc>
              <w:tc>
                <w:tcPr>
                  <w:tcW w:w="1134" w:type="dxa"/>
                </w:tcPr>
                <w:p w14:paraId="08605148" w14:textId="70E4A1E4"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2.</w:t>
                  </w:r>
                  <w:r w:rsidR="00096553">
                    <w:rPr>
                      <w:rFonts w:eastAsia="Calibri"/>
                      <w:color w:val="auto"/>
                      <w:sz w:val="18"/>
                      <w:lang w:val="en-AU"/>
                    </w:rPr>
                    <w:t>2</w:t>
                  </w:r>
                  <w:r>
                    <w:rPr>
                      <w:rFonts w:eastAsia="Calibri"/>
                      <w:color w:val="auto"/>
                      <w:sz w:val="18"/>
                      <w:lang w:val="en-AU"/>
                    </w:rPr>
                    <w:t xml:space="preserve"> million</w:t>
                  </w:r>
                </w:p>
              </w:tc>
              <w:tc>
                <w:tcPr>
                  <w:tcW w:w="1276" w:type="dxa"/>
                </w:tcPr>
                <w:p w14:paraId="721AE070" w14:textId="691B83F7" w:rsidR="005B762B" w:rsidRPr="00BA311F" w:rsidRDefault="00FC185D"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64</w:t>
                  </w:r>
                </w:p>
              </w:tc>
            </w:tr>
            <w:tr w:rsidR="005B762B" w:rsidRPr="00BA311F" w14:paraId="6A5E99B4"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FA61EF0"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FTTN or HFC</w:t>
                  </w:r>
                </w:p>
              </w:tc>
              <w:tc>
                <w:tcPr>
                  <w:tcW w:w="1134" w:type="dxa"/>
                </w:tcPr>
                <w:p w14:paraId="52FDC530"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0.91 million</w:t>
                  </w:r>
                </w:p>
              </w:tc>
              <w:tc>
                <w:tcPr>
                  <w:tcW w:w="1276" w:type="dxa"/>
                </w:tcPr>
                <w:p w14:paraId="6C82A0C5"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27 </w:t>
                  </w:r>
                </w:p>
              </w:tc>
            </w:tr>
            <w:tr w:rsidR="005B762B" w:rsidRPr="00BA311F" w14:paraId="7444751E"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4A3B7D0F"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FTTP</w:t>
                  </w:r>
                </w:p>
              </w:tc>
              <w:tc>
                <w:tcPr>
                  <w:tcW w:w="1134" w:type="dxa"/>
                </w:tcPr>
                <w:p w14:paraId="67398D27" w14:textId="0B4F005C" w:rsidR="005B762B" w:rsidRPr="00BA311F" w:rsidRDefault="006377F0" w:rsidP="006377F0">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0.1</w:t>
                  </w:r>
                  <w:r w:rsidR="005B762B">
                    <w:rPr>
                      <w:rFonts w:eastAsia="Calibri"/>
                      <w:color w:val="auto"/>
                      <w:sz w:val="18"/>
                      <w:lang w:val="en-AU"/>
                    </w:rPr>
                    <w:t xml:space="preserve"> million</w:t>
                  </w:r>
                </w:p>
              </w:tc>
              <w:tc>
                <w:tcPr>
                  <w:tcW w:w="1276" w:type="dxa"/>
                </w:tcPr>
                <w:p w14:paraId="25E8EFCE"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 xml:space="preserve">3 </w:t>
                  </w:r>
                </w:p>
              </w:tc>
            </w:tr>
            <w:tr w:rsidR="005B762B" w:rsidRPr="00BA311F" w14:paraId="47C62D43"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14E0473" w14:textId="77777777" w:rsidR="005B762B" w:rsidRPr="00BA311F" w:rsidRDefault="005B762B" w:rsidP="00F8020A">
                  <w:pPr>
                    <w:rPr>
                      <w:rFonts w:eastAsia="Calibri"/>
                      <w:color w:val="FFFFFF"/>
                      <w:sz w:val="18"/>
                      <w:lang w:val="en-AU"/>
                    </w:rPr>
                  </w:pPr>
                  <w:r w:rsidRPr="00BA311F">
                    <w:rPr>
                      <w:rFonts w:eastAsia="Calibri"/>
                      <w:color w:val="FFFFFF"/>
                      <w:sz w:val="18"/>
                      <w:lang w:val="en-AU"/>
                    </w:rPr>
                    <w:t>NBN fixed wireless</w:t>
                  </w:r>
                </w:p>
              </w:tc>
              <w:tc>
                <w:tcPr>
                  <w:tcW w:w="1134" w:type="dxa"/>
                </w:tcPr>
                <w:p w14:paraId="290D6FB1" w14:textId="0E23A88F"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7,</w:t>
                  </w:r>
                  <w:r w:rsidR="00001891">
                    <w:rPr>
                      <w:rFonts w:eastAsia="Calibri"/>
                      <w:color w:val="auto"/>
                      <w:sz w:val="18"/>
                      <w:lang w:val="en-AU"/>
                    </w:rPr>
                    <w:t>9</w:t>
                  </w:r>
                  <w:r>
                    <w:rPr>
                      <w:rFonts w:eastAsia="Calibri"/>
                      <w:color w:val="auto"/>
                      <w:sz w:val="18"/>
                      <w:lang w:val="en-AU"/>
                    </w:rPr>
                    <w:t>00</w:t>
                  </w:r>
                </w:p>
              </w:tc>
              <w:tc>
                <w:tcPr>
                  <w:tcW w:w="1276" w:type="dxa"/>
                </w:tcPr>
                <w:p w14:paraId="0382B0D2"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&lt;1 </w:t>
                  </w:r>
                </w:p>
              </w:tc>
            </w:tr>
          </w:tbl>
          <w:p w14:paraId="18C331AE" w14:textId="77777777" w:rsidR="005B762B" w:rsidRDefault="005B762B" w:rsidP="00F8020A"/>
        </w:tc>
      </w:tr>
      <w:tr w:rsidR="005B762B" w14:paraId="6B947B51" w14:textId="77777777" w:rsidTr="00F8020A">
        <w:trPr>
          <w:cantSplit/>
        </w:trPr>
        <w:tc>
          <w:tcPr>
            <w:tcW w:w="9236" w:type="dxa"/>
            <w:gridSpan w:val="2"/>
          </w:tcPr>
          <w:p w14:paraId="57657DB5" w14:textId="77777777" w:rsidR="005B762B" w:rsidRDefault="005B762B" w:rsidP="00F8020A">
            <w:pPr>
              <w:pStyle w:val="Heading4"/>
            </w:pPr>
            <w:r>
              <w:t xml:space="preserve">Figure 5c. </w:t>
            </w:r>
            <w:r w:rsidRPr="002D69BB">
              <w:t>Northern Territory</w:t>
            </w:r>
          </w:p>
        </w:tc>
      </w:tr>
      <w:tr w:rsidR="005B762B" w14:paraId="5D194126" w14:textId="77777777" w:rsidTr="00F8020A">
        <w:trPr>
          <w:cantSplit/>
        </w:trPr>
        <w:tc>
          <w:tcPr>
            <w:tcW w:w="3966" w:type="dxa"/>
          </w:tcPr>
          <w:p w14:paraId="3A4BC837" w14:textId="77777777" w:rsidR="005B762B" w:rsidRDefault="005B762B" w:rsidP="00F8020A">
            <w:r>
              <w:rPr>
                <w:noProof/>
                <w:lang w:val="en-AU" w:eastAsia="en-AU"/>
              </w:rPr>
              <w:drawing>
                <wp:inline distT="0" distB="0" distL="0" distR="0" wp14:anchorId="0CE7888D" wp14:editId="296E4744">
                  <wp:extent cx="2257425" cy="18002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mapdata.png"/>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2262685" cy="1804420"/>
                          </a:xfrm>
                          <a:prstGeom prst="rect">
                            <a:avLst/>
                          </a:prstGeom>
                          <a:ln>
                            <a:noFill/>
                          </a:ln>
                          <a:extLst>
                            <a:ext uri="{53640926-AAD7-44D8-BBD7-CCE9431645EC}">
                              <a14:shadowObscured xmlns:a14="http://schemas.microsoft.com/office/drawing/2010/main"/>
                            </a:ext>
                          </a:extLst>
                        </pic:spPr>
                      </pic:pic>
                    </a:graphicData>
                  </a:graphic>
                </wp:inline>
              </w:drawing>
            </w:r>
          </w:p>
        </w:tc>
        <w:tc>
          <w:tcPr>
            <w:tcW w:w="5270" w:type="dxa"/>
          </w:tcPr>
          <w:tbl>
            <w:tblPr>
              <w:tblStyle w:val="MediumGrid3-Accent11"/>
              <w:tblpPr w:leftFromText="180" w:rightFromText="180" w:vertAnchor="text" w:horzAnchor="margin" w:tblpY="256"/>
              <w:tblOverlap w:val="never"/>
              <w:tblW w:w="0" w:type="auto"/>
              <w:tblLayout w:type="fixed"/>
              <w:tblLook w:val="04A0" w:firstRow="1" w:lastRow="0" w:firstColumn="1" w:lastColumn="0" w:noHBand="0" w:noVBand="1"/>
            </w:tblPr>
            <w:tblGrid>
              <w:gridCol w:w="1691"/>
              <w:gridCol w:w="1134"/>
              <w:gridCol w:w="1276"/>
            </w:tblGrid>
            <w:tr w:rsidR="005B762B" w:rsidRPr="00BA311F" w14:paraId="3F23E790"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84CAE24" w14:textId="77777777" w:rsidR="005B762B" w:rsidRPr="00BA311F" w:rsidRDefault="005B762B" w:rsidP="00F8020A">
                  <w:pPr>
                    <w:rPr>
                      <w:rFonts w:eastAsia="Calibri"/>
                      <w:color w:val="FFFFFF"/>
                      <w:sz w:val="18"/>
                      <w:lang w:val="en-AU"/>
                    </w:rPr>
                  </w:pPr>
                  <w:r w:rsidRPr="00BA311F">
                    <w:rPr>
                      <w:rFonts w:eastAsia="Calibri"/>
                      <w:color w:val="FFFFFF"/>
                      <w:sz w:val="18"/>
                      <w:lang w:val="en-AU"/>
                    </w:rPr>
                    <w:t>Technology</w:t>
                  </w:r>
                </w:p>
              </w:tc>
              <w:tc>
                <w:tcPr>
                  <w:tcW w:w="1134" w:type="dxa"/>
                </w:tcPr>
                <w:p w14:paraId="00C14B7C"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 (premises)</w:t>
                  </w:r>
                </w:p>
              </w:tc>
              <w:tc>
                <w:tcPr>
                  <w:tcW w:w="1276" w:type="dxa"/>
                </w:tcPr>
                <w:p w14:paraId="12799490"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w:t>
                  </w:r>
                </w:p>
                <w:p w14:paraId="5D451AD9"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w:t>
                  </w:r>
                  <w:r>
                    <w:rPr>
                      <w:rFonts w:eastAsia="Calibri"/>
                      <w:color w:val="FFFFFF"/>
                      <w:sz w:val="18"/>
                      <w:lang w:val="en-AU"/>
                    </w:rPr>
                    <w:t>percentage)</w:t>
                  </w:r>
                </w:p>
              </w:tc>
            </w:tr>
            <w:tr w:rsidR="005B762B" w:rsidRPr="00BA311F" w14:paraId="4B9E0A73"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F7750AF" w14:textId="77777777" w:rsidR="005B762B" w:rsidRPr="00BA311F" w:rsidRDefault="005B762B" w:rsidP="00F8020A">
                  <w:pPr>
                    <w:rPr>
                      <w:rFonts w:eastAsia="Calibri"/>
                      <w:color w:val="FFFFFF"/>
                      <w:sz w:val="18"/>
                      <w:lang w:val="en-AU"/>
                    </w:rPr>
                  </w:pPr>
                  <w:r w:rsidRPr="00BA311F">
                    <w:rPr>
                      <w:rFonts w:eastAsia="Calibri"/>
                      <w:color w:val="FFFFFF"/>
                      <w:sz w:val="18"/>
                      <w:lang w:val="en-AU"/>
                    </w:rPr>
                    <w:t>Total premises</w:t>
                  </w:r>
                </w:p>
              </w:tc>
              <w:tc>
                <w:tcPr>
                  <w:tcW w:w="1134" w:type="dxa"/>
                </w:tcPr>
                <w:p w14:paraId="7F5F2D73"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0.08 million</w:t>
                  </w:r>
                </w:p>
              </w:tc>
              <w:tc>
                <w:tcPr>
                  <w:tcW w:w="1276" w:type="dxa"/>
                </w:tcPr>
                <w:p w14:paraId="015F99DB"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w:t>
                  </w:r>
                </w:p>
              </w:tc>
            </w:tr>
            <w:tr w:rsidR="005B762B" w:rsidRPr="00BA311F" w14:paraId="1BE77BA5"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0903B7D9" w14:textId="3C384528" w:rsidR="005B762B" w:rsidRPr="00BA311F" w:rsidRDefault="003830A1" w:rsidP="00F8020A">
                  <w:pPr>
                    <w:rPr>
                      <w:rFonts w:eastAsia="Calibri"/>
                      <w:color w:val="FFFFFF"/>
                      <w:sz w:val="18"/>
                      <w:lang w:val="en-AU"/>
                    </w:rPr>
                  </w:pPr>
                  <w:r>
                    <w:rPr>
                      <w:rFonts w:eastAsia="Calibri"/>
                      <w:color w:val="FFFFFF"/>
                      <w:sz w:val="18"/>
                      <w:lang w:val="en-AU"/>
                    </w:rPr>
                    <w:t>ADSL</w:t>
                  </w:r>
                </w:p>
              </w:tc>
              <w:tc>
                <w:tcPr>
                  <w:tcW w:w="1134" w:type="dxa"/>
                </w:tcPr>
                <w:p w14:paraId="6EB0A525"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0.07 million</w:t>
                  </w:r>
                </w:p>
              </w:tc>
              <w:tc>
                <w:tcPr>
                  <w:tcW w:w="1276" w:type="dxa"/>
                </w:tcPr>
                <w:p w14:paraId="09BC67D1" w14:textId="09062BAD"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8</w:t>
                  </w:r>
                  <w:r w:rsidR="00001891">
                    <w:rPr>
                      <w:rFonts w:eastAsia="Calibri"/>
                      <w:color w:val="auto"/>
                      <w:sz w:val="18"/>
                      <w:lang w:val="en-AU"/>
                    </w:rPr>
                    <w:t>8</w:t>
                  </w:r>
                </w:p>
              </w:tc>
            </w:tr>
            <w:tr w:rsidR="005B762B" w:rsidRPr="00BA311F" w14:paraId="511EB523"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A7F1DB2" w14:textId="77777777" w:rsidR="005B762B" w:rsidRPr="00BA311F" w:rsidRDefault="005B762B" w:rsidP="00F8020A">
                  <w:pPr>
                    <w:rPr>
                      <w:rFonts w:eastAsia="Calibri"/>
                      <w:color w:val="FFFFFF"/>
                      <w:sz w:val="18"/>
                      <w:lang w:val="en-AU"/>
                    </w:rPr>
                  </w:pPr>
                  <w:r w:rsidRPr="00BA311F">
                    <w:rPr>
                      <w:rFonts w:eastAsia="Calibri"/>
                      <w:color w:val="FFFFFF"/>
                      <w:sz w:val="18"/>
                      <w:lang w:val="en-AU"/>
                    </w:rPr>
                    <w:t>3G mobile data</w:t>
                  </w:r>
                </w:p>
              </w:tc>
              <w:tc>
                <w:tcPr>
                  <w:tcW w:w="1134" w:type="dxa"/>
                </w:tcPr>
                <w:p w14:paraId="19A2E459"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0.05 million</w:t>
                  </w:r>
                </w:p>
              </w:tc>
              <w:tc>
                <w:tcPr>
                  <w:tcW w:w="1276" w:type="dxa"/>
                </w:tcPr>
                <w:p w14:paraId="191EE408"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56</w:t>
                  </w:r>
                </w:p>
              </w:tc>
            </w:tr>
            <w:tr w:rsidR="005B762B" w:rsidRPr="00BA311F" w14:paraId="14AD02E1"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2217DC54" w14:textId="77777777" w:rsidR="005B762B" w:rsidRPr="00BA311F" w:rsidRDefault="005B762B" w:rsidP="00F8020A">
                  <w:pPr>
                    <w:rPr>
                      <w:rFonts w:eastAsia="Calibri"/>
                      <w:color w:val="FFFFFF"/>
                      <w:sz w:val="18"/>
                      <w:lang w:val="en-AU"/>
                    </w:rPr>
                  </w:pPr>
                  <w:r w:rsidRPr="00BA311F">
                    <w:rPr>
                      <w:rFonts w:eastAsia="Calibri"/>
                      <w:color w:val="FFFFFF"/>
                      <w:sz w:val="18"/>
                      <w:lang w:val="en-AU"/>
                    </w:rPr>
                    <w:t>4G mobile data</w:t>
                  </w:r>
                </w:p>
              </w:tc>
              <w:tc>
                <w:tcPr>
                  <w:tcW w:w="1134" w:type="dxa"/>
                </w:tcPr>
                <w:p w14:paraId="086C497A"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0.03 million</w:t>
                  </w:r>
                </w:p>
              </w:tc>
              <w:tc>
                <w:tcPr>
                  <w:tcW w:w="1276" w:type="dxa"/>
                </w:tcPr>
                <w:p w14:paraId="3D4B8152"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 xml:space="preserve">34 </w:t>
                  </w:r>
                </w:p>
              </w:tc>
            </w:tr>
            <w:tr w:rsidR="005B762B" w:rsidRPr="00BA311F" w14:paraId="604BD635"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C542E48"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FTTN or HFC</w:t>
                  </w:r>
                </w:p>
              </w:tc>
              <w:tc>
                <w:tcPr>
                  <w:tcW w:w="1134" w:type="dxa"/>
                </w:tcPr>
                <w:p w14:paraId="54805101"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w:t>
                  </w:r>
                </w:p>
              </w:tc>
              <w:tc>
                <w:tcPr>
                  <w:tcW w:w="1276" w:type="dxa"/>
                </w:tcPr>
                <w:p w14:paraId="59B06CD4"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0 </w:t>
                  </w:r>
                </w:p>
              </w:tc>
            </w:tr>
            <w:tr w:rsidR="005B762B" w:rsidRPr="00BA311F" w14:paraId="793BEF9C"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58659D3F"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FTTP</w:t>
                  </w:r>
                </w:p>
              </w:tc>
              <w:tc>
                <w:tcPr>
                  <w:tcW w:w="1134" w:type="dxa"/>
                </w:tcPr>
                <w:p w14:paraId="4D4E6C9A" w14:textId="4CC64864" w:rsidR="005B762B" w:rsidRPr="00BA311F" w:rsidRDefault="00001891"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2,800</w:t>
                  </w:r>
                </w:p>
              </w:tc>
              <w:tc>
                <w:tcPr>
                  <w:tcW w:w="1276" w:type="dxa"/>
                </w:tcPr>
                <w:p w14:paraId="54A92D4E" w14:textId="6DD3F52C" w:rsidR="005B762B" w:rsidRPr="00BA311F" w:rsidRDefault="00001891"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3</w:t>
                  </w:r>
                  <w:r w:rsidR="005B762B">
                    <w:rPr>
                      <w:rFonts w:eastAsia="Calibri"/>
                      <w:color w:val="auto"/>
                      <w:sz w:val="18"/>
                      <w:lang w:val="en-AU"/>
                    </w:rPr>
                    <w:t xml:space="preserve"> </w:t>
                  </w:r>
                </w:p>
              </w:tc>
            </w:tr>
            <w:tr w:rsidR="005B762B" w:rsidRPr="00BA311F" w14:paraId="330B88B1"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B64318E" w14:textId="77777777" w:rsidR="005B762B" w:rsidRPr="00BA311F" w:rsidRDefault="005B762B" w:rsidP="00F8020A">
                  <w:pPr>
                    <w:rPr>
                      <w:rFonts w:eastAsia="Calibri"/>
                      <w:color w:val="FFFFFF"/>
                      <w:sz w:val="18"/>
                      <w:lang w:val="en-AU"/>
                    </w:rPr>
                  </w:pPr>
                  <w:r w:rsidRPr="00BA311F">
                    <w:rPr>
                      <w:rFonts w:eastAsia="Calibri"/>
                      <w:color w:val="FFFFFF"/>
                      <w:sz w:val="18"/>
                      <w:lang w:val="en-AU"/>
                    </w:rPr>
                    <w:t>NBN fixed wireless</w:t>
                  </w:r>
                </w:p>
              </w:tc>
              <w:tc>
                <w:tcPr>
                  <w:tcW w:w="1134" w:type="dxa"/>
                </w:tcPr>
                <w:p w14:paraId="1DCDCE0F"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1,900</w:t>
                  </w:r>
                </w:p>
              </w:tc>
              <w:tc>
                <w:tcPr>
                  <w:tcW w:w="1276" w:type="dxa"/>
                </w:tcPr>
                <w:p w14:paraId="7B66D523"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2 </w:t>
                  </w:r>
                </w:p>
              </w:tc>
            </w:tr>
          </w:tbl>
          <w:p w14:paraId="5C87B435" w14:textId="77777777" w:rsidR="005B762B" w:rsidRDefault="005B762B" w:rsidP="00F8020A"/>
        </w:tc>
      </w:tr>
      <w:tr w:rsidR="005B762B" w14:paraId="601567EF" w14:textId="77777777" w:rsidTr="00F8020A">
        <w:trPr>
          <w:cantSplit/>
        </w:trPr>
        <w:tc>
          <w:tcPr>
            <w:tcW w:w="3966" w:type="dxa"/>
          </w:tcPr>
          <w:p w14:paraId="2CE53E39" w14:textId="77777777" w:rsidR="005B762B" w:rsidRDefault="005B762B" w:rsidP="00F8020A">
            <w:pPr>
              <w:pStyle w:val="Heading4"/>
            </w:pPr>
            <w:r>
              <w:t xml:space="preserve">Figure 5d. </w:t>
            </w:r>
            <w:r w:rsidRPr="002D69BB">
              <w:t>Queensland</w:t>
            </w:r>
          </w:p>
        </w:tc>
        <w:tc>
          <w:tcPr>
            <w:tcW w:w="5270" w:type="dxa"/>
          </w:tcPr>
          <w:p w14:paraId="7190EE5D" w14:textId="77777777" w:rsidR="005B762B" w:rsidRDefault="005B762B" w:rsidP="00F8020A"/>
        </w:tc>
      </w:tr>
      <w:tr w:rsidR="005B762B" w14:paraId="5449F918" w14:textId="77777777" w:rsidTr="00F8020A">
        <w:trPr>
          <w:cantSplit/>
        </w:trPr>
        <w:tc>
          <w:tcPr>
            <w:tcW w:w="3966" w:type="dxa"/>
          </w:tcPr>
          <w:p w14:paraId="3041294C" w14:textId="77777777" w:rsidR="005B762B" w:rsidRDefault="005B762B" w:rsidP="00F8020A">
            <w:r>
              <w:rPr>
                <w:noProof/>
                <w:lang w:val="en-AU" w:eastAsia="en-AU"/>
              </w:rPr>
              <w:drawing>
                <wp:inline distT="0" distB="0" distL="0" distR="0" wp14:anchorId="06B0BE78" wp14:editId="4587AF00">
                  <wp:extent cx="2254103" cy="179690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mapdata.png"/>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2259710" cy="1801372"/>
                          </a:xfrm>
                          <a:prstGeom prst="rect">
                            <a:avLst/>
                          </a:prstGeom>
                          <a:ln>
                            <a:noFill/>
                          </a:ln>
                          <a:extLst>
                            <a:ext uri="{53640926-AAD7-44D8-BBD7-CCE9431645EC}">
                              <a14:shadowObscured xmlns:a14="http://schemas.microsoft.com/office/drawing/2010/main"/>
                            </a:ext>
                          </a:extLst>
                        </pic:spPr>
                      </pic:pic>
                    </a:graphicData>
                  </a:graphic>
                </wp:inline>
              </w:drawing>
            </w:r>
          </w:p>
        </w:tc>
        <w:tc>
          <w:tcPr>
            <w:tcW w:w="5270" w:type="dxa"/>
          </w:tcPr>
          <w:tbl>
            <w:tblPr>
              <w:tblStyle w:val="MediumGrid3-Accent11"/>
              <w:tblpPr w:leftFromText="180" w:rightFromText="180" w:vertAnchor="text" w:horzAnchor="margin" w:tblpY="256"/>
              <w:tblOverlap w:val="never"/>
              <w:tblW w:w="0" w:type="auto"/>
              <w:tblLayout w:type="fixed"/>
              <w:tblLook w:val="04A0" w:firstRow="1" w:lastRow="0" w:firstColumn="1" w:lastColumn="0" w:noHBand="0" w:noVBand="1"/>
            </w:tblPr>
            <w:tblGrid>
              <w:gridCol w:w="1691"/>
              <w:gridCol w:w="1134"/>
              <w:gridCol w:w="1276"/>
            </w:tblGrid>
            <w:tr w:rsidR="005B762B" w:rsidRPr="00BA311F" w14:paraId="51BA54E0"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EDA0A8C" w14:textId="77777777" w:rsidR="005B762B" w:rsidRPr="00BA311F" w:rsidRDefault="005B762B" w:rsidP="00F8020A">
                  <w:pPr>
                    <w:rPr>
                      <w:rFonts w:eastAsia="Calibri"/>
                      <w:color w:val="FFFFFF"/>
                      <w:sz w:val="18"/>
                      <w:lang w:val="en-AU"/>
                    </w:rPr>
                  </w:pPr>
                  <w:r w:rsidRPr="00BA311F">
                    <w:rPr>
                      <w:rFonts w:eastAsia="Calibri"/>
                      <w:color w:val="FFFFFF"/>
                      <w:sz w:val="18"/>
                      <w:lang w:val="en-AU"/>
                    </w:rPr>
                    <w:t>Technology</w:t>
                  </w:r>
                </w:p>
              </w:tc>
              <w:tc>
                <w:tcPr>
                  <w:tcW w:w="1134" w:type="dxa"/>
                </w:tcPr>
                <w:p w14:paraId="1DD370B5"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 (premises)</w:t>
                  </w:r>
                </w:p>
              </w:tc>
              <w:tc>
                <w:tcPr>
                  <w:tcW w:w="1276" w:type="dxa"/>
                </w:tcPr>
                <w:p w14:paraId="53978D0B"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w:t>
                  </w:r>
                </w:p>
                <w:p w14:paraId="780ACF29"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Pr>
                      <w:rFonts w:eastAsia="Calibri"/>
                      <w:color w:val="FFFFFF"/>
                      <w:sz w:val="18"/>
                      <w:lang w:val="en-AU"/>
                    </w:rPr>
                    <w:t>(percentage</w:t>
                  </w:r>
                  <w:r w:rsidRPr="00BA311F">
                    <w:rPr>
                      <w:rFonts w:eastAsia="Calibri"/>
                      <w:color w:val="FFFFFF"/>
                      <w:sz w:val="18"/>
                      <w:lang w:val="en-AU"/>
                    </w:rPr>
                    <w:t>)</w:t>
                  </w:r>
                </w:p>
              </w:tc>
            </w:tr>
            <w:tr w:rsidR="005B762B" w:rsidRPr="00BA311F" w14:paraId="1D841D3E"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7456EE50" w14:textId="77777777" w:rsidR="005B762B" w:rsidRPr="00BA311F" w:rsidRDefault="005B762B" w:rsidP="00F8020A">
                  <w:pPr>
                    <w:rPr>
                      <w:rFonts w:eastAsia="Calibri"/>
                      <w:color w:val="FFFFFF"/>
                      <w:sz w:val="18"/>
                      <w:lang w:val="en-AU"/>
                    </w:rPr>
                  </w:pPr>
                  <w:r w:rsidRPr="00BA311F">
                    <w:rPr>
                      <w:rFonts w:eastAsia="Calibri"/>
                      <w:color w:val="FFFFFF"/>
                      <w:sz w:val="18"/>
                      <w:lang w:val="en-AU"/>
                    </w:rPr>
                    <w:t>Total premises</w:t>
                  </w:r>
                </w:p>
              </w:tc>
              <w:tc>
                <w:tcPr>
                  <w:tcW w:w="1134" w:type="dxa"/>
                </w:tcPr>
                <w:p w14:paraId="46016434"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2.2 million</w:t>
                  </w:r>
                </w:p>
              </w:tc>
              <w:tc>
                <w:tcPr>
                  <w:tcW w:w="1276" w:type="dxa"/>
                </w:tcPr>
                <w:p w14:paraId="3E6E035F"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w:t>
                  </w:r>
                </w:p>
              </w:tc>
            </w:tr>
            <w:tr w:rsidR="005B762B" w:rsidRPr="00BA311F" w14:paraId="1EA7AAD8"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7062A32B" w14:textId="077C7D38" w:rsidR="005B762B" w:rsidRPr="00BA311F" w:rsidRDefault="003830A1" w:rsidP="00F8020A">
                  <w:pPr>
                    <w:rPr>
                      <w:rFonts w:eastAsia="Calibri"/>
                      <w:color w:val="FFFFFF"/>
                      <w:sz w:val="18"/>
                      <w:lang w:val="en-AU"/>
                    </w:rPr>
                  </w:pPr>
                  <w:r>
                    <w:rPr>
                      <w:rFonts w:eastAsia="Calibri"/>
                      <w:color w:val="FFFFFF"/>
                      <w:sz w:val="18"/>
                      <w:lang w:val="en-AU"/>
                    </w:rPr>
                    <w:t>ADSL</w:t>
                  </w:r>
                </w:p>
              </w:tc>
              <w:tc>
                <w:tcPr>
                  <w:tcW w:w="1134" w:type="dxa"/>
                </w:tcPr>
                <w:p w14:paraId="131AAC0C"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2 million</w:t>
                  </w:r>
                </w:p>
              </w:tc>
              <w:tc>
                <w:tcPr>
                  <w:tcW w:w="1276" w:type="dxa"/>
                </w:tcPr>
                <w:p w14:paraId="014712C4"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 xml:space="preserve">90 </w:t>
                  </w:r>
                </w:p>
              </w:tc>
            </w:tr>
            <w:tr w:rsidR="005B762B" w:rsidRPr="00BA311F" w14:paraId="57ECB9BF"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151D872" w14:textId="77777777" w:rsidR="005B762B" w:rsidRPr="00BA311F" w:rsidRDefault="005B762B" w:rsidP="00F8020A">
                  <w:pPr>
                    <w:rPr>
                      <w:rFonts w:eastAsia="Calibri"/>
                      <w:color w:val="FFFFFF"/>
                      <w:sz w:val="18"/>
                      <w:lang w:val="en-AU"/>
                    </w:rPr>
                  </w:pPr>
                  <w:r w:rsidRPr="00BA311F">
                    <w:rPr>
                      <w:rFonts w:eastAsia="Calibri"/>
                      <w:color w:val="FFFFFF"/>
                      <w:sz w:val="18"/>
                      <w:lang w:val="en-AU"/>
                    </w:rPr>
                    <w:t>3G mobile data</w:t>
                  </w:r>
                </w:p>
              </w:tc>
              <w:tc>
                <w:tcPr>
                  <w:tcW w:w="1134" w:type="dxa"/>
                </w:tcPr>
                <w:p w14:paraId="5BE94054"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1.7 million</w:t>
                  </w:r>
                </w:p>
              </w:tc>
              <w:tc>
                <w:tcPr>
                  <w:tcW w:w="1276" w:type="dxa"/>
                </w:tcPr>
                <w:p w14:paraId="1E55AD79"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77 </w:t>
                  </w:r>
                </w:p>
              </w:tc>
            </w:tr>
            <w:tr w:rsidR="005B762B" w:rsidRPr="00BA311F" w14:paraId="78FC691C"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2F9EB678" w14:textId="77777777" w:rsidR="005B762B" w:rsidRPr="00BA311F" w:rsidRDefault="005B762B" w:rsidP="00F8020A">
                  <w:pPr>
                    <w:rPr>
                      <w:rFonts w:eastAsia="Calibri"/>
                      <w:color w:val="FFFFFF"/>
                      <w:sz w:val="18"/>
                      <w:lang w:val="en-AU"/>
                    </w:rPr>
                  </w:pPr>
                  <w:r w:rsidRPr="00BA311F">
                    <w:rPr>
                      <w:rFonts w:eastAsia="Calibri"/>
                      <w:color w:val="FFFFFF"/>
                      <w:sz w:val="18"/>
                      <w:lang w:val="en-AU"/>
                    </w:rPr>
                    <w:t>4G mobile data</w:t>
                  </w:r>
                </w:p>
              </w:tc>
              <w:tc>
                <w:tcPr>
                  <w:tcW w:w="1134" w:type="dxa"/>
                </w:tcPr>
                <w:p w14:paraId="76CAEA83" w14:textId="777198CF"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1.</w:t>
                  </w:r>
                  <w:r w:rsidR="0027011D">
                    <w:rPr>
                      <w:rFonts w:eastAsia="Calibri"/>
                      <w:color w:val="auto"/>
                      <w:sz w:val="18"/>
                      <w:lang w:val="en-AU"/>
                    </w:rPr>
                    <w:t>7</w:t>
                  </w:r>
                  <w:r>
                    <w:rPr>
                      <w:rFonts w:eastAsia="Calibri"/>
                      <w:color w:val="auto"/>
                      <w:sz w:val="18"/>
                      <w:lang w:val="en-AU"/>
                    </w:rPr>
                    <w:t xml:space="preserve"> million</w:t>
                  </w:r>
                </w:p>
              </w:tc>
              <w:tc>
                <w:tcPr>
                  <w:tcW w:w="1276" w:type="dxa"/>
                </w:tcPr>
                <w:p w14:paraId="6193AA62" w14:textId="551CF968" w:rsidR="005B762B" w:rsidRPr="00BA311F" w:rsidRDefault="00FC185D"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75</w:t>
                  </w:r>
                </w:p>
              </w:tc>
            </w:tr>
            <w:tr w:rsidR="005B762B" w:rsidRPr="00BA311F" w14:paraId="68158312"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6594C83"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FTTN or HFC</w:t>
                  </w:r>
                </w:p>
              </w:tc>
              <w:tc>
                <w:tcPr>
                  <w:tcW w:w="1134" w:type="dxa"/>
                </w:tcPr>
                <w:p w14:paraId="2AD9024D"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0.6 million</w:t>
                  </w:r>
                </w:p>
              </w:tc>
              <w:tc>
                <w:tcPr>
                  <w:tcW w:w="1276" w:type="dxa"/>
                </w:tcPr>
                <w:p w14:paraId="623A0D1A"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26</w:t>
                  </w:r>
                </w:p>
              </w:tc>
            </w:tr>
            <w:tr w:rsidR="005B762B" w:rsidRPr="00BA311F" w14:paraId="7D5A066D"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1C524792"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FTTP</w:t>
                  </w:r>
                </w:p>
              </w:tc>
              <w:tc>
                <w:tcPr>
                  <w:tcW w:w="1134" w:type="dxa"/>
                </w:tcPr>
                <w:p w14:paraId="1B907373" w14:textId="546DFE86" w:rsidR="005B762B" w:rsidRPr="00BA311F" w:rsidRDefault="006377F0"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0.09</w:t>
                  </w:r>
                  <w:r w:rsidR="005B762B">
                    <w:rPr>
                      <w:rFonts w:eastAsia="Calibri"/>
                      <w:color w:val="auto"/>
                      <w:sz w:val="18"/>
                      <w:lang w:val="en-AU"/>
                    </w:rPr>
                    <w:t xml:space="preserve"> million</w:t>
                  </w:r>
                </w:p>
              </w:tc>
              <w:tc>
                <w:tcPr>
                  <w:tcW w:w="1276" w:type="dxa"/>
                </w:tcPr>
                <w:p w14:paraId="0FA9BA3A"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 xml:space="preserve">4 </w:t>
                  </w:r>
                </w:p>
              </w:tc>
            </w:tr>
            <w:tr w:rsidR="005B762B" w:rsidRPr="00BA311F" w14:paraId="5DAB5C39"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1B58F1E" w14:textId="77777777" w:rsidR="005B762B" w:rsidRPr="00BA311F" w:rsidRDefault="005B762B" w:rsidP="00F8020A">
                  <w:pPr>
                    <w:rPr>
                      <w:rFonts w:eastAsia="Calibri"/>
                      <w:color w:val="FFFFFF"/>
                      <w:sz w:val="18"/>
                      <w:lang w:val="en-AU"/>
                    </w:rPr>
                  </w:pPr>
                  <w:r w:rsidRPr="00BA311F">
                    <w:rPr>
                      <w:rFonts w:eastAsia="Calibri"/>
                      <w:color w:val="FFFFFF"/>
                      <w:sz w:val="18"/>
                      <w:lang w:val="en-AU"/>
                    </w:rPr>
                    <w:t>NBN fixed wireless</w:t>
                  </w:r>
                </w:p>
              </w:tc>
              <w:tc>
                <w:tcPr>
                  <w:tcW w:w="1134" w:type="dxa"/>
                </w:tcPr>
                <w:p w14:paraId="2D402D9E"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0.01 million</w:t>
                  </w:r>
                </w:p>
              </w:tc>
              <w:tc>
                <w:tcPr>
                  <w:tcW w:w="1276" w:type="dxa"/>
                </w:tcPr>
                <w:p w14:paraId="1222D754"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1 </w:t>
                  </w:r>
                </w:p>
              </w:tc>
            </w:tr>
          </w:tbl>
          <w:p w14:paraId="11FDE514" w14:textId="77777777" w:rsidR="005B762B" w:rsidRDefault="005B762B" w:rsidP="00F8020A"/>
        </w:tc>
      </w:tr>
      <w:tr w:rsidR="005B762B" w14:paraId="7F1A6819" w14:textId="77777777" w:rsidTr="00F8020A">
        <w:trPr>
          <w:cantSplit/>
        </w:trPr>
        <w:tc>
          <w:tcPr>
            <w:tcW w:w="3966" w:type="dxa"/>
          </w:tcPr>
          <w:p w14:paraId="34E5FCD7" w14:textId="77777777" w:rsidR="005B762B" w:rsidRPr="00BA311F" w:rsidRDefault="005B762B" w:rsidP="00F8020A">
            <w:pPr>
              <w:pStyle w:val="Heading4"/>
              <w:rPr>
                <w:lang w:val="en-AU" w:eastAsia="en-AU"/>
              </w:rPr>
            </w:pPr>
            <w:r>
              <w:rPr>
                <w:lang w:val="en-AU" w:eastAsia="en-AU"/>
              </w:rPr>
              <w:t xml:space="preserve">Figure 5e. </w:t>
            </w:r>
            <w:r w:rsidRPr="002D69BB">
              <w:rPr>
                <w:lang w:val="en-AU" w:eastAsia="en-AU"/>
              </w:rPr>
              <w:t>South Australia</w:t>
            </w:r>
          </w:p>
        </w:tc>
        <w:tc>
          <w:tcPr>
            <w:tcW w:w="5270" w:type="dxa"/>
          </w:tcPr>
          <w:p w14:paraId="762185E4" w14:textId="77777777" w:rsidR="005B762B" w:rsidRDefault="005B762B" w:rsidP="00F8020A"/>
        </w:tc>
      </w:tr>
      <w:tr w:rsidR="005B762B" w14:paraId="5AFD96D4" w14:textId="77777777" w:rsidTr="00F8020A">
        <w:trPr>
          <w:cantSplit/>
        </w:trPr>
        <w:tc>
          <w:tcPr>
            <w:tcW w:w="3966" w:type="dxa"/>
          </w:tcPr>
          <w:p w14:paraId="3318730E" w14:textId="77777777" w:rsidR="005B762B" w:rsidRDefault="005B762B" w:rsidP="00F8020A">
            <w:r>
              <w:rPr>
                <w:noProof/>
                <w:lang w:val="en-AU" w:eastAsia="en-AU"/>
              </w:rPr>
              <w:drawing>
                <wp:inline distT="0" distB="0" distL="0" distR="0" wp14:anchorId="01516FB1" wp14:editId="2C3680DD">
                  <wp:extent cx="2243470" cy="1796903"/>
                  <wp:effectExtent l="0" t="0" r="444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pdata.png"/>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2252855" cy="1804420"/>
                          </a:xfrm>
                          <a:prstGeom prst="rect">
                            <a:avLst/>
                          </a:prstGeom>
                          <a:ln>
                            <a:noFill/>
                          </a:ln>
                          <a:extLst>
                            <a:ext uri="{53640926-AAD7-44D8-BBD7-CCE9431645EC}">
                              <a14:shadowObscured xmlns:a14="http://schemas.microsoft.com/office/drawing/2010/main"/>
                            </a:ext>
                          </a:extLst>
                        </pic:spPr>
                      </pic:pic>
                    </a:graphicData>
                  </a:graphic>
                </wp:inline>
              </w:drawing>
            </w:r>
          </w:p>
        </w:tc>
        <w:tc>
          <w:tcPr>
            <w:tcW w:w="5270" w:type="dxa"/>
          </w:tcPr>
          <w:tbl>
            <w:tblPr>
              <w:tblStyle w:val="MediumGrid3-Accent11"/>
              <w:tblpPr w:leftFromText="180" w:rightFromText="180" w:vertAnchor="text" w:horzAnchor="margin" w:tblpY="256"/>
              <w:tblOverlap w:val="never"/>
              <w:tblW w:w="0" w:type="auto"/>
              <w:tblLayout w:type="fixed"/>
              <w:tblLook w:val="04A0" w:firstRow="1" w:lastRow="0" w:firstColumn="1" w:lastColumn="0" w:noHBand="0" w:noVBand="1"/>
            </w:tblPr>
            <w:tblGrid>
              <w:gridCol w:w="1691"/>
              <w:gridCol w:w="1134"/>
              <w:gridCol w:w="1276"/>
            </w:tblGrid>
            <w:tr w:rsidR="005B762B" w:rsidRPr="00BA311F" w14:paraId="55CF1637"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C02B02F" w14:textId="77777777" w:rsidR="005B762B" w:rsidRPr="00BA311F" w:rsidRDefault="005B762B" w:rsidP="00F8020A">
                  <w:pPr>
                    <w:rPr>
                      <w:rFonts w:eastAsia="Calibri"/>
                      <w:color w:val="FFFFFF"/>
                      <w:sz w:val="18"/>
                      <w:lang w:val="en-AU"/>
                    </w:rPr>
                  </w:pPr>
                  <w:r w:rsidRPr="00BA311F">
                    <w:rPr>
                      <w:rFonts w:eastAsia="Calibri"/>
                      <w:color w:val="FFFFFF"/>
                      <w:sz w:val="18"/>
                      <w:lang w:val="en-AU"/>
                    </w:rPr>
                    <w:t>Technology</w:t>
                  </w:r>
                </w:p>
              </w:tc>
              <w:tc>
                <w:tcPr>
                  <w:tcW w:w="1134" w:type="dxa"/>
                </w:tcPr>
                <w:p w14:paraId="1E2DDB96"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 (premises)</w:t>
                  </w:r>
                </w:p>
              </w:tc>
              <w:tc>
                <w:tcPr>
                  <w:tcW w:w="1276" w:type="dxa"/>
                </w:tcPr>
                <w:p w14:paraId="604DBB2B"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w:t>
                  </w:r>
                </w:p>
                <w:p w14:paraId="21124ADF"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w:t>
                  </w:r>
                  <w:r>
                    <w:rPr>
                      <w:rFonts w:eastAsia="Calibri"/>
                      <w:color w:val="FFFFFF"/>
                      <w:sz w:val="18"/>
                      <w:lang w:val="en-AU"/>
                    </w:rPr>
                    <w:t>percentage</w:t>
                  </w:r>
                  <w:r w:rsidRPr="00BA311F">
                    <w:rPr>
                      <w:rFonts w:eastAsia="Calibri"/>
                      <w:color w:val="FFFFFF"/>
                      <w:sz w:val="18"/>
                      <w:lang w:val="en-AU"/>
                    </w:rPr>
                    <w:t>)</w:t>
                  </w:r>
                </w:p>
              </w:tc>
            </w:tr>
            <w:tr w:rsidR="005B762B" w:rsidRPr="00BA311F" w14:paraId="7FD9F8C1"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4942795" w14:textId="77777777" w:rsidR="005B762B" w:rsidRPr="00BA311F" w:rsidRDefault="005B762B" w:rsidP="00F8020A">
                  <w:pPr>
                    <w:rPr>
                      <w:rFonts w:eastAsia="Calibri"/>
                      <w:color w:val="FFFFFF"/>
                      <w:sz w:val="18"/>
                      <w:lang w:val="en-AU"/>
                    </w:rPr>
                  </w:pPr>
                  <w:r w:rsidRPr="00BA311F">
                    <w:rPr>
                      <w:rFonts w:eastAsia="Calibri"/>
                      <w:color w:val="FFFFFF"/>
                      <w:sz w:val="18"/>
                      <w:lang w:val="en-AU"/>
                    </w:rPr>
                    <w:t>Total premises</w:t>
                  </w:r>
                </w:p>
              </w:tc>
              <w:tc>
                <w:tcPr>
                  <w:tcW w:w="1134" w:type="dxa"/>
                </w:tcPr>
                <w:p w14:paraId="42BF2C50"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0.8 million</w:t>
                  </w:r>
                </w:p>
              </w:tc>
              <w:tc>
                <w:tcPr>
                  <w:tcW w:w="1276" w:type="dxa"/>
                </w:tcPr>
                <w:p w14:paraId="3B13C0D8"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w:t>
                  </w:r>
                </w:p>
              </w:tc>
            </w:tr>
            <w:tr w:rsidR="005B762B" w:rsidRPr="00BA311F" w14:paraId="7554DC68"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6828FF98" w14:textId="1EB4308F" w:rsidR="005B762B" w:rsidRPr="00BA311F" w:rsidRDefault="003830A1" w:rsidP="00F8020A">
                  <w:pPr>
                    <w:rPr>
                      <w:rFonts w:eastAsia="Calibri"/>
                      <w:color w:val="FFFFFF"/>
                      <w:sz w:val="18"/>
                      <w:lang w:val="en-AU"/>
                    </w:rPr>
                  </w:pPr>
                  <w:r>
                    <w:rPr>
                      <w:rFonts w:eastAsia="Calibri"/>
                      <w:color w:val="FFFFFF"/>
                      <w:sz w:val="18"/>
                      <w:lang w:val="en-AU"/>
                    </w:rPr>
                    <w:t>ADSL</w:t>
                  </w:r>
                </w:p>
              </w:tc>
              <w:tc>
                <w:tcPr>
                  <w:tcW w:w="1134" w:type="dxa"/>
                </w:tcPr>
                <w:p w14:paraId="07E25140"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0.7 million</w:t>
                  </w:r>
                </w:p>
              </w:tc>
              <w:tc>
                <w:tcPr>
                  <w:tcW w:w="1276" w:type="dxa"/>
                </w:tcPr>
                <w:p w14:paraId="1053AE5D" w14:textId="5C0038C1" w:rsidR="005B762B" w:rsidRPr="00BA311F" w:rsidRDefault="00001891"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 xml:space="preserve">86 </w:t>
                  </w:r>
                </w:p>
              </w:tc>
            </w:tr>
            <w:tr w:rsidR="005B762B" w:rsidRPr="00BA311F" w14:paraId="3646F8E5"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3986B94" w14:textId="77777777" w:rsidR="005B762B" w:rsidRPr="00BA311F" w:rsidRDefault="005B762B" w:rsidP="00F8020A">
                  <w:pPr>
                    <w:rPr>
                      <w:rFonts w:eastAsia="Calibri"/>
                      <w:color w:val="FFFFFF"/>
                      <w:sz w:val="18"/>
                      <w:lang w:val="en-AU"/>
                    </w:rPr>
                  </w:pPr>
                  <w:r w:rsidRPr="00BA311F">
                    <w:rPr>
                      <w:rFonts w:eastAsia="Calibri"/>
                      <w:color w:val="FFFFFF"/>
                      <w:sz w:val="18"/>
                      <w:lang w:val="en-AU"/>
                    </w:rPr>
                    <w:t>3G mobile data</w:t>
                  </w:r>
                </w:p>
              </w:tc>
              <w:tc>
                <w:tcPr>
                  <w:tcW w:w="1134" w:type="dxa"/>
                </w:tcPr>
                <w:p w14:paraId="1963F8E4"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0.6 million</w:t>
                  </w:r>
                </w:p>
              </w:tc>
              <w:tc>
                <w:tcPr>
                  <w:tcW w:w="1276" w:type="dxa"/>
                </w:tcPr>
                <w:p w14:paraId="2B4FFA6D" w14:textId="0F8E3230" w:rsidR="005B762B" w:rsidRPr="00BA311F" w:rsidRDefault="001A52E2"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79</w:t>
                  </w:r>
                </w:p>
              </w:tc>
            </w:tr>
            <w:tr w:rsidR="005B762B" w:rsidRPr="00BA311F" w14:paraId="7440A311"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5BC7461A" w14:textId="77777777" w:rsidR="005B762B" w:rsidRPr="00BA311F" w:rsidRDefault="005B762B" w:rsidP="00F8020A">
                  <w:pPr>
                    <w:rPr>
                      <w:rFonts w:eastAsia="Calibri"/>
                      <w:color w:val="FFFFFF"/>
                      <w:sz w:val="18"/>
                      <w:lang w:val="en-AU"/>
                    </w:rPr>
                  </w:pPr>
                  <w:r w:rsidRPr="00BA311F">
                    <w:rPr>
                      <w:rFonts w:eastAsia="Calibri"/>
                      <w:color w:val="FFFFFF"/>
                      <w:sz w:val="18"/>
                      <w:lang w:val="en-AU"/>
                    </w:rPr>
                    <w:t>4G mobile data</w:t>
                  </w:r>
                </w:p>
              </w:tc>
              <w:tc>
                <w:tcPr>
                  <w:tcW w:w="1134" w:type="dxa"/>
                </w:tcPr>
                <w:p w14:paraId="06D93648"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0.4 million</w:t>
                  </w:r>
                </w:p>
              </w:tc>
              <w:tc>
                <w:tcPr>
                  <w:tcW w:w="1276" w:type="dxa"/>
                </w:tcPr>
                <w:p w14:paraId="56040BAC" w14:textId="5D280865"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5</w:t>
                  </w:r>
                  <w:r w:rsidR="003432DD">
                    <w:rPr>
                      <w:rFonts w:eastAsia="Calibri"/>
                      <w:color w:val="auto"/>
                      <w:sz w:val="18"/>
                      <w:lang w:val="en-AU"/>
                    </w:rPr>
                    <w:t>2</w:t>
                  </w:r>
                </w:p>
              </w:tc>
            </w:tr>
            <w:tr w:rsidR="005B762B" w:rsidRPr="00BA311F" w14:paraId="307DB6C8"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EBCBE5B"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FTTN or HFC</w:t>
                  </w:r>
                </w:p>
              </w:tc>
              <w:tc>
                <w:tcPr>
                  <w:tcW w:w="1134" w:type="dxa"/>
                </w:tcPr>
                <w:p w14:paraId="59DF9A93"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0.2 million</w:t>
                  </w:r>
                </w:p>
              </w:tc>
              <w:tc>
                <w:tcPr>
                  <w:tcW w:w="1276" w:type="dxa"/>
                </w:tcPr>
                <w:p w14:paraId="7239DA6F"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23 </w:t>
                  </w:r>
                </w:p>
              </w:tc>
            </w:tr>
            <w:tr w:rsidR="005B762B" w:rsidRPr="00BA311F" w14:paraId="0C832480"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61D9E40E"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FTTP</w:t>
                  </w:r>
                </w:p>
              </w:tc>
              <w:tc>
                <w:tcPr>
                  <w:tcW w:w="1134" w:type="dxa"/>
                </w:tcPr>
                <w:p w14:paraId="7F0EDF46" w14:textId="63D6E3EE" w:rsidR="005B762B" w:rsidRPr="00BA311F" w:rsidRDefault="00001891"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7,600</w:t>
                  </w:r>
                </w:p>
              </w:tc>
              <w:tc>
                <w:tcPr>
                  <w:tcW w:w="1276" w:type="dxa"/>
                </w:tcPr>
                <w:p w14:paraId="789879BC"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 xml:space="preserve">1 </w:t>
                  </w:r>
                </w:p>
              </w:tc>
            </w:tr>
            <w:tr w:rsidR="005B762B" w:rsidRPr="00BA311F" w14:paraId="164B1F2A"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E1BF813" w14:textId="77777777" w:rsidR="005B762B" w:rsidRPr="00BA311F" w:rsidRDefault="005B762B" w:rsidP="00F8020A">
                  <w:pPr>
                    <w:rPr>
                      <w:rFonts w:eastAsia="Calibri"/>
                      <w:color w:val="FFFFFF"/>
                      <w:sz w:val="18"/>
                      <w:lang w:val="en-AU"/>
                    </w:rPr>
                  </w:pPr>
                  <w:r w:rsidRPr="00BA311F">
                    <w:rPr>
                      <w:rFonts w:eastAsia="Calibri"/>
                      <w:color w:val="FFFFFF"/>
                      <w:sz w:val="18"/>
                      <w:lang w:val="en-AU"/>
                    </w:rPr>
                    <w:t>NBN fixed wireless</w:t>
                  </w:r>
                </w:p>
              </w:tc>
              <w:tc>
                <w:tcPr>
                  <w:tcW w:w="1134" w:type="dxa"/>
                </w:tcPr>
                <w:p w14:paraId="3208C5DF"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w:t>
                  </w:r>
                </w:p>
              </w:tc>
              <w:tc>
                <w:tcPr>
                  <w:tcW w:w="1276" w:type="dxa"/>
                </w:tcPr>
                <w:p w14:paraId="159BD51B"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0 </w:t>
                  </w:r>
                </w:p>
              </w:tc>
            </w:tr>
          </w:tbl>
          <w:p w14:paraId="5AF74421" w14:textId="77777777" w:rsidR="005B762B" w:rsidRDefault="005B762B" w:rsidP="00F8020A"/>
        </w:tc>
      </w:tr>
      <w:tr w:rsidR="005B762B" w14:paraId="693E88FD" w14:textId="77777777" w:rsidTr="00F8020A">
        <w:trPr>
          <w:cantSplit/>
        </w:trPr>
        <w:tc>
          <w:tcPr>
            <w:tcW w:w="3966" w:type="dxa"/>
          </w:tcPr>
          <w:p w14:paraId="4D9031FC" w14:textId="77777777" w:rsidR="005B762B" w:rsidRPr="00BA311F" w:rsidRDefault="005B762B" w:rsidP="00F8020A">
            <w:pPr>
              <w:pStyle w:val="Heading4"/>
              <w:rPr>
                <w:lang w:val="en-AU" w:eastAsia="en-AU"/>
              </w:rPr>
            </w:pPr>
            <w:r>
              <w:rPr>
                <w:lang w:val="en-AU" w:eastAsia="en-AU"/>
              </w:rPr>
              <w:t xml:space="preserve">Figure 5f. </w:t>
            </w:r>
            <w:r w:rsidRPr="002D69BB">
              <w:rPr>
                <w:lang w:val="en-AU" w:eastAsia="en-AU"/>
              </w:rPr>
              <w:t>Tasmania</w:t>
            </w:r>
          </w:p>
        </w:tc>
        <w:tc>
          <w:tcPr>
            <w:tcW w:w="5270" w:type="dxa"/>
          </w:tcPr>
          <w:p w14:paraId="2FDA6AC3" w14:textId="77777777" w:rsidR="005B762B" w:rsidRDefault="005B762B" w:rsidP="00F8020A"/>
        </w:tc>
      </w:tr>
      <w:tr w:rsidR="005B762B" w14:paraId="210EE8A3" w14:textId="77777777" w:rsidTr="00F8020A">
        <w:trPr>
          <w:cantSplit/>
        </w:trPr>
        <w:tc>
          <w:tcPr>
            <w:tcW w:w="3966" w:type="dxa"/>
          </w:tcPr>
          <w:p w14:paraId="1F1A3D0F" w14:textId="77777777" w:rsidR="005B762B" w:rsidRDefault="005B762B" w:rsidP="00F8020A">
            <w:r>
              <w:rPr>
                <w:noProof/>
                <w:lang w:val="en-AU" w:eastAsia="en-AU"/>
              </w:rPr>
              <w:drawing>
                <wp:inline distT="0" distB="0" distL="0" distR="0" wp14:anchorId="41FA7487" wp14:editId="40554702">
                  <wp:extent cx="2222205" cy="1796903"/>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mapdata.png"/>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2227732" cy="1801372"/>
                          </a:xfrm>
                          <a:prstGeom prst="rect">
                            <a:avLst/>
                          </a:prstGeom>
                          <a:ln>
                            <a:noFill/>
                          </a:ln>
                          <a:extLst>
                            <a:ext uri="{53640926-AAD7-44D8-BBD7-CCE9431645EC}">
                              <a14:shadowObscured xmlns:a14="http://schemas.microsoft.com/office/drawing/2010/main"/>
                            </a:ext>
                          </a:extLst>
                        </pic:spPr>
                      </pic:pic>
                    </a:graphicData>
                  </a:graphic>
                </wp:inline>
              </w:drawing>
            </w:r>
          </w:p>
        </w:tc>
        <w:tc>
          <w:tcPr>
            <w:tcW w:w="5270" w:type="dxa"/>
          </w:tcPr>
          <w:tbl>
            <w:tblPr>
              <w:tblStyle w:val="MediumGrid3-Accent11"/>
              <w:tblpPr w:leftFromText="180" w:rightFromText="180" w:vertAnchor="text" w:horzAnchor="margin" w:tblpY="256"/>
              <w:tblOverlap w:val="never"/>
              <w:tblW w:w="0" w:type="auto"/>
              <w:tblLayout w:type="fixed"/>
              <w:tblLook w:val="04A0" w:firstRow="1" w:lastRow="0" w:firstColumn="1" w:lastColumn="0" w:noHBand="0" w:noVBand="1"/>
            </w:tblPr>
            <w:tblGrid>
              <w:gridCol w:w="1691"/>
              <w:gridCol w:w="1134"/>
              <w:gridCol w:w="1276"/>
            </w:tblGrid>
            <w:tr w:rsidR="005B762B" w:rsidRPr="00BA311F" w14:paraId="3180B517"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CA5388C" w14:textId="77777777" w:rsidR="005B762B" w:rsidRPr="00BA311F" w:rsidRDefault="005B762B" w:rsidP="00F8020A">
                  <w:pPr>
                    <w:rPr>
                      <w:rFonts w:eastAsia="Calibri"/>
                      <w:color w:val="FFFFFF"/>
                      <w:sz w:val="18"/>
                      <w:lang w:val="en-AU"/>
                    </w:rPr>
                  </w:pPr>
                  <w:r w:rsidRPr="00BA311F">
                    <w:rPr>
                      <w:rFonts w:eastAsia="Calibri"/>
                      <w:color w:val="FFFFFF"/>
                      <w:sz w:val="18"/>
                      <w:lang w:val="en-AU"/>
                    </w:rPr>
                    <w:t>Technology</w:t>
                  </w:r>
                </w:p>
              </w:tc>
              <w:tc>
                <w:tcPr>
                  <w:tcW w:w="1134" w:type="dxa"/>
                </w:tcPr>
                <w:p w14:paraId="7977335D"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 (premises)</w:t>
                  </w:r>
                </w:p>
              </w:tc>
              <w:tc>
                <w:tcPr>
                  <w:tcW w:w="1276" w:type="dxa"/>
                </w:tcPr>
                <w:p w14:paraId="6CFA7530"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w:t>
                  </w:r>
                </w:p>
                <w:p w14:paraId="5F6E9CC2"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w:t>
                  </w:r>
                  <w:r>
                    <w:rPr>
                      <w:rFonts w:eastAsia="Calibri"/>
                      <w:color w:val="FFFFFF"/>
                      <w:sz w:val="18"/>
                      <w:lang w:val="en-AU"/>
                    </w:rPr>
                    <w:t>percentage</w:t>
                  </w:r>
                  <w:r w:rsidRPr="00BA311F">
                    <w:rPr>
                      <w:rFonts w:eastAsia="Calibri"/>
                      <w:color w:val="FFFFFF"/>
                      <w:sz w:val="18"/>
                      <w:lang w:val="en-AU"/>
                    </w:rPr>
                    <w:t>)</w:t>
                  </w:r>
                </w:p>
              </w:tc>
            </w:tr>
            <w:tr w:rsidR="005B762B" w:rsidRPr="00BA311F" w14:paraId="037C4D86"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1AFFB70" w14:textId="77777777" w:rsidR="005B762B" w:rsidRPr="00BA311F" w:rsidRDefault="005B762B" w:rsidP="00F8020A">
                  <w:pPr>
                    <w:rPr>
                      <w:rFonts w:eastAsia="Calibri"/>
                      <w:color w:val="FFFFFF"/>
                      <w:sz w:val="18"/>
                      <w:lang w:val="en-AU"/>
                    </w:rPr>
                  </w:pPr>
                  <w:r w:rsidRPr="00BA311F">
                    <w:rPr>
                      <w:rFonts w:eastAsia="Calibri"/>
                      <w:color w:val="FFFFFF"/>
                      <w:sz w:val="18"/>
                      <w:lang w:val="en-AU"/>
                    </w:rPr>
                    <w:t>Total premises</w:t>
                  </w:r>
                </w:p>
              </w:tc>
              <w:tc>
                <w:tcPr>
                  <w:tcW w:w="1134" w:type="dxa"/>
                </w:tcPr>
                <w:p w14:paraId="474DC77C" w14:textId="45F3081D" w:rsidR="005B762B" w:rsidRPr="00BA311F" w:rsidRDefault="005B762B" w:rsidP="0027011D">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0.2</w:t>
                  </w:r>
                  <w:r w:rsidR="0027011D">
                    <w:rPr>
                      <w:rFonts w:eastAsia="Calibri"/>
                      <w:color w:val="auto"/>
                      <w:sz w:val="18"/>
                      <w:lang w:val="en-AU"/>
                    </w:rPr>
                    <w:t>7</w:t>
                  </w:r>
                  <w:r>
                    <w:rPr>
                      <w:rFonts w:eastAsia="Calibri"/>
                      <w:color w:val="auto"/>
                      <w:sz w:val="18"/>
                      <w:lang w:val="en-AU"/>
                    </w:rPr>
                    <w:t xml:space="preserve"> million</w:t>
                  </w:r>
                </w:p>
              </w:tc>
              <w:tc>
                <w:tcPr>
                  <w:tcW w:w="1276" w:type="dxa"/>
                </w:tcPr>
                <w:p w14:paraId="0DEACB0C"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w:t>
                  </w:r>
                </w:p>
              </w:tc>
            </w:tr>
            <w:tr w:rsidR="005B762B" w:rsidRPr="00BA311F" w14:paraId="5EF099BB"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52B6D011" w14:textId="7D01D55B" w:rsidR="005B762B" w:rsidRPr="00BA311F" w:rsidRDefault="003830A1" w:rsidP="00F8020A">
                  <w:pPr>
                    <w:rPr>
                      <w:rFonts w:eastAsia="Calibri"/>
                      <w:color w:val="FFFFFF"/>
                      <w:sz w:val="18"/>
                      <w:lang w:val="en-AU"/>
                    </w:rPr>
                  </w:pPr>
                  <w:r>
                    <w:rPr>
                      <w:rFonts w:eastAsia="Calibri"/>
                      <w:color w:val="FFFFFF"/>
                      <w:sz w:val="18"/>
                      <w:lang w:val="en-AU"/>
                    </w:rPr>
                    <w:t>ADSL</w:t>
                  </w:r>
                </w:p>
              </w:tc>
              <w:tc>
                <w:tcPr>
                  <w:tcW w:w="1134" w:type="dxa"/>
                </w:tcPr>
                <w:p w14:paraId="4A58F378"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0.22 million</w:t>
                  </w:r>
                </w:p>
              </w:tc>
              <w:tc>
                <w:tcPr>
                  <w:tcW w:w="1276" w:type="dxa"/>
                </w:tcPr>
                <w:p w14:paraId="51810D85"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84</w:t>
                  </w:r>
                </w:p>
              </w:tc>
            </w:tr>
            <w:tr w:rsidR="005B762B" w:rsidRPr="00BA311F" w14:paraId="5DB8C962"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F4682C9" w14:textId="77777777" w:rsidR="005B762B" w:rsidRPr="00BA311F" w:rsidRDefault="005B762B" w:rsidP="00F8020A">
                  <w:pPr>
                    <w:rPr>
                      <w:rFonts w:eastAsia="Calibri"/>
                      <w:color w:val="FFFFFF"/>
                      <w:sz w:val="18"/>
                      <w:lang w:val="en-AU"/>
                    </w:rPr>
                  </w:pPr>
                  <w:r w:rsidRPr="00BA311F">
                    <w:rPr>
                      <w:rFonts w:eastAsia="Calibri"/>
                      <w:color w:val="FFFFFF"/>
                      <w:sz w:val="18"/>
                      <w:lang w:val="en-AU"/>
                    </w:rPr>
                    <w:t>3G mobile data</w:t>
                  </w:r>
                </w:p>
              </w:tc>
              <w:tc>
                <w:tcPr>
                  <w:tcW w:w="1134" w:type="dxa"/>
                </w:tcPr>
                <w:p w14:paraId="5F14296B"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0.18 million</w:t>
                  </w:r>
                </w:p>
              </w:tc>
              <w:tc>
                <w:tcPr>
                  <w:tcW w:w="1276" w:type="dxa"/>
                </w:tcPr>
                <w:p w14:paraId="2385C3E4"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68</w:t>
                  </w:r>
                </w:p>
              </w:tc>
            </w:tr>
            <w:tr w:rsidR="005B762B" w:rsidRPr="00BA311F" w14:paraId="06342C46"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1512A05A" w14:textId="77777777" w:rsidR="005B762B" w:rsidRPr="00BA311F" w:rsidRDefault="005B762B" w:rsidP="00F8020A">
                  <w:pPr>
                    <w:rPr>
                      <w:rFonts w:eastAsia="Calibri"/>
                      <w:color w:val="FFFFFF"/>
                      <w:sz w:val="18"/>
                      <w:lang w:val="en-AU"/>
                    </w:rPr>
                  </w:pPr>
                  <w:r w:rsidRPr="00BA311F">
                    <w:rPr>
                      <w:rFonts w:eastAsia="Calibri"/>
                      <w:color w:val="FFFFFF"/>
                      <w:sz w:val="18"/>
                      <w:lang w:val="en-AU"/>
                    </w:rPr>
                    <w:t>4G mobile data</w:t>
                  </w:r>
                </w:p>
              </w:tc>
              <w:tc>
                <w:tcPr>
                  <w:tcW w:w="1134" w:type="dxa"/>
                </w:tcPr>
                <w:p w14:paraId="069E57D1" w14:textId="178B1488" w:rsidR="005B762B" w:rsidRPr="00BA311F" w:rsidRDefault="005B762B" w:rsidP="0027011D">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w:t>
                  </w:r>
                  <w:r w:rsidR="0027011D">
                    <w:rPr>
                      <w:rFonts w:eastAsia="Calibri"/>
                      <w:color w:val="auto"/>
                      <w:sz w:val="18"/>
                      <w:lang w:val="en-AU"/>
                    </w:rPr>
                    <w:t xml:space="preserve">1 </w:t>
                  </w:r>
                  <w:r>
                    <w:rPr>
                      <w:rFonts w:eastAsia="Calibri"/>
                      <w:color w:val="auto"/>
                      <w:sz w:val="18"/>
                      <w:lang w:val="en-AU"/>
                    </w:rPr>
                    <w:t>million</w:t>
                  </w:r>
                </w:p>
              </w:tc>
              <w:tc>
                <w:tcPr>
                  <w:tcW w:w="1276" w:type="dxa"/>
                </w:tcPr>
                <w:p w14:paraId="039BAC78" w14:textId="07413938" w:rsidR="005B762B" w:rsidRPr="00BA311F" w:rsidRDefault="00FC185D"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36</w:t>
                  </w:r>
                </w:p>
              </w:tc>
            </w:tr>
            <w:tr w:rsidR="005B762B" w:rsidRPr="00BA311F" w14:paraId="338D2C4C"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A932125"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FTTN or HFC</w:t>
                  </w:r>
                </w:p>
              </w:tc>
              <w:tc>
                <w:tcPr>
                  <w:tcW w:w="1134" w:type="dxa"/>
                </w:tcPr>
                <w:p w14:paraId="196B4643"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w:t>
                  </w:r>
                </w:p>
              </w:tc>
              <w:tc>
                <w:tcPr>
                  <w:tcW w:w="1276" w:type="dxa"/>
                </w:tcPr>
                <w:p w14:paraId="43732632"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0 </w:t>
                  </w:r>
                </w:p>
              </w:tc>
            </w:tr>
            <w:tr w:rsidR="005B762B" w:rsidRPr="00BA311F" w14:paraId="06416784"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49E93B2C"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FTTP</w:t>
                  </w:r>
                </w:p>
              </w:tc>
              <w:tc>
                <w:tcPr>
                  <w:tcW w:w="1134" w:type="dxa"/>
                </w:tcPr>
                <w:p w14:paraId="138FDF7A"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0.03 million</w:t>
                  </w:r>
                </w:p>
              </w:tc>
              <w:tc>
                <w:tcPr>
                  <w:tcW w:w="1276" w:type="dxa"/>
                </w:tcPr>
                <w:p w14:paraId="117D12A8" w14:textId="4D9F70A2" w:rsidR="005B762B" w:rsidRPr="00BA311F" w:rsidRDefault="00001891"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10</w:t>
                  </w:r>
                  <w:r w:rsidR="005B762B">
                    <w:rPr>
                      <w:rFonts w:eastAsia="Calibri"/>
                      <w:color w:val="auto"/>
                      <w:sz w:val="18"/>
                      <w:lang w:val="en-AU"/>
                    </w:rPr>
                    <w:t xml:space="preserve"> </w:t>
                  </w:r>
                </w:p>
              </w:tc>
            </w:tr>
            <w:tr w:rsidR="005B762B" w:rsidRPr="00BA311F" w14:paraId="45B4EA12"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62CD413" w14:textId="77777777" w:rsidR="005B762B" w:rsidRPr="00BA311F" w:rsidRDefault="005B762B" w:rsidP="00F8020A">
                  <w:pPr>
                    <w:rPr>
                      <w:rFonts w:eastAsia="Calibri"/>
                      <w:color w:val="FFFFFF"/>
                      <w:sz w:val="18"/>
                      <w:lang w:val="en-AU"/>
                    </w:rPr>
                  </w:pPr>
                  <w:r w:rsidRPr="00BA311F">
                    <w:rPr>
                      <w:rFonts w:eastAsia="Calibri"/>
                      <w:color w:val="FFFFFF"/>
                      <w:sz w:val="18"/>
                      <w:lang w:val="en-AU"/>
                    </w:rPr>
                    <w:t>NBN fixed wireless</w:t>
                  </w:r>
                </w:p>
              </w:tc>
              <w:tc>
                <w:tcPr>
                  <w:tcW w:w="1134" w:type="dxa"/>
                </w:tcPr>
                <w:p w14:paraId="50D09B51"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9,400</w:t>
                  </w:r>
                </w:p>
              </w:tc>
              <w:tc>
                <w:tcPr>
                  <w:tcW w:w="1276" w:type="dxa"/>
                </w:tcPr>
                <w:p w14:paraId="6DE35807"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4 </w:t>
                  </w:r>
                </w:p>
              </w:tc>
            </w:tr>
          </w:tbl>
          <w:p w14:paraId="4884932C" w14:textId="77777777" w:rsidR="005B762B" w:rsidRDefault="005B762B" w:rsidP="00F8020A"/>
        </w:tc>
      </w:tr>
      <w:tr w:rsidR="005B762B" w14:paraId="66AB6A81" w14:textId="77777777" w:rsidTr="00F8020A">
        <w:trPr>
          <w:cantSplit/>
        </w:trPr>
        <w:tc>
          <w:tcPr>
            <w:tcW w:w="3966" w:type="dxa"/>
          </w:tcPr>
          <w:p w14:paraId="53FF6D09" w14:textId="77777777" w:rsidR="005B762B" w:rsidRDefault="005B762B" w:rsidP="00F8020A">
            <w:pPr>
              <w:pStyle w:val="Heading4"/>
            </w:pPr>
            <w:r>
              <w:t xml:space="preserve">Figure 5g. </w:t>
            </w:r>
            <w:r w:rsidRPr="002D69BB">
              <w:t>Victoria</w:t>
            </w:r>
          </w:p>
        </w:tc>
        <w:tc>
          <w:tcPr>
            <w:tcW w:w="5270" w:type="dxa"/>
          </w:tcPr>
          <w:p w14:paraId="0906D87A" w14:textId="77777777" w:rsidR="005B762B" w:rsidRDefault="005B762B" w:rsidP="00F8020A"/>
        </w:tc>
      </w:tr>
      <w:tr w:rsidR="005B762B" w14:paraId="6FFBA888" w14:textId="77777777" w:rsidTr="00F8020A">
        <w:trPr>
          <w:cantSplit/>
        </w:trPr>
        <w:tc>
          <w:tcPr>
            <w:tcW w:w="3966" w:type="dxa"/>
          </w:tcPr>
          <w:p w14:paraId="5921BAD1" w14:textId="77777777" w:rsidR="005B762B" w:rsidRDefault="005B762B" w:rsidP="00F8020A">
            <w:r>
              <w:rPr>
                <w:noProof/>
                <w:lang w:val="en-AU" w:eastAsia="en-AU"/>
              </w:rPr>
              <w:drawing>
                <wp:inline distT="0" distB="0" distL="0" distR="0" wp14:anchorId="2291DF6F" wp14:editId="513578A5">
                  <wp:extent cx="2275367" cy="17969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mapdata.png"/>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2281027" cy="1801372"/>
                          </a:xfrm>
                          <a:prstGeom prst="rect">
                            <a:avLst/>
                          </a:prstGeom>
                          <a:ln>
                            <a:noFill/>
                          </a:ln>
                          <a:extLst>
                            <a:ext uri="{53640926-AAD7-44D8-BBD7-CCE9431645EC}">
                              <a14:shadowObscured xmlns:a14="http://schemas.microsoft.com/office/drawing/2010/main"/>
                            </a:ext>
                          </a:extLst>
                        </pic:spPr>
                      </pic:pic>
                    </a:graphicData>
                  </a:graphic>
                </wp:inline>
              </w:drawing>
            </w:r>
          </w:p>
        </w:tc>
        <w:tc>
          <w:tcPr>
            <w:tcW w:w="5270" w:type="dxa"/>
          </w:tcPr>
          <w:tbl>
            <w:tblPr>
              <w:tblStyle w:val="MediumGrid3-Accent11"/>
              <w:tblpPr w:leftFromText="180" w:rightFromText="180" w:vertAnchor="text" w:horzAnchor="margin" w:tblpY="256"/>
              <w:tblOverlap w:val="never"/>
              <w:tblW w:w="0" w:type="auto"/>
              <w:tblLayout w:type="fixed"/>
              <w:tblLook w:val="04A0" w:firstRow="1" w:lastRow="0" w:firstColumn="1" w:lastColumn="0" w:noHBand="0" w:noVBand="1"/>
            </w:tblPr>
            <w:tblGrid>
              <w:gridCol w:w="1691"/>
              <w:gridCol w:w="1134"/>
              <w:gridCol w:w="1276"/>
            </w:tblGrid>
            <w:tr w:rsidR="005B762B" w:rsidRPr="00BA311F" w14:paraId="1B960404"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7E08C99A" w14:textId="77777777" w:rsidR="005B762B" w:rsidRPr="00BA311F" w:rsidRDefault="005B762B" w:rsidP="00F8020A">
                  <w:pPr>
                    <w:rPr>
                      <w:rFonts w:eastAsia="Calibri"/>
                      <w:color w:val="FFFFFF"/>
                      <w:sz w:val="18"/>
                      <w:lang w:val="en-AU"/>
                    </w:rPr>
                  </w:pPr>
                  <w:r w:rsidRPr="00BA311F">
                    <w:rPr>
                      <w:rFonts w:eastAsia="Calibri"/>
                      <w:color w:val="FFFFFF"/>
                      <w:sz w:val="18"/>
                      <w:lang w:val="en-AU"/>
                    </w:rPr>
                    <w:t>Technology</w:t>
                  </w:r>
                </w:p>
              </w:tc>
              <w:tc>
                <w:tcPr>
                  <w:tcW w:w="1134" w:type="dxa"/>
                </w:tcPr>
                <w:p w14:paraId="322B0571"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 (premises)</w:t>
                  </w:r>
                </w:p>
              </w:tc>
              <w:tc>
                <w:tcPr>
                  <w:tcW w:w="1276" w:type="dxa"/>
                </w:tcPr>
                <w:p w14:paraId="377C9A7D"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w:t>
                  </w:r>
                </w:p>
                <w:p w14:paraId="423F9077"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w:t>
                  </w:r>
                  <w:r>
                    <w:rPr>
                      <w:rFonts w:eastAsia="Calibri"/>
                      <w:color w:val="FFFFFF"/>
                      <w:sz w:val="18"/>
                      <w:lang w:val="en-AU"/>
                    </w:rPr>
                    <w:t>percentage</w:t>
                  </w:r>
                  <w:r w:rsidRPr="00BA311F">
                    <w:rPr>
                      <w:rFonts w:eastAsia="Calibri"/>
                      <w:color w:val="FFFFFF"/>
                      <w:sz w:val="18"/>
                      <w:lang w:val="en-AU"/>
                    </w:rPr>
                    <w:t>)</w:t>
                  </w:r>
                </w:p>
              </w:tc>
            </w:tr>
            <w:tr w:rsidR="005B762B" w:rsidRPr="00BA311F" w14:paraId="502150BF"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524DEAC" w14:textId="77777777" w:rsidR="005B762B" w:rsidRPr="00BA311F" w:rsidRDefault="005B762B" w:rsidP="00F8020A">
                  <w:pPr>
                    <w:rPr>
                      <w:rFonts w:eastAsia="Calibri"/>
                      <w:color w:val="FFFFFF"/>
                      <w:sz w:val="18"/>
                      <w:lang w:val="en-AU"/>
                    </w:rPr>
                  </w:pPr>
                  <w:r w:rsidRPr="00BA311F">
                    <w:rPr>
                      <w:rFonts w:eastAsia="Calibri"/>
                      <w:color w:val="FFFFFF"/>
                      <w:sz w:val="18"/>
                      <w:lang w:val="en-AU"/>
                    </w:rPr>
                    <w:t>Total premises</w:t>
                  </w:r>
                </w:p>
              </w:tc>
              <w:tc>
                <w:tcPr>
                  <w:tcW w:w="1134" w:type="dxa"/>
                </w:tcPr>
                <w:p w14:paraId="527F68CA"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2.8 million</w:t>
                  </w:r>
                </w:p>
              </w:tc>
              <w:tc>
                <w:tcPr>
                  <w:tcW w:w="1276" w:type="dxa"/>
                </w:tcPr>
                <w:p w14:paraId="7CE3F455"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w:t>
                  </w:r>
                </w:p>
              </w:tc>
            </w:tr>
            <w:tr w:rsidR="005B762B" w:rsidRPr="00BA311F" w14:paraId="7D18ED9A"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29239092" w14:textId="5576321E" w:rsidR="005B762B" w:rsidRPr="00BA311F" w:rsidRDefault="003830A1" w:rsidP="00F8020A">
                  <w:pPr>
                    <w:rPr>
                      <w:rFonts w:eastAsia="Calibri"/>
                      <w:color w:val="FFFFFF"/>
                      <w:sz w:val="18"/>
                      <w:lang w:val="en-AU"/>
                    </w:rPr>
                  </w:pPr>
                  <w:r>
                    <w:rPr>
                      <w:rFonts w:eastAsia="Calibri"/>
                      <w:color w:val="FFFFFF"/>
                      <w:sz w:val="18"/>
                      <w:lang w:val="en-AU"/>
                    </w:rPr>
                    <w:t>ADSL</w:t>
                  </w:r>
                </w:p>
              </w:tc>
              <w:tc>
                <w:tcPr>
                  <w:tcW w:w="1134" w:type="dxa"/>
                </w:tcPr>
                <w:p w14:paraId="546DFB11"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2.6 million</w:t>
                  </w:r>
                </w:p>
              </w:tc>
              <w:tc>
                <w:tcPr>
                  <w:tcW w:w="1276" w:type="dxa"/>
                </w:tcPr>
                <w:p w14:paraId="1A45A6B3"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93</w:t>
                  </w:r>
                </w:p>
              </w:tc>
            </w:tr>
            <w:tr w:rsidR="005B762B" w:rsidRPr="00BA311F" w14:paraId="4279F185"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0601F36" w14:textId="77777777" w:rsidR="005B762B" w:rsidRPr="00BA311F" w:rsidRDefault="005B762B" w:rsidP="00F8020A">
                  <w:pPr>
                    <w:rPr>
                      <w:rFonts w:eastAsia="Calibri"/>
                      <w:color w:val="FFFFFF"/>
                      <w:sz w:val="18"/>
                      <w:lang w:val="en-AU"/>
                    </w:rPr>
                  </w:pPr>
                  <w:r w:rsidRPr="00BA311F">
                    <w:rPr>
                      <w:rFonts w:eastAsia="Calibri"/>
                      <w:color w:val="FFFFFF"/>
                      <w:sz w:val="18"/>
                      <w:lang w:val="en-AU"/>
                    </w:rPr>
                    <w:t>3G mobile data</w:t>
                  </w:r>
                </w:p>
              </w:tc>
              <w:tc>
                <w:tcPr>
                  <w:tcW w:w="1134" w:type="dxa"/>
                </w:tcPr>
                <w:p w14:paraId="429A349B"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2.4 million</w:t>
                  </w:r>
                </w:p>
              </w:tc>
              <w:tc>
                <w:tcPr>
                  <w:tcW w:w="1276" w:type="dxa"/>
                </w:tcPr>
                <w:p w14:paraId="30E0FDEB"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85</w:t>
                  </w:r>
                </w:p>
              </w:tc>
            </w:tr>
            <w:tr w:rsidR="005B762B" w:rsidRPr="00BA311F" w14:paraId="6A73B7FA"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5B334A4A" w14:textId="77777777" w:rsidR="005B762B" w:rsidRPr="00BA311F" w:rsidRDefault="005B762B" w:rsidP="00F8020A">
                  <w:pPr>
                    <w:rPr>
                      <w:rFonts w:eastAsia="Calibri"/>
                      <w:color w:val="FFFFFF"/>
                      <w:sz w:val="18"/>
                      <w:lang w:val="en-AU"/>
                    </w:rPr>
                  </w:pPr>
                  <w:r w:rsidRPr="00BA311F">
                    <w:rPr>
                      <w:rFonts w:eastAsia="Calibri"/>
                      <w:color w:val="FFFFFF"/>
                      <w:sz w:val="18"/>
                      <w:lang w:val="en-AU"/>
                    </w:rPr>
                    <w:t>4G mobile data</w:t>
                  </w:r>
                </w:p>
              </w:tc>
              <w:tc>
                <w:tcPr>
                  <w:tcW w:w="1134" w:type="dxa"/>
                </w:tcPr>
                <w:p w14:paraId="59B5E3F4" w14:textId="78B0DEC6" w:rsidR="005B762B" w:rsidRPr="00BA311F" w:rsidRDefault="005B762B" w:rsidP="0027011D">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1.</w:t>
                  </w:r>
                  <w:r w:rsidR="0027011D">
                    <w:rPr>
                      <w:rFonts w:eastAsia="Calibri"/>
                      <w:color w:val="auto"/>
                      <w:sz w:val="18"/>
                      <w:lang w:val="en-AU"/>
                    </w:rPr>
                    <w:t xml:space="preserve">7 </w:t>
                  </w:r>
                  <w:r>
                    <w:rPr>
                      <w:rFonts w:eastAsia="Calibri"/>
                      <w:color w:val="auto"/>
                      <w:sz w:val="18"/>
                      <w:lang w:val="en-AU"/>
                    </w:rPr>
                    <w:t>million</w:t>
                  </w:r>
                </w:p>
              </w:tc>
              <w:tc>
                <w:tcPr>
                  <w:tcW w:w="1276" w:type="dxa"/>
                </w:tcPr>
                <w:p w14:paraId="31F6F723" w14:textId="3AB17952" w:rsidR="005B762B" w:rsidRPr="00BA311F" w:rsidRDefault="00FC185D"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61</w:t>
                  </w:r>
                </w:p>
              </w:tc>
            </w:tr>
            <w:tr w:rsidR="005B762B" w:rsidRPr="00BA311F" w14:paraId="248F6FB6"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7465EFD9"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FTTN or HFC</w:t>
                  </w:r>
                </w:p>
              </w:tc>
              <w:tc>
                <w:tcPr>
                  <w:tcW w:w="1134" w:type="dxa"/>
                </w:tcPr>
                <w:p w14:paraId="05AF459B" w14:textId="65CA0E49"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0.92 million</w:t>
                  </w:r>
                </w:p>
              </w:tc>
              <w:tc>
                <w:tcPr>
                  <w:tcW w:w="1276" w:type="dxa"/>
                </w:tcPr>
                <w:p w14:paraId="300E02D5"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33 </w:t>
                  </w:r>
                </w:p>
              </w:tc>
            </w:tr>
            <w:tr w:rsidR="005B762B" w:rsidRPr="00BA311F" w14:paraId="1C9C8E09"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2DBD53CA"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FTTP</w:t>
                  </w:r>
                </w:p>
              </w:tc>
              <w:tc>
                <w:tcPr>
                  <w:tcW w:w="1134" w:type="dxa"/>
                </w:tcPr>
                <w:p w14:paraId="53442879"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0.09 million</w:t>
                  </w:r>
                </w:p>
              </w:tc>
              <w:tc>
                <w:tcPr>
                  <w:tcW w:w="1276" w:type="dxa"/>
                </w:tcPr>
                <w:p w14:paraId="78D19DB8"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 xml:space="preserve">3 </w:t>
                  </w:r>
                </w:p>
              </w:tc>
            </w:tr>
            <w:tr w:rsidR="005B762B" w:rsidRPr="00BA311F" w14:paraId="4EFB367E"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D01C237" w14:textId="77777777" w:rsidR="005B762B" w:rsidRPr="00BA311F" w:rsidRDefault="005B762B" w:rsidP="00F8020A">
                  <w:pPr>
                    <w:rPr>
                      <w:rFonts w:eastAsia="Calibri"/>
                      <w:color w:val="FFFFFF"/>
                      <w:sz w:val="18"/>
                      <w:lang w:val="en-AU"/>
                    </w:rPr>
                  </w:pPr>
                  <w:r w:rsidRPr="00BA311F">
                    <w:rPr>
                      <w:rFonts w:eastAsia="Calibri"/>
                      <w:color w:val="FFFFFF"/>
                      <w:sz w:val="18"/>
                      <w:lang w:val="en-AU"/>
                    </w:rPr>
                    <w:t>NBN fixed wireless</w:t>
                  </w:r>
                </w:p>
              </w:tc>
              <w:tc>
                <w:tcPr>
                  <w:tcW w:w="1134" w:type="dxa"/>
                </w:tcPr>
                <w:p w14:paraId="078494BF"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0.02 million</w:t>
                  </w:r>
                </w:p>
              </w:tc>
              <w:tc>
                <w:tcPr>
                  <w:tcW w:w="1276" w:type="dxa"/>
                </w:tcPr>
                <w:p w14:paraId="044B11EC"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1 </w:t>
                  </w:r>
                </w:p>
              </w:tc>
            </w:tr>
          </w:tbl>
          <w:p w14:paraId="16665C9D" w14:textId="77777777" w:rsidR="005B762B" w:rsidRDefault="005B762B" w:rsidP="00F8020A"/>
        </w:tc>
      </w:tr>
      <w:tr w:rsidR="005B762B" w14:paraId="5B362981" w14:textId="77777777" w:rsidTr="00F8020A">
        <w:trPr>
          <w:cantSplit/>
        </w:trPr>
        <w:tc>
          <w:tcPr>
            <w:tcW w:w="3966" w:type="dxa"/>
          </w:tcPr>
          <w:p w14:paraId="247D5DC6" w14:textId="77777777" w:rsidR="005B762B" w:rsidRDefault="005B762B" w:rsidP="00F8020A">
            <w:pPr>
              <w:pStyle w:val="Heading4"/>
            </w:pPr>
            <w:r>
              <w:t xml:space="preserve">Figure 5h. </w:t>
            </w:r>
            <w:r w:rsidRPr="002D69BB">
              <w:t>Western Australia</w:t>
            </w:r>
          </w:p>
        </w:tc>
        <w:tc>
          <w:tcPr>
            <w:tcW w:w="5270" w:type="dxa"/>
          </w:tcPr>
          <w:p w14:paraId="78832BD9" w14:textId="77777777" w:rsidR="005B762B" w:rsidRDefault="005B762B" w:rsidP="00F8020A"/>
        </w:tc>
      </w:tr>
      <w:tr w:rsidR="005B762B" w14:paraId="6832D649" w14:textId="77777777" w:rsidTr="00F8020A">
        <w:trPr>
          <w:cantSplit/>
        </w:trPr>
        <w:tc>
          <w:tcPr>
            <w:tcW w:w="3966" w:type="dxa"/>
          </w:tcPr>
          <w:p w14:paraId="47E31580" w14:textId="77777777" w:rsidR="005B762B" w:rsidRDefault="005B762B" w:rsidP="00F8020A">
            <w:r>
              <w:rPr>
                <w:noProof/>
                <w:lang w:val="en-AU" w:eastAsia="en-AU"/>
              </w:rPr>
              <w:drawing>
                <wp:inline distT="0" distB="0" distL="0" distR="0" wp14:anchorId="0B622B2F" wp14:editId="501F6A5D">
                  <wp:extent cx="2200940" cy="1796902"/>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 mapdata.png"/>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2210148" cy="1804420"/>
                          </a:xfrm>
                          <a:prstGeom prst="rect">
                            <a:avLst/>
                          </a:prstGeom>
                          <a:ln>
                            <a:noFill/>
                          </a:ln>
                          <a:extLst>
                            <a:ext uri="{53640926-AAD7-44D8-BBD7-CCE9431645EC}">
                              <a14:shadowObscured xmlns:a14="http://schemas.microsoft.com/office/drawing/2010/main"/>
                            </a:ext>
                          </a:extLst>
                        </pic:spPr>
                      </pic:pic>
                    </a:graphicData>
                  </a:graphic>
                </wp:inline>
              </w:drawing>
            </w:r>
          </w:p>
        </w:tc>
        <w:tc>
          <w:tcPr>
            <w:tcW w:w="5270" w:type="dxa"/>
          </w:tcPr>
          <w:tbl>
            <w:tblPr>
              <w:tblStyle w:val="MediumGrid3-Accent11"/>
              <w:tblpPr w:leftFromText="180" w:rightFromText="180" w:vertAnchor="text" w:horzAnchor="margin" w:tblpY="256"/>
              <w:tblOverlap w:val="never"/>
              <w:tblW w:w="0" w:type="auto"/>
              <w:tblLayout w:type="fixed"/>
              <w:tblLook w:val="04A0" w:firstRow="1" w:lastRow="0" w:firstColumn="1" w:lastColumn="0" w:noHBand="0" w:noVBand="1"/>
            </w:tblPr>
            <w:tblGrid>
              <w:gridCol w:w="1691"/>
              <w:gridCol w:w="1134"/>
              <w:gridCol w:w="1276"/>
            </w:tblGrid>
            <w:tr w:rsidR="005B762B" w:rsidRPr="00BA311F" w14:paraId="7D44F228"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DBCAEF5" w14:textId="77777777" w:rsidR="005B762B" w:rsidRPr="00BA311F" w:rsidRDefault="005B762B" w:rsidP="00F8020A">
                  <w:pPr>
                    <w:rPr>
                      <w:rFonts w:eastAsia="Calibri"/>
                      <w:color w:val="FFFFFF"/>
                      <w:sz w:val="18"/>
                      <w:lang w:val="en-AU"/>
                    </w:rPr>
                  </w:pPr>
                  <w:r w:rsidRPr="00BA311F">
                    <w:rPr>
                      <w:rFonts w:eastAsia="Calibri"/>
                      <w:color w:val="FFFFFF"/>
                      <w:sz w:val="18"/>
                      <w:lang w:val="en-AU"/>
                    </w:rPr>
                    <w:t>Technology</w:t>
                  </w:r>
                </w:p>
              </w:tc>
              <w:tc>
                <w:tcPr>
                  <w:tcW w:w="1134" w:type="dxa"/>
                </w:tcPr>
                <w:p w14:paraId="7A90D693"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 (premises)</w:t>
                  </w:r>
                </w:p>
              </w:tc>
              <w:tc>
                <w:tcPr>
                  <w:tcW w:w="1276" w:type="dxa"/>
                </w:tcPr>
                <w:p w14:paraId="2184C30F"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Coverage</w:t>
                  </w:r>
                </w:p>
                <w:p w14:paraId="7D3BE173" w14:textId="77777777" w:rsidR="005B762B" w:rsidRPr="00BA311F" w:rsidRDefault="005B762B" w:rsidP="00F8020A">
                  <w:pPr>
                    <w:jc w:val="center"/>
                    <w:cnfStyle w:val="100000000000" w:firstRow="1" w:lastRow="0" w:firstColumn="0" w:lastColumn="0" w:oddVBand="0" w:evenVBand="0" w:oddHBand="0" w:evenHBand="0" w:firstRowFirstColumn="0" w:firstRowLastColumn="0" w:lastRowFirstColumn="0" w:lastRowLastColumn="0"/>
                    <w:rPr>
                      <w:rFonts w:eastAsia="Calibri"/>
                      <w:color w:val="FFFFFF"/>
                      <w:sz w:val="18"/>
                      <w:lang w:val="en-AU"/>
                    </w:rPr>
                  </w:pPr>
                  <w:r w:rsidRPr="00BA311F">
                    <w:rPr>
                      <w:rFonts w:eastAsia="Calibri"/>
                      <w:color w:val="FFFFFF"/>
                      <w:sz w:val="18"/>
                      <w:lang w:val="en-AU"/>
                    </w:rPr>
                    <w:t>(</w:t>
                  </w:r>
                  <w:r>
                    <w:rPr>
                      <w:rFonts w:eastAsia="Calibri"/>
                      <w:color w:val="FFFFFF"/>
                      <w:sz w:val="18"/>
                      <w:lang w:val="en-AU"/>
                    </w:rPr>
                    <w:t>percentage</w:t>
                  </w:r>
                  <w:r w:rsidRPr="00BA311F">
                    <w:rPr>
                      <w:rFonts w:eastAsia="Calibri"/>
                      <w:color w:val="FFFFFF"/>
                      <w:sz w:val="18"/>
                      <w:lang w:val="en-AU"/>
                    </w:rPr>
                    <w:t>)</w:t>
                  </w:r>
                </w:p>
              </w:tc>
            </w:tr>
            <w:tr w:rsidR="005B762B" w:rsidRPr="00BA311F" w14:paraId="5DCA6BED"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90AF29F" w14:textId="77777777" w:rsidR="005B762B" w:rsidRPr="00BA311F" w:rsidRDefault="005B762B" w:rsidP="00F8020A">
                  <w:pPr>
                    <w:rPr>
                      <w:rFonts w:eastAsia="Calibri"/>
                      <w:color w:val="FFFFFF"/>
                      <w:sz w:val="18"/>
                      <w:lang w:val="en-AU"/>
                    </w:rPr>
                  </w:pPr>
                  <w:r w:rsidRPr="00BA311F">
                    <w:rPr>
                      <w:rFonts w:eastAsia="Calibri"/>
                      <w:color w:val="FFFFFF"/>
                      <w:sz w:val="18"/>
                      <w:lang w:val="en-AU"/>
                    </w:rPr>
                    <w:t>Total premises</w:t>
                  </w:r>
                </w:p>
              </w:tc>
              <w:tc>
                <w:tcPr>
                  <w:tcW w:w="1134" w:type="dxa"/>
                </w:tcPr>
                <w:p w14:paraId="140AB4FA"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1.2 million</w:t>
                  </w:r>
                </w:p>
              </w:tc>
              <w:tc>
                <w:tcPr>
                  <w:tcW w:w="1276" w:type="dxa"/>
                </w:tcPr>
                <w:p w14:paraId="79CD8DEB"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w:t>
                  </w:r>
                </w:p>
              </w:tc>
            </w:tr>
            <w:tr w:rsidR="005B762B" w:rsidRPr="00BA311F" w14:paraId="321D8309"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399B512B" w14:textId="2FD2AC19" w:rsidR="005B762B" w:rsidRPr="00BA311F" w:rsidRDefault="003830A1" w:rsidP="00F8020A">
                  <w:pPr>
                    <w:rPr>
                      <w:rFonts w:eastAsia="Calibri"/>
                      <w:color w:val="FFFFFF"/>
                      <w:sz w:val="18"/>
                      <w:lang w:val="en-AU"/>
                    </w:rPr>
                  </w:pPr>
                  <w:r>
                    <w:rPr>
                      <w:rFonts w:eastAsia="Calibri"/>
                      <w:color w:val="FFFFFF"/>
                      <w:sz w:val="18"/>
                      <w:lang w:val="en-AU"/>
                    </w:rPr>
                    <w:t>ADSL</w:t>
                  </w:r>
                </w:p>
              </w:tc>
              <w:tc>
                <w:tcPr>
                  <w:tcW w:w="1134" w:type="dxa"/>
                </w:tcPr>
                <w:p w14:paraId="1685B1F2"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1.1 million</w:t>
                  </w:r>
                </w:p>
              </w:tc>
              <w:tc>
                <w:tcPr>
                  <w:tcW w:w="1276" w:type="dxa"/>
                </w:tcPr>
                <w:p w14:paraId="220843CB"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 xml:space="preserve">91 </w:t>
                  </w:r>
                </w:p>
              </w:tc>
            </w:tr>
            <w:tr w:rsidR="005B762B" w:rsidRPr="00BA311F" w14:paraId="0E029E56"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138C444" w14:textId="77777777" w:rsidR="005B762B" w:rsidRPr="00BA311F" w:rsidRDefault="005B762B" w:rsidP="00F8020A">
                  <w:pPr>
                    <w:rPr>
                      <w:rFonts w:eastAsia="Calibri"/>
                      <w:color w:val="FFFFFF"/>
                      <w:sz w:val="18"/>
                      <w:lang w:val="en-AU"/>
                    </w:rPr>
                  </w:pPr>
                  <w:r w:rsidRPr="00BA311F">
                    <w:rPr>
                      <w:rFonts w:eastAsia="Calibri"/>
                      <w:color w:val="FFFFFF"/>
                      <w:sz w:val="18"/>
                      <w:lang w:val="en-AU"/>
                    </w:rPr>
                    <w:t>3G mobile data</w:t>
                  </w:r>
                </w:p>
              </w:tc>
              <w:tc>
                <w:tcPr>
                  <w:tcW w:w="1134" w:type="dxa"/>
                </w:tcPr>
                <w:p w14:paraId="69CE2FEE"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0.9 million</w:t>
                  </w:r>
                </w:p>
              </w:tc>
              <w:tc>
                <w:tcPr>
                  <w:tcW w:w="1276" w:type="dxa"/>
                </w:tcPr>
                <w:p w14:paraId="2611A563"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78</w:t>
                  </w:r>
                </w:p>
              </w:tc>
            </w:tr>
            <w:tr w:rsidR="005B762B" w:rsidRPr="00BA311F" w14:paraId="1530B5B4"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1580F4C7" w14:textId="77777777" w:rsidR="005B762B" w:rsidRPr="00BA311F" w:rsidRDefault="005B762B" w:rsidP="00F8020A">
                  <w:pPr>
                    <w:rPr>
                      <w:rFonts w:eastAsia="Calibri"/>
                      <w:color w:val="FFFFFF"/>
                      <w:sz w:val="18"/>
                      <w:lang w:val="en-AU"/>
                    </w:rPr>
                  </w:pPr>
                  <w:r w:rsidRPr="00BA311F">
                    <w:rPr>
                      <w:rFonts w:eastAsia="Calibri"/>
                      <w:color w:val="FFFFFF"/>
                      <w:sz w:val="18"/>
                      <w:lang w:val="en-AU"/>
                    </w:rPr>
                    <w:t>4G mobile data</w:t>
                  </w:r>
                </w:p>
              </w:tc>
              <w:tc>
                <w:tcPr>
                  <w:tcW w:w="1134" w:type="dxa"/>
                </w:tcPr>
                <w:p w14:paraId="0F3B3E3A" w14:textId="345F4FA9" w:rsidR="005B762B" w:rsidRPr="00BA311F" w:rsidRDefault="005B762B" w:rsidP="0027011D">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0.4</w:t>
                  </w:r>
                  <w:r w:rsidR="0027011D">
                    <w:rPr>
                      <w:rFonts w:eastAsia="Calibri"/>
                      <w:color w:val="auto"/>
                      <w:sz w:val="18"/>
                      <w:lang w:val="en-AU"/>
                    </w:rPr>
                    <w:t>7</w:t>
                  </w:r>
                  <w:r>
                    <w:rPr>
                      <w:rFonts w:eastAsia="Calibri"/>
                      <w:color w:val="auto"/>
                      <w:sz w:val="18"/>
                      <w:lang w:val="en-AU"/>
                    </w:rPr>
                    <w:t xml:space="preserve"> million</w:t>
                  </w:r>
                </w:p>
              </w:tc>
              <w:tc>
                <w:tcPr>
                  <w:tcW w:w="1276" w:type="dxa"/>
                </w:tcPr>
                <w:p w14:paraId="6ECEF8EE" w14:textId="74ABE54D" w:rsidR="005B762B" w:rsidRPr="00BA311F" w:rsidRDefault="00FC185D"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41</w:t>
                  </w:r>
                </w:p>
              </w:tc>
            </w:tr>
            <w:tr w:rsidR="005B762B" w:rsidRPr="00BA311F" w14:paraId="2B0416A8"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8B77BCF"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FTTN or HFC</w:t>
                  </w:r>
                </w:p>
              </w:tc>
              <w:tc>
                <w:tcPr>
                  <w:tcW w:w="1134" w:type="dxa"/>
                </w:tcPr>
                <w:p w14:paraId="02155745"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0.1 million</w:t>
                  </w:r>
                </w:p>
              </w:tc>
              <w:tc>
                <w:tcPr>
                  <w:tcW w:w="1276" w:type="dxa"/>
                </w:tcPr>
                <w:p w14:paraId="07C1A5D8"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8 </w:t>
                  </w:r>
                </w:p>
              </w:tc>
            </w:tr>
            <w:tr w:rsidR="005B762B" w:rsidRPr="00BA311F" w14:paraId="642C37B5" w14:textId="77777777" w:rsidTr="00F8020A">
              <w:tc>
                <w:tcPr>
                  <w:cnfStyle w:val="001000000000" w:firstRow="0" w:lastRow="0" w:firstColumn="1" w:lastColumn="0" w:oddVBand="0" w:evenVBand="0" w:oddHBand="0" w:evenHBand="0" w:firstRowFirstColumn="0" w:firstRowLastColumn="0" w:lastRowFirstColumn="0" w:lastRowLastColumn="0"/>
                  <w:tcW w:w="1691" w:type="dxa"/>
                </w:tcPr>
                <w:p w14:paraId="56E5E491" w14:textId="77777777" w:rsidR="005B762B" w:rsidRPr="00BA311F" w:rsidRDefault="005B762B" w:rsidP="00F8020A">
                  <w:pPr>
                    <w:rPr>
                      <w:rFonts w:eastAsia="Calibri"/>
                      <w:color w:val="FFFFFF"/>
                      <w:sz w:val="18"/>
                      <w:lang w:val="en-AU"/>
                    </w:rPr>
                  </w:pPr>
                  <w:r w:rsidRPr="00BA311F">
                    <w:rPr>
                      <w:rFonts w:eastAsia="Calibri"/>
                      <w:color w:val="FFFFFF"/>
                      <w:sz w:val="18"/>
                      <w:lang w:val="en-AU"/>
                    </w:rPr>
                    <w:t>FTTP</w:t>
                  </w:r>
                </w:p>
              </w:tc>
              <w:tc>
                <w:tcPr>
                  <w:tcW w:w="1134" w:type="dxa"/>
                </w:tcPr>
                <w:p w14:paraId="4C7E6C73"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0.03 million</w:t>
                  </w:r>
                </w:p>
              </w:tc>
              <w:tc>
                <w:tcPr>
                  <w:tcW w:w="1276" w:type="dxa"/>
                </w:tcPr>
                <w:p w14:paraId="29134AE0" w14:textId="77777777" w:rsidR="005B762B" w:rsidRPr="00BA311F" w:rsidRDefault="005B762B" w:rsidP="00F8020A">
                  <w:pPr>
                    <w:jc w:val="center"/>
                    <w:cnfStyle w:val="000000000000" w:firstRow="0" w:lastRow="0" w:firstColumn="0" w:lastColumn="0" w:oddVBand="0" w:evenVBand="0" w:oddHBand="0" w:evenHBand="0" w:firstRowFirstColumn="0" w:firstRowLastColumn="0" w:lastRowFirstColumn="0" w:lastRowLastColumn="0"/>
                    <w:rPr>
                      <w:rFonts w:eastAsia="Calibri"/>
                      <w:color w:val="auto"/>
                      <w:sz w:val="18"/>
                      <w:lang w:val="en-AU"/>
                    </w:rPr>
                  </w:pPr>
                  <w:r>
                    <w:rPr>
                      <w:rFonts w:eastAsia="Calibri"/>
                      <w:color w:val="auto"/>
                      <w:sz w:val="18"/>
                      <w:lang w:val="en-AU"/>
                    </w:rPr>
                    <w:t xml:space="preserve">3 </w:t>
                  </w:r>
                </w:p>
              </w:tc>
            </w:tr>
            <w:tr w:rsidR="005B762B" w:rsidRPr="00BA311F" w14:paraId="379F06B3"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F620DC6" w14:textId="77777777" w:rsidR="005B762B" w:rsidRPr="00BA311F" w:rsidRDefault="005B762B" w:rsidP="00F8020A">
                  <w:pPr>
                    <w:rPr>
                      <w:rFonts w:eastAsia="Calibri"/>
                      <w:color w:val="FFFFFF"/>
                      <w:sz w:val="18"/>
                      <w:lang w:val="en-AU"/>
                    </w:rPr>
                  </w:pPr>
                  <w:r w:rsidRPr="00BA311F">
                    <w:rPr>
                      <w:rFonts w:eastAsia="Calibri"/>
                      <w:color w:val="FFFFFF"/>
                      <w:sz w:val="18"/>
                      <w:lang w:val="en-AU"/>
                    </w:rPr>
                    <w:t>NBN fixed wireless</w:t>
                  </w:r>
                </w:p>
              </w:tc>
              <w:tc>
                <w:tcPr>
                  <w:tcW w:w="1134" w:type="dxa"/>
                </w:tcPr>
                <w:p w14:paraId="3FB71170"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1,100</w:t>
                  </w:r>
                </w:p>
              </w:tc>
              <w:tc>
                <w:tcPr>
                  <w:tcW w:w="1276" w:type="dxa"/>
                </w:tcPr>
                <w:p w14:paraId="6D24CB7A" w14:textId="77777777" w:rsidR="005B762B" w:rsidRPr="00BA311F" w:rsidRDefault="005B762B" w:rsidP="00F8020A">
                  <w:pPr>
                    <w:jc w:val="center"/>
                    <w:cnfStyle w:val="000000100000" w:firstRow="0" w:lastRow="0" w:firstColumn="0" w:lastColumn="0" w:oddVBand="0" w:evenVBand="0" w:oddHBand="1" w:evenHBand="0" w:firstRowFirstColumn="0" w:firstRowLastColumn="0" w:lastRowFirstColumn="0" w:lastRowLastColumn="0"/>
                    <w:rPr>
                      <w:rFonts w:eastAsia="Calibri"/>
                      <w:color w:val="auto"/>
                      <w:sz w:val="18"/>
                      <w:lang w:val="en-AU"/>
                    </w:rPr>
                  </w:pPr>
                  <w:r>
                    <w:rPr>
                      <w:rFonts w:eastAsia="Calibri"/>
                      <w:color w:val="auto"/>
                      <w:sz w:val="18"/>
                      <w:lang w:val="en-AU"/>
                    </w:rPr>
                    <w:t xml:space="preserve">&lt;1 </w:t>
                  </w:r>
                </w:p>
              </w:tc>
            </w:tr>
          </w:tbl>
          <w:p w14:paraId="6AD0D2C6" w14:textId="77777777" w:rsidR="005B762B" w:rsidRDefault="005B762B" w:rsidP="00F8020A"/>
        </w:tc>
      </w:tr>
    </w:tbl>
    <w:p w14:paraId="01539EFE" w14:textId="77777777" w:rsidR="005B762B" w:rsidRDefault="005B762B" w:rsidP="005B762B">
      <w:pPr>
        <w:pStyle w:val="BodyText"/>
      </w:pPr>
    </w:p>
    <w:p w14:paraId="00071C0B" w14:textId="77777777" w:rsidR="005B762B" w:rsidRDefault="005B762B" w:rsidP="005B762B">
      <w:pPr>
        <w:spacing w:after="240"/>
      </w:pPr>
    </w:p>
    <w:p w14:paraId="2BCB7417" w14:textId="0E997D2E" w:rsidR="005B762B" w:rsidRPr="001813FE" w:rsidRDefault="005B762B" w:rsidP="001813FE">
      <w:pPr>
        <w:pStyle w:val="BodyText"/>
      </w:pPr>
      <w:r w:rsidRPr="001813FE">
        <w:t>Examining high speed broadband technologies alone, there are significant differences in the availability of these platforms across states (Figure 6). Curr</w:t>
      </w:r>
      <w:r w:rsidR="003830A1" w:rsidRPr="001813FE">
        <w:t>ently, the only large scale deployment</w:t>
      </w:r>
      <w:r w:rsidRPr="001813FE">
        <w:t xml:space="preserve"> of FTTN is located in the Australian Capital Territory. HFC networks are available in most states, but have not been deployed in the Australian Capital Territory, Tasmania or the Northern Territory. FTTP availability is proportionally highest in the Australian Capital Territory and Tasmania, particularly compared to Western Australia </w:t>
      </w:r>
      <w:r w:rsidR="00CC2C42" w:rsidRPr="001813FE">
        <w:t>and</w:t>
      </w:r>
      <w:r w:rsidRPr="001813FE">
        <w:t xml:space="preserve"> South Australia. </w:t>
      </w:r>
    </w:p>
    <w:p w14:paraId="37316E22" w14:textId="779D2D6B" w:rsidR="005B762B" w:rsidRDefault="00CC2C42" w:rsidP="005B762B">
      <w:pPr>
        <w:pStyle w:val="BodyText"/>
      </w:pPr>
      <w:r>
        <w:rPr>
          <w:noProof/>
          <w:lang w:val="en-AU" w:eastAsia="en-AU"/>
        </w:rPr>
        <w:drawing>
          <wp:inline distT="0" distB="0" distL="0" distR="0" wp14:anchorId="53026DD6" wp14:editId="2F4E3FDA">
            <wp:extent cx="5760000" cy="2520000"/>
            <wp:effectExtent l="0" t="0" r="12700"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5ADE8F" w14:textId="77777777" w:rsidR="005B762B" w:rsidRPr="00DD57EC" w:rsidRDefault="005B762B" w:rsidP="005B762B">
      <w:pPr>
        <w:pStyle w:val="Subtitle"/>
        <w:rPr>
          <w:sz w:val="20"/>
        </w:rPr>
      </w:pPr>
      <w:r w:rsidRPr="00F35427">
        <w:rPr>
          <w:sz w:val="20"/>
        </w:rPr>
        <w:t xml:space="preserve">Figure </w:t>
      </w:r>
      <w:r>
        <w:rPr>
          <w:sz w:val="20"/>
        </w:rPr>
        <w:t>6</w:t>
      </w:r>
      <w:r w:rsidRPr="00F35427">
        <w:rPr>
          <w:sz w:val="20"/>
        </w:rPr>
        <w:t xml:space="preserve">. </w:t>
      </w:r>
      <w:r>
        <w:rPr>
          <w:sz w:val="20"/>
        </w:rPr>
        <w:t>Proportion of premises</w:t>
      </w:r>
      <w:r w:rsidRPr="008E7099">
        <w:rPr>
          <w:sz w:val="20"/>
        </w:rPr>
        <w:t xml:space="preserve"> </w:t>
      </w:r>
      <w:r>
        <w:rPr>
          <w:sz w:val="20"/>
        </w:rPr>
        <w:t>in each state or territory that</w:t>
      </w:r>
      <w:r w:rsidRPr="00F35427">
        <w:rPr>
          <w:sz w:val="20"/>
        </w:rPr>
        <w:t xml:space="preserve"> </w:t>
      </w:r>
      <w:r>
        <w:rPr>
          <w:sz w:val="20"/>
        </w:rPr>
        <w:t>can access</w:t>
      </w:r>
      <w:r w:rsidRPr="00F35427">
        <w:rPr>
          <w:sz w:val="20"/>
        </w:rPr>
        <w:t xml:space="preserve"> </w:t>
      </w:r>
      <w:r>
        <w:rPr>
          <w:sz w:val="20"/>
        </w:rPr>
        <w:t xml:space="preserve">a </w:t>
      </w:r>
      <w:r w:rsidRPr="00F35427">
        <w:rPr>
          <w:sz w:val="20"/>
        </w:rPr>
        <w:t>high speed broadband</w:t>
      </w:r>
      <w:r>
        <w:rPr>
          <w:sz w:val="20"/>
        </w:rPr>
        <w:t xml:space="preserve"> platform</w:t>
      </w:r>
      <w:r w:rsidRPr="00F35427">
        <w:rPr>
          <w:sz w:val="20"/>
        </w:rPr>
        <w:t xml:space="preserve"> (FTTP, FTTN, and HFC). </w:t>
      </w:r>
      <w:bookmarkStart w:id="121" w:name="_Toc377120882"/>
      <w:bookmarkStart w:id="122" w:name="_Toc377123937"/>
      <w:bookmarkEnd w:id="121"/>
    </w:p>
    <w:p w14:paraId="7F191220" w14:textId="4F439DE2" w:rsidR="005B762B" w:rsidRDefault="005B762B" w:rsidP="005B762B">
      <w:pPr>
        <w:pStyle w:val="Heading3"/>
      </w:pPr>
      <w:r>
        <w:t xml:space="preserve">3.1. (b)  Impediments to </w:t>
      </w:r>
      <w:r w:rsidR="003830A1">
        <w:t>ADSL</w:t>
      </w:r>
      <w:r>
        <w:t xml:space="preserve"> availability in each state and territory</w:t>
      </w:r>
    </w:p>
    <w:p w14:paraId="7FD95154" w14:textId="436957F0" w:rsidR="005B762B" w:rsidRPr="001813FE" w:rsidRDefault="005B762B" w:rsidP="001813FE">
      <w:pPr>
        <w:pStyle w:val="BodyText"/>
      </w:pPr>
      <w:r w:rsidRPr="001813FE">
        <w:t xml:space="preserve">For the majority of Australian premises, </w:t>
      </w:r>
      <w:r w:rsidR="003830A1" w:rsidRPr="001813FE">
        <w:t>ADSL</w:t>
      </w:r>
      <w:r w:rsidRPr="001813FE">
        <w:t xml:space="preserve"> broadband technology is the way in which the internet is accessed. Figure 7 illustrates the availability of </w:t>
      </w:r>
      <w:r w:rsidR="003830A1" w:rsidRPr="001813FE">
        <w:t>ADSL</w:t>
      </w:r>
      <w:r w:rsidRPr="001813FE">
        <w:t xml:space="preserve"> services across the states and territories.</w:t>
      </w:r>
    </w:p>
    <w:p w14:paraId="4F11FF85" w14:textId="60540B61" w:rsidR="005B762B" w:rsidRDefault="00CC2C42" w:rsidP="005B762B">
      <w:pPr>
        <w:pStyle w:val="BodyText"/>
      </w:pPr>
      <w:r>
        <w:rPr>
          <w:noProof/>
          <w:lang w:val="en-AU" w:eastAsia="en-AU"/>
        </w:rPr>
        <w:drawing>
          <wp:inline distT="0" distB="0" distL="0" distR="0" wp14:anchorId="2B1D53C3" wp14:editId="0C82E1F3">
            <wp:extent cx="5760000" cy="2520000"/>
            <wp:effectExtent l="0" t="0" r="12700"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8482D6" w14:textId="57725232" w:rsidR="005B762B" w:rsidRDefault="005B762B" w:rsidP="005B762B">
      <w:pPr>
        <w:pStyle w:val="Subtitle"/>
        <w:rPr>
          <w:sz w:val="20"/>
        </w:rPr>
      </w:pPr>
      <w:r w:rsidRPr="00F35427">
        <w:rPr>
          <w:sz w:val="20"/>
        </w:rPr>
        <w:t xml:space="preserve">Figure </w:t>
      </w:r>
      <w:r>
        <w:rPr>
          <w:sz w:val="20"/>
        </w:rPr>
        <w:t>7</w:t>
      </w:r>
      <w:r w:rsidRPr="00F35427">
        <w:rPr>
          <w:sz w:val="20"/>
        </w:rPr>
        <w:t xml:space="preserve">. </w:t>
      </w:r>
      <w:r>
        <w:rPr>
          <w:sz w:val="20"/>
        </w:rPr>
        <w:t>Proportion of premises</w:t>
      </w:r>
      <w:r w:rsidRPr="008E7099">
        <w:rPr>
          <w:sz w:val="20"/>
        </w:rPr>
        <w:t xml:space="preserve"> </w:t>
      </w:r>
      <w:r>
        <w:rPr>
          <w:sz w:val="20"/>
        </w:rPr>
        <w:t>in each state or territory that</w:t>
      </w:r>
      <w:r w:rsidRPr="00F35427">
        <w:rPr>
          <w:sz w:val="20"/>
        </w:rPr>
        <w:t xml:space="preserve"> </w:t>
      </w:r>
      <w:r>
        <w:rPr>
          <w:sz w:val="20"/>
        </w:rPr>
        <w:t>can access</w:t>
      </w:r>
      <w:r w:rsidRPr="00F35427">
        <w:rPr>
          <w:sz w:val="20"/>
        </w:rPr>
        <w:t xml:space="preserve"> </w:t>
      </w:r>
      <w:r w:rsidR="003830A1">
        <w:rPr>
          <w:sz w:val="20"/>
        </w:rPr>
        <w:t>ADSL</w:t>
      </w:r>
      <w:r>
        <w:rPr>
          <w:sz w:val="20"/>
        </w:rPr>
        <w:t xml:space="preserve"> technology</w:t>
      </w:r>
      <w:r w:rsidRPr="00F35427">
        <w:rPr>
          <w:sz w:val="20"/>
        </w:rPr>
        <w:t xml:space="preserve">. </w:t>
      </w:r>
    </w:p>
    <w:p w14:paraId="769C0655" w14:textId="77777777" w:rsidR="001813FE" w:rsidRPr="001813FE" w:rsidRDefault="001813FE" w:rsidP="001813FE"/>
    <w:bookmarkEnd w:id="122"/>
    <w:p w14:paraId="5AABECBB" w14:textId="7D137D90" w:rsidR="005B762B" w:rsidRPr="001813FE" w:rsidRDefault="005B762B" w:rsidP="001813FE">
      <w:pPr>
        <w:pStyle w:val="BodyText"/>
      </w:pPr>
      <w:r w:rsidRPr="001813FE">
        <w:t xml:space="preserve">The Australian Capital Territory has the highest level of access to </w:t>
      </w:r>
      <w:r w:rsidR="003830A1" w:rsidRPr="001813FE">
        <w:t>ADSL</w:t>
      </w:r>
      <w:r w:rsidRPr="001813FE">
        <w:t xml:space="preserve"> (9</w:t>
      </w:r>
      <w:r w:rsidR="00E30761" w:rsidRPr="001813FE">
        <w:t>4</w:t>
      </w:r>
      <w:r w:rsidRPr="001813FE">
        <w:t xml:space="preserve"> per cent), with Queensland, Victoria and Western Australia found to have </w:t>
      </w:r>
      <w:r w:rsidR="00DF2178" w:rsidRPr="001813FE">
        <w:t>approximately</w:t>
      </w:r>
      <w:r w:rsidRPr="001813FE">
        <w:t xml:space="preserve"> 9</w:t>
      </w:r>
      <w:r w:rsidR="00E30761" w:rsidRPr="001813FE">
        <w:t>0</w:t>
      </w:r>
      <w:r w:rsidRPr="001813FE">
        <w:t xml:space="preserve"> per cent</w:t>
      </w:r>
      <w:r w:rsidR="00DF2178" w:rsidRPr="001813FE">
        <w:t xml:space="preserve"> or higher</w:t>
      </w:r>
      <w:r w:rsidRPr="001813FE">
        <w:t xml:space="preserve"> coverage by </w:t>
      </w:r>
      <w:r w:rsidR="003830A1" w:rsidRPr="001813FE">
        <w:t>ADSL</w:t>
      </w:r>
      <w:r w:rsidRPr="001813FE">
        <w:t xml:space="preserve"> networks. Tasmania has the lowest level of </w:t>
      </w:r>
      <w:r w:rsidR="003830A1" w:rsidRPr="001813FE">
        <w:t>ADSL</w:t>
      </w:r>
      <w:r w:rsidRPr="001813FE">
        <w:t xml:space="preserve"> availability (8</w:t>
      </w:r>
      <w:r w:rsidR="00E30761" w:rsidRPr="001813FE">
        <w:t>4</w:t>
      </w:r>
      <w:r w:rsidR="0008357F">
        <w:t> </w:t>
      </w:r>
      <w:r w:rsidR="00E30761" w:rsidRPr="001813FE">
        <w:t>per cent) and New South Wales, the Northern Territory</w:t>
      </w:r>
      <w:r w:rsidRPr="001813FE">
        <w:t xml:space="preserve"> and South Australia have lower rates of </w:t>
      </w:r>
      <w:r w:rsidR="003830A1" w:rsidRPr="001813FE">
        <w:t>ADSL</w:t>
      </w:r>
      <w:r w:rsidRPr="001813FE">
        <w:t xml:space="preserve"> availability of </w:t>
      </w:r>
      <w:r w:rsidR="00E30761" w:rsidRPr="001813FE">
        <w:t>below 90 per cent.</w:t>
      </w:r>
      <w:r w:rsidRPr="001813FE">
        <w:t xml:space="preserve"> </w:t>
      </w:r>
    </w:p>
    <w:p w14:paraId="10A59EEC" w14:textId="5581B377" w:rsidR="005B762B" w:rsidRPr="001813FE" w:rsidRDefault="005B762B" w:rsidP="001813FE">
      <w:pPr>
        <w:pStyle w:val="BodyText"/>
      </w:pPr>
      <w:r w:rsidRPr="001813FE">
        <w:t xml:space="preserve">While reasonable levels of performance can be provided using this platform, a number of factors may reduce the ability of individual premises to access such services. The tables below provide information about the nature and scope of major impediments to </w:t>
      </w:r>
      <w:r w:rsidR="003830A1" w:rsidRPr="001813FE">
        <w:t>ADSL</w:t>
      </w:r>
      <w:r w:rsidRPr="001813FE">
        <w:t xml:space="preserve"> availability in each state and territory. </w:t>
      </w:r>
    </w:p>
    <w:p w14:paraId="3CCE872C" w14:textId="77777777" w:rsidR="005B762B" w:rsidRDefault="005B762B" w:rsidP="005B762B">
      <w:pPr>
        <w:pStyle w:val="Heading4"/>
      </w:pPr>
      <w:r>
        <w:t>ADSL services not enabled</w:t>
      </w:r>
    </w:p>
    <w:p w14:paraId="5A2468BE" w14:textId="059BE93E" w:rsidR="005B762B" w:rsidRPr="001813FE" w:rsidRDefault="005B762B" w:rsidP="001813FE">
      <w:pPr>
        <w:pStyle w:val="BodyText"/>
      </w:pPr>
      <w:r w:rsidRPr="001813FE">
        <w:t xml:space="preserve">The delivery of </w:t>
      </w:r>
      <w:r w:rsidR="003830A1" w:rsidRPr="001813FE">
        <w:t>ADSL</w:t>
      </w:r>
      <w:r w:rsidRPr="001813FE">
        <w:t xml:space="preserve"> services requires installation of specialised equipment at the relevant telephone exchange or equipment cabinet (DSLAM infrastructure). The analysis has found there are approximately 384,000 premises with a connection to the copper network that are unable to access </w:t>
      </w:r>
      <w:r w:rsidR="003830A1" w:rsidRPr="001813FE">
        <w:t>ADSL</w:t>
      </w:r>
      <w:r w:rsidRPr="001813FE">
        <w:t xml:space="preserve"> services, as no DSLAM infrastructure has been deployed in the local exchange. </w:t>
      </w:r>
    </w:p>
    <w:p w14:paraId="41D31EFC" w14:textId="77777777" w:rsidR="005B762B" w:rsidRDefault="005B762B" w:rsidP="005B762B">
      <w:pPr>
        <w:pStyle w:val="Heading4"/>
      </w:pPr>
      <w:r>
        <w:t>Excessive cable distance</w:t>
      </w:r>
    </w:p>
    <w:p w14:paraId="5B587AD8" w14:textId="0A099243" w:rsidR="005B762B" w:rsidRPr="002F307A" w:rsidRDefault="005B762B" w:rsidP="005B762B">
      <w:pPr>
        <w:pStyle w:val="BodyText"/>
      </w:pPr>
      <w:bookmarkStart w:id="123" w:name="_Toc373481225"/>
      <w:bookmarkStart w:id="124" w:name="_Toc373483635"/>
      <w:r w:rsidRPr="002F307A">
        <w:t xml:space="preserve">There is a distance beyond which </w:t>
      </w:r>
      <w:r w:rsidR="003830A1">
        <w:t>ADSL</w:t>
      </w:r>
      <w:r w:rsidRPr="002F307A">
        <w:t xml:space="preserve"> services either cannot be supplied or function at an extremely low quality as a result of the impact of cable length. </w:t>
      </w:r>
      <w:r>
        <w:t>Th</w:t>
      </w:r>
      <w:r w:rsidRPr="002F307A">
        <w:t xml:space="preserve">is distance depends on </w:t>
      </w:r>
      <w:r>
        <w:t>a number of</w:t>
      </w:r>
      <w:r w:rsidRPr="002F307A">
        <w:t xml:space="preserve"> factors including the copper grade (that is, the physical thickness of the copper), the local condition of the copper and the level of electro-magnetic interference.</w:t>
      </w:r>
    </w:p>
    <w:p w14:paraId="6C6D8D61" w14:textId="3FE513FE" w:rsidR="005B762B" w:rsidRPr="002F307A" w:rsidRDefault="005B762B" w:rsidP="005B762B">
      <w:pPr>
        <w:pStyle w:val="BodyText"/>
      </w:pPr>
      <w:r w:rsidRPr="002F307A">
        <w:t xml:space="preserve"> </w:t>
      </w:r>
      <w:r w:rsidR="003830A1">
        <w:t>ADSL</w:t>
      </w:r>
      <w:r w:rsidRPr="002F307A">
        <w:t xml:space="preserve"> availability is typically significantly impaired from an average distance of 5 kilometres or more between a premises and the exchange</w:t>
      </w:r>
      <w:r w:rsidRPr="009A7935">
        <w:rPr>
          <w:rStyle w:val="FootnoteReference"/>
        </w:rPr>
        <w:footnoteReference w:id="6"/>
      </w:r>
      <w:r w:rsidRPr="002F307A">
        <w:t xml:space="preserve">. Table 2 contains a state breakdown of the number of premises that were found to be an excessive distance from the exchange and in this analysis are assumed to be unable to access an </w:t>
      </w:r>
      <w:r w:rsidR="003830A1">
        <w:t>ADSL</w:t>
      </w:r>
      <w:r w:rsidRPr="002F307A">
        <w:t xml:space="preserve"> service.</w:t>
      </w:r>
    </w:p>
    <w:p w14:paraId="41D5A512" w14:textId="77777777" w:rsidR="005B762B" w:rsidRDefault="005B762B" w:rsidP="005B762B">
      <w:pPr>
        <w:pStyle w:val="Subtitle"/>
        <w:rPr>
          <w:sz w:val="20"/>
        </w:rPr>
      </w:pPr>
      <w:r w:rsidRPr="00125A98">
        <w:rPr>
          <w:sz w:val="20"/>
        </w:rPr>
        <w:t xml:space="preserve">Table </w:t>
      </w:r>
      <w:r>
        <w:rPr>
          <w:sz w:val="20"/>
        </w:rPr>
        <w:t xml:space="preserve">2. Number and proportion of premises in each state affected by excessive cable distance </w:t>
      </w:r>
    </w:p>
    <w:tbl>
      <w:tblPr>
        <w:tblStyle w:val="MediumGrid3-Accent1"/>
        <w:tblW w:w="0" w:type="auto"/>
        <w:tblLook w:val="04A0" w:firstRow="1" w:lastRow="0" w:firstColumn="1" w:lastColumn="0" w:noHBand="0" w:noVBand="1"/>
      </w:tblPr>
      <w:tblGrid>
        <w:gridCol w:w="3079"/>
        <w:gridCol w:w="3078"/>
        <w:gridCol w:w="3079"/>
      </w:tblGrid>
      <w:tr w:rsidR="005B762B" w:rsidRPr="007A1DB9" w14:paraId="5CB60B82"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Pr>
          <w:p w14:paraId="3C2A6D7E" w14:textId="77777777" w:rsidR="005B762B" w:rsidRPr="007A1DB9" w:rsidRDefault="005B762B" w:rsidP="00F8020A">
            <w:pPr>
              <w:pStyle w:val="BodyText"/>
              <w:rPr>
                <w:color w:val="FFFFFF" w:themeColor="background1"/>
                <w:sz w:val="22"/>
              </w:rPr>
            </w:pPr>
            <w:r>
              <w:rPr>
                <w:color w:val="FFFFFF" w:themeColor="background1"/>
                <w:sz w:val="22"/>
              </w:rPr>
              <w:t>Excessive Cable Distance</w:t>
            </w:r>
          </w:p>
        </w:tc>
        <w:tc>
          <w:tcPr>
            <w:tcW w:w="3078" w:type="dxa"/>
          </w:tcPr>
          <w:p w14:paraId="42B75F54" w14:textId="77777777" w:rsidR="005B762B" w:rsidRPr="007A1DB9" w:rsidRDefault="005B762B" w:rsidP="00F8020A">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Pr>
                <w:color w:val="FFFFFF" w:themeColor="background1"/>
                <w:sz w:val="22"/>
              </w:rPr>
              <w:t>Number of Premises</w:t>
            </w:r>
          </w:p>
        </w:tc>
        <w:tc>
          <w:tcPr>
            <w:tcW w:w="3079" w:type="dxa"/>
          </w:tcPr>
          <w:p w14:paraId="0FD0EA37" w14:textId="5D2C9EE7" w:rsidR="005B762B" w:rsidRPr="007A1DB9" w:rsidRDefault="007E7CC5" w:rsidP="00F8020A">
            <w:pPr>
              <w:pStyle w:val="BodyText"/>
              <w:jc w:val="center"/>
              <w:cnfStyle w:val="100000000000" w:firstRow="1" w:lastRow="0" w:firstColumn="0" w:lastColumn="0" w:oddVBand="0" w:evenVBand="0" w:oddHBand="0" w:evenHBand="0" w:firstRowFirstColumn="0" w:firstRowLastColumn="0" w:lastRowFirstColumn="0" w:lastRowLastColumn="0"/>
              <w:rPr>
                <w:b w:val="0"/>
                <w:bCs w:val="0"/>
                <w:sz w:val="22"/>
              </w:rPr>
            </w:pPr>
            <w:r>
              <w:rPr>
                <w:color w:val="FFFFFF" w:themeColor="background1"/>
                <w:sz w:val="22"/>
              </w:rPr>
              <w:t>Percentage</w:t>
            </w:r>
            <w:r w:rsidR="005B762B">
              <w:rPr>
                <w:color w:val="FFFFFF" w:themeColor="background1"/>
                <w:sz w:val="22"/>
              </w:rPr>
              <w:t xml:space="preserve"> of Premises</w:t>
            </w:r>
          </w:p>
        </w:tc>
      </w:tr>
      <w:tr w:rsidR="007E7CC5" w:rsidRPr="007A1DB9" w14:paraId="76A231A9"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Pr>
          <w:p w14:paraId="4EE457A9" w14:textId="77777777" w:rsidR="007E7CC5" w:rsidRPr="007A1DB9" w:rsidRDefault="007E7CC5" w:rsidP="00F8020A">
            <w:pPr>
              <w:pStyle w:val="BodyText"/>
              <w:jc w:val="right"/>
              <w:rPr>
                <w:b w:val="0"/>
                <w:sz w:val="20"/>
              </w:rPr>
            </w:pPr>
            <w:r w:rsidRPr="007A1DB9">
              <w:rPr>
                <w:rFonts w:asciiTheme="majorHAnsi" w:hAnsiTheme="majorHAnsi" w:cstheme="majorHAnsi"/>
                <w:b w:val="0"/>
                <w:color w:val="FFFFFF" w:themeColor="background1"/>
                <w:sz w:val="20"/>
                <w:lang w:eastAsia="en-AU"/>
              </w:rPr>
              <w:t>ACT</w:t>
            </w:r>
          </w:p>
        </w:tc>
        <w:tc>
          <w:tcPr>
            <w:tcW w:w="3078" w:type="dxa"/>
            <w:vAlign w:val="bottom"/>
          </w:tcPr>
          <w:p w14:paraId="2903DBA4" w14:textId="433D75D5" w:rsidR="007E7CC5" w:rsidRPr="007A1DB9" w:rsidRDefault="007E7CC5"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bCs/>
                <w:color w:val="000000"/>
                <w:sz w:val="20"/>
                <w:szCs w:val="20"/>
                <w:lang w:val="en-US"/>
              </w:rPr>
              <w:t>2,800</w:t>
            </w:r>
          </w:p>
        </w:tc>
        <w:tc>
          <w:tcPr>
            <w:tcW w:w="3079" w:type="dxa"/>
            <w:vAlign w:val="bottom"/>
          </w:tcPr>
          <w:p w14:paraId="140DF5FA" w14:textId="14EB0783" w:rsidR="007E7CC5" w:rsidRPr="007A1DB9" w:rsidRDefault="007E7CC5"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bCs/>
                <w:color w:val="000000"/>
                <w:sz w:val="20"/>
                <w:szCs w:val="20"/>
                <w:lang w:val="en-US"/>
              </w:rPr>
              <w:t>1.5</w:t>
            </w:r>
          </w:p>
        </w:tc>
      </w:tr>
      <w:tr w:rsidR="007E7CC5" w:rsidRPr="007A1DB9" w14:paraId="0B532801" w14:textId="77777777" w:rsidTr="00F8020A">
        <w:tc>
          <w:tcPr>
            <w:cnfStyle w:val="001000000000" w:firstRow="0" w:lastRow="0" w:firstColumn="1" w:lastColumn="0" w:oddVBand="0" w:evenVBand="0" w:oddHBand="0" w:evenHBand="0" w:firstRowFirstColumn="0" w:firstRowLastColumn="0" w:lastRowFirstColumn="0" w:lastRowLastColumn="0"/>
            <w:tcW w:w="3079" w:type="dxa"/>
          </w:tcPr>
          <w:p w14:paraId="4758294A" w14:textId="77777777" w:rsidR="007E7CC5" w:rsidRPr="007A1DB9" w:rsidRDefault="007E7CC5" w:rsidP="00F8020A">
            <w:pPr>
              <w:pStyle w:val="BodyText"/>
              <w:jc w:val="right"/>
              <w:rPr>
                <w:rFonts w:asciiTheme="majorHAnsi" w:hAnsiTheme="majorHAnsi" w:cstheme="majorHAnsi"/>
                <w:b w:val="0"/>
                <w:color w:val="FFFFFF" w:themeColor="background1"/>
                <w:sz w:val="20"/>
                <w:lang w:eastAsia="en-AU"/>
              </w:rPr>
            </w:pPr>
            <w:r w:rsidRPr="007A1DB9">
              <w:rPr>
                <w:rFonts w:asciiTheme="majorHAnsi" w:hAnsiTheme="majorHAnsi" w:cstheme="majorHAnsi"/>
                <w:b w:val="0"/>
                <w:color w:val="FFFFFF" w:themeColor="background1"/>
                <w:sz w:val="20"/>
                <w:lang w:eastAsia="en-AU"/>
              </w:rPr>
              <w:t>NSW</w:t>
            </w:r>
          </w:p>
        </w:tc>
        <w:tc>
          <w:tcPr>
            <w:tcW w:w="3078" w:type="dxa"/>
            <w:vAlign w:val="bottom"/>
          </w:tcPr>
          <w:p w14:paraId="1C34D054" w14:textId="6B7BE538" w:rsidR="007E7CC5" w:rsidRPr="007A1DB9" w:rsidRDefault="007E7CC5"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Pr>
                <w:b/>
                <w:bCs/>
                <w:color w:val="000000"/>
                <w:sz w:val="20"/>
                <w:szCs w:val="20"/>
                <w:lang w:val="en-US" w:eastAsia="en-AU"/>
              </w:rPr>
              <w:t>84,000</w:t>
            </w:r>
          </w:p>
        </w:tc>
        <w:tc>
          <w:tcPr>
            <w:tcW w:w="3079" w:type="dxa"/>
            <w:vAlign w:val="bottom"/>
          </w:tcPr>
          <w:p w14:paraId="3128F531" w14:textId="50FB0860" w:rsidR="007E7CC5" w:rsidRPr="007A1DB9" w:rsidRDefault="007E7CC5"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Pr>
                <w:b/>
                <w:bCs/>
                <w:color w:val="000000"/>
                <w:sz w:val="20"/>
                <w:szCs w:val="20"/>
                <w:lang w:val="en-US" w:eastAsia="en-AU"/>
              </w:rPr>
              <w:t>2.5</w:t>
            </w:r>
          </w:p>
        </w:tc>
      </w:tr>
      <w:tr w:rsidR="007E7CC5" w:rsidRPr="007A1DB9" w14:paraId="31E92C31"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Pr>
          <w:p w14:paraId="1032619E" w14:textId="77777777" w:rsidR="007E7CC5" w:rsidRPr="007A1DB9" w:rsidRDefault="007E7CC5" w:rsidP="00F8020A">
            <w:pPr>
              <w:pStyle w:val="BodyText"/>
              <w:jc w:val="right"/>
              <w:rPr>
                <w:rFonts w:asciiTheme="majorHAnsi" w:hAnsiTheme="majorHAnsi" w:cstheme="majorHAnsi"/>
                <w:b w:val="0"/>
                <w:color w:val="FFFFFF" w:themeColor="background1"/>
                <w:sz w:val="20"/>
                <w:lang w:eastAsia="en-AU"/>
              </w:rPr>
            </w:pPr>
            <w:r w:rsidRPr="007A1DB9">
              <w:rPr>
                <w:rFonts w:asciiTheme="majorHAnsi" w:hAnsiTheme="majorHAnsi" w:cstheme="majorHAnsi"/>
                <w:b w:val="0"/>
                <w:color w:val="FFFFFF" w:themeColor="background1"/>
                <w:sz w:val="20"/>
                <w:lang w:eastAsia="en-AU"/>
              </w:rPr>
              <w:t>NT</w:t>
            </w:r>
          </w:p>
        </w:tc>
        <w:tc>
          <w:tcPr>
            <w:tcW w:w="3078" w:type="dxa"/>
            <w:vAlign w:val="bottom"/>
          </w:tcPr>
          <w:p w14:paraId="77D7A72A" w14:textId="602FFB13" w:rsidR="007E7CC5" w:rsidRPr="007A1DB9" w:rsidRDefault="007E7CC5"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Pr>
                <w:b/>
                <w:bCs/>
                <w:color w:val="000000"/>
                <w:sz w:val="20"/>
                <w:szCs w:val="20"/>
                <w:lang w:val="en-US" w:eastAsia="en-AU"/>
              </w:rPr>
              <w:t>1,800</w:t>
            </w:r>
          </w:p>
        </w:tc>
        <w:tc>
          <w:tcPr>
            <w:tcW w:w="3079" w:type="dxa"/>
            <w:vAlign w:val="bottom"/>
          </w:tcPr>
          <w:p w14:paraId="2734DC03" w14:textId="7D914D2E" w:rsidR="007E7CC5" w:rsidRPr="007A1DB9" w:rsidRDefault="007E7CC5"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Pr>
                <w:b/>
                <w:bCs/>
                <w:color w:val="000000"/>
                <w:sz w:val="20"/>
                <w:szCs w:val="20"/>
                <w:lang w:val="en-US" w:eastAsia="en-AU"/>
              </w:rPr>
              <w:t>2.2</w:t>
            </w:r>
          </w:p>
        </w:tc>
      </w:tr>
      <w:tr w:rsidR="007E7CC5" w:rsidRPr="007A1DB9" w14:paraId="33948646" w14:textId="77777777" w:rsidTr="00F8020A">
        <w:tc>
          <w:tcPr>
            <w:cnfStyle w:val="001000000000" w:firstRow="0" w:lastRow="0" w:firstColumn="1" w:lastColumn="0" w:oddVBand="0" w:evenVBand="0" w:oddHBand="0" w:evenHBand="0" w:firstRowFirstColumn="0" w:firstRowLastColumn="0" w:lastRowFirstColumn="0" w:lastRowLastColumn="0"/>
            <w:tcW w:w="3079" w:type="dxa"/>
          </w:tcPr>
          <w:p w14:paraId="59512A1E" w14:textId="77777777" w:rsidR="007E7CC5" w:rsidRPr="007A1DB9" w:rsidRDefault="007E7CC5"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QLD</w:t>
            </w:r>
          </w:p>
        </w:tc>
        <w:tc>
          <w:tcPr>
            <w:tcW w:w="3078" w:type="dxa"/>
            <w:vAlign w:val="bottom"/>
          </w:tcPr>
          <w:p w14:paraId="19C9A455" w14:textId="34FF4DE1" w:rsidR="007E7CC5" w:rsidRPr="007A1DB9" w:rsidRDefault="007E7CC5"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Pr>
                <w:b/>
                <w:bCs/>
                <w:color w:val="000000"/>
                <w:sz w:val="20"/>
                <w:szCs w:val="20"/>
                <w:lang w:val="en-US" w:eastAsia="en-AU"/>
              </w:rPr>
              <w:t>76,000</w:t>
            </w:r>
          </w:p>
        </w:tc>
        <w:tc>
          <w:tcPr>
            <w:tcW w:w="3079" w:type="dxa"/>
            <w:vAlign w:val="bottom"/>
          </w:tcPr>
          <w:p w14:paraId="67B205C7" w14:textId="6ECF0DB9" w:rsidR="007E7CC5" w:rsidRPr="007A1DB9" w:rsidRDefault="007E7CC5"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Pr>
                <w:b/>
                <w:bCs/>
                <w:color w:val="000000"/>
                <w:sz w:val="20"/>
                <w:szCs w:val="20"/>
                <w:lang w:val="en-US" w:eastAsia="en-AU"/>
              </w:rPr>
              <w:t>3.4</w:t>
            </w:r>
          </w:p>
        </w:tc>
      </w:tr>
      <w:tr w:rsidR="007E7CC5" w:rsidRPr="007A1DB9" w14:paraId="08CDC87A"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Pr>
          <w:p w14:paraId="63F0033E" w14:textId="77777777" w:rsidR="007E7CC5" w:rsidRPr="007A1DB9" w:rsidRDefault="007E7CC5"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SA</w:t>
            </w:r>
          </w:p>
        </w:tc>
        <w:tc>
          <w:tcPr>
            <w:tcW w:w="3078" w:type="dxa"/>
            <w:vAlign w:val="bottom"/>
          </w:tcPr>
          <w:p w14:paraId="09B95D3C" w14:textId="0FE4CD3B" w:rsidR="007E7CC5" w:rsidRPr="007A1DB9" w:rsidRDefault="007E7CC5"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Pr>
                <w:b/>
                <w:bCs/>
                <w:color w:val="000000"/>
                <w:sz w:val="20"/>
                <w:szCs w:val="20"/>
                <w:lang w:val="en-US" w:eastAsia="en-AU"/>
              </w:rPr>
              <w:t>26,000</w:t>
            </w:r>
          </w:p>
        </w:tc>
        <w:tc>
          <w:tcPr>
            <w:tcW w:w="3079" w:type="dxa"/>
            <w:vAlign w:val="bottom"/>
          </w:tcPr>
          <w:p w14:paraId="273A7601" w14:textId="7F851BE8" w:rsidR="007E7CC5" w:rsidRPr="007A1DB9" w:rsidRDefault="007E7CC5"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Pr>
                <w:b/>
                <w:bCs/>
                <w:color w:val="000000"/>
                <w:sz w:val="20"/>
                <w:szCs w:val="20"/>
                <w:lang w:val="en-US" w:eastAsia="en-AU"/>
              </w:rPr>
              <w:t>3.3</w:t>
            </w:r>
          </w:p>
        </w:tc>
      </w:tr>
      <w:tr w:rsidR="007E7CC5" w:rsidRPr="007A1DB9" w14:paraId="6319AA24" w14:textId="77777777" w:rsidTr="00F8020A">
        <w:tc>
          <w:tcPr>
            <w:cnfStyle w:val="001000000000" w:firstRow="0" w:lastRow="0" w:firstColumn="1" w:lastColumn="0" w:oddVBand="0" w:evenVBand="0" w:oddHBand="0" w:evenHBand="0" w:firstRowFirstColumn="0" w:firstRowLastColumn="0" w:lastRowFirstColumn="0" w:lastRowLastColumn="0"/>
            <w:tcW w:w="3079" w:type="dxa"/>
          </w:tcPr>
          <w:p w14:paraId="5990A811" w14:textId="77777777" w:rsidR="007E7CC5" w:rsidRPr="007A1DB9" w:rsidRDefault="007E7CC5"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TAS</w:t>
            </w:r>
          </w:p>
        </w:tc>
        <w:tc>
          <w:tcPr>
            <w:tcW w:w="3078" w:type="dxa"/>
            <w:vAlign w:val="bottom"/>
          </w:tcPr>
          <w:p w14:paraId="1D8C7369" w14:textId="19650BDB" w:rsidR="007E7CC5" w:rsidRPr="007A1DB9" w:rsidRDefault="007E7CC5"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Pr>
                <w:b/>
                <w:bCs/>
                <w:color w:val="000000"/>
                <w:sz w:val="20"/>
                <w:szCs w:val="20"/>
                <w:lang w:val="en-US" w:eastAsia="en-AU"/>
              </w:rPr>
              <w:t>20,000</w:t>
            </w:r>
          </w:p>
        </w:tc>
        <w:tc>
          <w:tcPr>
            <w:tcW w:w="3079" w:type="dxa"/>
            <w:vAlign w:val="bottom"/>
          </w:tcPr>
          <w:p w14:paraId="303457D1" w14:textId="7AE3FDC6" w:rsidR="007E7CC5" w:rsidRPr="007A1DB9" w:rsidRDefault="007E7CC5"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Pr>
                <w:b/>
                <w:bCs/>
                <w:color w:val="000000"/>
                <w:sz w:val="20"/>
                <w:szCs w:val="20"/>
                <w:lang w:val="en-US" w:eastAsia="en-AU"/>
              </w:rPr>
              <w:t>7.5</w:t>
            </w:r>
          </w:p>
        </w:tc>
      </w:tr>
      <w:tr w:rsidR="007E7CC5" w:rsidRPr="007A1DB9" w14:paraId="1DD711C2"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Pr>
          <w:p w14:paraId="6AA11046" w14:textId="77777777" w:rsidR="007E7CC5" w:rsidRPr="007A1DB9" w:rsidRDefault="007E7CC5"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VIC</w:t>
            </w:r>
          </w:p>
        </w:tc>
        <w:tc>
          <w:tcPr>
            <w:tcW w:w="3078" w:type="dxa"/>
            <w:vAlign w:val="bottom"/>
          </w:tcPr>
          <w:p w14:paraId="3FFA4E88" w14:textId="6104A999" w:rsidR="007E7CC5" w:rsidRPr="007A1DB9" w:rsidRDefault="007E7CC5"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Pr>
                <w:b/>
                <w:bCs/>
                <w:color w:val="000000"/>
                <w:sz w:val="20"/>
                <w:szCs w:val="20"/>
                <w:lang w:val="en-US" w:eastAsia="en-AU"/>
              </w:rPr>
              <w:t>78,000</w:t>
            </w:r>
          </w:p>
        </w:tc>
        <w:tc>
          <w:tcPr>
            <w:tcW w:w="3079" w:type="dxa"/>
            <w:vAlign w:val="bottom"/>
          </w:tcPr>
          <w:p w14:paraId="00A38FFA" w14:textId="7FB7277E" w:rsidR="007E7CC5" w:rsidRPr="007A1DB9" w:rsidRDefault="007E7CC5"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Pr>
                <w:b/>
                <w:bCs/>
                <w:color w:val="000000"/>
                <w:sz w:val="20"/>
                <w:szCs w:val="20"/>
                <w:lang w:val="en-US" w:eastAsia="en-AU"/>
              </w:rPr>
              <w:t>2.8</w:t>
            </w:r>
          </w:p>
        </w:tc>
      </w:tr>
      <w:tr w:rsidR="007E7CC5" w:rsidRPr="007A1DB9" w14:paraId="1BB52D13" w14:textId="77777777" w:rsidTr="00F8020A">
        <w:tc>
          <w:tcPr>
            <w:cnfStyle w:val="001000000000" w:firstRow="0" w:lastRow="0" w:firstColumn="1" w:lastColumn="0" w:oddVBand="0" w:evenVBand="0" w:oddHBand="0" w:evenHBand="0" w:firstRowFirstColumn="0" w:firstRowLastColumn="0" w:lastRowFirstColumn="0" w:lastRowLastColumn="0"/>
            <w:tcW w:w="3079" w:type="dxa"/>
          </w:tcPr>
          <w:p w14:paraId="5ED11232" w14:textId="77777777" w:rsidR="007E7CC5" w:rsidRPr="007A1DB9" w:rsidRDefault="007E7CC5" w:rsidP="00F8020A">
            <w:pPr>
              <w:pStyle w:val="BodyText"/>
              <w:jc w:val="right"/>
              <w:rPr>
                <w:b w:val="0"/>
                <w:sz w:val="20"/>
              </w:rPr>
            </w:pPr>
            <w:r w:rsidRPr="007A1DB9">
              <w:rPr>
                <w:rFonts w:asciiTheme="majorHAnsi" w:hAnsiTheme="majorHAnsi" w:cstheme="majorHAnsi"/>
                <w:b w:val="0"/>
                <w:color w:val="FFFFFF" w:themeColor="background1"/>
                <w:sz w:val="20"/>
                <w:lang w:eastAsia="en-AU"/>
              </w:rPr>
              <w:t>WA</w:t>
            </w:r>
          </w:p>
        </w:tc>
        <w:tc>
          <w:tcPr>
            <w:tcW w:w="3078" w:type="dxa"/>
            <w:vAlign w:val="bottom"/>
          </w:tcPr>
          <w:p w14:paraId="15B401E3" w14:textId="469ADD74" w:rsidR="007E7CC5" w:rsidRPr="007A1DB9" w:rsidRDefault="007E7CC5"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bCs/>
                <w:color w:val="000000"/>
                <w:sz w:val="20"/>
                <w:szCs w:val="20"/>
                <w:lang w:val="en-US"/>
              </w:rPr>
              <w:t>18,000</w:t>
            </w:r>
          </w:p>
        </w:tc>
        <w:tc>
          <w:tcPr>
            <w:tcW w:w="3079" w:type="dxa"/>
            <w:vAlign w:val="bottom"/>
          </w:tcPr>
          <w:p w14:paraId="35B92B0C" w14:textId="1815555A" w:rsidR="007E7CC5" w:rsidRPr="007A1DB9" w:rsidRDefault="007E7CC5"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bCs/>
                <w:color w:val="000000"/>
                <w:sz w:val="20"/>
                <w:szCs w:val="20"/>
                <w:lang w:val="en-US"/>
              </w:rPr>
              <w:t>1.6</w:t>
            </w:r>
          </w:p>
        </w:tc>
      </w:tr>
      <w:tr w:rsidR="007E7CC5" w:rsidRPr="007A1DB9" w14:paraId="5FBA6D84"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9" w:type="dxa"/>
          </w:tcPr>
          <w:p w14:paraId="108EF0D8" w14:textId="77777777" w:rsidR="007E7CC5" w:rsidRPr="007A1DB9" w:rsidRDefault="007E7CC5" w:rsidP="00F8020A">
            <w:pPr>
              <w:pStyle w:val="BodyText"/>
              <w:jc w:val="right"/>
              <w:rPr>
                <w:sz w:val="20"/>
              </w:rPr>
            </w:pPr>
            <w:r>
              <w:rPr>
                <w:bCs w:val="0"/>
                <w:color w:val="FFFFFF" w:themeColor="background1"/>
                <w:sz w:val="20"/>
                <w:lang w:eastAsia="en-AU"/>
              </w:rPr>
              <w:t>Total</w:t>
            </w:r>
          </w:p>
        </w:tc>
        <w:tc>
          <w:tcPr>
            <w:tcW w:w="3078" w:type="dxa"/>
            <w:vAlign w:val="bottom"/>
          </w:tcPr>
          <w:p w14:paraId="56BA581F" w14:textId="6C3A1F81" w:rsidR="007E7CC5" w:rsidRPr="007A1DB9" w:rsidRDefault="007E7CC5"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bCs/>
                <w:color w:val="000000"/>
                <w:sz w:val="20"/>
                <w:szCs w:val="20"/>
                <w:lang w:val="en-US"/>
              </w:rPr>
              <w:t>307,000</w:t>
            </w:r>
          </w:p>
        </w:tc>
        <w:tc>
          <w:tcPr>
            <w:tcW w:w="3079" w:type="dxa"/>
            <w:vAlign w:val="bottom"/>
          </w:tcPr>
          <w:p w14:paraId="45D38C4E" w14:textId="449005C1" w:rsidR="007E7CC5" w:rsidRPr="00393ECE" w:rsidRDefault="007E7CC5"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bCs/>
                <w:color w:val="000000"/>
                <w:sz w:val="20"/>
                <w:szCs w:val="20"/>
                <w:lang w:val="en-US"/>
              </w:rPr>
              <w:t>2.8</w:t>
            </w:r>
          </w:p>
        </w:tc>
      </w:tr>
    </w:tbl>
    <w:p w14:paraId="0E085159" w14:textId="77777777" w:rsidR="005B762B" w:rsidRDefault="005B762B" w:rsidP="005B762B">
      <w:pPr>
        <w:pStyle w:val="Heading4"/>
      </w:pPr>
      <w:bookmarkStart w:id="125" w:name="_Toc373481227"/>
      <w:bookmarkStart w:id="126" w:name="_Toc373483637"/>
    </w:p>
    <w:p w14:paraId="7025887D" w14:textId="77777777" w:rsidR="005B762B" w:rsidRDefault="005B762B" w:rsidP="005B762B">
      <w:pPr>
        <w:rPr>
          <w:rFonts w:asciiTheme="majorHAnsi" w:eastAsiaTheme="majorEastAsia" w:hAnsiTheme="majorHAnsi" w:cstheme="majorBidi"/>
          <w:color w:val="4F81BD" w:themeColor="accent1"/>
        </w:rPr>
      </w:pPr>
      <w:r>
        <w:br w:type="page"/>
      </w:r>
    </w:p>
    <w:p w14:paraId="6AF21659" w14:textId="77777777" w:rsidR="005B762B" w:rsidRDefault="005B762B" w:rsidP="005B762B">
      <w:pPr>
        <w:pStyle w:val="Heading4"/>
      </w:pPr>
      <w:r>
        <w:t>Port constraints and capped exchanges</w:t>
      </w:r>
      <w:bookmarkEnd w:id="125"/>
      <w:bookmarkEnd w:id="126"/>
    </w:p>
    <w:p w14:paraId="64504699" w14:textId="3CFD8935" w:rsidR="005B762B" w:rsidRPr="00E162F6" w:rsidRDefault="003830A1" w:rsidP="005B762B">
      <w:pPr>
        <w:pStyle w:val="BodyText"/>
      </w:pPr>
      <w:r w:rsidRPr="000B781F">
        <w:rPr>
          <w:lang w:val="en-US"/>
        </w:rPr>
        <w:t>ADSL</w:t>
      </w:r>
      <w:r w:rsidR="005B762B" w:rsidRPr="000B781F">
        <w:rPr>
          <w:lang w:val="en-US"/>
        </w:rPr>
        <w:t xml:space="preserve"> services may be unavailable due to a shortage of available ports at the exchange, including if the exchange is capped and no further equipment to support </w:t>
      </w:r>
      <w:r w:rsidRPr="000B781F">
        <w:rPr>
          <w:lang w:val="en-US"/>
        </w:rPr>
        <w:t>ADSL</w:t>
      </w:r>
      <w:r w:rsidR="005B762B" w:rsidRPr="000B781F">
        <w:rPr>
          <w:lang w:val="en-US"/>
        </w:rPr>
        <w:t xml:space="preserve"> services can be installed. Not all premises served by capped exchanges or those with limited ports are unable to access </w:t>
      </w:r>
      <w:r w:rsidRPr="000B781F">
        <w:rPr>
          <w:lang w:val="en-US"/>
        </w:rPr>
        <w:t>ADSL</w:t>
      </w:r>
      <w:r w:rsidR="005B762B" w:rsidRPr="000B781F">
        <w:rPr>
          <w:lang w:val="en-US"/>
        </w:rPr>
        <w:t xml:space="preserve"> services. Rather, due to these conditions, a proportion may be unable to access a service. It should be noted that port constraints are dynamic and change as customers make alterations to their service orders. For the purposes of this analysis, DAs in ESAs where there were fewer ports than would be required to support an increase in demand of 2 per</w:t>
      </w:r>
      <w:r w:rsidR="005B762B">
        <w:t xml:space="preserve"> cent</w:t>
      </w:r>
      <w:r w:rsidR="005B762B" w:rsidRPr="00C011C8">
        <w:rPr>
          <w:rStyle w:val="FootnoteReference"/>
        </w:rPr>
        <w:footnoteReference w:id="7"/>
      </w:r>
      <w:r w:rsidR="005B762B">
        <w:t xml:space="preserve"> of the number of services in operation as at June 2013, were considered to have </w:t>
      </w:r>
      <w:r w:rsidR="005B762B" w:rsidRPr="00E162F6">
        <w:t>limited ports (Table 3).</w:t>
      </w:r>
    </w:p>
    <w:p w14:paraId="76B13591" w14:textId="2F801622" w:rsidR="005B762B" w:rsidRPr="00E162F6" w:rsidRDefault="005B762B" w:rsidP="005B762B">
      <w:pPr>
        <w:pStyle w:val="Subtitle"/>
        <w:rPr>
          <w:sz w:val="20"/>
        </w:rPr>
      </w:pPr>
      <w:r w:rsidRPr="00E162F6">
        <w:rPr>
          <w:sz w:val="20"/>
        </w:rPr>
        <w:t xml:space="preserve">Table 3. Number of </w:t>
      </w:r>
      <w:r w:rsidR="003830A1">
        <w:rPr>
          <w:sz w:val="20"/>
        </w:rPr>
        <w:t xml:space="preserve">ESA, </w:t>
      </w:r>
      <w:r w:rsidRPr="00E162F6">
        <w:rPr>
          <w:sz w:val="20"/>
        </w:rPr>
        <w:t xml:space="preserve">DAs and premises affected by limited port availability </w:t>
      </w:r>
    </w:p>
    <w:tbl>
      <w:tblPr>
        <w:tblStyle w:val="MediumGrid3-Accent1"/>
        <w:tblW w:w="0" w:type="auto"/>
        <w:tblLook w:val="04A0" w:firstRow="1" w:lastRow="0" w:firstColumn="1" w:lastColumn="0" w:noHBand="0" w:noVBand="1"/>
      </w:tblPr>
      <w:tblGrid>
        <w:gridCol w:w="2341"/>
        <w:gridCol w:w="2135"/>
        <w:gridCol w:w="2358"/>
        <w:gridCol w:w="2402"/>
      </w:tblGrid>
      <w:tr w:rsidR="005B762B" w:rsidRPr="00E162F6" w14:paraId="2EDA3FCE" w14:textId="77777777" w:rsidTr="00F8020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41" w:type="dxa"/>
          </w:tcPr>
          <w:p w14:paraId="076101A7" w14:textId="77777777" w:rsidR="005B762B" w:rsidRPr="00E162F6" w:rsidRDefault="005B762B" w:rsidP="00F8020A">
            <w:pPr>
              <w:pStyle w:val="BodyText"/>
              <w:rPr>
                <w:color w:val="FFFFFF" w:themeColor="background1"/>
                <w:sz w:val="20"/>
              </w:rPr>
            </w:pPr>
            <w:r w:rsidRPr="00E162F6">
              <w:rPr>
                <w:color w:val="FFFFFF" w:themeColor="background1"/>
                <w:sz w:val="20"/>
              </w:rPr>
              <w:t>Limited Ports</w:t>
            </w:r>
          </w:p>
        </w:tc>
        <w:tc>
          <w:tcPr>
            <w:tcW w:w="2135" w:type="dxa"/>
          </w:tcPr>
          <w:p w14:paraId="2F890E74" w14:textId="77777777" w:rsidR="005B762B" w:rsidRPr="00E162F6" w:rsidRDefault="005B762B" w:rsidP="00F8020A">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162F6">
              <w:rPr>
                <w:color w:val="FFFFFF" w:themeColor="background1"/>
                <w:sz w:val="20"/>
              </w:rPr>
              <w:t>Number of Exchange Service Areas</w:t>
            </w:r>
          </w:p>
        </w:tc>
        <w:tc>
          <w:tcPr>
            <w:tcW w:w="2358" w:type="dxa"/>
          </w:tcPr>
          <w:p w14:paraId="37FC471E" w14:textId="77777777" w:rsidR="005B762B" w:rsidRPr="00E162F6" w:rsidRDefault="005B762B" w:rsidP="00F8020A">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E162F6">
              <w:rPr>
                <w:color w:val="FFFFFF" w:themeColor="background1"/>
                <w:sz w:val="20"/>
              </w:rPr>
              <w:t>Number of DAs</w:t>
            </w:r>
          </w:p>
        </w:tc>
        <w:tc>
          <w:tcPr>
            <w:tcW w:w="2402" w:type="dxa"/>
          </w:tcPr>
          <w:p w14:paraId="64410E9B" w14:textId="77777777" w:rsidR="005B762B" w:rsidRPr="00E162F6" w:rsidRDefault="005B762B" w:rsidP="00F8020A">
            <w:pPr>
              <w:pStyle w:val="BodyText"/>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E162F6">
              <w:rPr>
                <w:color w:val="FFFFFF" w:themeColor="background1"/>
                <w:sz w:val="20"/>
              </w:rPr>
              <w:t>Premises in these DAs</w:t>
            </w:r>
          </w:p>
        </w:tc>
      </w:tr>
      <w:tr w:rsidR="005B762B" w:rsidRPr="00E162F6" w14:paraId="7B8E6A24" w14:textId="77777777" w:rsidTr="00F8020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2341" w:type="dxa"/>
          </w:tcPr>
          <w:p w14:paraId="05CE801B" w14:textId="77777777" w:rsidR="005B762B" w:rsidRPr="00E162F6" w:rsidRDefault="005B762B" w:rsidP="00F8020A">
            <w:pPr>
              <w:pStyle w:val="BodyText"/>
              <w:jc w:val="right"/>
              <w:rPr>
                <w:b w:val="0"/>
                <w:sz w:val="20"/>
              </w:rPr>
            </w:pPr>
            <w:r w:rsidRPr="00E162F6">
              <w:rPr>
                <w:rFonts w:asciiTheme="majorHAnsi" w:hAnsiTheme="majorHAnsi" w:cstheme="majorHAnsi"/>
                <w:b w:val="0"/>
                <w:color w:val="FFFFFF" w:themeColor="background1"/>
                <w:sz w:val="20"/>
                <w:lang w:eastAsia="en-AU"/>
              </w:rPr>
              <w:t>ACT</w:t>
            </w:r>
          </w:p>
        </w:tc>
        <w:tc>
          <w:tcPr>
            <w:tcW w:w="2135" w:type="dxa"/>
          </w:tcPr>
          <w:p w14:paraId="5E153D1C"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sz w:val="20"/>
                <w:lang w:val="en-US"/>
              </w:rPr>
            </w:pPr>
            <w:r w:rsidRPr="00E162F6">
              <w:rPr>
                <w:b/>
                <w:color w:val="000000"/>
                <w:sz w:val="20"/>
                <w:lang w:val="en-US"/>
              </w:rPr>
              <w:t>4</w:t>
            </w:r>
          </w:p>
        </w:tc>
        <w:tc>
          <w:tcPr>
            <w:tcW w:w="2358" w:type="dxa"/>
            <w:vAlign w:val="bottom"/>
          </w:tcPr>
          <w:p w14:paraId="6FD648F0"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E162F6">
              <w:rPr>
                <w:b/>
                <w:color w:val="000000"/>
                <w:sz w:val="20"/>
                <w:lang w:val="en-US"/>
              </w:rPr>
              <w:t>116</w:t>
            </w:r>
          </w:p>
        </w:tc>
        <w:tc>
          <w:tcPr>
            <w:tcW w:w="2402" w:type="dxa"/>
            <w:vAlign w:val="bottom"/>
          </w:tcPr>
          <w:p w14:paraId="0AB9235D" w14:textId="79D95691" w:rsidR="005B762B" w:rsidRPr="00E162F6" w:rsidRDefault="00003726" w:rsidP="00872EAF">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color w:val="000000"/>
                <w:sz w:val="20"/>
                <w:lang w:val="en-US"/>
              </w:rPr>
              <w:t>26,</w:t>
            </w:r>
            <w:r w:rsidR="00872EAF">
              <w:rPr>
                <w:b/>
                <w:color w:val="000000"/>
                <w:sz w:val="20"/>
                <w:lang w:val="en-US"/>
              </w:rPr>
              <w:t>400</w:t>
            </w:r>
          </w:p>
        </w:tc>
      </w:tr>
      <w:tr w:rsidR="005B762B" w:rsidRPr="00E162F6" w14:paraId="1BA82133" w14:textId="77777777" w:rsidTr="00F8020A">
        <w:trPr>
          <w:trHeight w:val="332"/>
        </w:trPr>
        <w:tc>
          <w:tcPr>
            <w:cnfStyle w:val="001000000000" w:firstRow="0" w:lastRow="0" w:firstColumn="1" w:lastColumn="0" w:oddVBand="0" w:evenVBand="0" w:oddHBand="0" w:evenHBand="0" w:firstRowFirstColumn="0" w:firstRowLastColumn="0" w:lastRowFirstColumn="0" w:lastRowLastColumn="0"/>
            <w:tcW w:w="2341" w:type="dxa"/>
          </w:tcPr>
          <w:p w14:paraId="218AF299" w14:textId="77777777" w:rsidR="005B762B" w:rsidRPr="00E162F6" w:rsidRDefault="005B762B" w:rsidP="00F8020A">
            <w:pPr>
              <w:pStyle w:val="BodyText"/>
              <w:jc w:val="right"/>
              <w:rPr>
                <w:rFonts w:asciiTheme="majorHAnsi" w:hAnsiTheme="majorHAnsi" w:cstheme="majorHAnsi"/>
                <w:b w:val="0"/>
                <w:color w:val="FFFFFF" w:themeColor="background1"/>
                <w:sz w:val="20"/>
                <w:lang w:eastAsia="en-AU"/>
              </w:rPr>
            </w:pPr>
            <w:r w:rsidRPr="00E162F6">
              <w:rPr>
                <w:rFonts w:asciiTheme="majorHAnsi" w:hAnsiTheme="majorHAnsi" w:cstheme="majorHAnsi"/>
                <w:b w:val="0"/>
                <w:color w:val="FFFFFF" w:themeColor="background1"/>
                <w:sz w:val="20"/>
                <w:lang w:eastAsia="en-AU"/>
              </w:rPr>
              <w:t>NSW</w:t>
            </w:r>
          </w:p>
        </w:tc>
        <w:tc>
          <w:tcPr>
            <w:tcW w:w="2135" w:type="dxa"/>
          </w:tcPr>
          <w:p w14:paraId="6A89934C"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AU"/>
              </w:rPr>
            </w:pPr>
            <w:r w:rsidRPr="00E162F6">
              <w:rPr>
                <w:b/>
                <w:bCs/>
                <w:color w:val="000000"/>
                <w:sz w:val="20"/>
                <w:szCs w:val="20"/>
                <w:lang w:val="en-US" w:eastAsia="en-AU"/>
              </w:rPr>
              <w:t>216</w:t>
            </w:r>
          </w:p>
        </w:tc>
        <w:tc>
          <w:tcPr>
            <w:tcW w:w="2358" w:type="dxa"/>
            <w:vAlign w:val="bottom"/>
          </w:tcPr>
          <w:p w14:paraId="3AE4C1E5" w14:textId="21DAE879" w:rsidR="005B762B" w:rsidRPr="00E162F6" w:rsidRDefault="00003726"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Pr>
                <w:b/>
                <w:bCs/>
                <w:color w:val="000000"/>
                <w:sz w:val="20"/>
                <w:szCs w:val="20"/>
                <w:lang w:val="en-US" w:eastAsia="en-AU"/>
              </w:rPr>
              <w:t>1,862</w:t>
            </w:r>
          </w:p>
        </w:tc>
        <w:tc>
          <w:tcPr>
            <w:tcW w:w="2402" w:type="dxa"/>
            <w:vAlign w:val="bottom"/>
          </w:tcPr>
          <w:p w14:paraId="74EF4E9F" w14:textId="53227C7A" w:rsidR="005B762B" w:rsidRPr="00E162F6" w:rsidRDefault="00003726" w:rsidP="00872EAF">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Pr>
                <w:b/>
                <w:bCs/>
                <w:color w:val="000000"/>
                <w:sz w:val="20"/>
                <w:szCs w:val="20"/>
                <w:lang w:val="en-US" w:eastAsia="en-AU"/>
              </w:rPr>
              <w:t>246,6</w:t>
            </w:r>
            <w:r w:rsidR="00872EAF">
              <w:rPr>
                <w:b/>
                <w:bCs/>
                <w:color w:val="000000"/>
                <w:sz w:val="20"/>
                <w:szCs w:val="20"/>
                <w:lang w:val="en-US" w:eastAsia="en-AU"/>
              </w:rPr>
              <w:t>00</w:t>
            </w:r>
          </w:p>
        </w:tc>
      </w:tr>
      <w:tr w:rsidR="005B762B" w:rsidRPr="00E162F6" w14:paraId="1D047E7E" w14:textId="77777777" w:rsidTr="00F8020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41" w:type="dxa"/>
          </w:tcPr>
          <w:p w14:paraId="1C0E6989" w14:textId="77777777" w:rsidR="005B762B" w:rsidRPr="00E162F6" w:rsidRDefault="005B762B" w:rsidP="00F8020A">
            <w:pPr>
              <w:pStyle w:val="BodyText"/>
              <w:jc w:val="right"/>
              <w:rPr>
                <w:rFonts w:asciiTheme="majorHAnsi" w:hAnsiTheme="majorHAnsi" w:cstheme="majorHAnsi"/>
                <w:b w:val="0"/>
                <w:color w:val="FFFFFF" w:themeColor="background1"/>
                <w:sz w:val="20"/>
                <w:lang w:eastAsia="en-AU"/>
              </w:rPr>
            </w:pPr>
            <w:r w:rsidRPr="00E162F6">
              <w:rPr>
                <w:rFonts w:asciiTheme="majorHAnsi" w:hAnsiTheme="majorHAnsi" w:cstheme="majorHAnsi"/>
                <w:b w:val="0"/>
                <w:color w:val="FFFFFF" w:themeColor="background1"/>
                <w:sz w:val="20"/>
                <w:lang w:eastAsia="en-AU"/>
              </w:rPr>
              <w:t>NT</w:t>
            </w:r>
          </w:p>
        </w:tc>
        <w:tc>
          <w:tcPr>
            <w:tcW w:w="2135" w:type="dxa"/>
          </w:tcPr>
          <w:p w14:paraId="6FF37599"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AU"/>
              </w:rPr>
            </w:pPr>
            <w:r w:rsidRPr="00E162F6">
              <w:rPr>
                <w:b/>
                <w:bCs/>
                <w:color w:val="000000"/>
                <w:sz w:val="20"/>
                <w:szCs w:val="20"/>
                <w:lang w:val="en-US" w:eastAsia="en-AU"/>
              </w:rPr>
              <w:t>7</w:t>
            </w:r>
          </w:p>
        </w:tc>
        <w:tc>
          <w:tcPr>
            <w:tcW w:w="2358" w:type="dxa"/>
            <w:vAlign w:val="bottom"/>
          </w:tcPr>
          <w:p w14:paraId="69F35DB3"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sidRPr="00E162F6">
              <w:rPr>
                <w:b/>
                <w:bCs/>
                <w:color w:val="000000"/>
                <w:sz w:val="20"/>
                <w:szCs w:val="20"/>
                <w:lang w:val="en-US" w:eastAsia="en-AU"/>
              </w:rPr>
              <w:t>138</w:t>
            </w:r>
          </w:p>
        </w:tc>
        <w:tc>
          <w:tcPr>
            <w:tcW w:w="2402" w:type="dxa"/>
            <w:vAlign w:val="bottom"/>
          </w:tcPr>
          <w:p w14:paraId="385E8441" w14:textId="6D0E4396" w:rsidR="005B762B" w:rsidRPr="00E162F6" w:rsidRDefault="00003726" w:rsidP="00872EAF">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Pr>
                <w:b/>
                <w:bCs/>
                <w:color w:val="000000"/>
                <w:sz w:val="20"/>
                <w:szCs w:val="20"/>
                <w:lang w:val="en-US" w:eastAsia="en-AU"/>
              </w:rPr>
              <w:t>24,</w:t>
            </w:r>
            <w:r w:rsidR="00872EAF">
              <w:rPr>
                <w:b/>
                <w:bCs/>
                <w:color w:val="000000"/>
                <w:sz w:val="20"/>
                <w:szCs w:val="20"/>
                <w:lang w:val="en-US" w:eastAsia="en-AU"/>
              </w:rPr>
              <w:t>300</w:t>
            </w:r>
          </w:p>
        </w:tc>
      </w:tr>
      <w:tr w:rsidR="005B762B" w:rsidRPr="00E162F6" w14:paraId="60B70894" w14:textId="77777777" w:rsidTr="00F8020A">
        <w:trPr>
          <w:trHeight w:val="346"/>
        </w:trPr>
        <w:tc>
          <w:tcPr>
            <w:cnfStyle w:val="001000000000" w:firstRow="0" w:lastRow="0" w:firstColumn="1" w:lastColumn="0" w:oddVBand="0" w:evenVBand="0" w:oddHBand="0" w:evenHBand="0" w:firstRowFirstColumn="0" w:firstRowLastColumn="0" w:lastRowFirstColumn="0" w:lastRowLastColumn="0"/>
            <w:tcW w:w="2341" w:type="dxa"/>
          </w:tcPr>
          <w:p w14:paraId="5075692F" w14:textId="77777777" w:rsidR="005B762B" w:rsidRPr="00E162F6" w:rsidRDefault="005B762B" w:rsidP="00F8020A">
            <w:pPr>
              <w:pStyle w:val="BodyText"/>
              <w:jc w:val="right"/>
              <w:rPr>
                <w:rFonts w:asciiTheme="majorHAnsi" w:hAnsiTheme="majorHAnsi" w:cstheme="majorHAnsi"/>
                <w:b w:val="0"/>
                <w:color w:val="FFFFFF" w:themeColor="background1"/>
                <w:sz w:val="20"/>
                <w:lang w:eastAsia="en-AU"/>
              </w:rPr>
            </w:pPr>
            <w:r w:rsidRPr="00E162F6">
              <w:rPr>
                <w:b w:val="0"/>
                <w:color w:val="FFFFFF" w:themeColor="background1"/>
                <w:sz w:val="20"/>
                <w:lang w:eastAsia="en-AU"/>
              </w:rPr>
              <w:t>QLD</w:t>
            </w:r>
          </w:p>
        </w:tc>
        <w:tc>
          <w:tcPr>
            <w:tcW w:w="2135" w:type="dxa"/>
          </w:tcPr>
          <w:p w14:paraId="43511FDE"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AU"/>
              </w:rPr>
            </w:pPr>
            <w:r w:rsidRPr="00E162F6">
              <w:rPr>
                <w:b/>
                <w:bCs/>
                <w:color w:val="000000"/>
                <w:sz w:val="20"/>
                <w:szCs w:val="20"/>
                <w:lang w:val="en-US" w:eastAsia="en-AU"/>
              </w:rPr>
              <w:t>177</w:t>
            </w:r>
          </w:p>
        </w:tc>
        <w:tc>
          <w:tcPr>
            <w:tcW w:w="2358" w:type="dxa"/>
            <w:vAlign w:val="bottom"/>
          </w:tcPr>
          <w:p w14:paraId="1A4061CA" w14:textId="5743C794" w:rsidR="005B762B" w:rsidRPr="00E162F6" w:rsidRDefault="00003726"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Pr>
                <w:b/>
                <w:bCs/>
                <w:color w:val="000000"/>
                <w:sz w:val="20"/>
                <w:szCs w:val="20"/>
                <w:lang w:val="en-US" w:eastAsia="en-AU"/>
              </w:rPr>
              <w:t>1,593</w:t>
            </w:r>
          </w:p>
        </w:tc>
        <w:tc>
          <w:tcPr>
            <w:tcW w:w="2402" w:type="dxa"/>
            <w:vAlign w:val="bottom"/>
          </w:tcPr>
          <w:p w14:paraId="32F44991" w14:textId="5E4C5CCB" w:rsidR="005B762B" w:rsidRPr="00E162F6" w:rsidRDefault="00003726" w:rsidP="00872EAF">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Pr>
                <w:b/>
                <w:bCs/>
                <w:color w:val="000000"/>
                <w:sz w:val="20"/>
                <w:szCs w:val="20"/>
                <w:lang w:val="en-US" w:eastAsia="en-AU"/>
              </w:rPr>
              <w:t>2</w:t>
            </w:r>
            <w:r w:rsidR="00872EAF">
              <w:rPr>
                <w:b/>
                <w:bCs/>
                <w:color w:val="000000"/>
                <w:sz w:val="20"/>
                <w:szCs w:val="20"/>
                <w:lang w:val="en-US" w:eastAsia="en-AU"/>
              </w:rPr>
              <w:t>22</w:t>
            </w:r>
            <w:r>
              <w:rPr>
                <w:b/>
                <w:bCs/>
                <w:color w:val="000000"/>
                <w:sz w:val="20"/>
                <w:szCs w:val="20"/>
                <w:lang w:val="en-US" w:eastAsia="en-AU"/>
              </w:rPr>
              <w:t>,</w:t>
            </w:r>
            <w:r w:rsidR="00872EAF">
              <w:rPr>
                <w:b/>
                <w:bCs/>
                <w:color w:val="000000"/>
                <w:sz w:val="20"/>
                <w:szCs w:val="20"/>
                <w:lang w:val="en-US" w:eastAsia="en-AU"/>
              </w:rPr>
              <w:t>000</w:t>
            </w:r>
          </w:p>
        </w:tc>
      </w:tr>
      <w:tr w:rsidR="005B762B" w:rsidRPr="00E162F6" w14:paraId="4F0C735A" w14:textId="77777777" w:rsidTr="00F8020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341" w:type="dxa"/>
          </w:tcPr>
          <w:p w14:paraId="68D10BDA" w14:textId="77777777" w:rsidR="005B762B" w:rsidRPr="00E162F6" w:rsidRDefault="005B762B" w:rsidP="00F8020A">
            <w:pPr>
              <w:pStyle w:val="BodyText"/>
              <w:jc w:val="right"/>
              <w:rPr>
                <w:rFonts w:asciiTheme="majorHAnsi" w:hAnsiTheme="majorHAnsi" w:cstheme="majorHAnsi"/>
                <w:b w:val="0"/>
                <w:color w:val="FFFFFF" w:themeColor="background1"/>
                <w:sz w:val="20"/>
                <w:lang w:eastAsia="en-AU"/>
              </w:rPr>
            </w:pPr>
            <w:r w:rsidRPr="00E162F6">
              <w:rPr>
                <w:b w:val="0"/>
                <w:color w:val="FFFFFF" w:themeColor="background1"/>
                <w:sz w:val="20"/>
                <w:lang w:eastAsia="en-AU"/>
              </w:rPr>
              <w:t>SA</w:t>
            </w:r>
          </w:p>
        </w:tc>
        <w:tc>
          <w:tcPr>
            <w:tcW w:w="2135" w:type="dxa"/>
          </w:tcPr>
          <w:p w14:paraId="36C08E3A"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rPr>
            </w:pPr>
            <w:r w:rsidRPr="00E162F6">
              <w:rPr>
                <w:b/>
                <w:bCs/>
                <w:color w:val="000000"/>
                <w:sz w:val="20"/>
                <w:szCs w:val="20"/>
                <w:lang w:val="en-US"/>
              </w:rPr>
              <w:t>47</w:t>
            </w:r>
          </w:p>
        </w:tc>
        <w:tc>
          <w:tcPr>
            <w:tcW w:w="2358" w:type="dxa"/>
            <w:vAlign w:val="bottom"/>
          </w:tcPr>
          <w:p w14:paraId="141D0D5B" w14:textId="3290C465" w:rsidR="005B762B" w:rsidRPr="00E162F6" w:rsidRDefault="00003726"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Pr>
                <w:b/>
                <w:bCs/>
                <w:color w:val="000000"/>
                <w:sz w:val="20"/>
                <w:szCs w:val="20"/>
                <w:lang w:val="en-US"/>
              </w:rPr>
              <w:t>259</w:t>
            </w:r>
          </w:p>
        </w:tc>
        <w:tc>
          <w:tcPr>
            <w:tcW w:w="2402" w:type="dxa"/>
            <w:vAlign w:val="bottom"/>
          </w:tcPr>
          <w:p w14:paraId="39961E12" w14:textId="76CB18B3" w:rsidR="005B762B" w:rsidRPr="00E162F6" w:rsidRDefault="00003726"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Pr>
                <w:b/>
                <w:bCs/>
                <w:color w:val="000000"/>
                <w:sz w:val="20"/>
                <w:szCs w:val="20"/>
                <w:lang w:val="en-US" w:eastAsia="en-AU"/>
              </w:rPr>
              <w:t>36,70</w:t>
            </w:r>
            <w:r w:rsidR="00872EAF">
              <w:rPr>
                <w:b/>
                <w:bCs/>
                <w:color w:val="000000"/>
                <w:sz w:val="20"/>
                <w:szCs w:val="20"/>
                <w:lang w:val="en-US" w:eastAsia="en-AU"/>
              </w:rPr>
              <w:t>0</w:t>
            </w:r>
          </w:p>
        </w:tc>
      </w:tr>
      <w:tr w:rsidR="005B762B" w:rsidRPr="00E162F6" w14:paraId="3C035A76" w14:textId="77777777" w:rsidTr="00F8020A">
        <w:trPr>
          <w:trHeight w:val="346"/>
        </w:trPr>
        <w:tc>
          <w:tcPr>
            <w:cnfStyle w:val="001000000000" w:firstRow="0" w:lastRow="0" w:firstColumn="1" w:lastColumn="0" w:oddVBand="0" w:evenVBand="0" w:oddHBand="0" w:evenHBand="0" w:firstRowFirstColumn="0" w:firstRowLastColumn="0" w:lastRowFirstColumn="0" w:lastRowLastColumn="0"/>
            <w:tcW w:w="2341" w:type="dxa"/>
          </w:tcPr>
          <w:p w14:paraId="2BB2233B" w14:textId="77777777" w:rsidR="005B762B" w:rsidRPr="00E162F6" w:rsidRDefault="005B762B" w:rsidP="00F8020A">
            <w:pPr>
              <w:pStyle w:val="BodyText"/>
              <w:jc w:val="right"/>
              <w:rPr>
                <w:rFonts w:asciiTheme="majorHAnsi" w:hAnsiTheme="majorHAnsi" w:cstheme="majorHAnsi"/>
                <w:b w:val="0"/>
                <w:color w:val="FFFFFF" w:themeColor="background1"/>
                <w:sz w:val="20"/>
                <w:lang w:eastAsia="en-AU"/>
              </w:rPr>
            </w:pPr>
            <w:r w:rsidRPr="00E162F6">
              <w:rPr>
                <w:b w:val="0"/>
                <w:color w:val="FFFFFF" w:themeColor="background1"/>
                <w:sz w:val="20"/>
                <w:lang w:eastAsia="en-AU"/>
              </w:rPr>
              <w:t>TAS</w:t>
            </w:r>
          </w:p>
        </w:tc>
        <w:tc>
          <w:tcPr>
            <w:tcW w:w="2135" w:type="dxa"/>
          </w:tcPr>
          <w:p w14:paraId="6BFE589C"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AU"/>
              </w:rPr>
            </w:pPr>
            <w:r w:rsidRPr="00E162F6">
              <w:rPr>
                <w:b/>
                <w:bCs/>
                <w:color w:val="000000"/>
                <w:sz w:val="20"/>
                <w:szCs w:val="20"/>
                <w:lang w:val="en-US" w:eastAsia="en-AU"/>
              </w:rPr>
              <w:t>20</w:t>
            </w:r>
          </w:p>
        </w:tc>
        <w:tc>
          <w:tcPr>
            <w:tcW w:w="2358" w:type="dxa"/>
            <w:vAlign w:val="bottom"/>
          </w:tcPr>
          <w:p w14:paraId="179A5222"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sidRPr="00E162F6">
              <w:rPr>
                <w:b/>
                <w:bCs/>
                <w:color w:val="000000"/>
                <w:sz w:val="20"/>
                <w:szCs w:val="20"/>
                <w:lang w:val="en-US" w:eastAsia="en-AU"/>
              </w:rPr>
              <w:t>179</w:t>
            </w:r>
          </w:p>
        </w:tc>
        <w:tc>
          <w:tcPr>
            <w:tcW w:w="2402" w:type="dxa"/>
            <w:vAlign w:val="bottom"/>
          </w:tcPr>
          <w:p w14:paraId="164DA6C4" w14:textId="687F8C34" w:rsidR="005B762B" w:rsidRPr="00E162F6" w:rsidRDefault="00003726" w:rsidP="00872EAF">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Pr>
                <w:b/>
                <w:bCs/>
                <w:color w:val="000000"/>
                <w:sz w:val="20"/>
                <w:szCs w:val="20"/>
                <w:lang w:val="en-US" w:eastAsia="en-AU"/>
              </w:rPr>
              <w:t>29,</w:t>
            </w:r>
            <w:r w:rsidR="00872EAF">
              <w:rPr>
                <w:b/>
                <w:bCs/>
                <w:color w:val="000000"/>
                <w:sz w:val="20"/>
                <w:szCs w:val="20"/>
                <w:lang w:val="en-US" w:eastAsia="en-AU"/>
              </w:rPr>
              <w:t>500</w:t>
            </w:r>
          </w:p>
        </w:tc>
      </w:tr>
      <w:tr w:rsidR="005B762B" w:rsidRPr="00E162F6" w14:paraId="52988CDB" w14:textId="77777777" w:rsidTr="00F8020A">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341" w:type="dxa"/>
          </w:tcPr>
          <w:p w14:paraId="67B22F9D" w14:textId="77777777" w:rsidR="005B762B" w:rsidRPr="00E162F6" w:rsidRDefault="005B762B" w:rsidP="00F8020A">
            <w:pPr>
              <w:pStyle w:val="BodyText"/>
              <w:jc w:val="right"/>
              <w:rPr>
                <w:rFonts w:asciiTheme="majorHAnsi" w:hAnsiTheme="majorHAnsi" w:cstheme="majorHAnsi"/>
                <w:b w:val="0"/>
                <w:color w:val="FFFFFF" w:themeColor="background1"/>
                <w:sz w:val="20"/>
                <w:lang w:eastAsia="en-AU"/>
              </w:rPr>
            </w:pPr>
            <w:r w:rsidRPr="00E162F6">
              <w:rPr>
                <w:b w:val="0"/>
                <w:color w:val="FFFFFF" w:themeColor="background1"/>
                <w:sz w:val="20"/>
                <w:lang w:eastAsia="en-AU"/>
              </w:rPr>
              <w:t>VIC</w:t>
            </w:r>
          </w:p>
        </w:tc>
        <w:tc>
          <w:tcPr>
            <w:tcW w:w="2135" w:type="dxa"/>
          </w:tcPr>
          <w:p w14:paraId="39D99691"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AU"/>
              </w:rPr>
            </w:pPr>
            <w:r w:rsidRPr="00E162F6">
              <w:rPr>
                <w:b/>
                <w:bCs/>
                <w:color w:val="000000"/>
                <w:sz w:val="20"/>
                <w:szCs w:val="20"/>
                <w:lang w:val="en-US" w:eastAsia="en-AU"/>
              </w:rPr>
              <w:t>171</w:t>
            </w:r>
          </w:p>
        </w:tc>
        <w:tc>
          <w:tcPr>
            <w:tcW w:w="2358" w:type="dxa"/>
            <w:vAlign w:val="bottom"/>
          </w:tcPr>
          <w:p w14:paraId="6B720E2B" w14:textId="0032866E" w:rsidR="005B762B" w:rsidRPr="00E162F6" w:rsidRDefault="00003726"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Pr>
                <w:b/>
                <w:bCs/>
                <w:color w:val="000000"/>
                <w:sz w:val="20"/>
                <w:szCs w:val="20"/>
                <w:lang w:val="en-US" w:eastAsia="en-AU"/>
              </w:rPr>
              <w:t>2,262</w:t>
            </w:r>
          </w:p>
        </w:tc>
        <w:tc>
          <w:tcPr>
            <w:tcW w:w="2402" w:type="dxa"/>
            <w:vAlign w:val="bottom"/>
          </w:tcPr>
          <w:p w14:paraId="11966B21" w14:textId="2D5BCDC7" w:rsidR="005B762B" w:rsidRPr="00E162F6" w:rsidRDefault="00003726" w:rsidP="00872EAF">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lang w:eastAsia="en-AU"/>
              </w:rPr>
            </w:pPr>
            <w:r>
              <w:rPr>
                <w:b/>
                <w:bCs/>
                <w:color w:val="000000"/>
                <w:sz w:val="20"/>
                <w:szCs w:val="20"/>
                <w:lang w:val="en-US" w:eastAsia="en-AU"/>
              </w:rPr>
              <w:t>316,</w:t>
            </w:r>
            <w:r w:rsidR="00872EAF">
              <w:rPr>
                <w:b/>
                <w:bCs/>
                <w:color w:val="000000"/>
                <w:sz w:val="20"/>
                <w:szCs w:val="20"/>
                <w:lang w:val="en-US" w:eastAsia="en-AU"/>
              </w:rPr>
              <w:t>300</w:t>
            </w:r>
          </w:p>
        </w:tc>
      </w:tr>
      <w:tr w:rsidR="005B762B" w:rsidRPr="00E162F6" w14:paraId="427540B2" w14:textId="77777777" w:rsidTr="00F8020A">
        <w:trPr>
          <w:trHeight w:val="346"/>
        </w:trPr>
        <w:tc>
          <w:tcPr>
            <w:cnfStyle w:val="001000000000" w:firstRow="0" w:lastRow="0" w:firstColumn="1" w:lastColumn="0" w:oddVBand="0" w:evenVBand="0" w:oddHBand="0" w:evenHBand="0" w:firstRowFirstColumn="0" w:firstRowLastColumn="0" w:lastRowFirstColumn="0" w:lastRowLastColumn="0"/>
            <w:tcW w:w="2341" w:type="dxa"/>
          </w:tcPr>
          <w:p w14:paraId="41608C6B" w14:textId="77777777" w:rsidR="005B762B" w:rsidRPr="00E162F6" w:rsidRDefault="005B762B" w:rsidP="00F8020A">
            <w:pPr>
              <w:pStyle w:val="BodyText"/>
              <w:jc w:val="right"/>
              <w:rPr>
                <w:b w:val="0"/>
                <w:sz w:val="20"/>
              </w:rPr>
            </w:pPr>
            <w:r w:rsidRPr="00E162F6">
              <w:rPr>
                <w:rFonts w:asciiTheme="majorHAnsi" w:hAnsiTheme="majorHAnsi" w:cstheme="majorHAnsi"/>
                <w:b w:val="0"/>
                <w:color w:val="FFFFFF" w:themeColor="background1"/>
                <w:sz w:val="20"/>
                <w:lang w:eastAsia="en-AU"/>
              </w:rPr>
              <w:t>WA</w:t>
            </w:r>
          </w:p>
        </w:tc>
        <w:tc>
          <w:tcPr>
            <w:tcW w:w="2135" w:type="dxa"/>
          </w:tcPr>
          <w:p w14:paraId="2FF7BD10"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bCs/>
                <w:color w:val="000000"/>
                <w:sz w:val="20"/>
                <w:szCs w:val="20"/>
                <w:lang w:val="en-US" w:eastAsia="en-AU"/>
              </w:rPr>
            </w:pPr>
            <w:r w:rsidRPr="00E162F6">
              <w:rPr>
                <w:b/>
                <w:bCs/>
                <w:color w:val="000000"/>
                <w:sz w:val="20"/>
                <w:szCs w:val="20"/>
                <w:lang w:val="en-US" w:eastAsia="en-AU"/>
              </w:rPr>
              <w:t>72</w:t>
            </w:r>
          </w:p>
        </w:tc>
        <w:tc>
          <w:tcPr>
            <w:tcW w:w="2358" w:type="dxa"/>
            <w:vAlign w:val="bottom"/>
          </w:tcPr>
          <w:p w14:paraId="4E1CE0A2" w14:textId="35F21E64" w:rsidR="005B762B" w:rsidRPr="00E162F6" w:rsidRDefault="00003726"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bCs/>
                <w:color w:val="000000"/>
                <w:sz w:val="20"/>
                <w:szCs w:val="20"/>
                <w:lang w:val="en-US" w:eastAsia="en-AU"/>
              </w:rPr>
              <w:t>1,165</w:t>
            </w:r>
          </w:p>
        </w:tc>
        <w:tc>
          <w:tcPr>
            <w:tcW w:w="2402" w:type="dxa"/>
            <w:vAlign w:val="bottom"/>
          </w:tcPr>
          <w:p w14:paraId="44E28E2D" w14:textId="2484B50D" w:rsidR="005B762B" w:rsidRPr="00E162F6" w:rsidRDefault="00003726"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bCs/>
                <w:color w:val="000000"/>
                <w:sz w:val="20"/>
                <w:szCs w:val="20"/>
                <w:lang w:val="en-US" w:eastAsia="en-AU"/>
              </w:rPr>
              <w:t>191,30</w:t>
            </w:r>
            <w:r w:rsidR="00872EAF">
              <w:rPr>
                <w:b/>
                <w:bCs/>
                <w:color w:val="000000"/>
                <w:sz w:val="20"/>
                <w:szCs w:val="20"/>
                <w:lang w:val="en-US" w:eastAsia="en-AU"/>
              </w:rPr>
              <w:t>0</w:t>
            </w:r>
          </w:p>
        </w:tc>
      </w:tr>
      <w:tr w:rsidR="005B762B" w:rsidRPr="00E162F6" w14:paraId="610D8555" w14:textId="77777777" w:rsidTr="00F8020A">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41" w:type="dxa"/>
          </w:tcPr>
          <w:p w14:paraId="273FB92B" w14:textId="77777777" w:rsidR="005B762B" w:rsidRPr="00E162F6" w:rsidRDefault="005B762B" w:rsidP="00F8020A">
            <w:pPr>
              <w:pStyle w:val="BodyText"/>
              <w:jc w:val="right"/>
              <w:rPr>
                <w:sz w:val="20"/>
              </w:rPr>
            </w:pPr>
            <w:r w:rsidRPr="00E162F6">
              <w:rPr>
                <w:bCs w:val="0"/>
                <w:color w:val="FFFFFF" w:themeColor="background1"/>
                <w:sz w:val="20"/>
                <w:lang w:eastAsia="en-AU"/>
              </w:rPr>
              <w:t xml:space="preserve">Total </w:t>
            </w:r>
          </w:p>
        </w:tc>
        <w:tc>
          <w:tcPr>
            <w:tcW w:w="2135" w:type="dxa"/>
          </w:tcPr>
          <w:p w14:paraId="52AF6B8E"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eastAsia="en-AU"/>
              </w:rPr>
            </w:pPr>
            <w:r w:rsidRPr="00E162F6">
              <w:rPr>
                <w:b/>
                <w:bCs/>
                <w:color w:val="000000"/>
                <w:sz w:val="20"/>
                <w:szCs w:val="20"/>
                <w:lang w:val="en-US" w:eastAsia="en-AU"/>
              </w:rPr>
              <w:t>714</w:t>
            </w:r>
          </w:p>
        </w:tc>
        <w:tc>
          <w:tcPr>
            <w:tcW w:w="2358" w:type="dxa"/>
            <w:vAlign w:val="bottom"/>
          </w:tcPr>
          <w:p w14:paraId="2EBE049F" w14:textId="12227B95" w:rsidR="005B762B" w:rsidRPr="00E162F6" w:rsidRDefault="00003726"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bCs/>
                <w:color w:val="000000"/>
                <w:sz w:val="20"/>
                <w:szCs w:val="20"/>
                <w:lang w:val="en-US" w:eastAsia="en-AU"/>
              </w:rPr>
              <w:t>7,574</w:t>
            </w:r>
          </w:p>
        </w:tc>
        <w:tc>
          <w:tcPr>
            <w:tcW w:w="2402" w:type="dxa"/>
            <w:vAlign w:val="bottom"/>
          </w:tcPr>
          <w:p w14:paraId="4AC42007" w14:textId="4FEBBE06" w:rsidR="005B762B" w:rsidRPr="00E162F6" w:rsidRDefault="00003726" w:rsidP="00896A7F">
            <w:pPr>
              <w:pStyle w:val="BodyText"/>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Pr>
                <w:b/>
                <w:bCs/>
                <w:color w:val="000000"/>
                <w:sz w:val="20"/>
                <w:szCs w:val="20"/>
                <w:lang w:val="en-US" w:eastAsia="en-AU"/>
              </w:rPr>
              <w:t>1,093,</w:t>
            </w:r>
            <w:r w:rsidR="00896A7F">
              <w:rPr>
                <w:b/>
                <w:bCs/>
                <w:color w:val="000000"/>
                <w:sz w:val="20"/>
                <w:szCs w:val="20"/>
                <w:lang w:val="en-US" w:eastAsia="en-AU"/>
              </w:rPr>
              <w:t>100</w:t>
            </w:r>
          </w:p>
        </w:tc>
      </w:tr>
    </w:tbl>
    <w:p w14:paraId="5EC0F115" w14:textId="4A21A7A0" w:rsidR="00E162F6" w:rsidRPr="000B781F" w:rsidRDefault="005B762B" w:rsidP="005B762B">
      <w:pPr>
        <w:pStyle w:val="BodyText"/>
        <w:spacing w:before="240"/>
        <w:rPr>
          <w:lang w:val="en-US"/>
        </w:rPr>
      </w:pPr>
      <w:r w:rsidRPr="000B781F">
        <w:rPr>
          <w:lang w:val="en-US"/>
        </w:rPr>
        <w:t xml:space="preserve">A carrier may retail </w:t>
      </w:r>
      <w:r w:rsidR="003830A1" w:rsidRPr="000B781F">
        <w:rPr>
          <w:lang w:val="en-US"/>
        </w:rPr>
        <w:t>ADSL</w:t>
      </w:r>
      <w:r w:rsidRPr="000B781F">
        <w:rPr>
          <w:lang w:val="en-US"/>
        </w:rPr>
        <w:t xml:space="preserve"> services by installing its own DSLAM in an exchange building and using it in conjunction with purchased wholesale access to the individual copper line (Unconditioned Local Loop Service - ULLS), or purchased wholesale access to the non-voice frequency spectrum on a copper line (Line Sharing Services - LSS). To install this equipment, a carrier needs to access physical space in a Telstra exchange and electrical equipment racks (Telstra Equipment Building Access (TEBA) space, as well as space on the Main Distribution Frame (MDF) which provides the interface between the DSLAM and the copper line to a premises). Premises may be unable to access an </w:t>
      </w:r>
      <w:r w:rsidR="003830A1" w:rsidRPr="000B781F">
        <w:rPr>
          <w:lang w:val="en-US"/>
        </w:rPr>
        <w:t>ADSL</w:t>
      </w:r>
      <w:r w:rsidRPr="000B781F">
        <w:rPr>
          <w:lang w:val="en-US"/>
        </w:rPr>
        <w:t xml:space="preserve"> service if there is no free space in the exchange (TEBA) or on the MDF. Table 4 sets out those DAs affected by these constraints. </w:t>
      </w:r>
    </w:p>
    <w:p w14:paraId="3A5DE26B" w14:textId="77777777" w:rsidR="00E162F6" w:rsidRDefault="00E162F6">
      <w:pPr>
        <w:rPr>
          <w:rFonts w:asciiTheme="majorHAnsi" w:eastAsiaTheme="minorEastAsia" w:hAnsiTheme="majorHAnsi" w:cstheme="majorHAnsi"/>
          <w:color w:val="48494B"/>
        </w:rPr>
      </w:pPr>
      <w:r>
        <w:rPr>
          <w:rFonts w:asciiTheme="majorHAnsi" w:hAnsiTheme="majorHAnsi" w:cstheme="majorHAnsi"/>
          <w:color w:val="48494B"/>
        </w:rPr>
        <w:br w:type="page"/>
      </w:r>
    </w:p>
    <w:p w14:paraId="2AED9F5A" w14:textId="2CB3B96D" w:rsidR="005B762B" w:rsidRPr="00E162F6" w:rsidRDefault="005B762B" w:rsidP="005B762B">
      <w:pPr>
        <w:pStyle w:val="Subtitle"/>
        <w:spacing w:before="240"/>
        <w:rPr>
          <w:sz w:val="20"/>
          <w:szCs w:val="20"/>
        </w:rPr>
      </w:pPr>
      <w:r w:rsidRPr="00E162F6">
        <w:rPr>
          <w:sz w:val="20"/>
          <w:szCs w:val="20"/>
        </w:rPr>
        <w:t xml:space="preserve">Table 4. Number of </w:t>
      </w:r>
      <w:r w:rsidR="003830A1">
        <w:rPr>
          <w:sz w:val="20"/>
          <w:szCs w:val="20"/>
        </w:rPr>
        <w:t xml:space="preserve">ESAs, </w:t>
      </w:r>
      <w:r w:rsidRPr="00E162F6">
        <w:rPr>
          <w:sz w:val="20"/>
          <w:szCs w:val="20"/>
        </w:rPr>
        <w:t>DAs and premises served by capped exchanges</w:t>
      </w:r>
    </w:p>
    <w:tbl>
      <w:tblPr>
        <w:tblStyle w:val="MediumGrid3-Accent1"/>
        <w:tblW w:w="0" w:type="auto"/>
        <w:tblLook w:val="04A0" w:firstRow="1" w:lastRow="0" w:firstColumn="1" w:lastColumn="0" w:noHBand="0" w:noVBand="1"/>
      </w:tblPr>
      <w:tblGrid>
        <w:gridCol w:w="2394"/>
        <w:gridCol w:w="2102"/>
        <w:gridCol w:w="2356"/>
        <w:gridCol w:w="2384"/>
      </w:tblGrid>
      <w:tr w:rsidR="005B762B" w:rsidRPr="00E162F6" w14:paraId="32EF666A"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90708AC" w14:textId="77777777" w:rsidR="005B762B" w:rsidRPr="00E162F6" w:rsidRDefault="005B762B" w:rsidP="00F8020A">
            <w:pPr>
              <w:pStyle w:val="BodyText"/>
              <w:rPr>
                <w:b w:val="0"/>
                <w:bCs w:val="0"/>
                <w:sz w:val="22"/>
              </w:rPr>
            </w:pPr>
            <w:r w:rsidRPr="00E162F6">
              <w:rPr>
                <w:color w:val="FFFFFF" w:themeColor="background1"/>
                <w:sz w:val="22"/>
              </w:rPr>
              <w:t>Capped Exchange</w:t>
            </w:r>
          </w:p>
        </w:tc>
        <w:tc>
          <w:tcPr>
            <w:tcW w:w="2102" w:type="dxa"/>
          </w:tcPr>
          <w:p w14:paraId="1DE4AB8B" w14:textId="77777777" w:rsidR="005B762B" w:rsidRPr="00E162F6" w:rsidRDefault="005B762B" w:rsidP="00F8020A">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E162F6">
              <w:rPr>
                <w:color w:val="FFFFFF" w:themeColor="background1"/>
                <w:sz w:val="20"/>
              </w:rPr>
              <w:t>Number of Exchange Service Areas</w:t>
            </w:r>
          </w:p>
        </w:tc>
        <w:tc>
          <w:tcPr>
            <w:tcW w:w="2356" w:type="dxa"/>
          </w:tcPr>
          <w:p w14:paraId="6895AD1D" w14:textId="77777777" w:rsidR="005B762B" w:rsidRPr="00E162F6" w:rsidRDefault="005B762B" w:rsidP="00F8020A">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E162F6">
              <w:rPr>
                <w:color w:val="FFFFFF" w:themeColor="background1"/>
                <w:sz w:val="22"/>
              </w:rPr>
              <w:t>Number of DAs</w:t>
            </w:r>
          </w:p>
        </w:tc>
        <w:tc>
          <w:tcPr>
            <w:tcW w:w="2384" w:type="dxa"/>
          </w:tcPr>
          <w:p w14:paraId="511F2586" w14:textId="77777777" w:rsidR="005B762B" w:rsidRPr="00E162F6" w:rsidRDefault="005B762B" w:rsidP="00F8020A">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E162F6">
              <w:rPr>
                <w:color w:val="FFFFFF" w:themeColor="background1"/>
                <w:sz w:val="22"/>
              </w:rPr>
              <w:t>Premises in these DAs</w:t>
            </w:r>
          </w:p>
        </w:tc>
      </w:tr>
      <w:tr w:rsidR="005B762B" w:rsidRPr="00E162F6" w14:paraId="05431A9B"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538B718" w14:textId="77777777" w:rsidR="005B762B" w:rsidRPr="00E162F6" w:rsidRDefault="005B762B" w:rsidP="00F8020A">
            <w:pPr>
              <w:pStyle w:val="BodyText"/>
              <w:jc w:val="right"/>
              <w:rPr>
                <w:b w:val="0"/>
                <w:sz w:val="20"/>
              </w:rPr>
            </w:pPr>
            <w:r w:rsidRPr="00E162F6">
              <w:rPr>
                <w:rFonts w:asciiTheme="majorHAnsi" w:hAnsiTheme="majorHAnsi" w:cstheme="majorHAnsi"/>
                <w:b w:val="0"/>
                <w:color w:val="FFFFFF" w:themeColor="background1"/>
                <w:sz w:val="20"/>
                <w:lang w:eastAsia="en-AU"/>
              </w:rPr>
              <w:t>ACT</w:t>
            </w:r>
          </w:p>
        </w:tc>
        <w:tc>
          <w:tcPr>
            <w:tcW w:w="2102" w:type="dxa"/>
          </w:tcPr>
          <w:p w14:paraId="0BD4CB3E"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E162F6">
              <w:rPr>
                <w:b/>
                <w:color w:val="000000" w:themeColor="text1"/>
                <w:sz w:val="20"/>
              </w:rPr>
              <w:t>-</w:t>
            </w:r>
          </w:p>
        </w:tc>
        <w:tc>
          <w:tcPr>
            <w:tcW w:w="2356" w:type="dxa"/>
          </w:tcPr>
          <w:p w14:paraId="7D85D3D9"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E162F6">
              <w:rPr>
                <w:b/>
                <w:color w:val="000000" w:themeColor="text1"/>
                <w:sz w:val="20"/>
              </w:rPr>
              <w:t>-</w:t>
            </w:r>
          </w:p>
        </w:tc>
        <w:tc>
          <w:tcPr>
            <w:tcW w:w="2384" w:type="dxa"/>
          </w:tcPr>
          <w:p w14:paraId="121D333B"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E162F6">
              <w:rPr>
                <w:b/>
                <w:color w:val="000000" w:themeColor="text1"/>
                <w:sz w:val="20"/>
              </w:rPr>
              <w:t>-</w:t>
            </w:r>
          </w:p>
        </w:tc>
      </w:tr>
      <w:tr w:rsidR="005B762B" w:rsidRPr="00E162F6" w14:paraId="0F9560C1" w14:textId="77777777" w:rsidTr="00F8020A">
        <w:tc>
          <w:tcPr>
            <w:cnfStyle w:val="001000000000" w:firstRow="0" w:lastRow="0" w:firstColumn="1" w:lastColumn="0" w:oddVBand="0" w:evenVBand="0" w:oddHBand="0" w:evenHBand="0" w:firstRowFirstColumn="0" w:firstRowLastColumn="0" w:lastRowFirstColumn="0" w:lastRowLastColumn="0"/>
            <w:tcW w:w="2394" w:type="dxa"/>
          </w:tcPr>
          <w:p w14:paraId="7A605A50" w14:textId="77777777" w:rsidR="005B762B" w:rsidRPr="00E162F6" w:rsidRDefault="005B762B" w:rsidP="00F8020A">
            <w:pPr>
              <w:pStyle w:val="BodyText"/>
              <w:jc w:val="right"/>
              <w:rPr>
                <w:rFonts w:asciiTheme="majorHAnsi" w:hAnsiTheme="majorHAnsi" w:cstheme="majorHAnsi"/>
                <w:b w:val="0"/>
                <w:color w:val="FFFFFF" w:themeColor="background1"/>
                <w:sz w:val="20"/>
                <w:lang w:eastAsia="en-AU"/>
              </w:rPr>
            </w:pPr>
            <w:r w:rsidRPr="00E162F6">
              <w:rPr>
                <w:rFonts w:asciiTheme="majorHAnsi" w:hAnsiTheme="majorHAnsi" w:cstheme="majorHAnsi"/>
                <w:b w:val="0"/>
                <w:color w:val="FFFFFF" w:themeColor="background1"/>
                <w:sz w:val="20"/>
                <w:lang w:eastAsia="en-AU"/>
              </w:rPr>
              <w:t>NSW</w:t>
            </w:r>
          </w:p>
        </w:tc>
        <w:tc>
          <w:tcPr>
            <w:tcW w:w="2102" w:type="dxa"/>
          </w:tcPr>
          <w:p w14:paraId="5D759D21"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E162F6">
              <w:rPr>
                <w:b/>
                <w:color w:val="000000" w:themeColor="text1"/>
                <w:sz w:val="20"/>
              </w:rPr>
              <w:t>1</w:t>
            </w:r>
          </w:p>
        </w:tc>
        <w:tc>
          <w:tcPr>
            <w:tcW w:w="2356" w:type="dxa"/>
          </w:tcPr>
          <w:p w14:paraId="0419F4C0"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E162F6">
              <w:rPr>
                <w:b/>
                <w:color w:val="000000" w:themeColor="text1"/>
                <w:sz w:val="20"/>
              </w:rPr>
              <w:t>9</w:t>
            </w:r>
          </w:p>
        </w:tc>
        <w:tc>
          <w:tcPr>
            <w:tcW w:w="2384" w:type="dxa"/>
          </w:tcPr>
          <w:p w14:paraId="72CF2398"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E162F6">
              <w:rPr>
                <w:b/>
                <w:color w:val="000000" w:themeColor="text1"/>
                <w:sz w:val="20"/>
              </w:rPr>
              <w:t>7,400</w:t>
            </w:r>
          </w:p>
        </w:tc>
      </w:tr>
      <w:tr w:rsidR="005B762B" w:rsidRPr="00E162F6" w14:paraId="7572A768"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0AD7A31" w14:textId="77777777" w:rsidR="005B762B" w:rsidRPr="00E162F6" w:rsidRDefault="005B762B" w:rsidP="00F8020A">
            <w:pPr>
              <w:pStyle w:val="BodyText"/>
              <w:jc w:val="right"/>
              <w:rPr>
                <w:rFonts w:asciiTheme="majorHAnsi" w:hAnsiTheme="majorHAnsi" w:cstheme="majorHAnsi"/>
                <w:b w:val="0"/>
                <w:color w:val="FFFFFF" w:themeColor="background1"/>
                <w:sz w:val="20"/>
                <w:lang w:eastAsia="en-AU"/>
              </w:rPr>
            </w:pPr>
            <w:r w:rsidRPr="00E162F6">
              <w:rPr>
                <w:rFonts w:asciiTheme="majorHAnsi" w:hAnsiTheme="majorHAnsi" w:cstheme="majorHAnsi"/>
                <w:b w:val="0"/>
                <w:color w:val="FFFFFF" w:themeColor="background1"/>
                <w:sz w:val="20"/>
                <w:lang w:eastAsia="en-AU"/>
              </w:rPr>
              <w:t>NT</w:t>
            </w:r>
          </w:p>
        </w:tc>
        <w:tc>
          <w:tcPr>
            <w:tcW w:w="2102" w:type="dxa"/>
          </w:tcPr>
          <w:p w14:paraId="4A359ED7"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E162F6">
              <w:rPr>
                <w:b/>
                <w:color w:val="000000" w:themeColor="text1"/>
                <w:sz w:val="20"/>
              </w:rPr>
              <w:t>-</w:t>
            </w:r>
          </w:p>
        </w:tc>
        <w:tc>
          <w:tcPr>
            <w:tcW w:w="2356" w:type="dxa"/>
          </w:tcPr>
          <w:p w14:paraId="061B6D4F"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E162F6">
              <w:rPr>
                <w:b/>
                <w:color w:val="000000" w:themeColor="text1"/>
                <w:sz w:val="20"/>
              </w:rPr>
              <w:t>-</w:t>
            </w:r>
          </w:p>
        </w:tc>
        <w:tc>
          <w:tcPr>
            <w:tcW w:w="2384" w:type="dxa"/>
          </w:tcPr>
          <w:p w14:paraId="653D22F3"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E162F6">
              <w:rPr>
                <w:b/>
                <w:color w:val="000000" w:themeColor="text1"/>
                <w:sz w:val="20"/>
              </w:rPr>
              <w:t>-</w:t>
            </w:r>
          </w:p>
        </w:tc>
      </w:tr>
      <w:tr w:rsidR="005B762B" w:rsidRPr="007A1DB9" w14:paraId="6C82C72D" w14:textId="77777777" w:rsidTr="00F8020A">
        <w:tc>
          <w:tcPr>
            <w:cnfStyle w:val="001000000000" w:firstRow="0" w:lastRow="0" w:firstColumn="1" w:lastColumn="0" w:oddVBand="0" w:evenVBand="0" w:oddHBand="0" w:evenHBand="0" w:firstRowFirstColumn="0" w:firstRowLastColumn="0" w:lastRowFirstColumn="0" w:lastRowLastColumn="0"/>
            <w:tcW w:w="2394" w:type="dxa"/>
          </w:tcPr>
          <w:p w14:paraId="4A8D2689" w14:textId="77777777" w:rsidR="005B762B" w:rsidRPr="00E162F6" w:rsidRDefault="005B762B" w:rsidP="00F8020A">
            <w:pPr>
              <w:pStyle w:val="BodyText"/>
              <w:jc w:val="right"/>
              <w:rPr>
                <w:rFonts w:asciiTheme="majorHAnsi" w:hAnsiTheme="majorHAnsi" w:cstheme="majorHAnsi"/>
                <w:b w:val="0"/>
                <w:color w:val="FFFFFF" w:themeColor="background1"/>
                <w:sz w:val="20"/>
                <w:lang w:eastAsia="en-AU"/>
              </w:rPr>
            </w:pPr>
            <w:r w:rsidRPr="00E162F6">
              <w:rPr>
                <w:b w:val="0"/>
                <w:color w:val="FFFFFF" w:themeColor="background1"/>
                <w:sz w:val="20"/>
                <w:lang w:eastAsia="en-AU"/>
              </w:rPr>
              <w:t>QLD</w:t>
            </w:r>
          </w:p>
        </w:tc>
        <w:tc>
          <w:tcPr>
            <w:tcW w:w="2102" w:type="dxa"/>
          </w:tcPr>
          <w:p w14:paraId="240C22DF"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E162F6">
              <w:rPr>
                <w:b/>
                <w:color w:val="000000" w:themeColor="text1"/>
                <w:sz w:val="20"/>
              </w:rPr>
              <w:t>8</w:t>
            </w:r>
          </w:p>
        </w:tc>
        <w:tc>
          <w:tcPr>
            <w:tcW w:w="2356" w:type="dxa"/>
          </w:tcPr>
          <w:p w14:paraId="00A29B55"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E162F6">
              <w:rPr>
                <w:b/>
                <w:color w:val="000000" w:themeColor="text1"/>
                <w:sz w:val="20"/>
              </w:rPr>
              <w:t>220</w:t>
            </w:r>
          </w:p>
        </w:tc>
        <w:tc>
          <w:tcPr>
            <w:tcW w:w="2384" w:type="dxa"/>
          </w:tcPr>
          <w:p w14:paraId="792DC8F1" w14:textId="21E5BD2E" w:rsidR="005B762B" w:rsidRPr="007A1DB9" w:rsidRDefault="00896A7F"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color w:val="000000" w:themeColor="text1"/>
                <w:sz w:val="20"/>
              </w:rPr>
              <w:t>33,</w:t>
            </w:r>
            <w:r w:rsidR="007F00A6">
              <w:rPr>
                <w:b/>
                <w:color w:val="000000" w:themeColor="text1"/>
                <w:sz w:val="20"/>
              </w:rPr>
              <w:t>2</w:t>
            </w:r>
            <w:r>
              <w:rPr>
                <w:b/>
                <w:color w:val="000000" w:themeColor="text1"/>
                <w:sz w:val="20"/>
              </w:rPr>
              <w:t>0</w:t>
            </w:r>
            <w:r w:rsidR="00872EAF">
              <w:rPr>
                <w:b/>
                <w:color w:val="000000" w:themeColor="text1"/>
                <w:sz w:val="20"/>
              </w:rPr>
              <w:t>0</w:t>
            </w:r>
          </w:p>
        </w:tc>
      </w:tr>
      <w:tr w:rsidR="005B762B" w:rsidRPr="007A1DB9" w14:paraId="13C004D3"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01FF7DD"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SA</w:t>
            </w:r>
          </w:p>
        </w:tc>
        <w:tc>
          <w:tcPr>
            <w:tcW w:w="2102" w:type="dxa"/>
          </w:tcPr>
          <w:p w14:paraId="1574D67E"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E162F6">
              <w:rPr>
                <w:b/>
                <w:color w:val="000000" w:themeColor="text1"/>
                <w:sz w:val="20"/>
              </w:rPr>
              <w:t>1</w:t>
            </w:r>
          </w:p>
        </w:tc>
        <w:tc>
          <w:tcPr>
            <w:tcW w:w="2356" w:type="dxa"/>
          </w:tcPr>
          <w:p w14:paraId="3E556755" w14:textId="77777777" w:rsidR="005B762B" w:rsidRPr="007A1DB9"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color w:val="000000" w:themeColor="text1"/>
                <w:sz w:val="20"/>
              </w:rPr>
              <w:t>19</w:t>
            </w:r>
          </w:p>
        </w:tc>
        <w:tc>
          <w:tcPr>
            <w:tcW w:w="2384" w:type="dxa"/>
          </w:tcPr>
          <w:p w14:paraId="6D69ED43" w14:textId="77777777" w:rsidR="005B762B" w:rsidRPr="007A1DB9"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7A1DB9">
              <w:rPr>
                <w:b/>
                <w:color w:val="000000" w:themeColor="text1"/>
                <w:sz w:val="20"/>
              </w:rPr>
              <w:t>2,800</w:t>
            </w:r>
          </w:p>
        </w:tc>
      </w:tr>
      <w:tr w:rsidR="005B762B" w:rsidRPr="007A1DB9" w14:paraId="46AAA06B" w14:textId="77777777" w:rsidTr="00F8020A">
        <w:tc>
          <w:tcPr>
            <w:cnfStyle w:val="001000000000" w:firstRow="0" w:lastRow="0" w:firstColumn="1" w:lastColumn="0" w:oddVBand="0" w:evenVBand="0" w:oddHBand="0" w:evenHBand="0" w:firstRowFirstColumn="0" w:firstRowLastColumn="0" w:lastRowFirstColumn="0" w:lastRowLastColumn="0"/>
            <w:tcW w:w="2394" w:type="dxa"/>
          </w:tcPr>
          <w:p w14:paraId="4885D244"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TAS</w:t>
            </w:r>
          </w:p>
        </w:tc>
        <w:tc>
          <w:tcPr>
            <w:tcW w:w="2102" w:type="dxa"/>
          </w:tcPr>
          <w:p w14:paraId="50E05CB5"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lang w:eastAsia="en-AU"/>
              </w:rPr>
            </w:pPr>
            <w:r w:rsidRPr="00E162F6">
              <w:rPr>
                <w:b/>
                <w:color w:val="000000" w:themeColor="text1"/>
                <w:sz w:val="20"/>
                <w:lang w:eastAsia="en-AU"/>
              </w:rPr>
              <w:t>-</w:t>
            </w:r>
          </w:p>
        </w:tc>
        <w:tc>
          <w:tcPr>
            <w:tcW w:w="2356" w:type="dxa"/>
          </w:tcPr>
          <w:p w14:paraId="4A517C12" w14:textId="77777777" w:rsidR="005B762B" w:rsidRPr="007A1DB9"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7A1DB9">
              <w:rPr>
                <w:b/>
                <w:color w:val="000000" w:themeColor="text1"/>
                <w:sz w:val="20"/>
                <w:lang w:eastAsia="en-AU"/>
              </w:rPr>
              <w:t>-</w:t>
            </w:r>
          </w:p>
        </w:tc>
        <w:tc>
          <w:tcPr>
            <w:tcW w:w="2384" w:type="dxa"/>
          </w:tcPr>
          <w:p w14:paraId="3311A318" w14:textId="77777777" w:rsidR="005B762B" w:rsidRPr="007A1DB9"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7A1DB9">
              <w:rPr>
                <w:b/>
                <w:color w:val="000000" w:themeColor="text1"/>
                <w:sz w:val="20"/>
              </w:rPr>
              <w:t>-</w:t>
            </w:r>
          </w:p>
        </w:tc>
      </w:tr>
      <w:tr w:rsidR="005B762B" w:rsidRPr="007A1DB9" w14:paraId="2B560FE2"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AD8F467"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VIC</w:t>
            </w:r>
          </w:p>
        </w:tc>
        <w:tc>
          <w:tcPr>
            <w:tcW w:w="2102" w:type="dxa"/>
          </w:tcPr>
          <w:p w14:paraId="1024CA7E"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E162F6">
              <w:rPr>
                <w:b/>
                <w:color w:val="000000" w:themeColor="text1"/>
                <w:sz w:val="20"/>
              </w:rPr>
              <w:t>7</w:t>
            </w:r>
          </w:p>
        </w:tc>
        <w:tc>
          <w:tcPr>
            <w:tcW w:w="2356" w:type="dxa"/>
          </w:tcPr>
          <w:p w14:paraId="6E790AA7" w14:textId="77777777" w:rsidR="005B762B" w:rsidRPr="007A1DB9"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color w:val="000000" w:themeColor="text1"/>
                <w:sz w:val="20"/>
              </w:rPr>
              <w:t>351</w:t>
            </w:r>
          </w:p>
        </w:tc>
        <w:tc>
          <w:tcPr>
            <w:tcW w:w="2384" w:type="dxa"/>
          </w:tcPr>
          <w:p w14:paraId="349AA26D" w14:textId="05974EC1" w:rsidR="005B762B" w:rsidRPr="007A1DB9" w:rsidRDefault="00872EAF"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color w:val="000000" w:themeColor="text1"/>
                <w:sz w:val="20"/>
              </w:rPr>
              <w:t>53,000</w:t>
            </w:r>
          </w:p>
        </w:tc>
      </w:tr>
      <w:tr w:rsidR="005B762B" w:rsidRPr="007A1DB9" w14:paraId="576B6BA5" w14:textId="77777777" w:rsidTr="00F8020A">
        <w:tc>
          <w:tcPr>
            <w:cnfStyle w:val="001000000000" w:firstRow="0" w:lastRow="0" w:firstColumn="1" w:lastColumn="0" w:oddVBand="0" w:evenVBand="0" w:oddHBand="0" w:evenHBand="0" w:firstRowFirstColumn="0" w:firstRowLastColumn="0" w:lastRowFirstColumn="0" w:lastRowLastColumn="0"/>
            <w:tcW w:w="2394" w:type="dxa"/>
          </w:tcPr>
          <w:p w14:paraId="1FAC143D" w14:textId="77777777" w:rsidR="005B762B" w:rsidRPr="007A1DB9" w:rsidRDefault="005B762B" w:rsidP="00F8020A">
            <w:pPr>
              <w:pStyle w:val="BodyText"/>
              <w:jc w:val="right"/>
              <w:rPr>
                <w:b w:val="0"/>
                <w:sz w:val="20"/>
              </w:rPr>
            </w:pPr>
            <w:r w:rsidRPr="007A1DB9">
              <w:rPr>
                <w:rFonts w:asciiTheme="majorHAnsi" w:hAnsiTheme="majorHAnsi" w:cstheme="majorHAnsi"/>
                <w:b w:val="0"/>
                <w:color w:val="FFFFFF" w:themeColor="background1"/>
                <w:sz w:val="20"/>
                <w:lang w:eastAsia="en-AU"/>
              </w:rPr>
              <w:t>WA</w:t>
            </w:r>
          </w:p>
        </w:tc>
        <w:tc>
          <w:tcPr>
            <w:tcW w:w="2102" w:type="dxa"/>
          </w:tcPr>
          <w:p w14:paraId="27913869" w14:textId="77777777" w:rsidR="005B762B" w:rsidRPr="00E162F6"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E162F6">
              <w:rPr>
                <w:b/>
                <w:color w:val="000000" w:themeColor="text1"/>
                <w:sz w:val="20"/>
              </w:rPr>
              <w:t>3</w:t>
            </w:r>
          </w:p>
        </w:tc>
        <w:tc>
          <w:tcPr>
            <w:tcW w:w="2356" w:type="dxa"/>
          </w:tcPr>
          <w:p w14:paraId="092DDC3B" w14:textId="77777777" w:rsidR="005B762B" w:rsidRPr="007A1DB9"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color w:val="000000" w:themeColor="text1"/>
                <w:sz w:val="20"/>
              </w:rPr>
              <w:t>48</w:t>
            </w:r>
          </w:p>
        </w:tc>
        <w:tc>
          <w:tcPr>
            <w:tcW w:w="2384" w:type="dxa"/>
          </w:tcPr>
          <w:p w14:paraId="3F666CDF" w14:textId="77777777" w:rsidR="005B762B" w:rsidRPr="007A1DB9"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sidRPr="007A1DB9">
              <w:rPr>
                <w:b/>
                <w:color w:val="000000" w:themeColor="text1"/>
                <w:sz w:val="20"/>
              </w:rPr>
              <w:t>6,500</w:t>
            </w:r>
          </w:p>
        </w:tc>
      </w:tr>
      <w:tr w:rsidR="005B762B" w:rsidRPr="007A1DB9" w14:paraId="23A2604E"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F0D8177" w14:textId="77777777" w:rsidR="005B762B" w:rsidRPr="007A1DB9" w:rsidRDefault="005B762B" w:rsidP="00F8020A">
            <w:pPr>
              <w:pStyle w:val="BodyText"/>
              <w:jc w:val="right"/>
              <w:rPr>
                <w:sz w:val="20"/>
              </w:rPr>
            </w:pPr>
            <w:r>
              <w:rPr>
                <w:bCs w:val="0"/>
                <w:color w:val="FFFFFF" w:themeColor="background1"/>
                <w:sz w:val="20"/>
                <w:lang w:eastAsia="en-AU"/>
              </w:rPr>
              <w:t>Total</w:t>
            </w:r>
          </w:p>
        </w:tc>
        <w:tc>
          <w:tcPr>
            <w:tcW w:w="2102" w:type="dxa"/>
          </w:tcPr>
          <w:p w14:paraId="542C9AFB" w14:textId="77777777" w:rsidR="005B762B" w:rsidRPr="00E162F6"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E162F6">
              <w:rPr>
                <w:b/>
                <w:color w:val="000000" w:themeColor="text1"/>
                <w:sz w:val="20"/>
              </w:rPr>
              <w:t>20</w:t>
            </w:r>
          </w:p>
        </w:tc>
        <w:tc>
          <w:tcPr>
            <w:tcW w:w="2356" w:type="dxa"/>
          </w:tcPr>
          <w:p w14:paraId="4E426679" w14:textId="77777777" w:rsidR="005B762B" w:rsidRPr="007A1DB9"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color w:val="000000" w:themeColor="text1"/>
                <w:sz w:val="20"/>
              </w:rPr>
              <w:t>647</w:t>
            </w:r>
          </w:p>
        </w:tc>
        <w:tc>
          <w:tcPr>
            <w:tcW w:w="2384" w:type="dxa"/>
          </w:tcPr>
          <w:p w14:paraId="6462213F" w14:textId="11FFFE33" w:rsidR="005B762B" w:rsidRPr="007A1DB9" w:rsidRDefault="005B762B" w:rsidP="00896A7F">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7A1DB9">
              <w:rPr>
                <w:b/>
                <w:color w:val="000000" w:themeColor="text1"/>
                <w:sz w:val="20"/>
              </w:rPr>
              <w:t>102,</w:t>
            </w:r>
            <w:r w:rsidR="00C010A8">
              <w:rPr>
                <w:b/>
                <w:color w:val="000000" w:themeColor="text1"/>
                <w:sz w:val="20"/>
              </w:rPr>
              <w:t>9</w:t>
            </w:r>
            <w:r w:rsidR="00896A7F">
              <w:rPr>
                <w:b/>
                <w:color w:val="000000" w:themeColor="text1"/>
                <w:sz w:val="20"/>
              </w:rPr>
              <w:t>00</w:t>
            </w:r>
          </w:p>
        </w:tc>
      </w:tr>
    </w:tbl>
    <w:p w14:paraId="275551D3" w14:textId="77777777" w:rsidR="005B762B" w:rsidRDefault="005B762B" w:rsidP="005B762B">
      <w:pPr>
        <w:pStyle w:val="Heading4"/>
      </w:pPr>
      <w:r>
        <w:t xml:space="preserve">Pair </w:t>
      </w:r>
      <w:bookmarkEnd w:id="123"/>
      <w:bookmarkEnd w:id="124"/>
      <w:r>
        <w:t>gain systems</w:t>
      </w:r>
    </w:p>
    <w:p w14:paraId="0F30DC0E" w14:textId="2CF546CF" w:rsidR="005B762B" w:rsidRPr="005F32AC" w:rsidRDefault="005B762B" w:rsidP="005F32AC">
      <w:pPr>
        <w:pStyle w:val="BodyText"/>
      </w:pPr>
      <w:r w:rsidRPr="005F32AC">
        <w:t xml:space="preserve">Pair gain systems allow multiple standard telephone lines to be carried over a single pair of copper wires. They are typically used to ensure the timely delivery of voice services in outer metropolitan areas or new estates. There are a variety of types of small, medium and large pair gain systems at exchanges across Australia today, including a remote integrated multiplexer (RIM) which, for example can typically deliver between 120 and 480 telephone services. Some pair gain systems can support the delivery of </w:t>
      </w:r>
      <w:r w:rsidR="003830A1" w:rsidRPr="005F32AC">
        <w:t>ADSL</w:t>
      </w:r>
      <w:r w:rsidRPr="005F32AC">
        <w:t xml:space="preserve"> services, whereas others cannot, or at least require additional network remediation before such services can be delivered (refer Appendix</w:t>
      </w:r>
      <w:r w:rsidR="00A232DD" w:rsidRPr="005F32AC">
        <w:t xml:space="preserve"> E</w:t>
      </w:r>
      <w:r w:rsidRPr="005F32AC">
        <w:t xml:space="preserve"> for more detail).</w:t>
      </w:r>
    </w:p>
    <w:p w14:paraId="6076B4BD" w14:textId="24DF5771" w:rsidR="005B762B" w:rsidRPr="000B781F" w:rsidRDefault="005B762B" w:rsidP="005F32AC">
      <w:pPr>
        <w:pStyle w:val="BodyText"/>
        <w:rPr>
          <w:lang w:val="en-US"/>
        </w:rPr>
      </w:pPr>
      <w:r w:rsidRPr="005F32AC">
        <w:t xml:space="preserve">It should be noted that not all premises within each DA will be affected by pair gains—only a proportion of premises will experience </w:t>
      </w:r>
      <w:r w:rsidR="003830A1" w:rsidRPr="005F32AC">
        <w:t>ADSL</w:t>
      </w:r>
      <w:r w:rsidRPr="005F32AC">
        <w:t xml:space="preserve"> service constraints as a result of a pair gain system. Additionally, the impediment created by these systems may be temporary, where the specific system is considered to be ‘recoverable’</w:t>
      </w:r>
      <w:r w:rsidRPr="005F32AC">
        <w:rPr>
          <w:vertAlign w:val="superscript"/>
        </w:rPr>
        <w:footnoteReference w:id="8"/>
      </w:r>
      <w:r w:rsidRPr="005F32AC">
        <w:t xml:space="preserve">. That is, an </w:t>
      </w:r>
      <w:r w:rsidR="003830A1" w:rsidRPr="005F32AC">
        <w:t>ADSL</w:t>
      </w:r>
      <w:r w:rsidRPr="005F32AC">
        <w:t xml:space="preserve"> service could be connected to the premises by a process of transpositioning.</w:t>
      </w:r>
      <w:r w:rsidRPr="000B781F">
        <w:rPr>
          <w:lang w:val="en-US"/>
        </w:rPr>
        <w:t xml:space="preserve"> </w:t>
      </w:r>
    </w:p>
    <w:p w14:paraId="4500A494" w14:textId="161B9420" w:rsidR="00E162F6" w:rsidRPr="005F32AC" w:rsidRDefault="005B762B" w:rsidP="005F32AC">
      <w:pPr>
        <w:pStyle w:val="BodyText"/>
      </w:pPr>
      <w:r w:rsidRPr="005F32AC">
        <w:t xml:space="preserve">The impediment to access </w:t>
      </w:r>
      <w:r w:rsidR="003830A1" w:rsidRPr="005F32AC">
        <w:t>ADSL</w:t>
      </w:r>
      <w:r w:rsidRPr="005F32AC">
        <w:t xml:space="preserve"> services caused by the presence of these systems has been incorporated into the calculation of broadband availability ratings which are reduced in proportion with the number of premises affected in each DA. Table 5 provides a breakdown of the total DAs affected by large pair gain systems (where at least </w:t>
      </w:r>
      <w:r w:rsidR="003830A1" w:rsidRPr="005F32AC">
        <w:t>one</w:t>
      </w:r>
      <w:r w:rsidRPr="005F32AC">
        <w:t xml:space="preserve"> premises in a DA is prevented from accessing an </w:t>
      </w:r>
      <w:r w:rsidR="003830A1" w:rsidRPr="005F32AC">
        <w:t>ADSL</w:t>
      </w:r>
      <w:r w:rsidRPr="005F32AC">
        <w:t xml:space="preserve"> service). </w:t>
      </w:r>
    </w:p>
    <w:p w14:paraId="7D953733" w14:textId="77777777" w:rsidR="00E162F6" w:rsidRDefault="00E162F6" w:rsidP="00341842">
      <w:pPr>
        <w:pStyle w:val="BodyText"/>
      </w:pPr>
      <w:r>
        <w:br w:type="page"/>
      </w:r>
    </w:p>
    <w:p w14:paraId="44B6AD83" w14:textId="77777777" w:rsidR="005B762B" w:rsidRPr="00125A98" w:rsidRDefault="005B762B" w:rsidP="005B762B">
      <w:pPr>
        <w:pStyle w:val="Subtitle"/>
        <w:rPr>
          <w:sz w:val="20"/>
        </w:rPr>
      </w:pPr>
      <w:r w:rsidRPr="00125A98">
        <w:rPr>
          <w:sz w:val="20"/>
        </w:rPr>
        <w:t xml:space="preserve">Table </w:t>
      </w:r>
      <w:r>
        <w:rPr>
          <w:sz w:val="20"/>
        </w:rPr>
        <w:t xml:space="preserve">5. The state/territory distribution of DAs affected by large pair gains </w:t>
      </w:r>
    </w:p>
    <w:tbl>
      <w:tblPr>
        <w:tblStyle w:val="MediumGrid3-Accent1"/>
        <w:tblW w:w="0" w:type="auto"/>
        <w:tblLook w:val="04A0" w:firstRow="1" w:lastRow="0" w:firstColumn="1" w:lastColumn="0" w:noHBand="0" w:noVBand="1"/>
      </w:tblPr>
      <w:tblGrid>
        <w:gridCol w:w="2988"/>
        <w:gridCol w:w="6120"/>
      </w:tblGrid>
      <w:tr w:rsidR="005B762B" w:rsidRPr="007A1DB9" w14:paraId="704F3E16"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2F2B5C13" w14:textId="77777777" w:rsidR="005B762B" w:rsidRPr="007A1DB9" w:rsidRDefault="005B762B" w:rsidP="00F8020A">
            <w:pPr>
              <w:pStyle w:val="BodyText"/>
              <w:jc w:val="center"/>
              <w:rPr>
                <w:rFonts w:asciiTheme="majorHAnsi" w:hAnsiTheme="majorHAnsi" w:cstheme="majorHAnsi"/>
                <w:color w:val="FFFFFF" w:themeColor="background1"/>
                <w:sz w:val="22"/>
                <w:lang w:eastAsia="en-AU"/>
              </w:rPr>
            </w:pPr>
            <w:r w:rsidRPr="007A1DB9">
              <w:rPr>
                <w:rFonts w:asciiTheme="majorHAnsi" w:hAnsiTheme="majorHAnsi" w:cstheme="majorHAnsi"/>
                <w:color w:val="FFFFFF" w:themeColor="background1"/>
                <w:sz w:val="22"/>
                <w:lang w:eastAsia="en-AU"/>
              </w:rPr>
              <w:t>Large pair gains</w:t>
            </w:r>
          </w:p>
        </w:tc>
        <w:tc>
          <w:tcPr>
            <w:tcW w:w="6120" w:type="dxa"/>
          </w:tcPr>
          <w:p w14:paraId="2D780471" w14:textId="77777777" w:rsidR="005B762B" w:rsidRPr="007A1DB9" w:rsidRDefault="005B762B" w:rsidP="00F8020A">
            <w:pPr>
              <w:pStyle w:val="BodyText"/>
              <w:jc w:val="center"/>
              <w:cnfStyle w:val="100000000000" w:firstRow="1" w:lastRow="0" w:firstColumn="0" w:lastColumn="0" w:oddVBand="0" w:evenVBand="0" w:oddHBand="0" w:evenHBand="0" w:firstRowFirstColumn="0" w:firstRowLastColumn="0" w:lastRowFirstColumn="0" w:lastRowLastColumn="0"/>
              <w:rPr>
                <w:color w:val="000000"/>
                <w:sz w:val="22"/>
                <w:lang w:eastAsia="en-AU"/>
              </w:rPr>
            </w:pPr>
            <w:r w:rsidRPr="007A1DB9">
              <w:rPr>
                <w:rFonts w:asciiTheme="majorHAnsi" w:hAnsiTheme="majorHAnsi" w:cstheme="majorHAnsi"/>
                <w:bCs w:val="0"/>
                <w:color w:val="FFFFFF" w:themeColor="background1"/>
                <w:sz w:val="22"/>
                <w:szCs w:val="18"/>
                <w:lang w:eastAsia="en-AU"/>
              </w:rPr>
              <w:t xml:space="preserve"> Percentage of </w:t>
            </w:r>
            <w:r>
              <w:rPr>
                <w:rFonts w:asciiTheme="majorHAnsi" w:hAnsiTheme="majorHAnsi" w:cstheme="majorHAnsi"/>
                <w:bCs w:val="0"/>
                <w:color w:val="FFFFFF" w:themeColor="background1"/>
                <w:sz w:val="22"/>
                <w:szCs w:val="18"/>
                <w:lang w:eastAsia="en-AU"/>
              </w:rPr>
              <w:t xml:space="preserve">total </w:t>
            </w:r>
            <w:r w:rsidRPr="007A1DB9">
              <w:rPr>
                <w:rFonts w:asciiTheme="majorHAnsi" w:hAnsiTheme="majorHAnsi" w:cstheme="majorHAnsi"/>
                <w:bCs w:val="0"/>
                <w:color w:val="FFFFFF" w:themeColor="background1"/>
                <w:sz w:val="22"/>
                <w:szCs w:val="18"/>
                <w:lang w:eastAsia="en-AU"/>
              </w:rPr>
              <w:t xml:space="preserve">DAs </w:t>
            </w:r>
            <w:r>
              <w:rPr>
                <w:rFonts w:asciiTheme="majorHAnsi" w:hAnsiTheme="majorHAnsi" w:cstheme="majorHAnsi"/>
                <w:bCs w:val="0"/>
                <w:color w:val="FFFFFF" w:themeColor="background1"/>
                <w:sz w:val="22"/>
                <w:szCs w:val="18"/>
                <w:lang w:eastAsia="en-AU"/>
              </w:rPr>
              <w:t>in each state/territory affected by a large pair gain system</w:t>
            </w:r>
          </w:p>
        </w:tc>
      </w:tr>
      <w:tr w:rsidR="005B762B" w:rsidRPr="007A1DB9" w14:paraId="03FC8F4D"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2B0DC66F" w14:textId="77777777" w:rsidR="005B762B" w:rsidRPr="007A1DB9" w:rsidRDefault="005B762B" w:rsidP="00F8020A">
            <w:pPr>
              <w:pStyle w:val="BodyText"/>
              <w:jc w:val="right"/>
              <w:rPr>
                <w:b w:val="0"/>
                <w:sz w:val="20"/>
              </w:rPr>
            </w:pPr>
            <w:r w:rsidRPr="007A1DB9">
              <w:rPr>
                <w:rFonts w:asciiTheme="majorHAnsi" w:hAnsiTheme="majorHAnsi" w:cstheme="majorHAnsi"/>
                <w:b w:val="0"/>
                <w:color w:val="FFFFFF" w:themeColor="background1"/>
                <w:sz w:val="20"/>
                <w:lang w:eastAsia="en-AU"/>
              </w:rPr>
              <w:t>ACT</w:t>
            </w:r>
          </w:p>
        </w:tc>
        <w:tc>
          <w:tcPr>
            <w:tcW w:w="6120" w:type="dxa"/>
            <w:vAlign w:val="center"/>
          </w:tcPr>
          <w:p w14:paraId="4A824E24" w14:textId="77777777" w:rsidR="005B762B" w:rsidRPr="00280C55"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280C55">
              <w:rPr>
                <w:b/>
                <w:color w:val="000000" w:themeColor="text1"/>
                <w:sz w:val="20"/>
              </w:rPr>
              <w:t>4.0</w:t>
            </w:r>
          </w:p>
        </w:tc>
      </w:tr>
      <w:tr w:rsidR="005B762B" w:rsidRPr="007A1DB9" w14:paraId="08C93CFC" w14:textId="77777777" w:rsidTr="00F8020A">
        <w:tc>
          <w:tcPr>
            <w:cnfStyle w:val="001000000000" w:firstRow="0" w:lastRow="0" w:firstColumn="1" w:lastColumn="0" w:oddVBand="0" w:evenVBand="0" w:oddHBand="0" w:evenHBand="0" w:firstRowFirstColumn="0" w:firstRowLastColumn="0" w:lastRowFirstColumn="0" w:lastRowLastColumn="0"/>
            <w:tcW w:w="2988" w:type="dxa"/>
          </w:tcPr>
          <w:p w14:paraId="0B1236BF"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rFonts w:asciiTheme="majorHAnsi" w:hAnsiTheme="majorHAnsi" w:cstheme="majorHAnsi"/>
                <w:b w:val="0"/>
                <w:color w:val="FFFFFF" w:themeColor="background1"/>
                <w:sz w:val="20"/>
                <w:lang w:eastAsia="en-AU"/>
              </w:rPr>
              <w:t>NSW</w:t>
            </w:r>
          </w:p>
        </w:tc>
        <w:tc>
          <w:tcPr>
            <w:tcW w:w="6120" w:type="dxa"/>
            <w:vAlign w:val="center"/>
          </w:tcPr>
          <w:p w14:paraId="54CAF296" w14:textId="77777777" w:rsidR="005B762B" w:rsidRPr="007A1DB9"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sz w:val="20"/>
              </w:rPr>
            </w:pPr>
            <w:r>
              <w:rPr>
                <w:rFonts w:cs="Calibri"/>
                <w:b/>
                <w:bCs/>
                <w:color w:val="000000" w:themeColor="text1"/>
                <w:sz w:val="20"/>
              </w:rPr>
              <w:t>6.6</w:t>
            </w:r>
          </w:p>
        </w:tc>
      </w:tr>
      <w:tr w:rsidR="005B762B" w:rsidRPr="007A1DB9" w14:paraId="5B7F379C"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2B3556E1"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rFonts w:asciiTheme="majorHAnsi" w:hAnsiTheme="majorHAnsi" w:cstheme="majorHAnsi"/>
                <w:b w:val="0"/>
                <w:color w:val="FFFFFF" w:themeColor="background1"/>
                <w:sz w:val="20"/>
                <w:lang w:eastAsia="en-AU"/>
              </w:rPr>
              <w:t>NT</w:t>
            </w:r>
          </w:p>
        </w:tc>
        <w:tc>
          <w:tcPr>
            <w:tcW w:w="6120" w:type="dxa"/>
            <w:vAlign w:val="center"/>
          </w:tcPr>
          <w:p w14:paraId="3852CC95" w14:textId="77777777" w:rsidR="005B762B" w:rsidRPr="007A1DB9"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rFonts w:cs="Calibri"/>
                <w:b/>
                <w:bCs/>
                <w:color w:val="000000" w:themeColor="text1"/>
                <w:sz w:val="20"/>
              </w:rPr>
            </w:pPr>
            <w:r>
              <w:rPr>
                <w:rFonts w:cs="Calibri"/>
                <w:b/>
                <w:bCs/>
                <w:color w:val="000000" w:themeColor="text1"/>
                <w:sz w:val="20"/>
              </w:rPr>
              <w:t>5.5</w:t>
            </w:r>
          </w:p>
        </w:tc>
      </w:tr>
      <w:tr w:rsidR="005B762B" w:rsidRPr="007A1DB9" w14:paraId="00D2ABC5" w14:textId="77777777" w:rsidTr="00F8020A">
        <w:tc>
          <w:tcPr>
            <w:cnfStyle w:val="001000000000" w:firstRow="0" w:lastRow="0" w:firstColumn="1" w:lastColumn="0" w:oddVBand="0" w:evenVBand="0" w:oddHBand="0" w:evenHBand="0" w:firstRowFirstColumn="0" w:firstRowLastColumn="0" w:lastRowFirstColumn="0" w:lastRowLastColumn="0"/>
            <w:tcW w:w="2988" w:type="dxa"/>
          </w:tcPr>
          <w:p w14:paraId="3A854073"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QLD</w:t>
            </w:r>
          </w:p>
        </w:tc>
        <w:tc>
          <w:tcPr>
            <w:tcW w:w="6120" w:type="dxa"/>
            <w:vAlign w:val="center"/>
          </w:tcPr>
          <w:p w14:paraId="25066162" w14:textId="77777777" w:rsidR="005B762B" w:rsidRPr="007A1DB9"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sz w:val="20"/>
              </w:rPr>
            </w:pPr>
            <w:r>
              <w:rPr>
                <w:rFonts w:cs="Calibri"/>
                <w:b/>
                <w:bCs/>
                <w:color w:val="000000" w:themeColor="text1"/>
                <w:sz w:val="20"/>
              </w:rPr>
              <w:t>4.1</w:t>
            </w:r>
          </w:p>
        </w:tc>
      </w:tr>
      <w:tr w:rsidR="005B762B" w:rsidRPr="007A1DB9" w14:paraId="4A56E720"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2D145CC4"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SA</w:t>
            </w:r>
          </w:p>
        </w:tc>
        <w:tc>
          <w:tcPr>
            <w:tcW w:w="6120" w:type="dxa"/>
            <w:vAlign w:val="center"/>
          </w:tcPr>
          <w:p w14:paraId="01378787" w14:textId="77777777" w:rsidR="005B762B" w:rsidRPr="007A1DB9"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rFonts w:cs="Calibri"/>
                <w:b/>
                <w:bCs/>
                <w:color w:val="000000" w:themeColor="text1"/>
                <w:sz w:val="20"/>
              </w:rPr>
            </w:pPr>
            <w:r>
              <w:rPr>
                <w:rFonts w:cs="Calibri"/>
                <w:b/>
                <w:bCs/>
                <w:color w:val="000000" w:themeColor="text1"/>
                <w:sz w:val="20"/>
              </w:rPr>
              <w:t>6.0</w:t>
            </w:r>
          </w:p>
        </w:tc>
      </w:tr>
      <w:tr w:rsidR="005B762B" w:rsidRPr="007A1DB9" w14:paraId="39795592" w14:textId="77777777" w:rsidTr="00F8020A">
        <w:tc>
          <w:tcPr>
            <w:cnfStyle w:val="001000000000" w:firstRow="0" w:lastRow="0" w:firstColumn="1" w:lastColumn="0" w:oddVBand="0" w:evenVBand="0" w:oddHBand="0" w:evenHBand="0" w:firstRowFirstColumn="0" w:firstRowLastColumn="0" w:lastRowFirstColumn="0" w:lastRowLastColumn="0"/>
            <w:tcW w:w="2988" w:type="dxa"/>
          </w:tcPr>
          <w:p w14:paraId="02ED84BE" w14:textId="77777777" w:rsidR="005B762B" w:rsidRPr="007A1DB9" w:rsidRDefault="005B762B" w:rsidP="00F8020A">
            <w:pPr>
              <w:pStyle w:val="BodyText"/>
              <w:jc w:val="right"/>
              <w:rPr>
                <w:b w:val="0"/>
                <w:sz w:val="20"/>
              </w:rPr>
            </w:pPr>
            <w:r w:rsidRPr="007A1DB9">
              <w:rPr>
                <w:b w:val="0"/>
                <w:color w:val="FFFFFF" w:themeColor="background1"/>
                <w:sz w:val="20"/>
                <w:lang w:eastAsia="en-AU"/>
              </w:rPr>
              <w:t>TAS</w:t>
            </w:r>
          </w:p>
        </w:tc>
        <w:tc>
          <w:tcPr>
            <w:tcW w:w="6120" w:type="dxa"/>
            <w:vAlign w:val="center"/>
          </w:tcPr>
          <w:p w14:paraId="6D0A26A4" w14:textId="77777777" w:rsidR="005B762B" w:rsidRPr="007A1DB9"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color w:val="000000" w:themeColor="text1"/>
                <w:sz w:val="20"/>
              </w:rPr>
              <w:t>1.9</w:t>
            </w:r>
          </w:p>
        </w:tc>
      </w:tr>
      <w:tr w:rsidR="005B762B" w:rsidRPr="007A1DB9" w14:paraId="785BE5FF"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7ED49355" w14:textId="77777777" w:rsidR="005B762B" w:rsidRPr="007A1DB9" w:rsidRDefault="005B762B" w:rsidP="00F8020A">
            <w:pPr>
              <w:pStyle w:val="BodyText"/>
              <w:jc w:val="right"/>
              <w:rPr>
                <w:b w:val="0"/>
                <w:sz w:val="20"/>
              </w:rPr>
            </w:pPr>
            <w:r w:rsidRPr="007A1DB9">
              <w:rPr>
                <w:b w:val="0"/>
                <w:color w:val="FFFFFF" w:themeColor="background1"/>
                <w:sz w:val="20"/>
                <w:lang w:eastAsia="en-AU"/>
              </w:rPr>
              <w:t>VIC</w:t>
            </w:r>
          </w:p>
        </w:tc>
        <w:tc>
          <w:tcPr>
            <w:tcW w:w="6120" w:type="dxa"/>
            <w:vAlign w:val="center"/>
          </w:tcPr>
          <w:p w14:paraId="3C252727" w14:textId="77777777" w:rsidR="005B762B" w:rsidRPr="00280C55"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sidRPr="00280C55">
              <w:rPr>
                <w:b/>
                <w:color w:val="000000" w:themeColor="text1"/>
                <w:sz w:val="20"/>
              </w:rPr>
              <w:t>1.7</w:t>
            </w:r>
          </w:p>
        </w:tc>
      </w:tr>
      <w:tr w:rsidR="005B762B" w:rsidRPr="007A1DB9" w14:paraId="410DB50C" w14:textId="77777777" w:rsidTr="00F8020A">
        <w:tc>
          <w:tcPr>
            <w:cnfStyle w:val="001000000000" w:firstRow="0" w:lastRow="0" w:firstColumn="1" w:lastColumn="0" w:oddVBand="0" w:evenVBand="0" w:oddHBand="0" w:evenHBand="0" w:firstRowFirstColumn="0" w:firstRowLastColumn="0" w:lastRowFirstColumn="0" w:lastRowLastColumn="0"/>
            <w:tcW w:w="2988" w:type="dxa"/>
          </w:tcPr>
          <w:p w14:paraId="789357E0" w14:textId="77777777" w:rsidR="005B762B" w:rsidRPr="007A1DB9" w:rsidRDefault="005B762B" w:rsidP="00F8020A">
            <w:pPr>
              <w:pStyle w:val="BodyText"/>
              <w:jc w:val="right"/>
              <w:rPr>
                <w:b w:val="0"/>
                <w:sz w:val="20"/>
              </w:rPr>
            </w:pPr>
            <w:r w:rsidRPr="007A1DB9">
              <w:rPr>
                <w:rFonts w:asciiTheme="majorHAnsi" w:hAnsiTheme="majorHAnsi" w:cstheme="majorHAnsi"/>
                <w:b w:val="0"/>
                <w:color w:val="FFFFFF" w:themeColor="background1"/>
                <w:sz w:val="20"/>
                <w:lang w:eastAsia="en-AU"/>
              </w:rPr>
              <w:t>WA</w:t>
            </w:r>
          </w:p>
        </w:tc>
        <w:tc>
          <w:tcPr>
            <w:tcW w:w="6120" w:type="dxa"/>
            <w:vAlign w:val="center"/>
          </w:tcPr>
          <w:p w14:paraId="479F3053" w14:textId="77777777" w:rsidR="005B762B" w:rsidRPr="007A1DB9"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color w:val="000000" w:themeColor="text1"/>
                <w:sz w:val="20"/>
              </w:rPr>
              <w:t>2.8</w:t>
            </w:r>
          </w:p>
        </w:tc>
      </w:tr>
    </w:tbl>
    <w:p w14:paraId="468D2599" w14:textId="77777777" w:rsidR="005F32AC" w:rsidRDefault="005F32AC" w:rsidP="005F32AC">
      <w:pPr>
        <w:pStyle w:val="BodyText"/>
      </w:pPr>
    </w:p>
    <w:p w14:paraId="45E75F7B" w14:textId="7C21DD2A" w:rsidR="005B762B" w:rsidRPr="005F32AC" w:rsidRDefault="005B762B" w:rsidP="005F32AC">
      <w:pPr>
        <w:pStyle w:val="BodyText"/>
      </w:pPr>
      <w:r w:rsidRPr="005F32AC">
        <w:t xml:space="preserve">Small and medium pair gain systems are also included in calculation of fixed broadband availability ratings. Table 6 provides a further breakdown of the premises with existing voice services that would currently not be able to access an </w:t>
      </w:r>
      <w:r w:rsidR="003830A1" w:rsidRPr="005F32AC">
        <w:t>ADSL</w:t>
      </w:r>
      <w:r w:rsidRPr="005F32AC">
        <w:t xml:space="preserve"> service due to the presence of small or medium pair gain systems.</w:t>
      </w:r>
    </w:p>
    <w:p w14:paraId="5846CE85" w14:textId="77777777" w:rsidR="005B762B" w:rsidRPr="00125A98" w:rsidRDefault="005B762B" w:rsidP="005B762B">
      <w:pPr>
        <w:pStyle w:val="Subtitle"/>
        <w:rPr>
          <w:sz w:val="20"/>
        </w:rPr>
      </w:pPr>
      <w:r w:rsidRPr="00125A98">
        <w:rPr>
          <w:sz w:val="20"/>
        </w:rPr>
        <w:t>Table</w:t>
      </w:r>
      <w:r>
        <w:rPr>
          <w:sz w:val="20"/>
        </w:rPr>
        <w:t xml:space="preserve"> 6. The state/territory distribution of premises affected by small/medium pair gains </w:t>
      </w:r>
    </w:p>
    <w:tbl>
      <w:tblPr>
        <w:tblStyle w:val="MediumGrid3-Accent1"/>
        <w:tblW w:w="9180" w:type="dxa"/>
        <w:tblLook w:val="04A0" w:firstRow="1" w:lastRow="0" w:firstColumn="1" w:lastColumn="0" w:noHBand="0" w:noVBand="1"/>
      </w:tblPr>
      <w:tblGrid>
        <w:gridCol w:w="3085"/>
        <w:gridCol w:w="6095"/>
      </w:tblGrid>
      <w:tr w:rsidR="005B762B" w:rsidRPr="007A1DB9" w14:paraId="69EE6D53"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F6DA02E" w14:textId="77777777" w:rsidR="005B762B" w:rsidRPr="007A1DB9" w:rsidRDefault="005B762B" w:rsidP="00F8020A">
            <w:pPr>
              <w:pStyle w:val="BodyText"/>
              <w:jc w:val="center"/>
              <w:rPr>
                <w:rFonts w:asciiTheme="majorHAnsi" w:hAnsiTheme="majorHAnsi" w:cstheme="majorHAnsi"/>
                <w:color w:val="FFFFFF" w:themeColor="background1"/>
                <w:sz w:val="22"/>
                <w:lang w:eastAsia="en-AU"/>
              </w:rPr>
            </w:pPr>
            <w:r w:rsidRPr="007A1DB9">
              <w:rPr>
                <w:rFonts w:asciiTheme="majorHAnsi" w:hAnsiTheme="majorHAnsi" w:cstheme="majorHAnsi"/>
                <w:color w:val="FFFFFF" w:themeColor="background1"/>
                <w:sz w:val="22"/>
                <w:lang w:eastAsia="en-AU"/>
              </w:rPr>
              <w:t>Small and medium pair gains</w:t>
            </w:r>
          </w:p>
        </w:tc>
        <w:tc>
          <w:tcPr>
            <w:tcW w:w="6095" w:type="dxa"/>
          </w:tcPr>
          <w:p w14:paraId="1BA6D2B7" w14:textId="77777777" w:rsidR="005B762B" w:rsidRPr="007A1DB9" w:rsidRDefault="005B762B" w:rsidP="00F8020A">
            <w:pPr>
              <w:pStyle w:val="BodyText"/>
              <w:jc w:val="center"/>
              <w:cnfStyle w:val="100000000000" w:firstRow="1" w:lastRow="0" w:firstColumn="0" w:lastColumn="0" w:oddVBand="0" w:evenVBand="0" w:oddHBand="0" w:evenHBand="0" w:firstRowFirstColumn="0" w:firstRowLastColumn="0" w:lastRowFirstColumn="0" w:lastRowLastColumn="0"/>
              <w:rPr>
                <w:color w:val="000000"/>
                <w:sz w:val="22"/>
                <w:lang w:eastAsia="en-AU"/>
              </w:rPr>
            </w:pPr>
            <w:r>
              <w:rPr>
                <w:color w:val="FFFFFF" w:themeColor="background1"/>
                <w:sz w:val="22"/>
                <w:lang w:eastAsia="en-AU"/>
              </w:rPr>
              <w:t>Percentage of premises affected</w:t>
            </w:r>
          </w:p>
        </w:tc>
      </w:tr>
      <w:tr w:rsidR="005B762B" w:rsidRPr="007A1DB9" w14:paraId="0FF5CE83"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7AE507DA" w14:textId="77777777" w:rsidR="005B762B" w:rsidRPr="007A1DB9" w:rsidRDefault="005B762B" w:rsidP="00F8020A">
            <w:pPr>
              <w:pStyle w:val="BodyText"/>
              <w:jc w:val="right"/>
              <w:rPr>
                <w:b w:val="0"/>
                <w:sz w:val="20"/>
              </w:rPr>
            </w:pPr>
            <w:r>
              <w:rPr>
                <w:rFonts w:asciiTheme="majorHAnsi" w:hAnsiTheme="majorHAnsi" w:cstheme="majorHAnsi"/>
                <w:b w:val="0"/>
                <w:color w:val="FFFFFF" w:themeColor="background1"/>
                <w:sz w:val="20"/>
                <w:lang w:eastAsia="en-AU"/>
              </w:rPr>
              <w:t>A</w:t>
            </w:r>
            <w:r w:rsidRPr="007A1DB9">
              <w:rPr>
                <w:rFonts w:asciiTheme="majorHAnsi" w:hAnsiTheme="majorHAnsi" w:cstheme="majorHAnsi"/>
                <w:b w:val="0"/>
                <w:color w:val="FFFFFF" w:themeColor="background1"/>
                <w:sz w:val="20"/>
                <w:lang w:eastAsia="en-AU"/>
              </w:rPr>
              <w:t>CT</w:t>
            </w:r>
          </w:p>
        </w:tc>
        <w:tc>
          <w:tcPr>
            <w:tcW w:w="6095" w:type="dxa"/>
            <w:vAlign w:val="center"/>
          </w:tcPr>
          <w:p w14:paraId="3F6B3C51" w14:textId="77777777" w:rsidR="005B762B" w:rsidRPr="007A1DB9"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color w:val="000000" w:themeColor="text1"/>
                <w:sz w:val="20"/>
              </w:rPr>
              <w:t>0.1</w:t>
            </w:r>
          </w:p>
        </w:tc>
      </w:tr>
      <w:tr w:rsidR="005B762B" w:rsidRPr="007A1DB9" w14:paraId="25213820" w14:textId="77777777" w:rsidTr="00F8020A">
        <w:tc>
          <w:tcPr>
            <w:cnfStyle w:val="001000000000" w:firstRow="0" w:lastRow="0" w:firstColumn="1" w:lastColumn="0" w:oddVBand="0" w:evenVBand="0" w:oddHBand="0" w:evenHBand="0" w:firstRowFirstColumn="0" w:firstRowLastColumn="0" w:lastRowFirstColumn="0" w:lastRowLastColumn="0"/>
            <w:tcW w:w="3085" w:type="dxa"/>
          </w:tcPr>
          <w:p w14:paraId="64003E52"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rFonts w:asciiTheme="majorHAnsi" w:hAnsiTheme="majorHAnsi" w:cstheme="majorHAnsi"/>
                <w:b w:val="0"/>
                <w:color w:val="FFFFFF" w:themeColor="background1"/>
                <w:sz w:val="20"/>
                <w:lang w:eastAsia="en-AU"/>
              </w:rPr>
              <w:t>NSW</w:t>
            </w:r>
          </w:p>
        </w:tc>
        <w:tc>
          <w:tcPr>
            <w:tcW w:w="6095" w:type="dxa"/>
            <w:vAlign w:val="center"/>
          </w:tcPr>
          <w:p w14:paraId="7863BB9C" w14:textId="77777777" w:rsidR="005B762B" w:rsidRPr="007A1DB9"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color w:val="000000" w:themeColor="text1"/>
                <w:sz w:val="20"/>
              </w:rPr>
              <w:t>1.1</w:t>
            </w:r>
          </w:p>
        </w:tc>
      </w:tr>
      <w:tr w:rsidR="005B762B" w:rsidRPr="007A1DB9" w14:paraId="565B7AB2"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672DF0C"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rFonts w:asciiTheme="majorHAnsi" w:hAnsiTheme="majorHAnsi" w:cstheme="majorHAnsi"/>
                <w:b w:val="0"/>
                <w:color w:val="FFFFFF" w:themeColor="background1"/>
                <w:sz w:val="20"/>
                <w:lang w:eastAsia="en-AU"/>
              </w:rPr>
              <w:t>NT</w:t>
            </w:r>
          </w:p>
        </w:tc>
        <w:tc>
          <w:tcPr>
            <w:tcW w:w="6095" w:type="dxa"/>
            <w:vAlign w:val="center"/>
          </w:tcPr>
          <w:p w14:paraId="7FE38468" w14:textId="77777777" w:rsidR="005B762B" w:rsidRPr="007A1DB9"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color w:val="000000" w:themeColor="text1"/>
                <w:sz w:val="20"/>
              </w:rPr>
              <w:t>1.5</w:t>
            </w:r>
          </w:p>
        </w:tc>
      </w:tr>
      <w:tr w:rsidR="005B762B" w:rsidRPr="007A1DB9" w14:paraId="61EE4E0C" w14:textId="77777777" w:rsidTr="00F8020A">
        <w:tc>
          <w:tcPr>
            <w:cnfStyle w:val="001000000000" w:firstRow="0" w:lastRow="0" w:firstColumn="1" w:lastColumn="0" w:oddVBand="0" w:evenVBand="0" w:oddHBand="0" w:evenHBand="0" w:firstRowFirstColumn="0" w:firstRowLastColumn="0" w:lastRowFirstColumn="0" w:lastRowLastColumn="0"/>
            <w:tcW w:w="3085" w:type="dxa"/>
          </w:tcPr>
          <w:p w14:paraId="0E7EF4AE"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QLD</w:t>
            </w:r>
          </w:p>
        </w:tc>
        <w:tc>
          <w:tcPr>
            <w:tcW w:w="6095" w:type="dxa"/>
            <w:vAlign w:val="center"/>
          </w:tcPr>
          <w:p w14:paraId="377D6DE9" w14:textId="77777777" w:rsidR="005B762B" w:rsidRPr="007A1DB9"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color w:val="000000" w:themeColor="text1"/>
                <w:sz w:val="20"/>
              </w:rPr>
              <w:t>1.0</w:t>
            </w:r>
          </w:p>
        </w:tc>
      </w:tr>
      <w:tr w:rsidR="005B762B" w:rsidRPr="007A1DB9" w14:paraId="2EA96541"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0E350A5D"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SA</w:t>
            </w:r>
          </w:p>
        </w:tc>
        <w:tc>
          <w:tcPr>
            <w:tcW w:w="6095" w:type="dxa"/>
            <w:vAlign w:val="center"/>
          </w:tcPr>
          <w:p w14:paraId="23DB49C2" w14:textId="77777777" w:rsidR="005B762B" w:rsidRPr="007A1DB9"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color w:val="000000" w:themeColor="text1"/>
                <w:sz w:val="20"/>
              </w:rPr>
              <w:t>1.5</w:t>
            </w:r>
          </w:p>
        </w:tc>
      </w:tr>
      <w:tr w:rsidR="005B762B" w:rsidRPr="007A1DB9" w14:paraId="3EC8498A" w14:textId="77777777" w:rsidTr="00F8020A">
        <w:tc>
          <w:tcPr>
            <w:cnfStyle w:val="001000000000" w:firstRow="0" w:lastRow="0" w:firstColumn="1" w:lastColumn="0" w:oddVBand="0" w:evenVBand="0" w:oddHBand="0" w:evenHBand="0" w:firstRowFirstColumn="0" w:firstRowLastColumn="0" w:lastRowFirstColumn="0" w:lastRowLastColumn="0"/>
            <w:tcW w:w="3085" w:type="dxa"/>
          </w:tcPr>
          <w:p w14:paraId="339E36EC"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TAS</w:t>
            </w:r>
          </w:p>
        </w:tc>
        <w:tc>
          <w:tcPr>
            <w:tcW w:w="6095" w:type="dxa"/>
            <w:vAlign w:val="center"/>
          </w:tcPr>
          <w:p w14:paraId="57ADBA13" w14:textId="77777777" w:rsidR="005B762B" w:rsidRPr="007A1DB9"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color w:val="000000" w:themeColor="text1"/>
                <w:sz w:val="20"/>
              </w:rPr>
              <w:t>2.5</w:t>
            </w:r>
          </w:p>
        </w:tc>
      </w:tr>
      <w:tr w:rsidR="005B762B" w:rsidRPr="007A1DB9" w14:paraId="69791049"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14:paraId="24B9F66C" w14:textId="77777777" w:rsidR="005B762B" w:rsidRPr="007A1DB9" w:rsidRDefault="005B762B" w:rsidP="00F8020A">
            <w:pPr>
              <w:pStyle w:val="BodyText"/>
              <w:jc w:val="right"/>
              <w:rPr>
                <w:rFonts w:asciiTheme="majorHAnsi" w:hAnsiTheme="majorHAnsi" w:cstheme="majorHAnsi"/>
                <w:b w:val="0"/>
                <w:color w:val="FFFFFF" w:themeColor="background1"/>
                <w:sz w:val="20"/>
                <w:lang w:eastAsia="en-AU"/>
              </w:rPr>
            </w:pPr>
            <w:r w:rsidRPr="007A1DB9">
              <w:rPr>
                <w:b w:val="0"/>
                <w:color w:val="FFFFFF" w:themeColor="background1"/>
                <w:sz w:val="20"/>
                <w:lang w:eastAsia="en-AU"/>
              </w:rPr>
              <w:t>VIC</w:t>
            </w:r>
          </w:p>
        </w:tc>
        <w:tc>
          <w:tcPr>
            <w:tcW w:w="6095" w:type="dxa"/>
            <w:vAlign w:val="center"/>
          </w:tcPr>
          <w:p w14:paraId="0D2F450F" w14:textId="77777777" w:rsidR="005B762B" w:rsidRPr="007A1DB9" w:rsidRDefault="005B762B" w:rsidP="00F8020A">
            <w:pPr>
              <w:pStyle w:val="BodyText"/>
              <w:jc w:val="center"/>
              <w:cnfStyle w:val="000000100000" w:firstRow="0" w:lastRow="0" w:firstColumn="0" w:lastColumn="0" w:oddVBand="0" w:evenVBand="0" w:oddHBand="1" w:evenHBand="0" w:firstRowFirstColumn="0" w:firstRowLastColumn="0" w:lastRowFirstColumn="0" w:lastRowLastColumn="0"/>
              <w:rPr>
                <w:b/>
                <w:color w:val="000000" w:themeColor="text1"/>
                <w:sz w:val="20"/>
              </w:rPr>
            </w:pPr>
            <w:r>
              <w:rPr>
                <w:b/>
                <w:color w:val="000000" w:themeColor="text1"/>
                <w:sz w:val="20"/>
              </w:rPr>
              <w:t>0.7</w:t>
            </w:r>
          </w:p>
        </w:tc>
      </w:tr>
      <w:tr w:rsidR="005B762B" w:rsidRPr="007A1DB9" w14:paraId="692228AF" w14:textId="77777777" w:rsidTr="00F8020A">
        <w:tc>
          <w:tcPr>
            <w:cnfStyle w:val="001000000000" w:firstRow="0" w:lastRow="0" w:firstColumn="1" w:lastColumn="0" w:oddVBand="0" w:evenVBand="0" w:oddHBand="0" w:evenHBand="0" w:firstRowFirstColumn="0" w:firstRowLastColumn="0" w:lastRowFirstColumn="0" w:lastRowLastColumn="0"/>
            <w:tcW w:w="3085" w:type="dxa"/>
          </w:tcPr>
          <w:p w14:paraId="6472B76E" w14:textId="77777777" w:rsidR="005B762B" w:rsidRPr="007A1DB9" w:rsidRDefault="005B762B" w:rsidP="00F8020A">
            <w:pPr>
              <w:pStyle w:val="BodyText"/>
              <w:jc w:val="right"/>
              <w:rPr>
                <w:b w:val="0"/>
                <w:sz w:val="20"/>
              </w:rPr>
            </w:pPr>
            <w:r w:rsidRPr="007A1DB9">
              <w:rPr>
                <w:rFonts w:asciiTheme="majorHAnsi" w:hAnsiTheme="majorHAnsi" w:cstheme="majorHAnsi"/>
                <w:b w:val="0"/>
                <w:color w:val="FFFFFF" w:themeColor="background1"/>
                <w:sz w:val="20"/>
                <w:lang w:eastAsia="en-AU"/>
              </w:rPr>
              <w:t>WA</w:t>
            </w:r>
          </w:p>
        </w:tc>
        <w:tc>
          <w:tcPr>
            <w:tcW w:w="6095" w:type="dxa"/>
            <w:vAlign w:val="center"/>
          </w:tcPr>
          <w:p w14:paraId="1FF3DAEB" w14:textId="77777777" w:rsidR="005B762B" w:rsidRPr="00572A3E" w:rsidRDefault="005B762B" w:rsidP="00F8020A">
            <w:pPr>
              <w:pStyle w:val="BodyText"/>
              <w:jc w:val="center"/>
              <w:cnfStyle w:val="000000000000" w:firstRow="0" w:lastRow="0" w:firstColumn="0" w:lastColumn="0" w:oddVBand="0" w:evenVBand="0" w:oddHBand="0" w:evenHBand="0" w:firstRowFirstColumn="0" w:firstRowLastColumn="0" w:lastRowFirstColumn="0" w:lastRowLastColumn="0"/>
              <w:rPr>
                <w:b/>
                <w:color w:val="000000" w:themeColor="text1"/>
                <w:sz w:val="20"/>
              </w:rPr>
            </w:pPr>
            <w:r>
              <w:rPr>
                <w:b/>
                <w:color w:val="000000" w:themeColor="text1"/>
                <w:sz w:val="20"/>
              </w:rPr>
              <w:t>1.2</w:t>
            </w:r>
          </w:p>
        </w:tc>
      </w:tr>
    </w:tbl>
    <w:p w14:paraId="2D242CF4" w14:textId="77777777" w:rsidR="005F32AC" w:rsidRDefault="005F32AC" w:rsidP="005F32AC">
      <w:pPr>
        <w:pStyle w:val="BodyText"/>
      </w:pPr>
    </w:p>
    <w:p w14:paraId="5E7FAE12" w14:textId="6C93B63C" w:rsidR="005B762B" w:rsidRPr="005F32AC" w:rsidRDefault="005B762B" w:rsidP="005F32AC">
      <w:pPr>
        <w:pStyle w:val="BodyText"/>
      </w:pPr>
      <w:r w:rsidRPr="005F32AC">
        <w:t xml:space="preserve">While there is only a small proportion of premises affected by small and medium pair gain systems at the state/territory level, a small number of ESAs are more significantly affected than others. Most of these ESAs consist of a geographically dispersed population, to which this technology type would be well suited to delivering voice services. However, some small towns are also affected, for example, </w:t>
      </w:r>
      <w:r w:rsidR="00227CE2" w:rsidRPr="005F32AC">
        <w:t xml:space="preserve">approximately </w:t>
      </w:r>
      <w:r w:rsidR="003039EF" w:rsidRPr="005F32AC">
        <w:t>60</w:t>
      </w:r>
      <w:r w:rsidRPr="005F32AC">
        <w:t xml:space="preserve"> per cent of premises in Mungar in Queensland are currently unable to access an </w:t>
      </w:r>
      <w:r w:rsidR="003830A1" w:rsidRPr="005F32AC">
        <w:t>ADSL</w:t>
      </w:r>
      <w:r w:rsidRPr="005F32AC">
        <w:t xml:space="preserve"> service as their voice service is delivered via a small or medium pair gain system. </w:t>
      </w:r>
    </w:p>
    <w:p w14:paraId="6345C2FA" w14:textId="74FE5264" w:rsidR="005B762B" w:rsidRDefault="005B762B" w:rsidP="005B762B">
      <w:pPr>
        <w:pStyle w:val="Heading3"/>
      </w:pPr>
      <w:r w:rsidRPr="00E162F6">
        <w:t>3.1. (c) Fixed broadband</w:t>
      </w:r>
      <w:r>
        <w:t xml:space="preserve"> availability by remoteness classification</w:t>
      </w:r>
    </w:p>
    <w:p w14:paraId="0655D3E1" w14:textId="77777777" w:rsidR="005B762B" w:rsidRPr="005F32AC" w:rsidRDefault="005B762B" w:rsidP="005F32AC">
      <w:pPr>
        <w:pStyle w:val="BodyText"/>
      </w:pPr>
      <w:r w:rsidRPr="005F32AC">
        <w:t>The analysis considered differences in broadband availability and quality between metropolitan, regional and remote Australia as defined by the Australian Statistical Geography Standard Remoteness Areas (2011). These definitions, adopted by the Australian Bureau of Statistics (ABS) and various government agencies to classify Australia into regions that share common characteristics of remoteness (Figure 8).</w:t>
      </w:r>
    </w:p>
    <w:p w14:paraId="25AE1729" w14:textId="77777777" w:rsidR="005B762B" w:rsidRDefault="005B762B" w:rsidP="005B762B">
      <w:pPr>
        <w:pStyle w:val="BodyText"/>
        <w:jc w:val="center"/>
      </w:pPr>
      <w:r>
        <w:rPr>
          <w:noProof/>
          <w:lang w:val="en-AU" w:eastAsia="en-AU"/>
        </w:rPr>
        <w:drawing>
          <wp:inline distT="0" distB="0" distL="0" distR="0" wp14:anchorId="523DCD8A" wp14:editId="2803156E">
            <wp:extent cx="3207224" cy="307074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teness.gif"/>
                    <pic:cNvPicPr/>
                  </pic:nvPicPr>
                  <pic:blipFill>
                    <a:blip r:embed="rId32">
                      <a:extLst>
                        <a:ext uri="{28A0092B-C50C-407E-A947-70E740481C1C}">
                          <a14:useLocalDpi xmlns:a14="http://schemas.microsoft.com/office/drawing/2010/main" val="0"/>
                        </a:ext>
                      </a:extLst>
                    </a:blip>
                    <a:stretch>
                      <a:fillRect/>
                    </a:stretch>
                  </pic:blipFill>
                  <pic:spPr>
                    <a:xfrm>
                      <a:off x="0" y="0"/>
                      <a:ext cx="3200400" cy="3064213"/>
                    </a:xfrm>
                    <a:prstGeom prst="rect">
                      <a:avLst/>
                    </a:prstGeom>
                  </pic:spPr>
                </pic:pic>
              </a:graphicData>
            </a:graphic>
          </wp:inline>
        </w:drawing>
      </w:r>
    </w:p>
    <w:p w14:paraId="22BB511E" w14:textId="77777777" w:rsidR="005B762B" w:rsidRDefault="005B762B" w:rsidP="005B762B">
      <w:pPr>
        <w:pStyle w:val="Subtitle"/>
        <w:rPr>
          <w:i w:val="0"/>
          <w:sz w:val="20"/>
        </w:rPr>
      </w:pPr>
      <w:r>
        <w:rPr>
          <w:sz w:val="20"/>
        </w:rPr>
        <w:t>Figure 8</w:t>
      </w:r>
      <w:r w:rsidRPr="00375A76">
        <w:rPr>
          <w:sz w:val="20"/>
        </w:rPr>
        <w:t xml:space="preserve">. </w:t>
      </w:r>
      <w:r>
        <w:rPr>
          <w:sz w:val="20"/>
        </w:rPr>
        <w:t xml:space="preserve">Australian Bureau of </w:t>
      </w:r>
      <w:r w:rsidRPr="003830A1">
        <w:rPr>
          <w:sz w:val="20"/>
        </w:rPr>
        <w:t>Statistics - Map of the Australian Standard Geographic Classification Remoteness Structure (2011)</w:t>
      </w:r>
    </w:p>
    <w:p w14:paraId="3406B664" w14:textId="77777777" w:rsidR="003830A1" w:rsidRDefault="003830A1" w:rsidP="003830A1">
      <w:pPr>
        <w:pStyle w:val="BodyText"/>
        <w:spacing w:after="0"/>
      </w:pPr>
    </w:p>
    <w:p w14:paraId="01D03C10" w14:textId="77777777" w:rsidR="005B762B" w:rsidRPr="005F32AC" w:rsidRDefault="005B762B" w:rsidP="005F32AC">
      <w:pPr>
        <w:pStyle w:val="BodyText"/>
      </w:pPr>
      <w:r w:rsidRPr="005F32AC">
        <w:t>Each DA was allocated to a remoteness class: Major Cities of Australia, Inner Regional Australia, Outer Regional Australia, Remote Australia or Very Remote Australia. The shaded map</w:t>
      </w:r>
      <w:r w:rsidRPr="00C011C8">
        <w:rPr>
          <w:vertAlign w:val="superscript"/>
        </w:rPr>
        <w:footnoteReference w:id="9"/>
      </w:r>
      <w:r w:rsidRPr="005F32AC">
        <w:t xml:space="preserve"> illustrates the geographical distribution of remoteness classes. </w:t>
      </w:r>
    </w:p>
    <w:p w14:paraId="2C9CD4F5" w14:textId="77777777" w:rsidR="005B762B" w:rsidRPr="005F32AC" w:rsidRDefault="005B762B" w:rsidP="005F32AC">
      <w:pPr>
        <w:pStyle w:val="BodyText"/>
      </w:pPr>
      <w:r w:rsidRPr="005F32AC">
        <w:t>Figure 9 illustrates the findings of this analysis that there is a significant difference in the availability of broadband between major cities and remote areas. Many of the premises in the D or E fixed broadband availability bands are located in regional or remote parts of Australia.</w:t>
      </w:r>
    </w:p>
    <w:p w14:paraId="17A275C1" w14:textId="77777777" w:rsidR="005B762B" w:rsidRDefault="005B762B" w:rsidP="005B762B">
      <w:pPr>
        <w:pStyle w:val="BodyText"/>
      </w:pPr>
      <w:r>
        <w:rPr>
          <w:noProof/>
          <w:lang w:val="en-AU" w:eastAsia="en-AU"/>
        </w:rPr>
        <w:drawing>
          <wp:inline distT="0" distB="0" distL="0" distR="0" wp14:anchorId="1959DED3" wp14:editId="2195EFAF">
            <wp:extent cx="5760000" cy="2520000"/>
            <wp:effectExtent l="0" t="0" r="12700" b="1397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8C20D0" w14:textId="77777777" w:rsidR="005B762B" w:rsidRDefault="005B762B" w:rsidP="005B762B">
      <w:pPr>
        <w:pStyle w:val="Subtitle"/>
        <w:rPr>
          <w:sz w:val="20"/>
        </w:rPr>
      </w:pPr>
      <w:r>
        <w:rPr>
          <w:sz w:val="20"/>
        </w:rPr>
        <w:t>Figure 9</w:t>
      </w:r>
      <w:r w:rsidRPr="00375A76">
        <w:rPr>
          <w:sz w:val="20"/>
        </w:rPr>
        <w:t xml:space="preserve">. </w:t>
      </w:r>
      <w:r>
        <w:rPr>
          <w:sz w:val="20"/>
        </w:rPr>
        <w:t xml:space="preserve">Major cities and inner regional areas have proportionally higher broadband availability than outer regional and remote areas. </w:t>
      </w:r>
    </w:p>
    <w:p w14:paraId="70D3B223" w14:textId="77777777" w:rsidR="005B762B" w:rsidRPr="005F32AC" w:rsidRDefault="005B762B" w:rsidP="005F32AC">
      <w:pPr>
        <w:pStyle w:val="BodyText"/>
      </w:pPr>
      <w:r w:rsidRPr="005F32AC">
        <w:t xml:space="preserve">As noted previously, 80 per cent of all DAs covering approximately 9.2 million premises achieve an A rating for availability. These premises are primarily concentrated in major cities (73 per cent), followed by regional (26 per cent) and remote Australia (1 per cent). </w:t>
      </w:r>
    </w:p>
    <w:p w14:paraId="0465DC1C" w14:textId="24C7A0DA" w:rsidR="005B762B" w:rsidRPr="005F32AC" w:rsidRDefault="005B762B" w:rsidP="005F32AC">
      <w:pPr>
        <w:pStyle w:val="BodyText"/>
      </w:pPr>
      <w:r w:rsidRPr="005F32AC">
        <w:t xml:space="preserve">Of the 2 per cent of DAs covering almost </w:t>
      </w:r>
      <w:r w:rsidR="00284C52" w:rsidRPr="005F32AC">
        <w:t>211,</w:t>
      </w:r>
      <w:r w:rsidR="003039EF" w:rsidRPr="005F32AC">
        <w:t>3</w:t>
      </w:r>
      <w:r w:rsidR="00284C52" w:rsidRPr="005F32AC">
        <w:t>00</w:t>
      </w:r>
      <w:r w:rsidRPr="005F32AC">
        <w:t xml:space="preserve"> premises that achieve a B rating for availability, the majority are located in major cities and inner regional areas (76 per cent), followed by outer regional (2</w:t>
      </w:r>
      <w:r w:rsidR="00C010A8" w:rsidRPr="005F32AC">
        <w:t>2</w:t>
      </w:r>
      <w:r w:rsidRPr="005F32AC">
        <w:t xml:space="preserve"> per cent) and remote parts of Australia (1 per cent). </w:t>
      </w:r>
    </w:p>
    <w:p w14:paraId="55D2328F" w14:textId="40776011" w:rsidR="00284C52" w:rsidRPr="005F32AC" w:rsidRDefault="005B762B" w:rsidP="005F32AC">
      <w:pPr>
        <w:pStyle w:val="BodyText"/>
      </w:pPr>
      <w:r w:rsidRPr="005F32AC">
        <w:t xml:space="preserve">A further </w:t>
      </w:r>
      <w:r w:rsidR="00284C52" w:rsidRPr="005F32AC">
        <w:t>1</w:t>
      </w:r>
      <w:r w:rsidRPr="005F32AC">
        <w:t xml:space="preserve"> per cent of all DAs (covering </w:t>
      </w:r>
      <w:r w:rsidR="00284C52" w:rsidRPr="005F32AC">
        <w:t>153,100</w:t>
      </w:r>
      <w:r w:rsidRPr="005F32AC">
        <w:t xml:space="preserve"> premises) achieve a C rating for availability </w:t>
      </w:r>
      <w:r w:rsidR="00284C52" w:rsidRPr="005F32AC">
        <w:t xml:space="preserve">The majority of these premises are located in regional Australia (65 per cent), while a third (33 per cent) are located in major cities and 2 per cent are located in remote Australia. </w:t>
      </w:r>
    </w:p>
    <w:p w14:paraId="52B9C728" w14:textId="5618F8EA" w:rsidR="005B762B" w:rsidRPr="005F32AC" w:rsidDel="00A024FF" w:rsidRDefault="00284C52" w:rsidP="005F32AC">
      <w:pPr>
        <w:pStyle w:val="BodyText"/>
      </w:pPr>
      <w:r w:rsidRPr="005F32AC">
        <w:t>I</w:t>
      </w:r>
      <w:r w:rsidR="005B762B" w:rsidRPr="005F32AC">
        <w:t xml:space="preserve">n the </w:t>
      </w:r>
      <w:r w:rsidRPr="005F32AC">
        <w:t>9</w:t>
      </w:r>
      <w:r w:rsidR="005B762B" w:rsidRPr="005F32AC">
        <w:t xml:space="preserve"> per cent of DAs (</w:t>
      </w:r>
      <w:r w:rsidRPr="005F32AC">
        <w:t>954,</w:t>
      </w:r>
      <w:r w:rsidR="003039EF" w:rsidRPr="005F32AC">
        <w:t>8</w:t>
      </w:r>
      <w:r w:rsidRPr="005F32AC">
        <w:t>00</w:t>
      </w:r>
      <w:r w:rsidR="005B762B" w:rsidRPr="005F32AC">
        <w:t xml:space="preserve"> premises) that achieve a D rating for fixed broadband availability</w:t>
      </w:r>
      <w:r w:rsidRPr="005F32AC">
        <w:t>,</w:t>
      </w:r>
      <w:r w:rsidR="005B762B" w:rsidRPr="005F32AC">
        <w:t xml:space="preserve"> 4</w:t>
      </w:r>
      <w:r w:rsidRPr="005F32AC">
        <w:t>7</w:t>
      </w:r>
      <w:r w:rsidR="005B762B" w:rsidRPr="005F32AC">
        <w:t xml:space="preserve"> per</w:t>
      </w:r>
      <w:r w:rsidRPr="005F32AC">
        <w:t xml:space="preserve"> </w:t>
      </w:r>
      <w:r w:rsidR="005B762B" w:rsidRPr="005F32AC">
        <w:t xml:space="preserve">cent </w:t>
      </w:r>
      <w:r w:rsidRPr="005F32AC">
        <w:t>are</w:t>
      </w:r>
      <w:r w:rsidR="005B762B" w:rsidRPr="005F32AC">
        <w:t xml:space="preserve"> located within major cities and </w:t>
      </w:r>
      <w:r w:rsidRPr="005F32AC">
        <w:t>49</w:t>
      </w:r>
      <w:r w:rsidR="005B762B" w:rsidRPr="005F32AC">
        <w:t xml:space="preserve"> per cent in regional Australia. </w:t>
      </w:r>
      <w:r w:rsidRPr="005F32AC">
        <w:t>5</w:t>
      </w:r>
      <w:r w:rsidR="005B762B" w:rsidRPr="005F32AC">
        <w:t xml:space="preserve"> percent of DAs achieving a D availability rating are in remote Australia.</w:t>
      </w:r>
    </w:p>
    <w:p w14:paraId="3C1A3115" w14:textId="38FDCFA4" w:rsidR="005B762B" w:rsidRPr="005F32AC" w:rsidRDefault="005B762B" w:rsidP="005F32AC">
      <w:pPr>
        <w:pStyle w:val="BodyText"/>
      </w:pPr>
      <w:r w:rsidRPr="005F32AC">
        <w:t xml:space="preserve">8 per cent of all DAs covering almost </w:t>
      </w:r>
      <w:r w:rsidR="00284C52" w:rsidRPr="005F32AC">
        <w:t>453,000</w:t>
      </w:r>
      <w:r w:rsidRPr="005F32AC">
        <w:t xml:space="preserve"> premises have the lowest availability rating. These premises are primarily concentrated in regional areas (7</w:t>
      </w:r>
      <w:r w:rsidR="00696B63" w:rsidRPr="005F32AC">
        <w:t>2</w:t>
      </w:r>
      <w:r w:rsidRPr="005F32AC">
        <w:t xml:space="preserve"> per cent), although significant proportions are in major cities (17 per cent) and remote areas (1</w:t>
      </w:r>
      <w:r w:rsidR="00696B63" w:rsidRPr="005F32AC">
        <w:t>1</w:t>
      </w:r>
      <w:r w:rsidRPr="005F32AC">
        <w:t xml:space="preserve"> per cent).</w:t>
      </w:r>
    </w:p>
    <w:p w14:paraId="652C798F" w14:textId="5DE4AE5B" w:rsidR="005B762B" w:rsidRPr="005F32AC" w:rsidRDefault="005B762B" w:rsidP="005F32AC">
      <w:pPr>
        <w:pStyle w:val="BodyText"/>
      </w:pPr>
      <w:r w:rsidRPr="005F32AC">
        <w:t xml:space="preserve">Access to </w:t>
      </w:r>
      <w:r w:rsidR="003830A1" w:rsidRPr="005F32AC">
        <w:t>ADSL</w:t>
      </w:r>
      <w:r w:rsidRPr="005F32AC">
        <w:t xml:space="preserve"> services decreases with remoteness, but more than two thirds of premises in remote and regional areas are estimated to have access to </w:t>
      </w:r>
      <w:r w:rsidR="003830A1" w:rsidRPr="005F32AC">
        <w:t>ADSL</w:t>
      </w:r>
      <w:r w:rsidRPr="005F32AC">
        <w:t xml:space="preserve"> (Figure 10).  </w:t>
      </w:r>
      <w:bookmarkStart w:id="127" w:name="_Toc377120883"/>
      <w:bookmarkStart w:id="128" w:name="_Toc377123938"/>
      <w:bookmarkStart w:id="129" w:name="_Toc377134443"/>
      <w:bookmarkStart w:id="130" w:name="_Toc377215447"/>
      <w:bookmarkStart w:id="131" w:name="_Toc377376501"/>
      <w:bookmarkStart w:id="132" w:name="_Toc377380824"/>
      <w:bookmarkStart w:id="133" w:name="_Toc377381972"/>
    </w:p>
    <w:p w14:paraId="76405CC8" w14:textId="6F2AE7E4" w:rsidR="005B762B" w:rsidRDefault="005B762B" w:rsidP="005B762B">
      <w:pPr>
        <w:rPr>
          <w:rFonts w:asciiTheme="majorHAnsi" w:eastAsiaTheme="majorEastAsia" w:hAnsiTheme="majorHAnsi" w:cstheme="majorBidi"/>
          <w:i/>
          <w:iCs/>
          <w:color w:val="4F81BD" w:themeColor="accent1"/>
          <w:spacing w:val="15"/>
          <w:sz w:val="20"/>
          <w:szCs w:val="20"/>
        </w:rPr>
      </w:pPr>
    </w:p>
    <w:p w14:paraId="4739BC76" w14:textId="5C0F0FE3" w:rsidR="00655AAF" w:rsidRDefault="00655AAF" w:rsidP="005B762B">
      <w:pPr>
        <w:rPr>
          <w:rFonts w:asciiTheme="majorHAnsi" w:eastAsiaTheme="majorEastAsia" w:hAnsiTheme="majorHAnsi" w:cstheme="majorBidi"/>
          <w:i/>
          <w:iCs/>
          <w:color w:val="4F81BD" w:themeColor="accent1"/>
          <w:spacing w:val="15"/>
          <w:sz w:val="20"/>
          <w:szCs w:val="20"/>
        </w:rPr>
      </w:pPr>
      <w:r>
        <w:rPr>
          <w:noProof/>
          <w:lang w:val="en-AU" w:eastAsia="en-AU"/>
        </w:rPr>
        <w:drawing>
          <wp:inline distT="0" distB="0" distL="0" distR="0" wp14:anchorId="48E14D42" wp14:editId="331C8C47">
            <wp:extent cx="5760000" cy="2520000"/>
            <wp:effectExtent l="0" t="0" r="12700" b="1397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344BD6" w14:textId="032A972E" w:rsidR="005B762B" w:rsidRDefault="005B762B" w:rsidP="005B762B">
      <w:pPr>
        <w:rPr>
          <w:rFonts w:eastAsia="Times New Roman"/>
          <w:bCs/>
          <w:color w:val="1A7399"/>
          <w:sz w:val="36"/>
          <w:szCs w:val="26"/>
        </w:rPr>
      </w:pPr>
      <w:r>
        <w:rPr>
          <w:rFonts w:asciiTheme="majorHAnsi" w:eastAsiaTheme="majorEastAsia" w:hAnsiTheme="majorHAnsi" w:cstheme="majorBidi"/>
          <w:i/>
          <w:iCs/>
          <w:color w:val="4F81BD" w:themeColor="accent1"/>
          <w:spacing w:val="15"/>
          <w:sz w:val="20"/>
          <w:szCs w:val="20"/>
        </w:rPr>
        <w:t xml:space="preserve">Figure 10. The proportion of premises in each remoteness class that can access </w:t>
      </w:r>
      <w:r w:rsidR="003830A1">
        <w:rPr>
          <w:rFonts w:asciiTheme="majorHAnsi" w:eastAsiaTheme="majorEastAsia" w:hAnsiTheme="majorHAnsi" w:cstheme="majorBidi"/>
          <w:i/>
          <w:iCs/>
          <w:color w:val="4F81BD" w:themeColor="accent1"/>
          <w:spacing w:val="15"/>
          <w:sz w:val="20"/>
          <w:szCs w:val="20"/>
        </w:rPr>
        <w:t>ADSL</w:t>
      </w:r>
      <w:r>
        <w:rPr>
          <w:rFonts w:asciiTheme="majorHAnsi" w:eastAsiaTheme="majorEastAsia" w:hAnsiTheme="majorHAnsi" w:cstheme="majorBidi"/>
          <w:i/>
          <w:iCs/>
          <w:color w:val="4F81BD" w:themeColor="accent1"/>
          <w:spacing w:val="15"/>
          <w:sz w:val="20"/>
          <w:szCs w:val="20"/>
        </w:rPr>
        <w:t xml:space="preserve"> services</w:t>
      </w:r>
    </w:p>
    <w:p w14:paraId="574E08DD" w14:textId="77777777" w:rsidR="005B762B" w:rsidRDefault="005B762B" w:rsidP="005B762B">
      <w:pPr>
        <w:pStyle w:val="Heading2"/>
      </w:pPr>
      <w:bookmarkStart w:id="134" w:name="_Toc377656482"/>
      <w:bookmarkStart w:id="135" w:name="_Toc377722542"/>
      <w:bookmarkStart w:id="136" w:name="_Toc380479897"/>
      <w:r>
        <w:t>3.2. Fixed broadband quality</w:t>
      </w:r>
      <w:bookmarkEnd w:id="127"/>
      <w:bookmarkEnd w:id="128"/>
      <w:bookmarkEnd w:id="129"/>
      <w:bookmarkEnd w:id="130"/>
      <w:bookmarkEnd w:id="131"/>
      <w:bookmarkEnd w:id="132"/>
      <w:bookmarkEnd w:id="133"/>
      <w:bookmarkEnd w:id="134"/>
      <w:bookmarkEnd w:id="135"/>
      <w:bookmarkEnd w:id="136"/>
    </w:p>
    <w:p w14:paraId="67B6E1FF" w14:textId="2B7721C7" w:rsidR="005B762B" w:rsidRPr="005F32AC" w:rsidRDefault="005B762B" w:rsidP="005F32AC">
      <w:pPr>
        <w:pStyle w:val="BodyText"/>
      </w:pPr>
      <w:r w:rsidRPr="005F32AC">
        <w:t xml:space="preserve">The analysis found that approximately 3.1 million premises have access to fast or very fast broadband speeds (25 Mbps download and 5 Mbps upload and above). </w:t>
      </w:r>
      <w:r w:rsidR="00BB35C2" w:rsidRPr="005F32AC">
        <w:t>The remaining</w:t>
      </w:r>
      <w:r w:rsidRPr="005F32AC">
        <w:t xml:space="preserve"> 7.1 million premises </w:t>
      </w:r>
      <w:r w:rsidR="00BB35C2" w:rsidRPr="005F32AC">
        <w:t>with</w:t>
      </w:r>
      <w:r w:rsidRPr="005F32AC">
        <w:t xml:space="preserve"> access to fixed broadband services </w:t>
      </w:r>
      <w:r w:rsidR="00BB35C2" w:rsidRPr="005F32AC">
        <w:t>can access</w:t>
      </w:r>
      <w:r w:rsidRPr="005F32AC">
        <w:t xml:space="preserve"> speeds below 24 Mbps and many of these are experiencing speeds significantly below this level. </w:t>
      </w:r>
    </w:p>
    <w:p w14:paraId="6E08DA10" w14:textId="0236EC92" w:rsidR="005B762B" w:rsidRPr="005F32AC" w:rsidRDefault="005B762B" w:rsidP="005F32AC">
      <w:pPr>
        <w:pStyle w:val="BodyText"/>
      </w:pPr>
      <w:r w:rsidRPr="005F32AC">
        <w:t xml:space="preserve">There are a range of definitions used internationally as to what constitutes broadband. For example, the Organisation for Economic Co-operation and Development (OECD) uses services with an advertised download speed of at least 256 kbps. This reflected the basic entry-level broadband service that was available at the commercial launch of cable and </w:t>
      </w:r>
      <w:r w:rsidR="003830A1" w:rsidRPr="005F32AC">
        <w:t>ADSL</w:t>
      </w:r>
      <w:r w:rsidRPr="005F32AC">
        <w:t xml:space="preserve"> services in the 1990s. The United States adopted a minimum speed threshold of 4 </w:t>
      </w:r>
      <w:r w:rsidR="00BB35C2" w:rsidRPr="005F32AC">
        <w:t xml:space="preserve">Mbps </w:t>
      </w:r>
      <w:r w:rsidRPr="005F32AC">
        <w:t xml:space="preserve">download and 1 </w:t>
      </w:r>
      <w:r w:rsidR="00BB35C2" w:rsidRPr="005F32AC">
        <w:t xml:space="preserve">Mbps </w:t>
      </w:r>
      <w:r w:rsidRPr="005F32AC">
        <w:t xml:space="preserve">upload under its National Broadband Plan (2010). </w:t>
      </w:r>
    </w:p>
    <w:p w14:paraId="64A27D43" w14:textId="77777777" w:rsidR="005B762B" w:rsidRPr="005F32AC" w:rsidRDefault="005B762B" w:rsidP="005F32AC">
      <w:pPr>
        <w:pStyle w:val="BodyText"/>
      </w:pPr>
      <w:r w:rsidRPr="005F32AC">
        <w:t xml:space="preserve">Setting a specific level was not adopted in this analysis as it was preferable for the analysis to make an assessment against the range of quality that is currently available. This analysis does not use a defined speed as a definition of broadband, but instead considers the range of speeds available to premises over each technology. As for the availability assessment, an A to E quality rating scale was used. An explanation for this is set out in Table 7. </w:t>
      </w:r>
    </w:p>
    <w:p w14:paraId="48AC714B" w14:textId="77777777" w:rsidR="005B762B" w:rsidRPr="005F32AC" w:rsidRDefault="005B762B" w:rsidP="005F32AC">
      <w:pPr>
        <w:pStyle w:val="BodyText"/>
      </w:pPr>
      <w:r w:rsidRPr="005F32AC">
        <w:t xml:space="preserve">Areas where a high proportion of premises have full access to FTTP will be represented in the highest quality band (A), while areas with limited access to high speed platforms (FTTP, HFC and FTTN) will be represented in lower quality bands. </w:t>
      </w:r>
    </w:p>
    <w:p w14:paraId="35FD7B4B" w14:textId="087D928B" w:rsidR="005B762B" w:rsidRDefault="005B762B" w:rsidP="009919A0">
      <w:pPr>
        <w:pStyle w:val="BodyText"/>
      </w:pPr>
      <w:r w:rsidRPr="005F32AC">
        <w:t>There will be premises within DAs where the overall rating is based on a combination of fixed broadband platforms</w:t>
      </w:r>
      <w:r w:rsidRPr="005F32AC">
        <w:rPr>
          <w:vertAlign w:val="superscript"/>
        </w:rPr>
        <w:footnoteReference w:id="10"/>
      </w:r>
      <w:r w:rsidRPr="005F32AC">
        <w:t>. However, the number of DAs where a combination of these platforms determines the overall rating is generally low, and is generally located on the border between areas of FTTP deployment, and those surrounding the HFC footprint found in the major metropolitan centres of Brisbane, Sydney,</w:t>
      </w:r>
      <w:r w:rsidR="009919A0">
        <w:t xml:space="preserve"> Melbourne, Adelaide and Perth.</w:t>
      </w:r>
    </w:p>
    <w:p w14:paraId="586FAF3B" w14:textId="77777777" w:rsidR="005B762B" w:rsidRPr="005B1ECC" w:rsidRDefault="005B762B" w:rsidP="005B762B">
      <w:pPr>
        <w:pStyle w:val="Subtitle"/>
      </w:pPr>
      <w:r>
        <w:rPr>
          <w:sz w:val="20"/>
          <w:szCs w:val="20"/>
        </w:rPr>
        <w:t>Table 7. Fixed broadband quality rating scale.</w:t>
      </w:r>
    </w:p>
    <w:tbl>
      <w:tblPr>
        <w:tblStyle w:val="MediumGrid3-Accent1"/>
        <w:tblW w:w="0" w:type="auto"/>
        <w:jc w:val="center"/>
        <w:tblLook w:val="04A0" w:firstRow="1" w:lastRow="0" w:firstColumn="1" w:lastColumn="0" w:noHBand="0" w:noVBand="1"/>
      </w:tblPr>
      <w:tblGrid>
        <w:gridCol w:w="1525"/>
        <w:gridCol w:w="7711"/>
      </w:tblGrid>
      <w:tr w:rsidR="005B762B" w:rsidRPr="005B1ECC" w14:paraId="215B297F" w14:textId="77777777" w:rsidTr="00F802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42" w:type="dxa"/>
            <w:gridSpan w:val="2"/>
            <w:hideMark/>
          </w:tcPr>
          <w:p w14:paraId="4FA2531C" w14:textId="77777777" w:rsidR="005B762B" w:rsidRPr="00DE7A2D" w:rsidRDefault="005B762B" w:rsidP="00F8020A">
            <w:pPr>
              <w:pStyle w:val="BodyText"/>
            </w:pPr>
            <w:r w:rsidRPr="00DE7A2D">
              <w:rPr>
                <w:color w:val="FFFFFF" w:themeColor="background1"/>
              </w:rPr>
              <w:t>Quality Rating</w:t>
            </w:r>
          </w:p>
        </w:tc>
      </w:tr>
      <w:tr w:rsidR="005B762B" w:rsidRPr="005B1ECC" w14:paraId="496CC8E8" w14:textId="77777777" w:rsidTr="00F802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4153BC30" w14:textId="77777777" w:rsidR="005B762B" w:rsidRPr="00DE7A2D" w:rsidRDefault="005B762B" w:rsidP="00F8020A">
            <w:pPr>
              <w:pStyle w:val="BodyText"/>
              <w:rPr>
                <w:color w:val="FFFFFF" w:themeColor="background1"/>
              </w:rPr>
            </w:pPr>
            <w:r w:rsidRPr="00DE7A2D">
              <w:rPr>
                <w:color w:val="FFFFFF" w:themeColor="background1"/>
              </w:rPr>
              <w:t>A</w:t>
            </w:r>
          </w:p>
        </w:tc>
        <w:tc>
          <w:tcPr>
            <w:tcW w:w="7716" w:type="dxa"/>
            <w:hideMark/>
          </w:tcPr>
          <w:p w14:paraId="4467491D" w14:textId="6754AA3B" w:rsidR="005B762B" w:rsidRPr="00DE7A2D" w:rsidRDefault="005B762B" w:rsidP="00F8020A">
            <w:pPr>
              <w:pStyle w:val="BodyText"/>
              <w:cnfStyle w:val="000000100000" w:firstRow="0" w:lastRow="0" w:firstColumn="0" w:lastColumn="0" w:oddVBand="0" w:evenVBand="0" w:oddHBand="1" w:evenHBand="0" w:firstRowFirstColumn="0" w:firstRowLastColumn="0" w:lastRowFirstColumn="0" w:lastRowLastColumn="0"/>
            </w:pPr>
            <w:r w:rsidRPr="001813FE">
              <w:rPr>
                <w:lang w:val="en-US"/>
              </w:rPr>
              <w:t xml:space="preserve">Highest quality rating: Typically premises in this group have very good access to high quality services available by FTTP or HFC or FTTN networks. </w:t>
            </w:r>
            <w:r w:rsidR="003830A1" w:rsidRPr="001813FE">
              <w:rPr>
                <w:lang w:val="en-US"/>
              </w:rPr>
              <w:t>ADSL</w:t>
            </w:r>
            <w:r w:rsidRPr="001813FE">
              <w:rPr>
                <w:lang w:val="en-US"/>
              </w:rPr>
              <w:t xml:space="preserve"> services are generally available</w:t>
            </w:r>
            <w:r w:rsidRPr="00DE7A2D">
              <w:t xml:space="preserve">.  </w:t>
            </w:r>
          </w:p>
        </w:tc>
      </w:tr>
      <w:tr w:rsidR="005B762B" w:rsidRPr="005B1ECC" w14:paraId="5C711FFF" w14:textId="77777777" w:rsidTr="00F8020A">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6D645148" w14:textId="77777777" w:rsidR="005B762B" w:rsidRPr="00DE7A2D" w:rsidRDefault="005B762B" w:rsidP="00F8020A">
            <w:pPr>
              <w:pStyle w:val="BodyText"/>
              <w:rPr>
                <w:color w:val="FFFFFF" w:themeColor="background1"/>
              </w:rPr>
            </w:pPr>
            <w:r w:rsidRPr="00DE7A2D">
              <w:rPr>
                <w:color w:val="FFFFFF" w:themeColor="background1"/>
              </w:rPr>
              <w:t>B</w:t>
            </w:r>
          </w:p>
        </w:tc>
        <w:tc>
          <w:tcPr>
            <w:tcW w:w="7716" w:type="dxa"/>
          </w:tcPr>
          <w:p w14:paraId="3C8F31AA" w14:textId="2605D5E7" w:rsidR="005B762B" w:rsidRPr="00DE7A2D" w:rsidRDefault="005B762B" w:rsidP="00F8020A">
            <w:pPr>
              <w:pStyle w:val="BodyText"/>
              <w:cnfStyle w:val="000000000000" w:firstRow="0" w:lastRow="0" w:firstColumn="0" w:lastColumn="0" w:oddVBand="0" w:evenVBand="0" w:oddHBand="0" w:evenHBand="0" w:firstRowFirstColumn="0" w:firstRowLastColumn="0" w:lastRowFirstColumn="0" w:lastRowLastColumn="0"/>
            </w:pPr>
            <w:r w:rsidRPr="00DE7A2D">
              <w:t xml:space="preserve">Typically premises in this group have good access to high quality services available by FTTP or HFC or FTTN networks. A small proportion of premises may only have access to </w:t>
            </w:r>
            <w:r w:rsidR="003830A1">
              <w:t>ADSL</w:t>
            </w:r>
            <w:r w:rsidRPr="00DE7A2D">
              <w:t xml:space="preserve"> services. </w:t>
            </w:r>
          </w:p>
        </w:tc>
      </w:tr>
      <w:tr w:rsidR="005B762B" w:rsidRPr="005B1ECC" w14:paraId="7592E50A" w14:textId="77777777" w:rsidTr="00F802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7AE56049" w14:textId="77777777" w:rsidR="005B762B" w:rsidRPr="00DE7A2D" w:rsidRDefault="005B762B" w:rsidP="00F8020A">
            <w:pPr>
              <w:pStyle w:val="BodyText"/>
              <w:rPr>
                <w:color w:val="FFFFFF" w:themeColor="background1"/>
              </w:rPr>
            </w:pPr>
            <w:r w:rsidRPr="00DE7A2D">
              <w:rPr>
                <w:color w:val="FFFFFF" w:themeColor="background1"/>
              </w:rPr>
              <w:t>C</w:t>
            </w:r>
          </w:p>
        </w:tc>
        <w:tc>
          <w:tcPr>
            <w:tcW w:w="7716" w:type="dxa"/>
          </w:tcPr>
          <w:p w14:paraId="4CABCAE1" w14:textId="16892E76" w:rsidR="005B762B" w:rsidRPr="00DE7A2D" w:rsidRDefault="005B762B" w:rsidP="00F8020A">
            <w:pPr>
              <w:pStyle w:val="BodyText"/>
              <w:cnfStyle w:val="000000100000" w:firstRow="0" w:lastRow="0" w:firstColumn="0" w:lastColumn="0" w:oddVBand="0" w:evenVBand="0" w:oddHBand="1" w:evenHBand="0" w:firstRowFirstColumn="0" w:firstRowLastColumn="0" w:lastRowFirstColumn="0" w:lastRowLastColumn="0"/>
            </w:pPr>
            <w:r w:rsidRPr="00DE7A2D">
              <w:t xml:space="preserve">Typically a larger proportion of premises are likely to have access to </w:t>
            </w:r>
            <w:r w:rsidR="003830A1">
              <w:t>ADSL</w:t>
            </w:r>
            <w:r w:rsidRPr="00DE7A2D">
              <w:t xml:space="preserve"> services, while remaining premises may also have access to high quality services available by FTTP or HFC or FTTN networks.  A small proportion of premises may have access to fixed wireless networks.</w:t>
            </w:r>
          </w:p>
        </w:tc>
      </w:tr>
      <w:tr w:rsidR="005B762B" w:rsidRPr="005B1ECC" w14:paraId="237ED628" w14:textId="77777777" w:rsidTr="00F8020A">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1F699F87" w14:textId="77777777" w:rsidR="005B762B" w:rsidRPr="00DE7A2D" w:rsidRDefault="005B762B" w:rsidP="00F8020A">
            <w:pPr>
              <w:pStyle w:val="BodyText"/>
              <w:rPr>
                <w:color w:val="FFFFFF" w:themeColor="background1"/>
              </w:rPr>
            </w:pPr>
            <w:r w:rsidRPr="00DE7A2D">
              <w:rPr>
                <w:color w:val="FFFFFF" w:themeColor="background1"/>
              </w:rPr>
              <w:t>D</w:t>
            </w:r>
          </w:p>
        </w:tc>
        <w:tc>
          <w:tcPr>
            <w:tcW w:w="7716" w:type="dxa"/>
          </w:tcPr>
          <w:p w14:paraId="3219D14A" w14:textId="41102883" w:rsidR="005B762B" w:rsidRPr="00DE7A2D" w:rsidRDefault="005B762B" w:rsidP="00F8020A">
            <w:pPr>
              <w:pStyle w:val="BodyText"/>
              <w:cnfStyle w:val="000000000000" w:firstRow="0" w:lastRow="0" w:firstColumn="0" w:lastColumn="0" w:oddVBand="0" w:evenVBand="0" w:oddHBand="0" w:evenHBand="0" w:firstRowFirstColumn="0" w:firstRowLastColumn="0" w:lastRowFirstColumn="0" w:lastRowLastColumn="0"/>
            </w:pPr>
            <w:r w:rsidRPr="00DE7A2D">
              <w:t xml:space="preserve">Typically the majority of premises in this group are likely to have access to </w:t>
            </w:r>
            <w:r w:rsidR="003830A1">
              <w:t>ADSL</w:t>
            </w:r>
            <w:r w:rsidRPr="00DE7A2D">
              <w:t xml:space="preserve"> services only, while some of the remaining premises will also have access to high quality services available by FTTP or HFC or FTTN networks. A small proportion of premises may have access to fixed wireless networks.</w:t>
            </w:r>
          </w:p>
        </w:tc>
      </w:tr>
      <w:tr w:rsidR="005B762B" w:rsidRPr="005B1ECC" w14:paraId="433F73BC" w14:textId="77777777" w:rsidTr="00F802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53EA80F1" w14:textId="77777777" w:rsidR="005B762B" w:rsidRPr="00DE7A2D" w:rsidRDefault="005B762B" w:rsidP="00F8020A">
            <w:pPr>
              <w:pStyle w:val="BodyText"/>
              <w:rPr>
                <w:color w:val="FFFFFF" w:themeColor="background1"/>
              </w:rPr>
            </w:pPr>
            <w:r w:rsidRPr="00DE7A2D">
              <w:rPr>
                <w:color w:val="FFFFFF" w:themeColor="background1"/>
              </w:rPr>
              <w:t>E</w:t>
            </w:r>
          </w:p>
        </w:tc>
        <w:tc>
          <w:tcPr>
            <w:tcW w:w="7716" w:type="dxa"/>
          </w:tcPr>
          <w:p w14:paraId="6661712B" w14:textId="255A6E01" w:rsidR="005B762B" w:rsidRPr="00DE7A2D" w:rsidRDefault="005B762B" w:rsidP="00F8020A">
            <w:pPr>
              <w:pStyle w:val="BodyText"/>
              <w:cnfStyle w:val="000000100000" w:firstRow="0" w:lastRow="0" w:firstColumn="0" w:lastColumn="0" w:oddVBand="0" w:evenVBand="0" w:oddHBand="1" w:evenHBand="0" w:firstRowFirstColumn="0" w:firstRowLastColumn="0" w:lastRowFirstColumn="0" w:lastRowLastColumn="0"/>
            </w:pPr>
            <w:r w:rsidRPr="00DE7A2D">
              <w:t xml:space="preserve">Lowest </w:t>
            </w:r>
            <w:r>
              <w:t>q</w:t>
            </w:r>
            <w:r w:rsidRPr="00DE7A2D">
              <w:t xml:space="preserve">uality </w:t>
            </w:r>
            <w:r>
              <w:t>r</w:t>
            </w:r>
            <w:r w:rsidRPr="00DE7A2D">
              <w:t xml:space="preserve">ating: Typically premises will only have access to </w:t>
            </w:r>
            <w:r w:rsidR="003830A1">
              <w:t>ADSL</w:t>
            </w:r>
            <w:r w:rsidRPr="00DE7A2D">
              <w:t xml:space="preserve"> services. This rating also includes regions that have no access to any form of fixed broadband service. A small proportion of premises may have access to fixed wireless networks.</w:t>
            </w:r>
          </w:p>
        </w:tc>
      </w:tr>
    </w:tbl>
    <w:p w14:paraId="7447C976" w14:textId="77777777" w:rsidR="005B762B" w:rsidRPr="00165614" w:rsidRDefault="005B762B" w:rsidP="005B762B">
      <w:pPr>
        <w:pStyle w:val="Heading3"/>
      </w:pPr>
      <w:r>
        <w:t>Broadband quality profile: Band A</w:t>
      </w:r>
    </w:p>
    <w:p w14:paraId="0108AFBA" w14:textId="102DAA7D" w:rsidR="005B762B" w:rsidRPr="005F32AC" w:rsidRDefault="005B762B" w:rsidP="005F32AC">
      <w:pPr>
        <w:pStyle w:val="BodyText"/>
      </w:pPr>
      <w:r w:rsidRPr="005F32AC">
        <w:t xml:space="preserve">DAs in the higher end of the highest quality band (A) include areas where FTTP networks have already been rolled out. Places such as </w:t>
      </w:r>
      <w:r w:rsidR="006059B0" w:rsidRPr="005F32AC">
        <w:t xml:space="preserve">Ellenbrook </w:t>
      </w:r>
      <w:r w:rsidRPr="005F32AC">
        <w:t xml:space="preserve">WA, </w:t>
      </w:r>
      <w:r w:rsidR="006059B0" w:rsidRPr="005F32AC">
        <w:t xml:space="preserve">Keysborough </w:t>
      </w:r>
      <w:r w:rsidRPr="005F32AC">
        <w:t xml:space="preserve">VIC, </w:t>
      </w:r>
      <w:r w:rsidR="001F6560" w:rsidRPr="005F32AC">
        <w:t>Blacktown</w:t>
      </w:r>
      <w:r w:rsidRPr="005F32AC">
        <w:t xml:space="preserve"> NSW</w:t>
      </w:r>
      <w:r w:rsidR="00957D0F" w:rsidRPr="005F32AC">
        <w:t>, Crace ACT, Willung</w:t>
      </w:r>
      <w:r w:rsidR="00430773" w:rsidRPr="005F32AC">
        <w:t>a</w:t>
      </w:r>
      <w:r w:rsidR="00957D0F" w:rsidRPr="005F32AC">
        <w:t xml:space="preserve"> SA, Launceston South TAS, </w:t>
      </w:r>
      <w:r w:rsidR="001F6560" w:rsidRPr="005F32AC">
        <w:t>Palmerston</w:t>
      </w:r>
      <w:r w:rsidR="00957D0F" w:rsidRPr="005F32AC">
        <w:t xml:space="preserve"> NT</w:t>
      </w:r>
      <w:r w:rsidRPr="005F32AC">
        <w:t xml:space="preserve"> and </w:t>
      </w:r>
      <w:r w:rsidR="00A50D44" w:rsidRPr="005F32AC">
        <w:t xml:space="preserve">Oxenford </w:t>
      </w:r>
      <w:r w:rsidRPr="005F32AC">
        <w:t xml:space="preserve">QLD, have several DAs where fibre has been connected to all premises in the DA. These are </w:t>
      </w:r>
      <w:r w:rsidR="00BB35C2" w:rsidRPr="005F32AC">
        <w:t>typically</w:t>
      </w:r>
      <w:r w:rsidRPr="005F32AC">
        <w:t xml:space="preserve"> </w:t>
      </w:r>
      <w:r w:rsidR="00957D0F" w:rsidRPr="005F32AC">
        <w:t xml:space="preserve">areas where NBN Co has deployed its fibre network or </w:t>
      </w:r>
      <w:r w:rsidRPr="005F32AC">
        <w:t xml:space="preserve">newer housing estates </w:t>
      </w:r>
      <w:r w:rsidR="00957D0F" w:rsidRPr="005F32AC">
        <w:t xml:space="preserve">with fibre deployed by </w:t>
      </w:r>
      <w:r w:rsidRPr="005F32AC">
        <w:t xml:space="preserve">private companies. </w:t>
      </w:r>
      <w:r w:rsidR="003830A1" w:rsidRPr="005F32AC">
        <w:t>ADSL</w:t>
      </w:r>
      <w:r w:rsidRPr="005F32AC">
        <w:t xml:space="preserve"> services are usually also available in DAs where </w:t>
      </w:r>
      <w:r w:rsidR="00BB35C2" w:rsidRPr="005F32AC">
        <w:t>FTTP</w:t>
      </w:r>
      <w:r w:rsidRPr="005F32AC">
        <w:t xml:space="preserve"> has been deployed in established suburbs and towns such as Armidale NSW, </w:t>
      </w:r>
      <w:r w:rsidR="000100D2" w:rsidRPr="005F32AC">
        <w:t xml:space="preserve">Townsville </w:t>
      </w:r>
      <w:r w:rsidRPr="005F32AC">
        <w:t>QLD</w:t>
      </w:r>
      <w:r w:rsidR="000100D2" w:rsidRPr="005F32AC">
        <w:t>, Brunswick VIC,</w:t>
      </w:r>
      <w:r w:rsidRPr="005F32AC">
        <w:t xml:space="preserve"> and </w:t>
      </w:r>
      <w:r w:rsidR="001770A4" w:rsidRPr="005F32AC">
        <w:t>South Hobart</w:t>
      </w:r>
      <w:r w:rsidRPr="005F32AC">
        <w:t xml:space="preserve"> TAS.</w:t>
      </w:r>
    </w:p>
    <w:p w14:paraId="454A2FC9" w14:textId="150B3F3B" w:rsidR="005B762B" w:rsidRPr="005F32AC" w:rsidRDefault="005B762B" w:rsidP="005F32AC">
      <w:pPr>
        <w:pStyle w:val="BodyText"/>
      </w:pPr>
      <w:r w:rsidRPr="005F32AC">
        <w:t xml:space="preserve">DAs in the middle </w:t>
      </w:r>
      <w:r w:rsidR="000100D2" w:rsidRPr="005F32AC">
        <w:t>range</w:t>
      </w:r>
      <w:r w:rsidRPr="005F32AC">
        <w:t xml:space="preserve"> of this band generally have a mix of technologies available, for example where part of the DA has been included in an FTTP rollout, but there is also coverage by </w:t>
      </w:r>
      <w:r w:rsidR="003830A1" w:rsidRPr="005F32AC">
        <w:t>ADSL</w:t>
      </w:r>
      <w:r w:rsidRPr="005F32AC">
        <w:t xml:space="preserve"> and possibly HFC, such as areas of Brunswick VIC, Robina QLD or Auburn NSW.</w:t>
      </w:r>
    </w:p>
    <w:p w14:paraId="4A181B38" w14:textId="743498BD" w:rsidR="005B762B" w:rsidRPr="005F32AC" w:rsidRDefault="005B762B" w:rsidP="005F32AC">
      <w:pPr>
        <w:pStyle w:val="BodyText"/>
      </w:pPr>
      <w:r w:rsidRPr="005F32AC">
        <w:t xml:space="preserve">DAs in the lower part of this band are more likely to have good coverage from only one high speed technology, such as FTTP or HFC. For example some parts of Jindalee WA and Dandenong South VIC have a small amount of FTTP </w:t>
      </w:r>
      <w:r w:rsidR="000100D2" w:rsidRPr="005F32AC">
        <w:t xml:space="preserve">available, </w:t>
      </w:r>
      <w:r w:rsidRPr="005F32AC">
        <w:t xml:space="preserve">but very good coverage by HFC. </w:t>
      </w:r>
      <w:r w:rsidR="003830A1" w:rsidRPr="005F32AC">
        <w:t>ADSL</w:t>
      </w:r>
      <w:r w:rsidRPr="005F32AC">
        <w:t xml:space="preserve"> is </w:t>
      </w:r>
      <w:r w:rsidR="000100D2" w:rsidRPr="005F32AC">
        <w:t xml:space="preserve">generally </w:t>
      </w:r>
      <w:r w:rsidRPr="005F32AC">
        <w:t xml:space="preserve">available </w:t>
      </w:r>
      <w:r w:rsidR="000100D2" w:rsidRPr="005F32AC">
        <w:t>to these premises</w:t>
      </w:r>
      <w:r w:rsidRPr="005F32AC">
        <w:t xml:space="preserve">, although there are areas where </w:t>
      </w:r>
      <w:r w:rsidR="003830A1" w:rsidRPr="005F32AC">
        <w:t>ADSL</w:t>
      </w:r>
      <w:r w:rsidRPr="005F32AC">
        <w:t xml:space="preserve"> impediments exist. </w:t>
      </w:r>
    </w:p>
    <w:p w14:paraId="19D9198C" w14:textId="71FA5372" w:rsidR="005B762B" w:rsidRPr="001813FE" w:rsidRDefault="005B762B" w:rsidP="005F32AC">
      <w:pPr>
        <w:pStyle w:val="BodyText"/>
        <w:rPr>
          <w:lang w:val="en-US"/>
        </w:rPr>
      </w:pPr>
      <w:r w:rsidRPr="005F32AC">
        <w:t xml:space="preserve">Band A is made up of approximately </w:t>
      </w:r>
      <w:r w:rsidR="008C4AEB" w:rsidRPr="005F32AC">
        <w:t>2,000</w:t>
      </w:r>
      <w:r w:rsidRPr="005F32AC">
        <w:t xml:space="preserve"> DAs (3 per cent of all DAs) containing approximately </w:t>
      </w:r>
      <w:r w:rsidR="008C4AEB" w:rsidRPr="005F32AC">
        <w:t>34</w:t>
      </w:r>
      <w:r w:rsidR="00DC08AC" w:rsidRPr="005F32AC">
        <w:t>3</w:t>
      </w:r>
      <w:r w:rsidR="008C4AEB" w:rsidRPr="005F32AC">
        <w:t>,000</w:t>
      </w:r>
      <w:r w:rsidRPr="005F32AC">
        <w:t xml:space="preserve"> premises (3 per cent of total premises).</w:t>
      </w:r>
    </w:p>
    <w:p w14:paraId="38B5E068" w14:textId="22171835" w:rsidR="005B762B" w:rsidRDefault="005B762B" w:rsidP="005B762B">
      <w:pPr>
        <w:pStyle w:val="BodyText"/>
        <w:numPr>
          <w:ilvl w:val="0"/>
          <w:numId w:val="3"/>
        </w:numPr>
        <w:tabs>
          <w:tab w:val="clear" w:pos="0"/>
        </w:tabs>
        <w:ind w:left="426"/>
      </w:pPr>
      <w:r>
        <w:t xml:space="preserve">Nearly all premises in the </w:t>
      </w:r>
      <w:r w:rsidR="00DD027B">
        <w:t xml:space="preserve">A </w:t>
      </w:r>
      <w:r>
        <w:t xml:space="preserve">band have access to FTTP or HFC, with the majority being served solely by FTTP (approximately </w:t>
      </w:r>
      <w:r w:rsidR="003319FC">
        <w:t>2</w:t>
      </w:r>
      <w:r w:rsidR="007233E6">
        <w:t>19</w:t>
      </w:r>
      <w:r>
        <w:t xml:space="preserve">,000 premises or </w:t>
      </w:r>
      <w:r w:rsidR="003319FC">
        <w:t>64</w:t>
      </w:r>
      <w:r>
        <w:t xml:space="preserve"> per cent of the A band).</w:t>
      </w:r>
      <w:r w:rsidR="00E74E41">
        <w:t xml:space="preserve"> </w:t>
      </w:r>
    </w:p>
    <w:p w14:paraId="6EF4F335" w14:textId="7A8A8AA6" w:rsidR="00306938" w:rsidRDefault="005B762B" w:rsidP="005B762B">
      <w:pPr>
        <w:pStyle w:val="BodyText"/>
        <w:numPr>
          <w:ilvl w:val="0"/>
          <w:numId w:val="3"/>
        </w:numPr>
        <w:tabs>
          <w:tab w:val="clear" w:pos="0"/>
        </w:tabs>
        <w:ind w:left="426"/>
      </w:pPr>
      <w:r>
        <w:t>Approximately</w:t>
      </w:r>
      <w:r w:rsidR="001770A4">
        <w:t xml:space="preserve"> </w:t>
      </w:r>
      <w:r w:rsidR="008C4AEB">
        <w:t>58,300</w:t>
      </w:r>
      <w:r>
        <w:t xml:space="preserve"> premises (</w:t>
      </w:r>
      <w:r w:rsidR="008C4AEB">
        <w:t>17</w:t>
      </w:r>
      <w:r w:rsidR="002811CE">
        <w:t xml:space="preserve"> per cent of premises) </w:t>
      </w:r>
      <w:r>
        <w:t xml:space="preserve">in the A band cannot access </w:t>
      </w:r>
      <w:r w:rsidR="003830A1">
        <w:t>ADSL</w:t>
      </w:r>
      <w:r>
        <w:t xml:space="preserve"> services. </w:t>
      </w:r>
    </w:p>
    <w:p w14:paraId="346ED9BD" w14:textId="41D54D57" w:rsidR="005B762B" w:rsidRDefault="00306938" w:rsidP="00306938">
      <w:pPr>
        <w:pStyle w:val="BodyText"/>
        <w:numPr>
          <w:ilvl w:val="1"/>
          <w:numId w:val="24"/>
        </w:numPr>
      </w:pPr>
      <w:r>
        <w:t>Of these,</w:t>
      </w:r>
      <w:r w:rsidR="002760A4">
        <w:t xml:space="preserve"> </w:t>
      </w:r>
      <w:r w:rsidR="00291D33">
        <w:t>30,9</w:t>
      </w:r>
      <w:r>
        <w:t>00 are located in around 200 DAS that have no access to ADSL</w:t>
      </w:r>
      <w:r w:rsidR="007A6B52">
        <w:t>.</w:t>
      </w:r>
      <w:r>
        <w:t xml:space="preserve"> These DAs a</w:t>
      </w:r>
      <w:r w:rsidR="005B762B">
        <w:t xml:space="preserve">re primarily located in developments where no copper infrastructure was deployed, such as parts of Sanctuary Cove QLD, Eynesbury VIC and Dayton WA. </w:t>
      </w:r>
    </w:p>
    <w:p w14:paraId="1BA3E6FA" w14:textId="77777777" w:rsidR="005B762B" w:rsidRPr="00F9712F" w:rsidRDefault="005B762B" w:rsidP="005B762B">
      <w:pPr>
        <w:pStyle w:val="BodyText"/>
        <w:numPr>
          <w:ilvl w:val="0"/>
          <w:numId w:val="24"/>
        </w:numPr>
      </w:pPr>
      <w:r w:rsidRPr="00F9712F">
        <w:t>Of the premises located in the highest quality band, approximately:</w:t>
      </w:r>
    </w:p>
    <w:p w14:paraId="79E0CAF3" w14:textId="6F9E2518" w:rsidR="005B762B" w:rsidRPr="00F9712F" w:rsidRDefault="00207325" w:rsidP="005B762B">
      <w:pPr>
        <w:pStyle w:val="BodyText"/>
        <w:numPr>
          <w:ilvl w:val="1"/>
          <w:numId w:val="24"/>
        </w:numPr>
      </w:pPr>
      <w:r>
        <w:t>24</w:t>
      </w:r>
      <w:r w:rsidR="007233E6">
        <w:t>5,200</w:t>
      </w:r>
      <w:r w:rsidR="005B762B" w:rsidRPr="00F9712F">
        <w:t xml:space="preserve"> are located in metropolitan areas</w:t>
      </w:r>
    </w:p>
    <w:p w14:paraId="3FD6CD14" w14:textId="6651D3C2" w:rsidR="005B762B" w:rsidRPr="00F9712F" w:rsidRDefault="00207325" w:rsidP="005B762B">
      <w:pPr>
        <w:pStyle w:val="BodyText"/>
        <w:numPr>
          <w:ilvl w:val="1"/>
          <w:numId w:val="24"/>
        </w:numPr>
      </w:pPr>
      <w:r>
        <w:t>9</w:t>
      </w:r>
      <w:r w:rsidR="007233E6">
        <w:t>7</w:t>
      </w:r>
      <w:r w:rsidR="005B762B" w:rsidRPr="00F9712F">
        <w:t>,</w:t>
      </w:r>
      <w:r w:rsidR="007233E6">
        <w:t>1</w:t>
      </w:r>
      <w:r w:rsidR="005B762B" w:rsidRPr="00F9712F">
        <w:t>00 are located in regional Australia</w:t>
      </w:r>
    </w:p>
    <w:p w14:paraId="2E865B66" w14:textId="60AA44A1" w:rsidR="005B762B" w:rsidRPr="00F9712F" w:rsidRDefault="005B762B" w:rsidP="005B762B">
      <w:pPr>
        <w:pStyle w:val="BodyText"/>
        <w:numPr>
          <w:ilvl w:val="1"/>
          <w:numId w:val="24"/>
        </w:numPr>
      </w:pPr>
      <w:r w:rsidRPr="00F9712F">
        <w:t xml:space="preserve">1000 are located in </w:t>
      </w:r>
      <w:r w:rsidRPr="00230A80">
        <w:t>remote</w:t>
      </w:r>
      <w:r w:rsidRPr="00F9712F">
        <w:t xml:space="preserve"> Australia</w:t>
      </w:r>
      <w:r>
        <w:t xml:space="preserve"> – the majority of these are in </w:t>
      </w:r>
      <w:r w:rsidR="00CB6D94">
        <w:t>northern</w:t>
      </w:r>
      <w:r>
        <w:t xml:space="preserve"> Western Australia.</w:t>
      </w:r>
    </w:p>
    <w:p w14:paraId="736D1771" w14:textId="77777777" w:rsidR="005B762B" w:rsidRPr="00165614" w:rsidRDefault="005B762B" w:rsidP="005B762B">
      <w:pPr>
        <w:pStyle w:val="Heading3"/>
      </w:pPr>
      <w:r>
        <w:t>Broadband quality profile: Band B</w:t>
      </w:r>
    </w:p>
    <w:p w14:paraId="3B293D84" w14:textId="0F4D384E" w:rsidR="005B762B" w:rsidRPr="005F32AC" w:rsidRDefault="005B762B" w:rsidP="005F32AC">
      <w:pPr>
        <w:pStyle w:val="BodyText"/>
      </w:pPr>
      <w:r w:rsidRPr="005F32AC">
        <w:t>DAs in the higher end of Band B (the second highest quality band) include areas where there is complete coverage by HFC or FTTN, in the case of some DAs in the ACT. Areas such as parts of Collingwood VIC and Homebush NSW have coverage from bot</w:t>
      </w:r>
      <w:r w:rsidR="005F2EED" w:rsidRPr="005F32AC">
        <w:t>h FTTP and HFC, but fewer than 8</w:t>
      </w:r>
      <w:r w:rsidRPr="005F32AC">
        <w:t xml:space="preserve">0 DAs in this band have multiple high speed technologies available. </w:t>
      </w:r>
      <w:r w:rsidR="003830A1" w:rsidRPr="005F32AC">
        <w:t>ADSL</w:t>
      </w:r>
      <w:r w:rsidRPr="005F32AC">
        <w:t xml:space="preserve"> is generally available.</w:t>
      </w:r>
    </w:p>
    <w:p w14:paraId="3829C759" w14:textId="5214BEAA" w:rsidR="005B762B" w:rsidRPr="005F32AC" w:rsidRDefault="005B762B" w:rsidP="005F32AC">
      <w:pPr>
        <w:pStyle w:val="BodyText"/>
      </w:pPr>
      <w:r w:rsidRPr="005F32AC">
        <w:t xml:space="preserve">In the middle and lower ends of this band, DAs are more likely to have partial coverage of FTTP, FTTN or HFC. For example, parts of Waverly NSW are not completely covered by HFC. There are also larger areas where </w:t>
      </w:r>
      <w:r w:rsidR="003830A1" w:rsidRPr="005F32AC">
        <w:t>ADSL</w:t>
      </w:r>
      <w:r w:rsidRPr="005F32AC">
        <w:t xml:space="preserve"> access is limited because of technological impairments.</w:t>
      </w:r>
    </w:p>
    <w:p w14:paraId="35D1655E" w14:textId="7FF2A2E3" w:rsidR="005B762B" w:rsidRPr="005F32AC" w:rsidRDefault="005B762B" w:rsidP="005F32AC">
      <w:pPr>
        <w:pStyle w:val="BodyText"/>
      </w:pPr>
      <w:r w:rsidRPr="005F32AC">
        <w:t>Band B is made up of approximately 23,</w:t>
      </w:r>
      <w:r w:rsidR="00E36CF0" w:rsidRPr="005F32AC">
        <w:t>9</w:t>
      </w:r>
      <w:r w:rsidRPr="005F32AC">
        <w:t>00 DAs (3</w:t>
      </w:r>
      <w:r w:rsidR="00E36CF0" w:rsidRPr="005F32AC">
        <w:t>1</w:t>
      </w:r>
      <w:r w:rsidRPr="005F32AC">
        <w:t xml:space="preserve"> per cent of all DAs) containing approximately 3.</w:t>
      </w:r>
      <w:r w:rsidR="00E36CF0" w:rsidRPr="005F32AC">
        <w:t>6</w:t>
      </w:r>
      <w:r w:rsidRPr="005F32AC">
        <w:t xml:space="preserve"> million premises (3</w:t>
      </w:r>
      <w:r w:rsidR="00E36CF0" w:rsidRPr="005F32AC">
        <w:t>3</w:t>
      </w:r>
      <w:r w:rsidRPr="005F32AC">
        <w:t xml:space="preserve"> per cent of total premises).</w:t>
      </w:r>
    </w:p>
    <w:p w14:paraId="3D2A9E4A" w14:textId="77777777" w:rsidR="005B762B" w:rsidRDefault="005B762B" w:rsidP="005B762B">
      <w:pPr>
        <w:pStyle w:val="BodyText"/>
        <w:numPr>
          <w:ilvl w:val="0"/>
          <w:numId w:val="3"/>
        </w:numPr>
        <w:tabs>
          <w:tab w:val="clear" w:pos="0"/>
        </w:tabs>
        <w:ind w:left="426"/>
      </w:pPr>
      <w:r>
        <w:t>All the DAs in this band have either complete coverage or a high proportion of premises with access to at least one high speed technology, FTTP, FTTN or HFC.</w:t>
      </w:r>
    </w:p>
    <w:p w14:paraId="55E577BE" w14:textId="30662E19" w:rsidR="00291D33" w:rsidRDefault="005B762B" w:rsidP="005B762B">
      <w:pPr>
        <w:pStyle w:val="BodyText"/>
        <w:numPr>
          <w:ilvl w:val="0"/>
          <w:numId w:val="3"/>
        </w:numPr>
        <w:tabs>
          <w:tab w:val="clear" w:pos="0"/>
        </w:tabs>
        <w:ind w:left="426"/>
      </w:pPr>
      <w:r>
        <w:t>Appro</w:t>
      </w:r>
      <w:r w:rsidR="008A1467">
        <w:t xml:space="preserve">ximately </w:t>
      </w:r>
      <w:r w:rsidR="00E047BE">
        <w:t>193,</w:t>
      </w:r>
      <w:r w:rsidR="00DC08AC">
        <w:t>6</w:t>
      </w:r>
      <w:r w:rsidR="00E047BE">
        <w:t>00</w:t>
      </w:r>
      <w:r>
        <w:t xml:space="preserve"> premises (</w:t>
      </w:r>
      <w:r w:rsidR="008A1467">
        <w:t>5</w:t>
      </w:r>
      <w:r>
        <w:t xml:space="preserve"> per cent of premises) in the B band cannot access </w:t>
      </w:r>
      <w:r w:rsidR="003830A1">
        <w:t>ADSL</w:t>
      </w:r>
      <w:r>
        <w:t xml:space="preserve"> services. </w:t>
      </w:r>
    </w:p>
    <w:p w14:paraId="2707603D" w14:textId="5B034135" w:rsidR="005B762B" w:rsidRDefault="00291D33" w:rsidP="00291D33">
      <w:pPr>
        <w:pStyle w:val="BodyText"/>
        <w:numPr>
          <w:ilvl w:val="1"/>
          <w:numId w:val="24"/>
        </w:numPr>
      </w:pPr>
      <w:r>
        <w:t>Of the</w:t>
      </w:r>
      <w:r w:rsidR="005B762B">
        <w:t>se</w:t>
      </w:r>
      <w:r>
        <w:t xml:space="preserve">, </w:t>
      </w:r>
      <w:r w:rsidR="00E047BE">
        <w:t>32,500</w:t>
      </w:r>
      <w:r>
        <w:t xml:space="preserve"> are </w:t>
      </w:r>
      <w:r w:rsidR="005B762B">
        <w:t xml:space="preserve">located in approximately </w:t>
      </w:r>
      <w:r>
        <w:t>200</w:t>
      </w:r>
      <w:r w:rsidR="002811CE">
        <w:t xml:space="preserve"> DAs that have </w:t>
      </w:r>
      <w:r>
        <w:t xml:space="preserve">no </w:t>
      </w:r>
      <w:r w:rsidR="002811CE">
        <w:t>access</w:t>
      </w:r>
      <w:r w:rsidR="005B762B">
        <w:t xml:space="preserve"> to </w:t>
      </w:r>
      <w:r w:rsidR="003830A1">
        <w:t>ADSL</w:t>
      </w:r>
      <w:r w:rsidR="005B762B">
        <w:t>.</w:t>
      </w:r>
    </w:p>
    <w:p w14:paraId="6103D874" w14:textId="66700E2D" w:rsidR="005B762B" w:rsidRDefault="005B762B" w:rsidP="005B762B">
      <w:pPr>
        <w:pStyle w:val="BodyText"/>
        <w:numPr>
          <w:ilvl w:val="0"/>
          <w:numId w:val="24"/>
        </w:numPr>
      </w:pPr>
      <w:r>
        <w:t xml:space="preserve">The majority of premises in this band are located in metropolitan areas, with approximately </w:t>
      </w:r>
      <w:r w:rsidR="00B06DCD">
        <w:t>73</w:t>
      </w:r>
      <w:r>
        <w:t>,</w:t>
      </w:r>
      <w:r w:rsidR="007233E6">
        <w:t>3</w:t>
      </w:r>
      <w:r>
        <w:t>00 premises (</w:t>
      </w:r>
      <w:r w:rsidR="007233E6">
        <w:t>2</w:t>
      </w:r>
      <w:r>
        <w:t xml:space="preserve"> per cent of the B band) located in regional </w:t>
      </w:r>
      <w:r w:rsidR="00B06DCD">
        <w:t>and remote</w:t>
      </w:r>
      <w:r>
        <w:t xml:space="preserve"> areas.</w:t>
      </w:r>
    </w:p>
    <w:p w14:paraId="6B93C13D" w14:textId="77777777" w:rsidR="005B762B" w:rsidRPr="00165614" w:rsidRDefault="005B762B" w:rsidP="005B762B">
      <w:pPr>
        <w:pStyle w:val="Heading3"/>
      </w:pPr>
      <w:r>
        <w:t>Broadband quality profile: Band C</w:t>
      </w:r>
    </w:p>
    <w:p w14:paraId="1E693EF8" w14:textId="77777777" w:rsidR="005B762B" w:rsidRPr="005F32AC" w:rsidRDefault="005B762B" w:rsidP="005F32AC">
      <w:pPr>
        <w:pStyle w:val="BodyText"/>
      </w:pPr>
      <w:r w:rsidRPr="005F32AC">
        <w:t xml:space="preserve">About 3 per cent of DAs in this band have some FTTP available and a handful of DAs have partial coverage from both FTTP and HFC. The vast majority though have some coverage from HFC or FTTN, such as Crawley WA, Glenelg SA or Weston Creek ACT.  </w:t>
      </w:r>
    </w:p>
    <w:p w14:paraId="46A162AC" w14:textId="705EBDB5" w:rsidR="005B762B" w:rsidRPr="005F32AC" w:rsidRDefault="005B762B" w:rsidP="005F32AC">
      <w:pPr>
        <w:pStyle w:val="BodyText"/>
      </w:pPr>
      <w:r w:rsidRPr="005F32AC">
        <w:t xml:space="preserve">Band C is made up of approximately </w:t>
      </w:r>
      <w:r w:rsidR="00D5403F" w:rsidRPr="005F32AC">
        <w:t>2,400</w:t>
      </w:r>
      <w:r w:rsidRPr="005F32AC">
        <w:t xml:space="preserve"> DAs (</w:t>
      </w:r>
      <w:r w:rsidR="00E36CF0" w:rsidRPr="005F32AC">
        <w:t>3</w:t>
      </w:r>
      <w:r w:rsidRPr="005F32AC">
        <w:t xml:space="preserve"> per cent of all DAs) containing approximately </w:t>
      </w:r>
      <w:r w:rsidR="00E36CF0" w:rsidRPr="005F32AC">
        <w:t>379</w:t>
      </w:r>
      <w:r w:rsidRPr="005F32AC">
        <w:t>,</w:t>
      </w:r>
      <w:r w:rsidR="00DC08AC" w:rsidRPr="005F32AC">
        <w:t>3</w:t>
      </w:r>
      <w:r w:rsidRPr="005F32AC">
        <w:t>00 premises (3 per cent of total premises).</w:t>
      </w:r>
    </w:p>
    <w:p w14:paraId="38532B43" w14:textId="463D5D31" w:rsidR="005B762B" w:rsidRDefault="005B762B" w:rsidP="005B762B">
      <w:pPr>
        <w:pStyle w:val="BodyText"/>
        <w:numPr>
          <w:ilvl w:val="0"/>
          <w:numId w:val="3"/>
        </w:numPr>
        <w:tabs>
          <w:tab w:val="clear" w:pos="0"/>
        </w:tabs>
        <w:ind w:left="426"/>
      </w:pPr>
      <w:r>
        <w:t>All DAs in this band have partial coverage from at least one high speed technology, FTTP, FTTN or HFC.</w:t>
      </w:r>
    </w:p>
    <w:p w14:paraId="6F2C820C" w14:textId="487325F5" w:rsidR="00EA2470" w:rsidRDefault="005B762B" w:rsidP="005B762B">
      <w:pPr>
        <w:pStyle w:val="BodyText"/>
        <w:numPr>
          <w:ilvl w:val="0"/>
          <w:numId w:val="3"/>
        </w:numPr>
        <w:tabs>
          <w:tab w:val="clear" w:pos="0"/>
        </w:tabs>
        <w:ind w:left="426"/>
      </w:pPr>
      <w:r>
        <w:t xml:space="preserve">Approximately </w:t>
      </w:r>
      <w:r w:rsidR="00566910">
        <w:t>21,</w:t>
      </w:r>
      <w:r w:rsidR="00DC08AC">
        <w:t>5</w:t>
      </w:r>
      <w:r w:rsidR="00566910">
        <w:t>00</w:t>
      </w:r>
      <w:r>
        <w:t xml:space="preserve"> premises (</w:t>
      </w:r>
      <w:r w:rsidR="00566910">
        <w:t>6</w:t>
      </w:r>
      <w:r>
        <w:t xml:space="preserve"> per cent of premises) in the C band cannot access </w:t>
      </w:r>
      <w:r w:rsidR="003830A1">
        <w:t>ADSL</w:t>
      </w:r>
      <w:r>
        <w:t xml:space="preserve"> services. </w:t>
      </w:r>
    </w:p>
    <w:p w14:paraId="69AF8DD1" w14:textId="4DCF86A2" w:rsidR="005B762B" w:rsidRDefault="00EA2470" w:rsidP="00EA2470">
      <w:pPr>
        <w:pStyle w:val="BodyText"/>
        <w:numPr>
          <w:ilvl w:val="1"/>
          <w:numId w:val="24"/>
        </w:numPr>
      </w:pPr>
      <w:r>
        <w:t xml:space="preserve">Of these, </w:t>
      </w:r>
      <w:r w:rsidR="00566910">
        <w:t>3,</w:t>
      </w:r>
      <w:r w:rsidR="00087CBB">
        <w:t>6</w:t>
      </w:r>
      <w:r w:rsidR="00566910">
        <w:t>00</w:t>
      </w:r>
      <w:r>
        <w:t xml:space="preserve"> are located in approximately </w:t>
      </w:r>
      <w:r w:rsidR="00566910">
        <w:t xml:space="preserve">20 </w:t>
      </w:r>
      <w:r>
        <w:t>DAs that have no access to ADSL.</w:t>
      </w:r>
    </w:p>
    <w:p w14:paraId="0EE07B06" w14:textId="77777777" w:rsidR="005B762B" w:rsidRPr="00F9712F" w:rsidRDefault="005B762B" w:rsidP="005B762B">
      <w:pPr>
        <w:pStyle w:val="BodyText"/>
        <w:numPr>
          <w:ilvl w:val="0"/>
          <w:numId w:val="24"/>
        </w:numPr>
      </w:pPr>
      <w:r>
        <w:t xml:space="preserve">Of the premises located in the middle </w:t>
      </w:r>
      <w:r w:rsidRPr="00F9712F">
        <w:t>quality band, approximately:</w:t>
      </w:r>
    </w:p>
    <w:p w14:paraId="54DC3E77" w14:textId="2D6CD4FC" w:rsidR="005B762B" w:rsidRPr="00F9712F" w:rsidRDefault="00B06DCD" w:rsidP="005B762B">
      <w:pPr>
        <w:pStyle w:val="BodyText"/>
        <w:numPr>
          <w:ilvl w:val="1"/>
          <w:numId w:val="24"/>
        </w:numPr>
      </w:pPr>
      <w:r>
        <w:t>346</w:t>
      </w:r>
      <w:r w:rsidR="005B762B" w:rsidRPr="00F9712F">
        <w:t>,</w:t>
      </w:r>
      <w:r w:rsidR="00087CBB">
        <w:t>3</w:t>
      </w:r>
      <w:r w:rsidR="005B762B" w:rsidRPr="00F9712F">
        <w:t>00 are located in metropolitan areas</w:t>
      </w:r>
    </w:p>
    <w:p w14:paraId="2055384B" w14:textId="4333A31C" w:rsidR="005B762B" w:rsidRPr="00F9712F" w:rsidRDefault="00B06DCD" w:rsidP="005B762B">
      <w:pPr>
        <w:pStyle w:val="BodyText"/>
        <w:numPr>
          <w:ilvl w:val="1"/>
          <w:numId w:val="24"/>
        </w:numPr>
      </w:pPr>
      <w:r>
        <w:t>32</w:t>
      </w:r>
      <w:r w:rsidR="005B762B" w:rsidRPr="00F9712F">
        <w:t>,</w:t>
      </w:r>
      <w:r w:rsidR="00087CBB">
        <w:t>9</w:t>
      </w:r>
      <w:r w:rsidR="005B762B" w:rsidRPr="00F9712F">
        <w:t>00 are located in regional Australia</w:t>
      </w:r>
    </w:p>
    <w:p w14:paraId="005D5FA7" w14:textId="53F49F5E" w:rsidR="005B762B" w:rsidRDefault="00B06DCD" w:rsidP="005B762B">
      <w:pPr>
        <w:pStyle w:val="BodyText"/>
        <w:numPr>
          <w:ilvl w:val="1"/>
          <w:numId w:val="24"/>
        </w:numPr>
      </w:pPr>
      <w:r>
        <w:t>9</w:t>
      </w:r>
      <w:r w:rsidR="005B762B">
        <w:t>0</w:t>
      </w:r>
      <w:r w:rsidR="005B762B" w:rsidRPr="00F9712F">
        <w:t xml:space="preserve"> are located in remote Australia</w:t>
      </w:r>
      <w:r w:rsidR="005B762B">
        <w:t xml:space="preserve"> – these are located in </w:t>
      </w:r>
      <w:r>
        <w:t>northern</w:t>
      </w:r>
      <w:r w:rsidR="005B762B">
        <w:t xml:space="preserve"> Western Australia </w:t>
      </w:r>
      <w:r w:rsidR="00395706">
        <w:t xml:space="preserve">in areas </w:t>
      </w:r>
      <w:r w:rsidR="005B762B">
        <w:t>with partial FTTP coverage.</w:t>
      </w:r>
    </w:p>
    <w:p w14:paraId="192B4B4F" w14:textId="77777777" w:rsidR="005B762B" w:rsidRPr="00165614" w:rsidRDefault="005B762B" w:rsidP="005B762B">
      <w:pPr>
        <w:pStyle w:val="Heading3"/>
      </w:pPr>
      <w:r>
        <w:t>Broadband quality profile: Band D</w:t>
      </w:r>
    </w:p>
    <w:p w14:paraId="2CF4CDAC" w14:textId="2B5D62CA" w:rsidR="005B762B" w:rsidRPr="005F32AC" w:rsidRDefault="005B762B" w:rsidP="005F32AC">
      <w:pPr>
        <w:pStyle w:val="BodyText"/>
      </w:pPr>
      <w:r w:rsidRPr="005F32AC">
        <w:t xml:space="preserve">There are fewer DAs in this band with any coverage from a high speed technology, with coverage being for a smaller proportion of the DA. This includes places such as Surfers Paradise QLD, Craigieburn VIC and Redfern NSW. </w:t>
      </w:r>
      <w:r w:rsidR="003830A1" w:rsidRPr="005F32AC">
        <w:t>ADSL</w:t>
      </w:r>
      <w:r w:rsidRPr="005F32AC">
        <w:t xml:space="preserve"> availability continues to be fairly widespread but more areas are likely to have technological impairments. </w:t>
      </w:r>
    </w:p>
    <w:p w14:paraId="46831BA1" w14:textId="70B8EF32" w:rsidR="005B762B" w:rsidRPr="005F32AC" w:rsidRDefault="005B762B" w:rsidP="005F32AC">
      <w:pPr>
        <w:pStyle w:val="BodyText"/>
      </w:pPr>
      <w:r w:rsidRPr="005F32AC">
        <w:t xml:space="preserve">Band D is made up of approximately </w:t>
      </w:r>
      <w:r w:rsidR="004216FF" w:rsidRPr="005F32AC">
        <w:t>10,000</w:t>
      </w:r>
      <w:r w:rsidRPr="005F32AC">
        <w:t xml:space="preserve"> DAs (1</w:t>
      </w:r>
      <w:r w:rsidR="003A521C" w:rsidRPr="005F32AC">
        <w:t>3</w:t>
      </w:r>
      <w:r w:rsidRPr="005F32AC">
        <w:t xml:space="preserve"> per cent of all DAs) containing approximately 1.4 million premises (13 per cent of total premises).</w:t>
      </w:r>
    </w:p>
    <w:p w14:paraId="2EC7BADE" w14:textId="01BD3F17" w:rsidR="005B762B" w:rsidRDefault="005B762B" w:rsidP="005B762B">
      <w:pPr>
        <w:pStyle w:val="BodyText"/>
        <w:numPr>
          <w:ilvl w:val="0"/>
          <w:numId w:val="3"/>
        </w:numPr>
        <w:tabs>
          <w:tab w:val="clear" w:pos="0"/>
        </w:tabs>
        <w:ind w:left="426"/>
      </w:pPr>
      <w:r>
        <w:t xml:space="preserve">Approximately </w:t>
      </w:r>
      <w:r w:rsidR="0028786E">
        <w:t>1,700</w:t>
      </w:r>
      <w:r>
        <w:t xml:space="preserve"> DAs have partial access to at least one high speed technology, FTTP, FTTN or HFC.</w:t>
      </w:r>
    </w:p>
    <w:p w14:paraId="16A54B21" w14:textId="07D1F398" w:rsidR="0028786E" w:rsidRDefault="005B762B" w:rsidP="0028786E">
      <w:pPr>
        <w:pStyle w:val="BodyText"/>
        <w:numPr>
          <w:ilvl w:val="0"/>
          <w:numId w:val="3"/>
        </w:numPr>
        <w:tabs>
          <w:tab w:val="clear" w:pos="0"/>
        </w:tabs>
        <w:ind w:left="426"/>
      </w:pPr>
      <w:r>
        <w:t xml:space="preserve">Approximately </w:t>
      </w:r>
      <w:r w:rsidR="0028786E">
        <w:t>35</w:t>
      </w:r>
      <w:r>
        <w:t>,000 premises (</w:t>
      </w:r>
      <w:r w:rsidR="002760A4">
        <w:t>2</w:t>
      </w:r>
      <w:r>
        <w:t xml:space="preserve"> per cent of premises) in the D band cannot access </w:t>
      </w:r>
      <w:r w:rsidR="003830A1">
        <w:t>ADSL</w:t>
      </w:r>
      <w:r>
        <w:t xml:space="preserve"> services. </w:t>
      </w:r>
      <w:r w:rsidR="0028786E">
        <w:t xml:space="preserve">These are located in approximately </w:t>
      </w:r>
      <w:r w:rsidR="00D52131">
        <w:t>1,6</w:t>
      </w:r>
      <w:r w:rsidR="0028786E">
        <w:t>00 DAs that have less than full access to ADSL services.</w:t>
      </w:r>
    </w:p>
    <w:p w14:paraId="2A0249F0" w14:textId="08BEA672" w:rsidR="0028786E" w:rsidRDefault="0028786E" w:rsidP="0028786E">
      <w:pPr>
        <w:pStyle w:val="BodyText"/>
        <w:numPr>
          <w:ilvl w:val="0"/>
          <w:numId w:val="42"/>
        </w:numPr>
        <w:ind w:left="709"/>
      </w:pPr>
      <w:r>
        <w:t>Of these, 7,300 are located in approximately 90 DAs that have no access to ADSL services.</w:t>
      </w:r>
    </w:p>
    <w:p w14:paraId="46EACEEE" w14:textId="47747513" w:rsidR="005B762B" w:rsidRDefault="003830A1" w:rsidP="005B762B">
      <w:pPr>
        <w:pStyle w:val="BodyText"/>
        <w:numPr>
          <w:ilvl w:val="1"/>
          <w:numId w:val="24"/>
        </w:numPr>
      </w:pPr>
      <w:r>
        <w:t>ADSL</w:t>
      </w:r>
      <w:r w:rsidR="005B762B">
        <w:t xml:space="preserve"> services are generally available across the remaining DAs.</w:t>
      </w:r>
    </w:p>
    <w:p w14:paraId="3911531C" w14:textId="77777777" w:rsidR="005B762B" w:rsidRPr="00F9712F" w:rsidRDefault="005B762B" w:rsidP="005B762B">
      <w:pPr>
        <w:pStyle w:val="BodyText"/>
        <w:numPr>
          <w:ilvl w:val="0"/>
          <w:numId w:val="24"/>
        </w:numPr>
      </w:pPr>
      <w:r>
        <w:t xml:space="preserve">Of the premises located in this </w:t>
      </w:r>
      <w:r w:rsidRPr="00F9712F">
        <w:t>quality band, approximately:</w:t>
      </w:r>
    </w:p>
    <w:p w14:paraId="68AE1A0F" w14:textId="6893C83A" w:rsidR="005B762B" w:rsidRPr="00F9712F" w:rsidRDefault="00B06DCD" w:rsidP="005B762B">
      <w:pPr>
        <w:pStyle w:val="BodyText"/>
        <w:numPr>
          <w:ilvl w:val="1"/>
          <w:numId w:val="24"/>
        </w:numPr>
      </w:pPr>
      <w:r>
        <w:t>884</w:t>
      </w:r>
      <w:r w:rsidR="005B762B">
        <w:t>,</w:t>
      </w:r>
      <w:r w:rsidR="004D5328">
        <w:t>8</w:t>
      </w:r>
      <w:r w:rsidR="005B762B">
        <w:t>00</w:t>
      </w:r>
      <w:r w:rsidR="005B762B" w:rsidRPr="00F9712F">
        <w:t xml:space="preserve"> are located in metropolitan areas</w:t>
      </w:r>
    </w:p>
    <w:p w14:paraId="7A2A96D3" w14:textId="17D210E8" w:rsidR="005B762B" w:rsidRPr="00F9712F" w:rsidRDefault="00B06DCD" w:rsidP="005B762B">
      <w:pPr>
        <w:pStyle w:val="BodyText"/>
        <w:numPr>
          <w:ilvl w:val="1"/>
          <w:numId w:val="24"/>
        </w:numPr>
      </w:pPr>
      <w:r>
        <w:t>52</w:t>
      </w:r>
      <w:r w:rsidR="004D5328">
        <w:t>7</w:t>
      </w:r>
      <w:r w:rsidR="005B762B">
        <w:t>,</w:t>
      </w:r>
      <w:r w:rsidR="004D5328">
        <w:t>1</w:t>
      </w:r>
      <w:r w:rsidR="005B762B">
        <w:t>00</w:t>
      </w:r>
      <w:r w:rsidR="005B762B" w:rsidRPr="00F9712F">
        <w:t xml:space="preserve"> are located in regional Australia</w:t>
      </w:r>
    </w:p>
    <w:p w14:paraId="4EE913A3" w14:textId="7BAFF942" w:rsidR="005B762B" w:rsidRDefault="005B762B" w:rsidP="005B762B">
      <w:pPr>
        <w:pStyle w:val="BodyText"/>
        <w:numPr>
          <w:ilvl w:val="1"/>
          <w:numId w:val="24"/>
        </w:numPr>
      </w:pPr>
      <w:r>
        <w:t>34,</w:t>
      </w:r>
      <w:r w:rsidR="00B06DCD">
        <w:t>6</w:t>
      </w:r>
      <w:r>
        <w:t>00</w:t>
      </w:r>
      <w:r w:rsidRPr="00F9712F">
        <w:t xml:space="preserve"> are located in remote Australia</w:t>
      </w:r>
      <w:r>
        <w:t xml:space="preserve"> – these locations have good access to ADSL services.  </w:t>
      </w:r>
    </w:p>
    <w:p w14:paraId="5EA33F23" w14:textId="77777777" w:rsidR="005B762B" w:rsidRPr="00165614" w:rsidRDefault="005B762B" w:rsidP="005B762B">
      <w:pPr>
        <w:pStyle w:val="Heading3"/>
      </w:pPr>
      <w:r>
        <w:t>Broadband quality profile: Band E</w:t>
      </w:r>
    </w:p>
    <w:p w14:paraId="37BA0346" w14:textId="4465A5E5" w:rsidR="005B762B" w:rsidRPr="005F32AC" w:rsidRDefault="005B762B" w:rsidP="005F32AC">
      <w:pPr>
        <w:pStyle w:val="BodyText"/>
      </w:pPr>
      <w:r w:rsidRPr="005F32AC">
        <w:t>A detailed examination of the lowest quality band (E) isolates a group of 40,</w:t>
      </w:r>
      <w:r w:rsidR="004216FF" w:rsidRPr="005F32AC">
        <w:t>0</w:t>
      </w:r>
      <w:r w:rsidRPr="005F32AC">
        <w:t>00 DAs (51</w:t>
      </w:r>
      <w:r w:rsidR="0036717F" w:rsidRPr="005F32AC">
        <w:t> </w:t>
      </w:r>
      <w:r w:rsidRPr="005F32AC">
        <w:t>per cent of all DAs) containing approximately 5.2 million premises (4</w:t>
      </w:r>
      <w:r w:rsidR="00101B9B" w:rsidRPr="005F32AC">
        <w:t>7</w:t>
      </w:r>
      <w:r w:rsidRPr="005F32AC">
        <w:t xml:space="preserve"> per cent of total premises). This includes places as dispersed as Tenterfield and Albion Park NSW, Acacia Ridge and Charters Towers QLD or Port Lincoln and West Adelaide SA. This group has the following characteristics:</w:t>
      </w:r>
    </w:p>
    <w:p w14:paraId="761C5AEF" w14:textId="5DE36A78" w:rsidR="005B762B" w:rsidRDefault="005B762B" w:rsidP="005B762B">
      <w:pPr>
        <w:pStyle w:val="BodyText"/>
        <w:numPr>
          <w:ilvl w:val="0"/>
          <w:numId w:val="3"/>
        </w:numPr>
        <w:tabs>
          <w:tab w:val="clear" w:pos="0"/>
        </w:tabs>
        <w:ind w:left="426"/>
      </w:pPr>
      <w:r>
        <w:t xml:space="preserve">Approximately </w:t>
      </w:r>
      <w:r w:rsidR="00AB7AAB">
        <w:t>6,900</w:t>
      </w:r>
      <w:r>
        <w:t xml:space="preserve"> premises within around </w:t>
      </w:r>
      <w:r w:rsidR="00AB7AAB">
        <w:t>8</w:t>
      </w:r>
      <w:r>
        <w:t>00 DAs (less than 1 per cent of the E band) have partial access to FTTP, FTTN or HFC technologies</w:t>
      </w:r>
      <w:r w:rsidR="003B294B">
        <w:t>.</w:t>
      </w:r>
    </w:p>
    <w:p w14:paraId="38D9801B" w14:textId="6D05A2A4" w:rsidR="005B762B" w:rsidRDefault="005B762B" w:rsidP="005B762B">
      <w:pPr>
        <w:pStyle w:val="BodyText"/>
        <w:numPr>
          <w:ilvl w:val="0"/>
          <w:numId w:val="3"/>
        </w:numPr>
        <w:tabs>
          <w:tab w:val="clear" w:pos="0"/>
        </w:tabs>
        <w:ind w:left="426"/>
      </w:pPr>
      <w:r>
        <w:t>Approximately 21,</w:t>
      </w:r>
      <w:r w:rsidR="00AB7AAB">
        <w:t xml:space="preserve">500 </w:t>
      </w:r>
      <w:r>
        <w:t>premises within around 800 DAs (less than 1 per cent of the E band) have access to NBN fixed wireless services</w:t>
      </w:r>
      <w:r w:rsidR="003B294B">
        <w:t>.</w:t>
      </w:r>
    </w:p>
    <w:p w14:paraId="0B145A43" w14:textId="4754ABB2" w:rsidR="005B762B" w:rsidRDefault="007F1F69" w:rsidP="005B762B">
      <w:pPr>
        <w:pStyle w:val="BodyText"/>
        <w:numPr>
          <w:ilvl w:val="0"/>
          <w:numId w:val="3"/>
        </w:numPr>
        <w:tabs>
          <w:tab w:val="clear" w:pos="0"/>
        </w:tabs>
        <w:ind w:left="426"/>
      </w:pPr>
      <w:r>
        <w:t xml:space="preserve">Approximately </w:t>
      </w:r>
      <w:r w:rsidR="00AB7AAB">
        <w:t>750,</w:t>
      </w:r>
      <w:r w:rsidR="00C4483D">
        <w:t>200</w:t>
      </w:r>
      <w:r w:rsidR="005B762B">
        <w:t xml:space="preserve"> premises (1</w:t>
      </w:r>
      <w:r w:rsidR="0036717F">
        <w:t>4</w:t>
      </w:r>
      <w:r w:rsidR="005B762B">
        <w:t xml:space="preserve"> per cent of premises) in the E band cannot access </w:t>
      </w:r>
      <w:r w:rsidR="003830A1">
        <w:t>ADSL</w:t>
      </w:r>
      <w:r w:rsidR="005B762B">
        <w:t xml:space="preserve"> services. Of these:</w:t>
      </w:r>
    </w:p>
    <w:p w14:paraId="26D776A3" w14:textId="164BAF19" w:rsidR="005B762B" w:rsidRDefault="0090585E" w:rsidP="005B762B">
      <w:pPr>
        <w:pStyle w:val="BodyText"/>
        <w:numPr>
          <w:ilvl w:val="1"/>
          <w:numId w:val="24"/>
        </w:numPr>
      </w:pPr>
      <w:r>
        <w:t xml:space="preserve">Of these, </w:t>
      </w:r>
      <w:r w:rsidR="00AB7AAB">
        <w:t>328,200</w:t>
      </w:r>
      <w:r w:rsidR="005B762B">
        <w:t xml:space="preserve"> premises are located in 5,000 DAs that have no access to </w:t>
      </w:r>
      <w:r w:rsidR="003830A1">
        <w:t>ADSL</w:t>
      </w:r>
    </w:p>
    <w:p w14:paraId="32EF0AD5" w14:textId="7A6F5925" w:rsidR="005B762B" w:rsidRDefault="00AB7AAB" w:rsidP="005B762B">
      <w:pPr>
        <w:pStyle w:val="BodyText"/>
        <w:numPr>
          <w:ilvl w:val="1"/>
          <w:numId w:val="24"/>
        </w:numPr>
      </w:pPr>
      <w:r>
        <w:t>422,</w:t>
      </w:r>
      <w:r w:rsidR="00607256">
        <w:t>0</w:t>
      </w:r>
      <w:r>
        <w:t>00</w:t>
      </w:r>
      <w:r w:rsidR="005B762B">
        <w:t xml:space="preserve"> premises are located in DAs that have only partial access to </w:t>
      </w:r>
      <w:r w:rsidR="003830A1">
        <w:t>ADSL</w:t>
      </w:r>
    </w:p>
    <w:p w14:paraId="177F4906" w14:textId="20211FB5" w:rsidR="005B762B" w:rsidRDefault="005B762B" w:rsidP="005B762B">
      <w:pPr>
        <w:pStyle w:val="BodyText"/>
        <w:numPr>
          <w:ilvl w:val="1"/>
          <w:numId w:val="24"/>
        </w:numPr>
      </w:pPr>
      <w:r>
        <w:t xml:space="preserve">Where </w:t>
      </w:r>
      <w:r w:rsidR="003830A1">
        <w:t>ADSL</w:t>
      </w:r>
      <w:r>
        <w:t xml:space="preserve"> services are available, the median ADSL speed is low.</w:t>
      </w:r>
    </w:p>
    <w:p w14:paraId="09213523" w14:textId="32C43EA1" w:rsidR="005B762B" w:rsidRDefault="005B762B" w:rsidP="005B762B">
      <w:pPr>
        <w:pStyle w:val="BodyText"/>
        <w:numPr>
          <w:ilvl w:val="1"/>
          <w:numId w:val="24"/>
        </w:numPr>
      </w:pPr>
      <w:r>
        <w:t xml:space="preserve"> </w:t>
      </w:r>
      <w:r w:rsidR="00D52131">
        <w:t xml:space="preserve">479 </w:t>
      </w:r>
      <w:r>
        <w:t>DAs fall within exchange serving areas with capped exchanges</w:t>
      </w:r>
      <w:r w:rsidR="003B294B">
        <w:t>.</w:t>
      </w:r>
    </w:p>
    <w:p w14:paraId="5A003DE7" w14:textId="77777777" w:rsidR="005B762B" w:rsidRDefault="005B762B" w:rsidP="005B762B">
      <w:pPr>
        <w:pStyle w:val="BodyText"/>
        <w:numPr>
          <w:ilvl w:val="0"/>
          <w:numId w:val="24"/>
        </w:numPr>
      </w:pPr>
      <w:r>
        <w:t>Of the premises located in the lowest quality band, approximately:</w:t>
      </w:r>
    </w:p>
    <w:p w14:paraId="5653BDFA" w14:textId="394FD217" w:rsidR="005B762B" w:rsidRDefault="005B762B" w:rsidP="005B762B">
      <w:pPr>
        <w:pStyle w:val="BodyText"/>
        <w:numPr>
          <w:ilvl w:val="1"/>
          <w:numId w:val="24"/>
        </w:numPr>
      </w:pPr>
      <w:r>
        <w:t>2.</w:t>
      </w:r>
      <w:r w:rsidR="00B06DCD">
        <w:t>3</w:t>
      </w:r>
      <w:r>
        <w:t xml:space="preserve"> million are located in metropolitan areas</w:t>
      </w:r>
    </w:p>
    <w:p w14:paraId="65AC11B6" w14:textId="194CB210" w:rsidR="005B762B" w:rsidRDefault="005B762B" w:rsidP="005B762B">
      <w:pPr>
        <w:pStyle w:val="BodyText"/>
        <w:numPr>
          <w:ilvl w:val="1"/>
          <w:numId w:val="24"/>
        </w:numPr>
      </w:pPr>
      <w:r>
        <w:t>2.</w:t>
      </w:r>
      <w:r w:rsidR="00B06DCD">
        <w:t>6</w:t>
      </w:r>
      <w:r>
        <w:t xml:space="preserve"> million are located in regional Australia</w:t>
      </w:r>
    </w:p>
    <w:p w14:paraId="1530508E" w14:textId="62273AE2" w:rsidR="005B762B" w:rsidRDefault="005B762B" w:rsidP="005B762B">
      <w:pPr>
        <w:pStyle w:val="BodyText"/>
        <w:numPr>
          <w:ilvl w:val="1"/>
          <w:numId w:val="24"/>
        </w:numPr>
      </w:pPr>
      <w:r>
        <w:t>18</w:t>
      </w:r>
      <w:r w:rsidR="00B06DCD">
        <w:t>3</w:t>
      </w:r>
      <w:r>
        <w:t>,</w:t>
      </w:r>
      <w:r w:rsidR="00B06DCD">
        <w:t>5</w:t>
      </w:r>
      <w:r>
        <w:t>00 are located in remote Australia</w:t>
      </w:r>
      <w:r w:rsidR="003B294B">
        <w:t>.</w:t>
      </w:r>
    </w:p>
    <w:p w14:paraId="798F1E77" w14:textId="77777777" w:rsidR="005B762B" w:rsidRDefault="005B762B" w:rsidP="005F32AC">
      <w:pPr>
        <w:pStyle w:val="BodyText"/>
      </w:pPr>
      <w:r w:rsidRPr="005F32AC">
        <w:t xml:space="preserve">In contrast to the results of the availability modelling which found that most premises have access to a fixed broadband service and therefore achieve an A rating for availability, the quality results show a much broader dispersion against the A to E rating scale. Figure 11 provides the distribution of fixed broadband quality results against the five categories. </w:t>
      </w:r>
    </w:p>
    <w:p w14:paraId="2E30B5F1" w14:textId="77777777" w:rsidR="005F32AC" w:rsidRPr="005F32AC" w:rsidRDefault="005F32AC" w:rsidP="005F32AC">
      <w:pPr>
        <w:pStyle w:val="BodyText"/>
      </w:pPr>
    </w:p>
    <w:p w14:paraId="5E16E3A2" w14:textId="23883299" w:rsidR="00656630" w:rsidRPr="001552B7" w:rsidRDefault="00656630" w:rsidP="005B762B">
      <w:pPr>
        <w:pStyle w:val="BodyText"/>
      </w:pPr>
      <w:r>
        <w:rPr>
          <w:noProof/>
          <w:lang w:val="en-AU" w:eastAsia="en-AU"/>
        </w:rPr>
        <w:drawing>
          <wp:inline distT="0" distB="0" distL="0" distR="0" wp14:anchorId="3B09CB22" wp14:editId="6FA5C135">
            <wp:extent cx="5760000" cy="2520000"/>
            <wp:effectExtent l="0" t="0" r="12700" b="139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7C2E32" w14:textId="77777777" w:rsidR="005B762B" w:rsidRPr="005B1ECC" w:rsidRDefault="005B762B" w:rsidP="005B762B">
      <w:pPr>
        <w:pStyle w:val="Subtitle"/>
        <w:rPr>
          <w:sz w:val="20"/>
          <w:szCs w:val="20"/>
        </w:rPr>
      </w:pPr>
      <w:r w:rsidRPr="005B1ECC">
        <w:rPr>
          <w:sz w:val="20"/>
          <w:szCs w:val="20"/>
        </w:rPr>
        <w:t xml:space="preserve">Figure </w:t>
      </w:r>
      <w:r>
        <w:rPr>
          <w:sz w:val="20"/>
          <w:szCs w:val="20"/>
        </w:rPr>
        <w:t>11</w:t>
      </w:r>
      <w:r w:rsidRPr="005B1ECC">
        <w:rPr>
          <w:sz w:val="20"/>
          <w:szCs w:val="20"/>
        </w:rPr>
        <w:t xml:space="preserve">. Percentage of </w:t>
      </w:r>
      <w:r>
        <w:rPr>
          <w:sz w:val="20"/>
          <w:szCs w:val="20"/>
        </w:rPr>
        <w:t xml:space="preserve">premises in </w:t>
      </w:r>
      <w:r w:rsidRPr="005B1ECC">
        <w:rPr>
          <w:sz w:val="20"/>
          <w:szCs w:val="20"/>
        </w:rPr>
        <w:t>each</w:t>
      </w:r>
      <w:r>
        <w:rPr>
          <w:sz w:val="20"/>
          <w:szCs w:val="20"/>
        </w:rPr>
        <w:t xml:space="preserve"> fixed</w:t>
      </w:r>
      <w:r w:rsidRPr="005B1ECC">
        <w:rPr>
          <w:sz w:val="20"/>
          <w:szCs w:val="20"/>
        </w:rPr>
        <w:t xml:space="preserve"> </w:t>
      </w:r>
      <w:r>
        <w:rPr>
          <w:sz w:val="20"/>
          <w:szCs w:val="20"/>
        </w:rPr>
        <w:t>b</w:t>
      </w:r>
      <w:r w:rsidRPr="005B1ECC">
        <w:rPr>
          <w:sz w:val="20"/>
          <w:szCs w:val="20"/>
        </w:rPr>
        <w:t xml:space="preserve">roadband </w:t>
      </w:r>
      <w:r>
        <w:rPr>
          <w:sz w:val="20"/>
          <w:szCs w:val="20"/>
        </w:rPr>
        <w:t>q</w:t>
      </w:r>
      <w:r w:rsidRPr="005B1ECC">
        <w:rPr>
          <w:sz w:val="20"/>
          <w:szCs w:val="20"/>
        </w:rPr>
        <w:t>uality band</w:t>
      </w:r>
    </w:p>
    <w:p w14:paraId="78902C37" w14:textId="77777777" w:rsidR="005B762B" w:rsidRPr="005F32AC" w:rsidRDefault="005B762B" w:rsidP="005F32AC">
      <w:pPr>
        <w:pStyle w:val="BodyText"/>
        <w:sectPr w:rsidR="005B762B" w:rsidRPr="005F32AC" w:rsidSect="007C2235">
          <w:pgSz w:w="11900" w:h="16840" w:code="9"/>
          <w:pgMar w:top="1560" w:right="1440" w:bottom="1134" w:left="1440" w:header="709" w:footer="668" w:gutter="0"/>
          <w:cols w:space="708"/>
          <w:docGrid w:linePitch="360"/>
        </w:sectPr>
      </w:pPr>
      <w:r w:rsidRPr="005F32AC">
        <w:t xml:space="preserve">The distribution of areas likely to have access to higher quality services is generally associated with the capital cities and some larger regional towns. A national map therefore provides limited information when displaying fixed broadband quality results. However, it is provided in Figure 12 as a comparison to the national fixed broadband availability map in Figure 3. </w:t>
      </w:r>
    </w:p>
    <w:p w14:paraId="4DFD3E14" w14:textId="77777777" w:rsidR="005B762B" w:rsidRDefault="005B762B" w:rsidP="005B762B"/>
    <w:p w14:paraId="0743681A" w14:textId="31083105" w:rsidR="005B762B" w:rsidRDefault="00B33A36" w:rsidP="005B762B">
      <w:r>
        <w:rPr>
          <w:noProof/>
          <w:lang w:val="en-AU" w:eastAsia="en-AU"/>
        </w:rPr>
        <w:drawing>
          <wp:inline distT="0" distB="0" distL="0" distR="0" wp14:anchorId="455EFA65" wp14:editId="58165068">
            <wp:extent cx="7659584" cy="5206785"/>
            <wp:effectExtent l="0" t="0" r="0" b="0"/>
            <wp:docPr id="4" name="Picture 4" descr="http://ims.dept.gov.au/tccache75/3876675/Fixed%20Broadband%20Quality%20by%20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s.dept.gov.au/tccache75/3876675/Fixed%20Broadband%20Quality%20by%20ESA.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2277" b="1519"/>
                    <a:stretch/>
                  </pic:blipFill>
                  <pic:spPr bwMode="auto">
                    <a:xfrm>
                      <a:off x="0" y="0"/>
                      <a:ext cx="7674108" cy="5216658"/>
                    </a:xfrm>
                    <a:prstGeom prst="rect">
                      <a:avLst/>
                    </a:prstGeom>
                    <a:noFill/>
                    <a:ln>
                      <a:noFill/>
                    </a:ln>
                    <a:extLst>
                      <a:ext uri="{53640926-AAD7-44D8-BBD7-CCE9431645EC}">
                        <a14:shadowObscured xmlns:a14="http://schemas.microsoft.com/office/drawing/2010/main"/>
                      </a:ext>
                    </a:extLst>
                  </pic:spPr>
                </pic:pic>
              </a:graphicData>
            </a:graphic>
          </wp:inline>
        </w:drawing>
      </w:r>
    </w:p>
    <w:p w14:paraId="3FFD50F6" w14:textId="77777777" w:rsidR="005B762B" w:rsidRPr="005B1ECC" w:rsidRDefault="005B762B" w:rsidP="005B762B">
      <w:pPr>
        <w:pStyle w:val="Subtitle"/>
        <w:rPr>
          <w:sz w:val="20"/>
          <w:szCs w:val="20"/>
        </w:rPr>
      </w:pPr>
      <w:r w:rsidRPr="005B1ECC">
        <w:rPr>
          <w:sz w:val="20"/>
          <w:szCs w:val="20"/>
        </w:rPr>
        <w:t xml:space="preserve">Figure </w:t>
      </w:r>
      <w:r>
        <w:rPr>
          <w:sz w:val="20"/>
          <w:szCs w:val="20"/>
        </w:rPr>
        <w:t>12</w:t>
      </w:r>
      <w:r w:rsidRPr="005B1ECC">
        <w:rPr>
          <w:sz w:val="20"/>
          <w:szCs w:val="20"/>
        </w:rPr>
        <w:t xml:space="preserve">. </w:t>
      </w:r>
      <w:r>
        <w:rPr>
          <w:sz w:val="20"/>
          <w:szCs w:val="20"/>
        </w:rPr>
        <w:t>National map of fixed b</w:t>
      </w:r>
      <w:r w:rsidRPr="005B1ECC">
        <w:rPr>
          <w:sz w:val="20"/>
          <w:szCs w:val="20"/>
        </w:rPr>
        <w:t xml:space="preserve">roadband </w:t>
      </w:r>
      <w:r>
        <w:rPr>
          <w:sz w:val="20"/>
          <w:szCs w:val="20"/>
        </w:rPr>
        <w:t>quality</w:t>
      </w:r>
      <w:r w:rsidRPr="005B1ECC">
        <w:rPr>
          <w:sz w:val="20"/>
          <w:szCs w:val="20"/>
        </w:rPr>
        <w:t xml:space="preserve"> band by </w:t>
      </w:r>
      <w:r>
        <w:rPr>
          <w:sz w:val="20"/>
          <w:szCs w:val="20"/>
        </w:rPr>
        <w:t>Exchange Service Area</w:t>
      </w:r>
      <w:r w:rsidRPr="005B1ECC">
        <w:rPr>
          <w:sz w:val="20"/>
          <w:szCs w:val="20"/>
        </w:rPr>
        <w:t xml:space="preserve"> </w:t>
      </w:r>
    </w:p>
    <w:p w14:paraId="7417CAF3" w14:textId="77777777" w:rsidR="005B762B" w:rsidRDefault="005B762B" w:rsidP="005B762B">
      <w:pPr>
        <w:sectPr w:rsidR="005B762B" w:rsidSect="003F006C">
          <w:pgSz w:w="16840" w:h="11900" w:orient="landscape" w:code="9"/>
          <w:pgMar w:top="1560" w:right="1440" w:bottom="1440" w:left="1440" w:header="709" w:footer="357" w:gutter="0"/>
          <w:cols w:space="708"/>
          <w:docGrid w:linePitch="360"/>
        </w:sectPr>
      </w:pPr>
    </w:p>
    <w:p w14:paraId="4FD1C775" w14:textId="77777777" w:rsidR="005B762B" w:rsidRDefault="005B762B" w:rsidP="005B762B">
      <w:pPr>
        <w:pStyle w:val="Heading3"/>
      </w:pPr>
      <w:bookmarkStart w:id="137" w:name="_Toc377044243"/>
      <w:bookmarkStart w:id="138" w:name="_Toc377046992"/>
      <w:bookmarkStart w:id="139" w:name="_Toc373481221"/>
      <w:bookmarkStart w:id="140" w:name="_Toc373483631"/>
      <w:r>
        <w:t>3.2. (a)  Fixed broadband quality – state and territory overview</w:t>
      </w:r>
    </w:p>
    <w:p w14:paraId="3DDDC505" w14:textId="77777777" w:rsidR="005B762B" w:rsidRPr="005F32AC" w:rsidRDefault="005B762B" w:rsidP="005F32AC">
      <w:pPr>
        <w:pStyle w:val="BodyText"/>
      </w:pPr>
      <w:r w:rsidRPr="005F32AC">
        <w:t>The analysis found significant variations in the geographical distribution of fixed broadband quality across the states and territories as provided in Figure 13.</w:t>
      </w:r>
    </w:p>
    <w:p w14:paraId="7FDC31C5" w14:textId="687CF892" w:rsidR="005B762B" w:rsidRPr="007E11CC" w:rsidRDefault="00C30FB1" w:rsidP="005B762B">
      <w:pPr>
        <w:pStyle w:val="Subtitle"/>
        <w:spacing w:after="240"/>
        <w:rPr>
          <w:sz w:val="20"/>
          <w:szCs w:val="20"/>
        </w:rPr>
      </w:pPr>
      <w:r>
        <w:rPr>
          <w:noProof/>
          <w:lang w:val="en-AU" w:eastAsia="en-AU"/>
        </w:rPr>
        <w:drawing>
          <wp:inline distT="0" distB="0" distL="0" distR="0" wp14:anchorId="00B1CAE1" wp14:editId="1F506350">
            <wp:extent cx="5727700" cy="2510495"/>
            <wp:effectExtent l="0" t="0" r="25400" b="2349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5B762B" w:rsidRPr="007E11CC">
        <w:rPr>
          <w:sz w:val="20"/>
          <w:szCs w:val="20"/>
        </w:rPr>
        <w:t>Figure 1</w:t>
      </w:r>
      <w:r w:rsidR="005B762B">
        <w:rPr>
          <w:sz w:val="20"/>
          <w:szCs w:val="20"/>
        </w:rPr>
        <w:t>3</w:t>
      </w:r>
      <w:r w:rsidR="005B762B" w:rsidRPr="007E11CC">
        <w:rPr>
          <w:sz w:val="20"/>
          <w:szCs w:val="20"/>
        </w:rPr>
        <w:t xml:space="preserve">. Percentage of premises in each fixed </w:t>
      </w:r>
      <w:r w:rsidR="005B762B">
        <w:rPr>
          <w:sz w:val="20"/>
          <w:szCs w:val="20"/>
        </w:rPr>
        <w:t>broadband quality band</w:t>
      </w:r>
      <w:r w:rsidR="005B762B" w:rsidRPr="007E11CC">
        <w:rPr>
          <w:sz w:val="20"/>
          <w:szCs w:val="20"/>
        </w:rPr>
        <w:t xml:space="preserve"> by state/territory </w:t>
      </w:r>
    </w:p>
    <w:bookmarkEnd w:id="137"/>
    <w:bookmarkEnd w:id="138"/>
    <w:bookmarkEnd w:id="139"/>
    <w:bookmarkEnd w:id="140"/>
    <w:p w14:paraId="4CA95E78" w14:textId="41133C7B" w:rsidR="005B762B" w:rsidRPr="005F32AC" w:rsidRDefault="005B762B" w:rsidP="005F32AC">
      <w:pPr>
        <w:pStyle w:val="BodyText"/>
      </w:pPr>
      <w:r w:rsidRPr="005F32AC">
        <w:t>There are approximately 2</w:t>
      </w:r>
      <w:r w:rsidR="002251BA" w:rsidRPr="005F32AC">
        <w:t>3</w:t>
      </w:r>
      <w:r w:rsidRPr="005F32AC">
        <w:t>,000 premises in the Australian Capital Territory in the highest quality band (A), and 5</w:t>
      </w:r>
      <w:r w:rsidR="002251BA" w:rsidRPr="005F32AC">
        <w:t>2</w:t>
      </w:r>
      <w:r w:rsidRPr="005F32AC">
        <w:t xml:space="preserve">,000 premises in band B, reflecting the availability of an FTTN network which has been deployed to approximately </w:t>
      </w:r>
      <w:r w:rsidR="002251BA" w:rsidRPr="005F32AC">
        <w:t xml:space="preserve">32 </w:t>
      </w:r>
      <w:r w:rsidRPr="005F32AC">
        <w:t>per cent of premises in the territory, and FTTP delivery in the Australian Capital Territory. Tasmania also has a relatively high proportion of premises in band A (</w:t>
      </w:r>
      <w:r w:rsidR="002251BA" w:rsidRPr="005F32AC">
        <w:t>7</w:t>
      </w:r>
      <w:r w:rsidRPr="005F32AC">
        <w:t xml:space="preserve"> per cent), which is mainly due to FTTP deployment.</w:t>
      </w:r>
    </w:p>
    <w:p w14:paraId="028F08DA" w14:textId="5CD38F14" w:rsidR="00C30FB1" w:rsidRPr="005F32AC" w:rsidRDefault="00C30FB1" w:rsidP="005F32AC">
      <w:pPr>
        <w:pStyle w:val="BodyText"/>
      </w:pPr>
      <w:r w:rsidRPr="005F32AC">
        <w:t>The analysis indicated that Victoria, New South Wales, the Australian Capital Territory and Queensland have a relatively high proportion of premises in the second highest band (B) for quality (4</w:t>
      </w:r>
      <w:r w:rsidR="00C32BFB" w:rsidRPr="005F32AC">
        <w:t>2</w:t>
      </w:r>
      <w:r w:rsidRPr="005F32AC">
        <w:t>, 35, 2</w:t>
      </w:r>
      <w:r w:rsidR="00C32BFB" w:rsidRPr="005F32AC">
        <w:t>9</w:t>
      </w:r>
      <w:r w:rsidRPr="005F32AC">
        <w:t xml:space="preserve">, 34 per cent respectively), which is influenced by the deployment of HFC networks in Melbourne, Sydney and Brisbane, </w:t>
      </w:r>
      <w:r w:rsidR="00C32BFB" w:rsidRPr="005F32AC">
        <w:t>combined with</w:t>
      </w:r>
      <w:r w:rsidRPr="005F32AC">
        <w:t xml:space="preserve"> the generally high quality level of ADSL service that can be accessed.</w:t>
      </w:r>
    </w:p>
    <w:p w14:paraId="1899F405" w14:textId="3B24DE8A" w:rsidR="005B762B" w:rsidRPr="005F32AC" w:rsidRDefault="005B762B" w:rsidP="005F32AC">
      <w:pPr>
        <w:pStyle w:val="BodyText"/>
      </w:pPr>
      <w:r w:rsidRPr="005F32AC">
        <w:t>The Australian Capital Territory and Victoria have a similar proportion of premises in DAs that achieve the lowest quality rating (35 and 3</w:t>
      </w:r>
      <w:r w:rsidR="00C32BFB" w:rsidRPr="005F32AC">
        <w:t>6</w:t>
      </w:r>
      <w:r w:rsidRPr="005F32AC">
        <w:t xml:space="preserve"> per cent respectively).</w:t>
      </w:r>
    </w:p>
    <w:p w14:paraId="65330FCC" w14:textId="2725FB39" w:rsidR="005B762B" w:rsidRPr="005F32AC" w:rsidRDefault="005B762B" w:rsidP="005F32AC">
      <w:pPr>
        <w:pStyle w:val="BodyText"/>
      </w:pPr>
      <w:r w:rsidRPr="005F32AC">
        <w:t>In contrast, the Northern Territory, Tasmania, and Western Australia have comparatively more premises that fall into the lowest band (E) for quality, primarily due to</w:t>
      </w:r>
      <w:r w:rsidR="002B04E6" w:rsidRPr="005F32AC">
        <w:t xml:space="preserve"> reduced likelihood that high speed broadband technologies are available in those states, although Perth has some access to HFC services</w:t>
      </w:r>
      <w:r w:rsidR="00611D72" w:rsidRPr="005F32AC">
        <w:t>.</w:t>
      </w:r>
    </w:p>
    <w:p w14:paraId="72F1F6D9" w14:textId="15B3FC91" w:rsidR="005B762B" w:rsidRPr="001813FE" w:rsidRDefault="005B762B" w:rsidP="005F32AC">
      <w:pPr>
        <w:pStyle w:val="BodyText"/>
        <w:rPr>
          <w:lang w:val="en-US"/>
        </w:rPr>
      </w:pPr>
      <w:r w:rsidRPr="005F32AC">
        <w:t xml:space="preserve">Groups of DAs make up an Exchange Serving Area (ESA), with the number of DAs in an ESA ranging from 1 up to </w:t>
      </w:r>
      <w:r w:rsidR="003B294B" w:rsidRPr="005F32AC">
        <w:t xml:space="preserve">approximately </w:t>
      </w:r>
      <w:r w:rsidRPr="005F32AC">
        <w:t>200. ESAs in metropolitan areas can have DAs spread across several rating bands, while regional ESAs are more likely to be homogenous.</w:t>
      </w:r>
      <w:r w:rsidRPr="001813FE">
        <w:rPr>
          <w:lang w:val="en-US"/>
        </w:rPr>
        <w:t xml:space="preserve"> </w:t>
      </w:r>
    </w:p>
    <w:p w14:paraId="4797D8B2" w14:textId="0576C000" w:rsidR="005B762B" w:rsidRPr="007D0B32" w:rsidRDefault="005B762B" w:rsidP="005B762B">
      <w:pPr>
        <w:pStyle w:val="BodyText"/>
      </w:pPr>
      <w:r w:rsidRPr="007D0B32">
        <w:t xml:space="preserve">The analysis found that there are a number of ESAs with marked differences in the quality of services across the DAs connected to that exchange. For example, </w:t>
      </w:r>
      <w:r>
        <w:t xml:space="preserve">the </w:t>
      </w:r>
      <w:r w:rsidRPr="007D0B32">
        <w:t>Inala exchange</w:t>
      </w:r>
      <w:r>
        <w:t xml:space="preserve"> serving area</w:t>
      </w:r>
      <w:r w:rsidRPr="007D0B32">
        <w:t xml:space="preserve"> in south-west Brisbane QLD has approximately 120 DAs, around half of which have quality ratings in the top two quality bands (A and B). This is mainly due to good coverage of HFC, with a few DAs in new development areas that have FTTP coverage. The</w:t>
      </w:r>
      <w:r w:rsidR="00341842">
        <w:t> </w:t>
      </w:r>
      <w:r w:rsidRPr="007D0B32">
        <w:t xml:space="preserve">other half of the ESA falls into the bottom two bands (D </w:t>
      </w:r>
      <w:r w:rsidR="00FF669A">
        <w:t>and</w:t>
      </w:r>
      <w:r w:rsidRPr="007D0B32">
        <w:t xml:space="preserve"> E). The premises in these DAs only have access to </w:t>
      </w:r>
      <w:r w:rsidR="003830A1">
        <w:t>ADSL</w:t>
      </w:r>
      <w:r w:rsidRPr="007D0B32">
        <w:t xml:space="preserve"> services, which are generally of reasonable quality.</w:t>
      </w:r>
    </w:p>
    <w:p w14:paraId="2760F3DD" w14:textId="79ADDF74" w:rsidR="005B762B" w:rsidRPr="005F32AC" w:rsidRDefault="005B762B" w:rsidP="005F32AC">
      <w:pPr>
        <w:pStyle w:val="BodyText"/>
      </w:pPr>
      <w:r w:rsidRPr="005F32AC">
        <w:t xml:space="preserve">In New South Wales, the Minto exchange serving area which covers suburbs in southwest Sydney has about a third of its approximately 100 DAs in the top two bands. Again this is due to the presence of HFC and small pockets of FTTP deployment. However, the majority of the DAs are in the lowest band. </w:t>
      </w:r>
      <w:r w:rsidR="003830A1" w:rsidRPr="005F32AC">
        <w:t>ADSL</w:t>
      </w:r>
      <w:r w:rsidRPr="005F32AC">
        <w:t xml:space="preserve"> services to these DAs have been impacted by technological impairment</w:t>
      </w:r>
      <w:r w:rsidR="002D170F" w:rsidRPr="005F32AC">
        <w:t xml:space="preserve"> or distance from the exchange</w:t>
      </w:r>
      <w:r w:rsidRPr="005F32AC">
        <w:t xml:space="preserve"> which reduces the overall quality rating.  </w:t>
      </w:r>
    </w:p>
    <w:p w14:paraId="4D783EE6" w14:textId="3F7C66EC" w:rsidR="005B762B" w:rsidRPr="005F32AC" w:rsidRDefault="005B762B" w:rsidP="005F32AC">
      <w:pPr>
        <w:pStyle w:val="BodyText"/>
      </w:pPr>
      <w:bookmarkStart w:id="141" w:name="_Toc371074991"/>
      <w:bookmarkStart w:id="142" w:name="_Toc373481223"/>
      <w:bookmarkStart w:id="143" w:name="_Toc373483633"/>
      <w:r w:rsidRPr="005F32AC">
        <w:t xml:space="preserve">Figures 14a to 14h combine the </w:t>
      </w:r>
      <w:r w:rsidR="002D170F" w:rsidRPr="005F32AC">
        <w:t xml:space="preserve">availability and </w:t>
      </w:r>
      <w:r w:rsidRPr="005F32AC">
        <w:t xml:space="preserve">quality ratings for each state and territory. </w:t>
      </w:r>
    </w:p>
    <w:p w14:paraId="1911E0B0" w14:textId="13456261" w:rsidR="005B762B" w:rsidRDefault="00A443E2" w:rsidP="005B762B">
      <w:pPr>
        <w:pStyle w:val="BodyText"/>
        <w:spacing w:before="240"/>
        <w:rPr>
          <w:b/>
        </w:rPr>
      </w:pPr>
      <w:r>
        <w:rPr>
          <w:noProof/>
          <w:lang w:val="en-AU" w:eastAsia="en-AU"/>
        </w:rPr>
        <w:drawing>
          <wp:inline distT="0" distB="0" distL="0" distR="0" wp14:anchorId="0E52211A" wp14:editId="4637B35B">
            <wp:extent cx="5760000" cy="2520000"/>
            <wp:effectExtent l="0" t="0" r="1270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E57F53" w14:textId="752E9138" w:rsidR="005B762B" w:rsidRDefault="005B762B" w:rsidP="00D416C6">
      <w:pPr>
        <w:pStyle w:val="Subtitle"/>
        <w:spacing w:after="120"/>
        <w:rPr>
          <w:sz w:val="20"/>
          <w:szCs w:val="20"/>
        </w:rPr>
      </w:pPr>
      <w:r>
        <w:rPr>
          <w:sz w:val="20"/>
          <w:szCs w:val="20"/>
        </w:rPr>
        <w:t>Figure 14a</w:t>
      </w:r>
      <w:r w:rsidR="00341842">
        <w:rPr>
          <w:sz w:val="20"/>
          <w:szCs w:val="20"/>
        </w:rPr>
        <w:t>.</w:t>
      </w:r>
      <w:r>
        <w:rPr>
          <w:sz w:val="20"/>
          <w:szCs w:val="20"/>
        </w:rPr>
        <w:t xml:space="preserve"> Percentage of premises in each fixed broadband availability and quality band for the Australian Capital Territory</w:t>
      </w:r>
    </w:p>
    <w:p w14:paraId="4852869E" w14:textId="67DBEA6B" w:rsidR="005B762B" w:rsidRPr="009D00DA" w:rsidRDefault="00A443E2" w:rsidP="005B762B">
      <w:r>
        <w:rPr>
          <w:noProof/>
          <w:lang w:val="en-AU" w:eastAsia="en-AU"/>
        </w:rPr>
        <w:drawing>
          <wp:inline distT="0" distB="0" distL="0" distR="0" wp14:anchorId="4C17375E" wp14:editId="2832524A">
            <wp:extent cx="5760000" cy="2520000"/>
            <wp:effectExtent l="0" t="0" r="12700"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971CEA" w14:textId="758C4C3F" w:rsidR="005B762B" w:rsidRDefault="005B762B" w:rsidP="005B762B">
      <w:pPr>
        <w:pStyle w:val="Subtitle"/>
        <w:rPr>
          <w:sz w:val="20"/>
          <w:szCs w:val="20"/>
        </w:rPr>
      </w:pPr>
      <w:r>
        <w:rPr>
          <w:sz w:val="20"/>
          <w:szCs w:val="20"/>
        </w:rPr>
        <w:t>Figure 14b</w:t>
      </w:r>
      <w:r w:rsidR="00341842">
        <w:rPr>
          <w:sz w:val="20"/>
          <w:szCs w:val="20"/>
        </w:rPr>
        <w:t>.</w:t>
      </w:r>
      <w:r w:rsidRPr="00470D42">
        <w:rPr>
          <w:sz w:val="20"/>
          <w:szCs w:val="20"/>
        </w:rPr>
        <w:t xml:space="preserve"> </w:t>
      </w:r>
      <w:r>
        <w:rPr>
          <w:sz w:val="20"/>
          <w:szCs w:val="20"/>
        </w:rPr>
        <w:t>Percentage of premises in each fixed broadband availability and quality band for New South Wales</w:t>
      </w:r>
    </w:p>
    <w:p w14:paraId="1F193444" w14:textId="7ABCFA23" w:rsidR="005B762B" w:rsidRDefault="00A443E2" w:rsidP="005B762B">
      <w:pPr>
        <w:pStyle w:val="BodyText"/>
        <w:spacing w:after="0"/>
      </w:pPr>
      <w:r>
        <w:rPr>
          <w:noProof/>
          <w:lang w:val="en-AU" w:eastAsia="en-AU"/>
        </w:rPr>
        <w:drawing>
          <wp:inline distT="0" distB="0" distL="0" distR="0" wp14:anchorId="02C005FF" wp14:editId="63806459">
            <wp:extent cx="5760000" cy="2520000"/>
            <wp:effectExtent l="0" t="0" r="1270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F6C628" w14:textId="651ED8BB" w:rsidR="005B762B" w:rsidRDefault="005B762B" w:rsidP="00A443E2">
      <w:pPr>
        <w:pStyle w:val="Subtitle"/>
        <w:spacing w:after="120"/>
        <w:rPr>
          <w:sz w:val="20"/>
          <w:szCs w:val="20"/>
        </w:rPr>
      </w:pPr>
      <w:r>
        <w:rPr>
          <w:sz w:val="20"/>
          <w:szCs w:val="20"/>
        </w:rPr>
        <w:t>Figure 14c</w:t>
      </w:r>
      <w:r w:rsidR="00341842">
        <w:rPr>
          <w:sz w:val="20"/>
          <w:szCs w:val="20"/>
        </w:rPr>
        <w:t>.</w:t>
      </w:r>
      <w:r w:rsidRPr="00470D42">
        <w:rPr>
          <w:sz w:val="20"/>
          <w:szCs w:val="20"/>
        </w:rPr>
        <w:t xml:space="preserve"> </w:t>
      </w:r>
      <w:r>
        <w:rPr>
          <w:sz w:val="20"/>
          <w:szCs w:val="20"/>
        </w:rPr>
        <w:t>Percentage of premises in each fixed broadband availability and quality band for the Northern Territory.</w:t>
      </w:r>
    </w:p>
    <w:p w14:paraId="2A1CC1E0" w14:textId="3ED506CD" w:rsidR="005B762B" w:rsidRPr="00887A7C" w:rsidRDefault="00A443E2" w:rsidP="005B762B">
      <w:r>
        <w:rPr>
          <w:noProof/>
          <w:lang w:val="en-AU" w:eastAsia="en-AU"/>
        </w:rPr>
        <w:drawing>
          <wp:inline distT="0" distB="0" distL="0" distR="0" wp14:anchorId="355D2D44" wp14:editId="5AF96CB8">
            <wp:extent cx="5760000" cy="2520000"/>
            <wp:effectExtent l="0" t="0" r="12700" b="139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409F07" w14:textId="3A62F203" w:rsidR="005B762B" w:rsidRDefault="005B762B" w:rsidP="00A443E2">
      <w:pPr>
        <w:pStyle w:val="Subtitle"/>
        <w:spacing w:after="120"/>
        <w:rPr>
          <w:sz w:val="20"/>
          <w:szCs w:val="20"/>
        </w:rPr>
      </w:pPr>
      <w:r>
        <w:rPr>
          <w:sz w:val="20"/>
          <w:szCs w:val="20"/>
        </w:rPr>
        <w:t>Figure 14d</w:t>
      </w:r>
      <w:r w:rsidR="00341842">
        <w:rPr>
          <w:sz w:val="20"/>
          <w:szCs w:val="20"/>
        </w:rPr>
        <w:t>.</w:t>
      </w:r>
      <w:r w:rsidRPr="00556CF0">
        <w:rPr>
          <w:sz w:val="20"/>
          <w:szCs w:val="20"/>
        </w:rPr>
        <w:t xml:space="preserve"> </w:t>
      </w:r>
      <w:r>
        <w:rPr>
          <w:sz w:val="20"/>
          <w:szCs w:val="20"/>
        </w:rPr>
        <w:t>Percentage of premises in each fixed broadband availability and quality band for Queensland</w:t>
      </w:r>
    </w:p>
    <w:p w14:paraId="7747F3C4" w14:textId="0D72CA81" w:rsidR="00511155" w:rsidRDefault="00A443E2" w:rsidP="005B762B">
      <w:r>
        <w:rPr>
          <w:noProof/>
          <w:lang w:val="en-AU" w:eastAsia="en-AU"/>
        </w:rPr>
        <w:drawing>
          <wp:inline distT="0" distB="0" distL="0" distR="0" wp14:anchorId="198643B8" wp14:editId="5018A97A">
            <wp:extent cx="5760000" cy="2520000"/>
            <wp:effectExtent l="0" t="0" r="12700"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747B090" w14:textId="26BFDDF9" w:rsidR="005B762B" w:rsidRDefault="005B762B" w:rsidP="005B762B">
      <w:pPr>
        <w:pStyle w:val="Subtitle"/>
        <w:rPr>
          <w:sz w:val="20"/>
          <w:szCs w:val="20"/>
        </w:rPr>
      </w:pPr>
      <w:r>
        <w:rPr>
          <w:sz w:val="20"/>
          <w:szCs w:val="20"/>
        </w:rPr>
        <w:t>Figure 14e</w:t>
      </w:r>
      <w:r w:rsidR="00341842">
        <w:rPr>
          <w:sz w:val="20"/>
          <w:szCs w:val="20"/>
        </w:rPr>
        <w:t>.</w:t>
      </w:r>
      <w:r w:rsidRPr="00556CF0">
        <w:rPr>
          <w:sz w:val="20"/>
          <w:szCs w:val="20"/>
        </w:rPr>
        <w:t xml:space="preserve"> </w:t>
      </w:r>
      <w:r>
        <w:rPr>
          <w:sz w:val="20"/>
          <w:szCs w:val="20"/>
        </w:rPr>
        <w:t>Percentage of premises in each fixed broadband availability and quality band for South Australia</w:t>
      </w:r>
    </w:p>
    <w:p w14:paraId="144D8E42" w14:textId="07CF7D26" w:rsidR="005B762B" w:rsidRDefault="00A443E2" w:rsidP="005B762B">
      <w:pPr>
        <w:pStyle w:val="BodyText"/>
        <w:spacing w:after="0"/>
      </w:pPr>
      <w:r>
        <w:rPr>
          <w:noProof/>
          <w:lang w:val="en-AU" w:eastAsia="en-AU"/>
        </w:rPr>
        <w:drawing>
          <wp:inline distT="0" distB="0" distL="0" distR="0" wp14:anchorId="67BA3DB1" wp14:editId="4DCC9CAE">
            <wp:extent cx="5760000" cy="2520000"/>
            <wp:effectExtent l="0" t="0" r="12700"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E573CE2" w14:textId="4D6786EC" w:rsidR="005B762B" w:rsidRDefault="005B762B" w:rsidP="00A443E2">
      <w:pPr>
        <w:pStyle w:val="Subtitle"/>
        <w:spacing w:after="120"/>
        <w:rPr>
          <w:sz w:val="20"/>
          <w:szCs w:val="20"/>
        </w:rPr>
      </w:pPr>
      <w:r>
        <w:rPr>
          <w:sz w:val="20"/>
          <w:szCs w:val="20"/>
        </w:rPr>
        <w:t>Figure 14f</w:t>
      </w:r>
      <w:r w:rsidR="00341842">
        <w:rPr>
          <w:sz w:val="20"/>
          <w:szCs w:val="20"/>
        </w:rPr>
        <w:t>.</w:t>
      </w:r>
      <w:r w:rsidRPr="00556CF0">
        <w:rPr>
          <w:sz w:val="20"/>
          <w:szCs w:val="20"/>
        </w:rPr>
        <w:t xml:space="preserve"> </w:t>
      </w:r>
      <w:r>
        <w:rPr>
          <w:sz w:val="20"/>
          <w:szCs w:val="20"/>
        </w:rPr>
        <w:t>Percentage of premises in each fixed broadband availability and quality band for Tasmania</w:t>
      </w:r>
    </w:p>
    <w:p w14:paraId="4F0B166E" w14:textId="4256805D" w:rsidR="005B762B" w:rsidRDefault="00A443E2" w:rsidP="005B762B">
      <w:pPr>
        <w:pStyle w:val="BodyText"/>
        <w:spacing w:after="0"/>
      </w:pPr>
      <w:r>
        <w:rPr>
          <w:noProof/>
          <w:lang w:val="en-AU" w:eastAsia="en-AU"/>
        </w:rPr>
        <w:drawing>
          <wp:inline distT="0" distB="0" distL="0" distR="0" wp14:anchorId="0B87456F" wp14:editId="75115AC6">
            <wp:extent cx="5760000" cy="2520000"/>
            <wp:effectExtent l="0" t="0" r="12700"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76848B5" w14:textId="0D0B0C32" w:rsidR="005B762B" w:rsidRDefault="005B762B" w:rsidP="00583ED4">
      <w:pPr>
        <w:pStyle w:val="Subtitle"/>
        <w:spacing w:after="120"/>
        <w:rPr>
          <w:sz w:val="20"/>
          <w:szCs w:val="20"/>
        </w:rPr>
      </w:pPr>
      <w:r>
        <w:rPr>
          <w:sz w:val="20"/>
          <w:szCs w:val="20"/>
        </w:rPr>
        <w:t>Figure 14g</w:t>
      </w:r>
      <w:r w:rsidR="00341842">
        <w:rPr>
          <w:sz w:val="20"/>
          <w:szCs w:val="20"/>
        </w:rPr>
        <w:t>.</w:t>
      </w:r>
      <w:r w:rsidRPr="00556CF0">
        <w:rPr>
          <w:sz w:val="20"/>
          <w:szCs w:val="20"/>
        </w:rPr>
        <w:t xml:space="preserve"> </w:t>
      </w:r>
      <w:r>
        <w:rPr>
          <w:sz w:val="20"/>
          <w:szCs w:val="20"/>
        </w:rPr>
        <w:t>Percentage of premises in each fixed broadband availability and quality band for Victoria</w:t>
      </w:r>
    </w:p>
    <w:p w14:paraId="62DA7A03" w14:textId="3E00DCD1" w:rsidR="005B762B" w:rsidRDefault="00583ED4" w:rsidP="005B762B">
      <w:pPr>
        <w:pStyle w:val="BodyText"/>
        <w:spacing w:after="0"/>
      </w:pPr>
      <w:r>
        <w:rPr>
          <w:noProof/>
          <w:lang w:val="en-AU" w:eastAsia="en-AU"/>
        </w:rPr>
        <w:drawing>
          <wp:inline distT="0" distB="0" distL="0" distR="0" wp14:anchorId="271E78E0" wp14:editId="20CE7E12">
            <wp:extent cx="5760000" cy="2520000"/>
            <wp:effectExtent l="0" t="0" r="12700"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287A8AB" w14:textId="5C01E132" w:rsidR="005B762B" w:rsidRDefault="005B762B" w:rsidP="005B762B">
      <w:pPr>
        <w:pStyle w:val="Subtitle"/>
      </w:pPr>
      <w:r>
        <w:rPr>
          <w:sz w:val="20"/>
          <w:szCs w:val="20"/>
        </w:rPr>
        <w:t>Figure 14h</w:t>
      </w:r>
      <w:r w:rsidR="00341842">
        <w:rPr>
          <w:sz w:val="20"/>
          <w:szCs w:val="20"/>
        </w:rPr>
        <w:t>.</w:t>
      </w:r>
      <w:r w:rsidRPr="00556CF0">
        <w:rPr>
          <w:sz w:val="20"/>
          <w:szCs w:val="20"/>
        </w:rPr>
        <w:t xml:space="preserve"> </w:t>
      </w:r>
      <w:r>
        <w:rPr>
          <w:sz w:val="20"/>
          <w:szCs w:val="20"/>
        </w:rPr>
        <w:t>Percentage of premises in each fixed broadband availability and quality band for Western Australia</w:t>
      </w:r>
    </w:p>
    <w:p w14:paraId="595E9152" w14:textId="77777777" w:rsidR="005B762B" w:rsidRDefault="005B762B" w:rsidP="005B762B">
      <w:pPr>
        <w:pStyle w:val="Heading3"/>
      </w:pPr>
      <w:r>
        <w:t>3.2. (b)  Fixed broadband quality by remoteness classification</w:t>
      </w:r>
    </w:p>
    <w:p w14:paraId="1BF9D188" w14:textId="77777777" w:rsidR="005B762B" w:rsidRDefault="005B762B" w:rsidP="00DE65F1">
      <w:pPr>
        <w:pStyle w:val="BodyText"/>
      </w:pPr>
      <w:r>
        <w:t xml:space="preserve">The disparity between regional and metropolitan areas is also highlighted by the distribution of quality ratings by remoteness classification (Figure 15). </w:t>
      </w:r>
    </w:p>
    <w:p w14:paraId="0035BC05" w14:textId="422418BD" w:rsidR="00140F65" w:rsidRDefault="00140350" w:rsidP="005B762B">
      <w:pPr>
        <w:pStyle w:val="BodyText"/>
        <w:rPr>
          <w:rFonts w:asciiTheme="majorHAnsi" w:eastAsiaTheme="majorEastAsia" w:hAnsiTheme="majorHAnsi" w:cstheme="majorBidi"/>
          <w:i/>
          <w:iCs/>
          <w:color w:val="4F81BD" w:themeColor="accent1"/>
          <w:spacing w:val="15"/>
          <w:sz w:val="20"/>
        </w:rPr>
      </w:pPr>
      <w:r>
        <w:rPr>
          <w:noProof/>
          <w:lang w:val="en-AU" w:eastAsia="en-AU"/>
        </w:rPr>
        <w:drawing>
          <wp:inline distT="0" distB="0" distL="0" distR="0" wp14:anchorId="5EF39B5A" wp14:editId="0BBA1EE0">
            <wp:extent cx="5760000" cy="2520000"/>
            <wp:effectExtent l="0" t="0" r="12700" b="139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E8009B" w14:textId="287AB58E" w:rsidR="005B762B" w:rsidRDefault="00B732CE" w:rsidP="005B762B">
      <w:pPr>
        <w:pStyle w:val="BodyText"/>
        <w:rPr>
          <w:rFonts w:asciiTheme="majorHAnsi" w:eastAsiaTheme="majorEastAsia" w:hAnsiTheme="majorHAnsi" w:cstheme="majorBidi"/>
          <w:i/>
          <w:iCs/>
          <w:color w:val="4F81BD" w:themeColor="accent1"/>
          <w:spacing w:val="15"/>
          <w:sz w:val="20"/>
        </w:rPr>
      </w:pPr>
      <w:r>
        <w:rPr>
          <w:rFonts w:asciiTheme="majorHAnsi" w:eastAsiaTheme="majorEastAsia" w:hAnsiTheme="majorHAnsi" w:cstheme="majorBidi"/>
          <w:i/>
          <w:iCs/>
          <w:color w:val="4F81BD" w:themeColor="accent1"/>
          <w:spacing w:val="15"/>
          <w:sz w:val="20"/>
        </w:rPr>
        <w:t xml:space="preserve"> </w:t>
      </w:r>
      <w:r w:rsidR="005B762B" w:rsidRPr="00D34DD5">
        <w:rPr>
          <w:rFonts w:asciiTheme="majorHAnsi" w:eastAsiaTheme="majorEastAsia" w:hAnsiTheme="majorHAnsi" w:cstheme="majorBidi"/>
          <w:i/>
          <w:iCs/>
          <w:color w:val="4F81BD" w:themeColor="accent1"/>
          <w:spacing w:val="15"/>
          <w:sz w:val="20"/>
        </w:rPr>
        <w:t xml:space="preserve">Figure </w:t>
      </w:r>
      <w:r w:rsidR="005B762B">
        <w:rPr>
          <w:rFonts w:asciiTheme="majorHAnsi" w:eastAsiaTheme="majorEastAsia" w:hAnsiTheme="majorHAnsi" w:cstheme="majorBidi"/>
          <w:i/>
          <w:iCs/>
          <w:color w:val="4F81BD" w:themeColor="accent1"/>
          <w:spacing w:val="15"/>
          <w:sz w:val="20"/>
        </w:rPr>
        <w:t xml:space="preserve">15. </w:t>
      </w:r>
      <w:r w:rsidR="005B762B" w:rsidRPr="008407A6">
        <w:rPr>
          <w:rFonts w:asciiTheme="majorHAnsi" w:eastAsiaTheme="majorEastAsia" w:hAnsiTheme="majorHAnsi" w:cstheme="majorBidi"/>
          <w:i/>
          <w:iCs/>
          <w:color w:val="4F81BD" w:themeColor="accent1"/>
          <w:spacing w:val="15"/>
          <w:sz w:val="20"/>
        </w:rPr>
        <w:t xml:space="preserve">Percentage of premises in each fixed </w:t>
      </w:r>
      <w:r w:rsidR="005B762B">
        <w:rPr>
          <w:rFonts w:asciiTheme="majorHAnsi" w:eastAsiaTheme="majorEastAsia" w:hAnsiTheme="majorHAnsi" w:cstheme="majorBidi"/>
          <w:i/>
          <w:iCs/>
          <w:color w:val="4F81BD" w:themeColor="accent1"/>
          <w:spacing w:val="15"/>
          <w:sz w:val="20"/>
        </w:rPr>
        <w:t>broadband q</w:t>
      </w:r>
      <w:r w:rsidR="005B762B" w:rsidRPr="008407A6">
        <w:rPr>
          <w:rFonts w:asciiTheme="majorHAnsi" w:eastAsiaTheme="majorEastAsia" w:hAnsiTheme="majorHAnsi" w:cstheme="majorBidi"/>
          <w:i/>
          <w:iCs/>
          <w:color w:val="4F81BD" w:themeColor="accent1"/>
          <w:spacing w:val="15"/>
          <w:sz w:val="20"/>
        </w:rPr>
        <w:t>uality</w:t>
      </w:r>
      <w:r w:rsidR="005B762B">
        <w:rPr>
          <w:rFonts w:asciiTheme="majorHAnsi" w:eastAsiaTheme="majorEastAsia" w:hAnsiTheme="majorHAnsi" w:cstheme="majorBidi"/>
          <w:i/>
          <w:iCs/>
          <w:color w:val="4F81BD" w:themeColor="accent1"/>
          <w:spacing w:val="15"/>
          <w:sz w:val="20"/>
        </w:rPr>
        <w:t xml:space="preserve"> band by remoteness classification</w:t>
      </w:r>
    </w:p>
    <w:p w14:paraId="346C2EF9" w14:textId="77777777" w:rsidR="005B762B" w:rsidRPr="005F32AC" w:rsidRDefault="005B762B" w:rsidP="005F32AC">
      <w:pPr>
        <w:pStyle w:val="BodyText"/>
      </w:pPr>
      <w:r w:rsidRPr="005F32AC">
        <w:t xml:space="preserve">As with availability, there is a correlation between population density and quality of services available. Major cities have a greater spread of DAs across the ratings bands indicating the broad spread of higher quality services in those areas. </w:t>
      </w:r>
    </w:p>
    <w:p w14:paraId="3552D92E" w14:textId="1F4991E8" w:rsidR="005B762B" w:rsidRPr="005F32AC" w:rsidRDefault="005B762B" w:rsidP="005F32AC">
      <w:pPr>
        <w:pStyle w:val="BodyText"/>
      </w:pPr>
      <w:r w:rsidRPr="005F32AC">
        <w:t xml:space="preserve">DAs in remote and very remote areas generally fall into the lowest two bands, which would be due to both lower population density and increased DA size. Premises in large DAs are more likely to be further away from the exchange, meaning </w:t>
      </w:r>
      <w:r w:rsidR="003830A1" w:rsidRPr="005F32AC">
        <w:t>ADSL</w:t>
      </w:r>
      <w:r w:rsidRPr="005F32AC">
        <w:t xml:space="preserve"> services would not be available or would have lower median download speeds. Additionally, Figure 16 indicates that more remote areas are less likely to </w:t>
      </w:r>
      <w:r w:rsidR="00403AB0" w:rsidRPr="005F32AC">
        <w:t xml:space="preserve">have </w:t>
      </w:r>
      <w:r w:rsidRPr="005F32AC">
        <w:t>access to high speed broadband technologies.</w:t>
      </w:r>
    </w:p>
    <w:p w14:paraId="4C1178EF" w14:textId="131D9643" w:rsidR="005B762B" w:rsidRDefault="005B762B" w:rsidP="005B762B">
      <w:pPr>
        <w:pStyle w:val="Heading3"/>
        <w:rPr>
          <w:rFonts w:asciiTheme="majorHAnsi" w:eastAsiaTheme="majorEastAsia" w:hAnsiTheme="majorHAnsi" w:cstheme="majorBidi"/>
          <w:i/>
          <w:iCs/>
          <w:color w:val="4F81BD" w:themeColor="accent1"/>
          <w:spacing w:val="15"/>
          <w:sz w:val="20"/>
        </w:rPr>
      </w:pPr>
      <w:r>
        <w:rPr>
          <w:noProof/>
          <w:lang w:val="en-AU" w:eastAsia="en-AU"/>
        </w:rPr>
        <w:drawing>
          <wp:inline distT="0" distB="0" distL="0" distR="0" wp14:anchorId="727F8B12" wp14:editId="072909C1">
            <wp:extent cx="5760000" cy="2520000"/>
            <wp:effectExtent l="0" t="0" r="12700" b="1397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asciiTheme="majorHAnsi" w:eastAsiaTheme="majorEastAsia" w:hAnsiTheme="majorHAnsi" w:cstheme="majorBidi"/>
          <w:i/>
          <w:iCs/>
          <w:color w:val="4F81BD" w:themeColor="accent1"/>
          <w:spacing w:val="15"/>
          <w:sz w:val="20"/>
        </w:rPr>
        <w:t>Figure 16</w:t>
      </w:r>
      <w:r w:rsidRPr="002F618B">
        <w:rPr>
          <w:rFonts w:asciiTheme="majorHAnsi" w:eastAsiaTheme="majorEastAsia" w:hAnsiTheme="majorHAnsi" w:cstheme="majorBidi"/>
          <w:i/>
          <w:iCs/>
          <w:color w:val="4F81BD" w:themeColor="accent1"/>
          <w:spacing w:val="15"/>
          <w:sz w:val="20"/>
        </w:rPr>
        <w:t>.</w:t>
      </w:r>
      <w:r>
        <w:rPr>
          <w:rFonts w:asciiTheme="majorHAnsi" w:eastAsiaTheme="majorEastAsia" w:hAnsiTheme="majorHAnsi" w:cstheme="majorBidi"/>
          <w:i/>
          <w:iCs/>
          <w:color w:val="4F81BD" w:themeColor="accent1"/>
          <w:spacing w:val="15"/>
          <w:sz w:val="20"/>
        </w:rPr>
        <w:t xml:space="preserve"> Major cities and regional Australia have much greater access to high speed broadband platforms including FTTP, FTTN, HFC and NBN fixed wireless than remote Australia</w:t>
      </w:r>
    </w:p>
    <w:p w14:paraId="555939D2" w14:textId="77777777" w:rsidR="005B762B" w:rsidRPr="008407A6" w:rsidRDefault="005B762B" w:rsidP="005B762B">
      <w:pPr>
        <w:pStyle w:val="BodyText"/>
        <w:rPr>
          <w:rFonts w:asciiTheme="majorHAnsi" w:eastAsiaTheme="majorEastAsia" w:hAnsiTheme="majorHAnsi" w:cstheme="majorBidi"/>
          <w:iCs/>
          <w:color w:val="000000" w:themeColor="text1"/>
          <w:spacing w:val="15"/>
        </w:rPr>
      </w:pPr>
    </w:p>
    <w:p w14:paraId="5B0C14B0" w14:textId="1D09E809" w:rsidR="005B762B" w:rsidRDefault="005B762B" w:rsidP="005B762B">
      <w:pPr>
        <w:pStyle w:val="Heading3"/>
        <w:spacing w:before="0"/>
      </w:pPr>
      <w:r>
        <w:t xml:space="preserve">3.2. (c)  </w:t>
      </w:r>
      <w:r w:rsidR="003830A1">
        <w:t>ADSL</w:t>
      </w:r>
      <w:r>
        <w:t xml:space="preserve"> Quality</w:t>
      </w:r>
    </w:p>
    <w:p w14:paraId="79829740" w14:textId="3A10E583" w:rsidR="005B762B" w:rsidRPr="005F32AC" w:rsidRDefault="005B762B" w:rsidP="005F32AC">
      <w:pPr>
        <w:pStyle w:val="BodyText"/>
      </w:pPr>
      <w:r w:rsidRPr="005F32AC">
        <w:t xml:space="preserve">The most common form of fixed broadband access is provided by </w:t>
      </w:r>
      <w:r w:rsidR="003830A1" w:rsidRPr="005F32AC">
        <w:t>ADSL</w:t>
      </w:r>
      <w:r w:rsidRPr="005F32AC">
        <w:t xml:space="preserve"> technology. This analysis used the estimated cable length, based on the location of the nearest exchange or equipment cabinet, combined with a rolling median peak speed achievable over that distance to calculate the peak speeds achievable at each premises. A median peak speed for each DA was then calculated.</w:t>
      </w:r>
    </w:p>
    <w:p w14:paraId="21F160FF" w14:textId="07C0F89B" w:rsidR="005B762B" w:rsidRPr="005F32AC" w:rsidRDefault="005B762B" w:rsidP="005F32AC">
      <w:pPr>
        <w:pStyle w:val="BodyText"/>
      </w:pPr>
      <w:r w:rsidRPr="005F32AC">
        <w:t xml:space="preserve">Figure 17 summarises the approximate percentage of premises with access to </w:t>
      </w:r>
      <w:r w:rsidR="003830A1" w:rsidRPr="005F32AC">
        <w:t>ADSL</w:t>
      </w:r>
      <w:r w:rsidRPr="005F32AC">
        <w:t xml:space="preserve"> that are likely to receive particular </w:t>
      </w:r>
      <w:r w:rsidR="003830A1" w:rsidRPr="005F32AC">
        <w:t>ADSL</w:t>
      </w:r>
      <w:r w:rsidRPr="005F32AC">
        <w:t xml:space="preserve"> median peak download speeds, as predicted by the line distance model. </w:t>
      </w:r>
    </w:p>
    <w:p w14:paraId="4422DBF2" w14:textId="12864A59" w:rsidR="005B762B" w:rsidRPr="005B1ECC" w:rsidRDefault="005B762B" w:rsidP="00C83BD2">
      <w:r>
        <w:rPr>
          <w:noProof/>
          <w:lang w:val="en-AU" w:eastAsia="en-AU"/>
        </w:rPr>
        <w:drawing>
          <wp:inline distT="0" distB="0" distL="0" distR="0" wp14:anchorId="04E487A0" wp14:editId="3BA5208D">
            <wp:extent cx="5759355" cy="2520000"/>
            <wp:effectExtent l="0" t="0" r="13335" b="13970"/>
            <wp:docPr id="87" name="Chart 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85CAD6E" w14:textId="77777777" w:rsidR="005B762B" w:rsidRDefault="005B762B" w:rsidP="005B762B">
      <w:pPr>
        <w:pStyle w:val="Subtitle"/>
        <w:rPr>
          <w:sz w:val="20"/>
          <w:szCs w:val="20"/>
        </w:rPr>
      </w:pPr>
      <w:r w:rsidRPr="00D91579">
        <w:rPr>
          <w:sz w:val="20"/>
          <w:szCs w:val="20"/>
        </w:rPr>
        <w:t xml:space="preserve">Figure </w:t>
      </w:r>
      <w:r>
        <w:rPr>
          <w:sz w:val="20"/>
          <w:szCs w:val="20"/>
        </w:rPr>
        <w:t>17</w:t>
      </w:r>
      <w:r w:rsidRPr="00D91579">
        <w:rPr>
          <w:sz w:val="20"/>
          <w:szCs w:val="20"/>
        </w:rPr>
        <w:t>.</w:t>
      </w:r>
      <w:r w:rsidRPr="005B1ECC">
        <w:rPr>
          <w:sz w:val="20"/>
          <w:szCs w:val="20"/>
        </w:rPr>
        <w:t xml:space="preserve"> Percentage of </w:t>
      </w:r>
      <w:r>
        <w:rPr>
          <w:sz w:val="20"/>
          <w:szCs w:val="20"/>
        </w:rPr>
        <w:t>premises</w:t>
      </w:r>
      <w:r w:rsidRPr="005B1ECC">
        <w:rPr>
          <w:sz w:val="20"/>
          <w:szCs w:val="20"/>
        </w:rPr>
        <w:t xml:space="preserve"> in each band of modelled median peak download speeds</w:t>
      </w:r>
    </w:p>
    <w:p w14:paraId="6676189F" w14:textId="77777777" w:rsidR="005B762B" w:rsidRDefault="005B762B" w:rsidP="005B762B"/>
    <w:p w14:paraId="5B9B666C" w14:textId="719E828D" w:rsidR="005B762B" w:rsidRPr="005F32AC" w:rsidRDefault="005B762B" w:rsidP="005F32AC">
      <w:pPr>
        <w:pStyle w:val="BodyText"/>
      </w:pPr>
      <w:r w:rsidRPr="005F32AC">
        <w:t xml:space="preserve">The distribution of modelled median </w:t>
      </w:r>
      <w:r w:rsidR="003830A1" w:rsidRPr="005F32AC">
        <w:t>ADSL</w:t>
      </w:r>
      <w:r w:rsidRPr="005F32AC">
        <w:t xml:space="preserve"> speed is similar across each of the states and territories, although Figure 18 indicates a higher proportion of premises in the Australian Capital Territory, South Australia and Queensland have access to </w:t>
      </w:r>
      <w:r w:rsidR="003830A1" w:rsidRPr="005F32AC">
        <w:t>ADSL</w:t>
      </w:r>
      <w:r w:rsidRPr="005F32AC">
        <w:t xml:space="preserve"> services with modelled speeds of 9 Mbps or below compared to the other states and territories, which is indicative of the relative availability of ADSL compared to ADSL2+ services. </w:t>
      </w:r>
    </w:p>
    <w:p w14:paraId="73B53531" w14:textId="44DEE510" w:rsidR="005B762B" w:rsidRDefault="00CD2DBC" w:rsidP="005B762B">
      <w:pPr>
        <w:pStyle w:val="BodyText"/>
        <w:spacing w:after="0"/>
      </w:pPr>
      <w:r>
        <w:rPr>
          <w:noProof/>
          <w:lang w:val="en-AU" w:eastAsia="en-AU"/>
        </w:rPr>
        <w:drawing>
          <wp:inline distT="0" distB="0" distL="0" distR="0" wp14:anchorId="0689F4E3" wp14:editId="30BACFE8">
            <wp:extent cx="5760000" cy="2520000"/>
            <wp:effectExtent l="0" t="0" r="12700" b="139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C69197" w14:textId="77777777" w:rsidR="005B762B" w:rsidRDefault="005B762B" w:rsidP="005B762B">
      <w:pPr>
        <w:pStyle w:val="Subtitle"/>
        <w:rPr>
          <w:sz w:val="20"/>
          <w:szCs w:val="20"/>
        </w:rPr>
      </w:pPr>
      <w:r w:rsidRPr="00D91579">
        <w:rPr>
          <w:sz w:val="20"/>
          <w:szCs w:val="20"/>
        </w:rPr>
        <w:t xml:space="preserve">Figure </w:t>
      </w:r>
      <w:r>
        <w:rPr>
          <w:sz w:val="20"/>
          <w:szCs w:val="20"/>
        </w:rPr>
        <w:t>18</w:t>
      </w:r>
      <w:r w:rsidRPr="00D91579">
        <w:rPr>
          <w:sz w:val="20"/>
          <w:szCs w:val="20"/>
        </w:rPr>
        <w:t>.</w:t>
      </w:r>
      <w:r w:rsidRPr="005B1ECC">
        <w:rPr>
          <w:sz w:val="20"/>
          <w:szCs w:val="20"/>
        </w:rPr>
        <w:t xml:space="preserve"> Percentage of </w:t>
      </w:r>
      <w:r>
        <w:rPr>
          <w:sz w:val="20"/>
          <w:szCs w:val="20"/>
        </w:rPr>
        <w:t>premises</w:t>
      </w:r>
      <w:r w:rsidRPr="005B1ECC">
        <w:rPr>
          <w:sz w:val="20"/>
          <w:szCs w:val="20"/>
        </w:rPr>
        <w:t xml:space="preserve"> in each band of modelled median peak download speeds</w:t>
      </w:r>
    </w:p>
    <w:p w14:paraId="04905EA9" w14:textId="77777777" w:rsidR="00C83BD2" w:rsidRDefault="00C83BD2" w:rsidP="005B762B">
      <w:pPr>
        <w:pStyle w:val="BodyText"/>
      </w:pPr>
    </w:p>
    <w:p w14:paraId="293C787C" w14:textId="1A0053F2" w:rsidR="005B762B" w:rsidRPr="005F32AC" w:rsidRDefault="005B762B" w:rsidP="005F32AC">
      <w:pPr>
        <w:pStyle w:val="BodyText"/>
      </w:pPr>
      <w:r w:rsidRPr="005F32AC">
        <w:t xml:space="preserve">Access to </w:t>
      </w:r>
      <w:r w:rsidR="003830A1" w:rsidRPr="005F32AC">
        <w:t>ADSL</w:t>
      </w:r>
      <w:r w:rsidRPr="005F32AC">
        <w:t xml:space="preserve"> services is lower in more remote areas than inner regional </w:t>
      </w:r>
      <w:r w:rsidR="003E1DD4" w:rsidRPr="005F32AC">
        <w:t xml:space="preserve">areas </w:t>
      </w:r>
      <w:r w:rsidRPr="005F32AC">
        <w:t xml:space="preserve">and major cities. However, of those premises that can access </w:t>
      </w:r>
      <w:r w:rsidR="003830A1" w:rsidRPr="005F32AC">
        <w:t>ADSL</w:t>
      </w:r>
      <w:r w:rsidRPr="005F32AC">
        <w:t xml:space="preserve"> services, there is generally little difference in the distribution of modelled median speeds across each of the remoteness categories, reflecting the observation that premises within regional and remote areas that are located close to local telephone exchanges will be able to</w:t>
      </w:r>
      <w:r w:rsidR="003E1DD4" w:rsidRPr="005F32AC">
        <w:t xml:space="preserve"> access</w:t>
      </w:r>
      <w:r w:rsidRPr="005F32AC">
        <w:t xml:space="preserve"> higher speed </w:t>
      </w:r>
      <w:r w:rsidR="003830A1" w:rsidRPr="005F32AC">
        <w:t>ADSL</w:t>
      </w:r>
      <w:r w:rsidRPr="005F32AC">
        <w:t xml:space="preserve"> services. The analysis has also identified a number of small metropolitan areas where there is limited availability of fixed broadband and a large number of premises that can access a basic service at download speeds that are less than 9 Mbps. </w:t>
      </w:r>
    </w:p>
    <w:p w14:paraId="0FE6FC8D" w14:textId="77777777" w:rsidR="005B762B" w:rsidRPr="005F32AC" w:rsidRDefault="005B762B" w:rsidP="005F32AC">
      <w:pPr>
        <w:pStyle w:val="BodyText"/>
      </w:pPr>
      <w:r w:rsidRPr="005F32AC">
        <w:t>Broadband availability and quality is affected by multiple factors. Key elements are considered in this analysis, but a range of factors may impact individual circumstances. In many locations there will be premises whose circumstances vary from the ratings for broadband availability and quality that their area receives in this analysis.</w:t>
      </w:r>
    </w:p>
    <w:p w14:paraId="2B7355FC" w14:textId="77777777" w:rsidR="005B762B" w:rsidRDefault="005B762B" w:rsidP="005B762B">
      <w:pPr>
        <w:pStyle w:val="Heading2"/>
      </w:pPr>
      <w:bookmarkStart w:id="144" w:name="_Toc377120884"/>
      <w:bookmarkStart w:id="145" w:name="_Toc377123939"/>
      <w:bookmarkStart w:id="146" w:name="_Toc377134444"/>
      <w:bookmarkStart w:id="147" w:name="_Toc377215448"/>
      <w:bookmarkStart w:id="148" w:name="_Toc377376502"/>
      <w:bookmarkStart w:id="149" w:name="_Toc377380825"/>
      <w:bookmarkStart w:id="150" w:name="_Toc377381973"/>
      <w:bookmarkStart w:id="151" w:name="_Toc377656483"/>
      <w:bookmarkStart w:id="152" w:name="_Toc377722543"/>
      <w:bookmarkStart w:id="153" w:name="_Toc380479898"/>
      <w:bookmarkStart w:id="154" w:name="_Toc375150657"/>
      <w:bookmarkStart w:id="155" w:name="_Toc375216637"/>
      <w:bookmarkStart w:id="156" w:name="_Toc377044246"/>
      <w:bookmarkStart w:id="157" w:name="_Toc377046995"/>
      <w:bookmarkStart w:id="158" w:name="_Toc371074994"/>
      <w:bookmarkStart w:id="159" w:name="_Toc373481229"/>
      <w:bookmarkStart w:id="160" w:name="_Toc373483639"/>
      <w:bookmarkEnd w:id="141"/>
      <w:bookmarkEnd w:id="142"/>
      <w:bookmarkEnd w:id="143"/>
      <w:r>
        <w:t>3.3. Mobile broadband</w:t>
      </w:r>
      <w:bookmarkEnd w:id="144"/>
      <w:bookmarkEnd w:id="145"/>
      <w:bookmarkEnd w:id="146"/>
      <w:bookmarkEnd w:id="147"/>
      <w:bookmarkEnd w:id="148"/>
      <w:bookmarkEnd w:id="149"/>
      <w:bookmarkEnd w:id="150"/>
      <w:bookmarkEnd w:id="151"/>
      <w:bookmarkEnd w:id="152"/>
      <w:bookmarkEnd w:id="153"/>
      <w:r>
        <w:t xml:space="preserve"> </w:t>
      </w:r>
      <w:bookmarkEnd w:id="154"/>
      <w:bookmarkEnd w:id="155"/>
      <w:bookmarkEnd w:id="156"/>
      <w:bookmarkEnd w:id="157"/>
    </w:p>
    <w:p w14:paraId="02B67732" w14:textId="55C87622" w:rsidR="005B762B" w:rsidRDefault="005B762B" w:rsidP="005B762B">
      <w:pPr>
        <w:pStyle w:val="BodyText"/>
      </w:pPr>
      <w:r w:rsidRPr="005B1ECC">
        <w:t xml:space="preserve">Mobile voice coverage is available to </w:t>
      </w:r>
      <w:r>
        <w:t>more than</w:t>
      </w:r>
      <w:r w:rsidRPr="005B1ECC">
        <w:t xml:space="preserve"> 99 per cent of the population</w:t>
      </w:r>
      <w:r>
        <w:t>, but fewer premises can access a broadband service that provides an effective data service in addition to voice services</w:t>
      </w:r>
      <w:r w:rsidRPr="005B1ECC">
        <w:rPr>
          <w:rStyle w:val="FootnoteReference"/>
        </w:rPr>
        <w:footnoteReference w:id="11"/>
      </w:r>
      <w:r w:rsidRPr="00E15380">
        <w:rPr>
          <w:vertAlign w:val="superscript"/>
        </w:rPr>
        <w:t>.</w:t>
      </w:r>
      <w:r>
        <w:t xml:space="preserve"> This analysis estimates that nationally </w:t>
      </w:r>
      <w:r w:rsidRPr="005B1ECC">
        <w:t xml:space="preserve">approximately </w:t>
      </w:r>
      <w:r w:rsidRPr="00B461AC">
        <w:t>8</w:t>
      </w:r>
      <w:r w:rsidR="00611D72">
        <w:t>1</w:t>
      </w:r>
      <w:r w:rsidRPr="00B461AC">
        <w:t xml:space="preserve"> per cent</w:t>
      </w:r>
      <w:r w:rsidRPr="005B1ECC">
        <w:t xml:space="preserve"> of premises have access to </w:t>
      </w:r>
      <w:r>
        <w:t xml:space="preserve">an effective </w:t>
      </w:r>
      <w:r w:rsidRPr="005B1ECC">
        <w:t>3G</w:t>
      </w:r>
      <w:r>
        <w:t xml:space="preserve"> mobile </w:t>
      </w:r>
      <w:r w:rsidR="0042057E">
        <w:t xml:space="preserve">broadband service and </w:t>
      </w:r>
      <w:r w:rsidR="00611D72">
        <w:t>59</w:t>
      </w:r>
      <w:r w:rsidR="0042057E">
        <w:t xml:space="preserve"> </w:t>
      </w:r>
      <w:r>
        <w:t>per cent of premises have access to a 4G service</w:t>
      </w:r>
      <w:r w:rsidRPr="005B1ECC">
        <w:t xml:space="preserve">. </w:t>
      </w:r>
    </w:p>
    <w:p w14:paraId="2D077A0E" w14:textId="581171BA" w:rsidR="005B762B" w:rsidRPr="005F32AC" w:rsidRDefault="005B762B" w:rsidP="005F32AC">
      <w:pPr>
        <w:pStyle w:val="BodyText"/>
      </w:pPr>
      <w:r w:rsidRPr="005F32AC">
        <w:t xml:space="preserve">The analysis suggests that approximately 318,000 premises fall outside the </w:t>
      </w:r>
      <w:r w:rsidR="003830A1" w:rsidRPr="005F32AC">
        <w:t>ADSL</w:t>
      </w:r>
      <w:r w:rsidRPr="005F32AC">
        <w:t xml:space="preserve"> footprint, but can access a 3G or 4G service.</w:t>
      </w:r>
    </w:p>
    <w:p w14:paraId="12E22A1B" w14:textId="77777777" w:rsidR="005B762B" w:rsidRPr="005F32AC" w:rsidRDefault="005B762B" w:rsidP="005F32AC">
      <w:pPr>
        <w:pStyle w:val="BodyText"/>
      </w:pPr>
      <w:r w:rsidRPr="005F32AC">
        <w:t xml:space="preserve">The extent of mobile broadband coverage across the states and territories varies considerably. The Northern Territory has the lowest coverage of mobile broadband services with 56 per cent of premises having access to 3G services. By comparison, the Australian Capital Territory has the highest proportion of 3G broadband coverage (approximately 95 per cent), with Victoria (85 per cent) and New South Wales (84 per cent) both having higher coverage than the national average. </w:t>
      </w:r>
    </w:p>
    <w:p w14:paraId="09760F13" w14:textId="080EB471" w:rsidR="005B762B" w:rsidRDefault="005B762B" w:rsidP="005F32AC">
      <w:pPr>
        <w:pStyle w:val="BodyText"/>
      </w:pPr>
      <w:r w:rsidRPr="005F32AC">
        <w:t>3G and 4G are depicted separately for each state and territory in Figure 19 as 4G network coverage typically overlaps 3G coverage, yet will provide the end user with a higher quality broadband service. Although the Australian Capital Territory has a high degree of 3G coverage, the percentage of premises coverage by 4G networks is less than or similar to Queensland, New South Wales and Victoria. Each of these states and the territory has proportionally higher coverage by 4G network</w:t>
      </w:r>
      <w:r w:rsidR="0042057E" w:rsidRPr="005F32AC">
        <w:t xml:space="preserve">s than the national average of 61 </w:t>
      </w:r>
      <w:r w:rsidRPr="005F32AC">
        <w:t>per cent, whereas the remaining states and the Northern Territory have less 4G coverage. Queensland has the highest level of good 4G coverage, yet 3G coverage is not as extensive as most of the other states or territories</w:t>
      </w:r>
      <w:r>
        <w:t>.</w:t>
      </w:r>
    </w:p>
    <w:p w14:paraId="112D0766" w14:textId="4ED6F378" w:rsidR="005B762B" w:rsidRDefault="005B762B" w:rsidP="005B762B">
      <w:pPr>
        <w:pStyle w:val="BodyText"/>
      </w:pPr>
    </w:p>
    <w:p w14:paraId="11F42739" w14:textId="13897044" w:rsidR="00E62DF7" w:rsidRDefault="001011F7" w:rsidP="005B762B">
      <w:pPr>
        <w:pStyle w:val="Subtitle"/>
        <w:rPr>
          <w:sz w:val="20"/>
          <w:szCs w:val="20"/>
        </w:rPr>
      </w:pPr>
      <w:r>
        <w:rPr>
          <w:noProof/>
          <w:lang w:val="en-AU" w:eastAsia="en-AU"/>
        </w:rPr>
        <w:drawing>
          <wp:inline distT="0" distB="0" distL="0" distR="0" wp14:anchorId="13F91B9E" wp14:editId="43C89D6D">
            <wp:extent cx="5760000" cy="2520000"/>
            <wp:effectExtent l="0" t="0" r="1270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7819013" w14:textId="77777777" w:rsidR="005B762B" w:rsidRDefault="005B762B" w:rsidP="005B762B">
      <w:pPr>
        <w:pStyle w:val="Subtitle"/>
        <w:rPr>
          <w:sz w:val="20"/>
          <w:szCs w:val="20"/>
        </w:rPr>
      </w:pPr>
      <w:r w:rsidRPr="007F6AA5">
        <w:rPr>
          <w:sz w:val="20"/>
          <w:szCs w:val="20"/>
        </w:rPr>
        <w:t xml:space="preserve">Figure </w:t>
      </w:r>
      <w:r>
        <w:rPr>
          <w:sz w:val="20"/>
          <w:szCs w:val="20"/>
        </w:rPr>
        <w:t>19. Percentage of premises in each state/territory with access to 3G or 4G mobile broadband services</w:t>
      </w:r>
    </w:p>
    <w:p w14:paraId="1080EF57" w14:textId="77777777" w:rsidR="005F32AC" w:rsidRPr="005F32AC" w:rsidRDefault="005F32AC" w:rsidP="005F32AC"/>
    <w:p w14:paraId="3D6A8631" w14:textId="77777777" w:rsidR="005B762B" w:rsidRPr="005F32AC" w:rsidRDefault="005B762B" w:rsidP="005F32AC">
      <w:pPr>
        <w:pStyle w:val="BodyText"/>
      </w:pPr>
      <w:r w:rsidRPr="005F32AC">
        <w:t>Importantly, the quality of a mobile broadband service can be affected by a range of variables that were not considered in this analysis (Appendix A), including the distance between the premises and a transmission point, the specific device being used to access a mobile broadband service, and whether the device is being used in or outdoors (including via the use of an externally mounted antenna which may improve the level of performance).</w:t>
      </w:r>
    </w:p>
    <w:p w14:paraId="3AAAD85F" w14:textId="77777777" w:rsidR="005B762B" w:rsidRPr="005F32AC" w:rsidRDefault="005B762B" w:rsidP="005F32AC">
      <w:pPr>
        <w:pStyle w:val="BodyText"/>
      </w:pPr>
      <w:r w:rsidRPr="005F32AC">
        <w:t>This report is based on analysis of mobile coverage footprints provided by carriers early in the fourth quarter of 2013. Investment in the mobile market is dynamic and mobile coverage, particularly 4G coverage, is rapidly expanding. As such, the results of this analysis reflect a point in time only.</w:t>
      </w:r>
    </w:p>
    <w:p w14:paraId="473B94CB" w14:textId="77777777" w:rsidR="005B762B" w:rsidRPr="00181362" w:rsidRDefault="005B762B" w:rsidP="005B762B">
      <w:pPr>
        <w:pStyle w:val="Heading2"/>
      </w:pPr>
      <w:bookmarkStart w:id="161" w:name="_Toc377120885"/>
      <w:bookmarkStart w:id="162" w:name="_Toc377123940"/>
      <w:bookmarkStart w:id="163" w:name="_Toc377134445"/>
      <w:bookmarkStart w:id="164" w:name="_Toc377215449"/>
      <w:bookmarkStart w:id="165" w:name="_Toc377376503"/>
      <w:bookmarkStart w:id="166" w:name="_Toc377380826"/>
      <w:bookmarkStart w:id="167" w:name="_Toc377381974"/>
      <w:bookmarkStart w:id="168" w:name="_Toc377656484"/>
      <w:bookmarkStart w:id="169" w:name="_Toc377722544"/>
      <w:bookmarkStart w:id="170" w:name="_Toc380479899"/>
      <w:bookmarkStart w:id="171" w:name="_Toc375150658"/>
      <w:bookmarkStart w:id="172" w:name="_Toc375216638"/>
      <w:bookmarkStart w:id="173" w:name="_Toc377044247"/>
      <w:bookmarkStart w:id="174" w:name="_Toc377046996"/>
      <w:r>
        <w:t xml:space="preserve">3.4. </w:t>
      </w:r>
      <w:r w:rsidRPr="00181362">
        <w:t xml:space="preserve">Satellite </w:t>
      </w:r>
      <w:r>
        <w:t>broadband</w:t>
      </w:r>
      <w:bookmarkEnd w:id="161"/>
      <w:bookmarkEnd w:id="162"/>
      <w:bookmarkEnd w:id="163"/>
      <w:bookmarkEnd w:id="164"/>
      <w:bookmarkEnd w:id="165"/>
      <w:bookmarkEnd w:id="166"/>
      <w:bookmarkEnd w:id="167"/>
      <w:bookmarkEnd w:id="168"/>
      <w:bookmarkEnd w:id="169"/>
      <w:bookmarkEnd w:id="170"/>
      <w:r>
        <w:t xml:space="preserve"> </w:t>
      </w:r>
      <w:bookmarkEnd w:id="171"/>
      <w:bookmarkEnd w:id="172"/>
      <w:bookmarkEnd w:id="173"/>
      <w:bookmarkEnd w:id="174"/>
    </w:p>
    <w:p w14:paraId="53C8193F" w14:textId="5B728066" w:rsidR="005B762B" w:rsidRPr="005F32AC" w:rsidRDefault="005B762B" w:rsidP="005F32AC">
      <w:pPr>
        <w:pStyle w:val="BodyText"/>
      </w:pPr>
      <w:r w:rsidRPr="005F32AC">
        <w:t xml:space="preserve">In general, all Australian premises are covered by satellite broadband networks although there is a limit to the capacity of </w:t>
      </w:r>
      <w:r w:rsidR="00145C24" w:rsidRPr="005F32AC">
        <w:t>the</w:t>
      </w:r>
      <w:r w:rsidRPr="005F32AC">
        <w:t xml:space="preserve"> satellites</w:t>
      </w:r>
      <w:r w:rsidR="00145C24" w:rsidRPr="005F32AC">
        <w:t xml:space="preserve"> currently in orbit,</w:t>
      </w:r>
      <w:r w:rsidRPr="005F32AC">
        <w:t xml:space="preserve"> and they are not the most cost effective approach to the delivery of services in metropolitan areas. </w:t>
      </w:r>
    </w:p>
    <w:p w14:paraId="3E7D5623" w14:textId="77777777" w:rsidR="005B762B" w:rsidRPr="005F32AC" w:rsidRDefault="005B762B" w:rsidP="005F32AC">
      <w:pPr>
        <w:pStyle w:val="BodyText"/>
      </w:pPr>
      <w:r w:rsidRPr="005F32AC">
        <w:t>Access to a connection can be affected by physical characteristics of the surrounding environment, in particular tree foliage which can mean a signal cannot be established.</w:t>
      </w:r>
    </w:p>
    <w:p w14:paraId="695E44CB" w14:textId="77777777" w:rsidR="005B762B" w:rsidRPr="005F32AC" w:rsidRDefault="005B762B" w:rsidP="005F32AC">
      <w:pPr>
        <w:pStyle w:val="BodyText"/>
      </w:pPr>
      <w:r w:rsidRPr="005F32AC">
        <w:t xml:space="preserve">Due to the nature of the technology, broadband delivered over satellite is affected by latency (signal delay) between the ground station and the user because geostationary satellites are located in space at an orbital distance of approximately 36,000 kilometres above the earth’s surface. </w:t>
      </w:r>
    </w:p>
    <w:p w14:paraId="608215E8" w14:textId="77777777" w:rsidR="005B762B" w:rsidRPr="005F32AC" w:rsidRDefault="005B762B" w:rsidP="005F32AC">
      <w:pPr>
        <w:pStyle w:val="BodyText"/>
      </w:pPr>
      <w:r w:rsidRPr="005F32AC">
        <w:t xml:space="preserve">The quality of the satellite connections in terms of speeds offered is typically peak speeds of up to 6 Mbps (downstream) and up to 1 Mbps (upstream). Quality of a satellite broadband service is also affected by a range of variables that were not considered in this analysis, including signal quality during heavy rain (also known as rain fade), signal interference from adjacent satellites or ground transmitters and end user equipment (Appendix A). </w:t>
      </w:r>
    </w:p>
    <w:p w14:paraId="798F5047" w14:textId="77777777" w:rsidR="005B762B" w:rsidRDefault="005B762B" w:rsidP="005B762B">
      <w:pPr>
        <w:rPr>
          <w:rFonts w:eastAsia="Times New Roman"/>
          <w:b/>
          <w:bCs/>
          <w:color w:val="1A7399"/>
          <w:sz w:val="44"/>
          <w:szCs w:val="32"/>
        </w:rPr>
      </w:pPr>
      <w:r>
        <w:br w:type="page"/>
      </w:r>
    </w:p>
    <w:p w14:paraId="0A079C52" w14:textId="77777777" w:rsidR="005B762B" w:rsidRPr="006F61B4" w:rsidRDefault="005B762B" w:rsidP="005B762B">
      <w:pPr>
        <w:pStyle w:val="Heading1"/>
      </w:pPr>
      <w:bookmarkStart w:id="175" w:name="_Toc377044250"/>
      <w:bookmarkStart w:id="176" w:name="_Toc377046999"/>
      <w:bookmarkStart w:id="177" w:name="_Toc377120888"/>
      <w:bookmarkStart w:id="178" w:name="_Toc377123943"/>
      <w:bookmarkStart w:id="179" w:name="_Toc377134448"/>
      <w:bookmarkStart w:id="180" w:name="_Toc377215451"/>
      <w:bookmarkStart w:id="181" w:name="_Toc377376504"/>
      <w:bookmarkStart w:id="182" w:name="_Toc377380827"/>
      <w:bookmarkStart w:id="183" w:name="_Toc377381975"/>
      <w:bookmarkStart w:id="184" w:name="_Toc377656485"/>
      <w:bookmarkStart w:id="185" w:name="_Toc377722545"/>
      <w:bookmarkStart w:id="186" w:name="_Toc380479900"/>
      <w:bookmarkEnd w:id="158"/>
      <w:bookmarkEnd w:id="159"/>
      <w:bookmarkEnd w:id="160"/>
      <w:r>
        <w:t>4. Methodology</w:t>
      </w:r>
      <w:bookmarkEnd w:id="175"/>
      <w:bookmarkEnd w:id="176"/>
      <w:bookmarkEnd w:id="177"/>
      <w:bookmarkEnd w:id="178"/>
      <w:bookmarkEnd w:id="179"/>
      <w:bookmarkEnd w:id="180"/>
      <w:bookmarkEnd w:id="181"/>
      <w:bookmarkEnd w:id="182"/>
      <w:bookmarkEnd w:id="183"/>
      <w:bookmarkEnd w:id="184"/>
      <w:bookmarkEnd w:id="185"/>
      <w:bookmarkEnd w:id="186"/>
    </w:p>
    <w:p w14:paraId="5194E325" w14:textId="4ABF405B" w:rsidR="00A90259" w:rsidRPr="005F32AC" w:rsidRDefault="005B762B" w:rsidP="005F32AC">
      <w:pPr>
        <w:pStyle w:val="BodyText"/>
        <w:rPr>
          <w:color w:val="FF0000"/>
        </w:rPr>
      </w:pPr>
      <w:r w:rsidRPr="00E15380">
        <w:rPr>
          <w:rStyle w:val="BodyTextChar"/>
        </w:rPr>
        <w:t xml:space="preserve">The approach used produced a supply-side snapshot of current broadband infrastructure and the quality of the services available in terms of speed. The modelling approach was designed following a review of similar projects conducted in the United Kingdom, USA, Canada, Germany and recently, the European Union (Appendix </w:t>
      </w:r>
      <w:r w:rsidR="007F2AB4" w:rsidRPr="00E15380">
        <w:rPr>
          <w:rStyle w:val="BodyTextChar"/>
        </w:rPr>
        <w:t>C</w:t>
      </w:r>
      <w:r w:rsidRPr="00E15380">
        <w:rPr>
          <w:rStyle w:val="BodyTextChar"/>
        </w:rPr>
        <w:t xml:space="preserve">). </w:t>
      </w:r>
      <w:r w:rsidR="00A90259" w:rsidRPr="00E15380">
        <w:rPr>
          <w:rStyle w:val="BodyTextChar"/>
        </w:rPr>
        <w:t>T</w:t>
      </w:r>
      <w:r w:rsidRPr="00E15380">
        <w:rPr>
          <w:rStyle w:val="BodyTextChar"/>
        </w:rPr>
        <w:t>he analysis had regard to various academic publications</w:t>
      </w:r>
      <w:r>
        <w:rPr>
          <w:rStyle w:val="FootnoteReference"/>
        </w:rPr>
        <w:footnoteReference w:id="12"/>
      </w:r>
      <w:r w:rsidRPr="00F36445">
        <w:t xml:space="preserve"> on implementing appropriate broadband quality metrics.</w:t>
      </w:r>
      <w:r w:rsidR="00A90259" w:rsidRPr="00A90259">
        <w:rPr>
          <w:color w:val="FF0000"/>
        </w:rPr>
        <w:t xml:space="preserve"> </w:t>
      </w:r>
      <w:r w:rsidR="00A90259" w:rsidRPr="007671C6">
        <w:t xml:space="preserve">In addition, global and regional analyses of broadband metrics, such as the Cisco Visual Networking Index, the Akamai State of the Internet Report and various OECD publications, were considered before formulating the approach. The existing analyses leverage a broad range of data sources and methodologies, each of which has its strengths and weaknesses. The approach used in this report was </w:t>
      </w:r>
      <w:r w:rsidR="007671C6" w:rsidRPr="007671C6">
        <w:t>adopted after considering the</w:t>
      </w:r>
      <w:r w:rsidR="00A90259" w:rsidRPr="007671C6">
        <w:t xml:space="preserve"> available </w:t>
      </w:r>
      <w:r w:rsidR="007671C6" w:rsidRPr="007671C6">
        <w:t>data</w:t>
      </w:r>
      <w:r w:rsidR="00A90259" w:rsidRPr="007671C6">
        <w:t xml:space="preserve"> and the goal of identifying areas where there are broadband access infrastructure based constraints to broadband availability and quality. Alternative analyses based on surveys, censuses or end to end network performance measurement, are likely to produce different results.</w:t>
      </w:r>
    </w:p>
    <w:p w14:paraId="0D1D4D83" w14:textId="5C7BF949" w:rsidR="005B762B" w:rsidRPr="00F36445" w:rsidRDefault="005B762B" w:rsidP="005F32AC">
      <w:pPr>
        <w:pStyle w:val="BodyText"/>
      </w:pPr>
      <w:r w:rsidRPr="00F36445">
        <w:t xml:space="preserve">This analysis of broadband availability and quality considered three categories of broadband delivery separately: fixed broadband (FTTP, FTTN, </w:t>
      </w:r>
      <w:r w:rsidR="003830A1">
        <w:t>ADSL</w:t>
      </w:r>
      <w:r w:rsidRPr="00F36445">
        <w:t xml:space="preserve">, HFC and </w:t>
      </w:r>
      <w:r>
        <w:t xml:space="preserve">NBN </w:t>
      </w:r>
      <w:r w:rsidRPr="00F36445">
        <w:t xml:space="preserve">fixed wireless), mobile broadband (3G and 4G) and satellite broadband. </w:t>
      </w:r>
    </w:p>
    <w:p w14:paraId="38336166" w14:textId="75D090B3" w:rsidR="005B762B" w:rsidRPr="00F36445" w:rsidRDefault="005B762B" w:rsidP="005F32AC">
      <w:pPr>
        <w:pStyle w:val="BodyText"/>
      </w:pPr>
      <w:r w:rsidRPr="00F36445">
        <w:t>The analysis of fixed broadband was based on a spatial model incorporating the coverage of the fixed technologies that deliver broadband services, in combination with the factors that may constrain access to a service or affect the quality of a service. Separate availability and quality ratings for each technology were calculated on a standalone basis. Figure 20 describes the high level structure of the fixed broadband model.</w:t>
      </w:r>
      <w:r>
        <w:t xml:space="preserve"> A more detailed version of the model is described in Appendix </w:t>
      </w:r>
      <w:r w:rsidR="007F2AB4">
        <w:t>D</w:t>
      </w:r>
      <w:r>
        <w:t>.</w:t>
      </w:r>
    </w:p>
    <w:p w14:paraId="262C527C" w14:textId="77777777" w:rsidR="005B762B" w:rsidRDefault="005B762B" w:rsidP="005B762B">
      <w:pPr>
        <w:pStyle w:val="BodyText"/>
      </w:pPr>
      <w:r>
        <w:rPr>
          <w:noProof/>
          <w:lang w:val="en-AU" w:eastAsia="en-AU"/>
        </w:rPr>
        <w:drawing>
          <wp:inline distT="0" distB="0" distL="0" distR="0" wp14:anchorId="284DB69A" wp14:editId="4862E8B8">
            <wp:extent cx="6081238" cy="1683357"/>
            <wp:effectExtent l="0" t="57150" r="0" b="107950"/>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0D651D04" w14:textId="77777777" w:rsidR="005B762B" w:rsidRDefault="005B762B" w:rsidP="005B762B">
      <w:pPr>
        <w:pStyle w:val="Subtitle"/>
        <w:rPr>
          <w:sz w:val="20"/>
          <w:szCs w:val="20"/>
        </w:rPr>
      </w:pPr>
      <w:r>
        <w:rPr>
          <w:sz w:val="20"/>
          <w:szCs w:val="20"/>
        </w:rPr>
        <w:t>Figure 20.</w:t>
      </w:r>
      <w:r w:rsidRPr="00CB15B9">
        <w:rPr>
          <w:sz w:val="20"/>
          <w:szCs w:val="20"/>
        </w:rPr>
        <w:t xml:space="preserve"> </w:t>
      </w:r>
      <w:r>
        <w:rPr>
          <w:sz w:val="20"/>
          <w:szCs w:val="20"/>
        </w:rPr>
        <w:t>The structure of the</w:t>
      </w:r>
      <w:r w:rsidRPr="00CB15B9">
        <w:rPr>
          <w:sz w:val="20"/>
          <w:szCs w:val="20"/>
        </w:rPr>
        <w:t xml:space="preserve"> </w:t>
      </w:r>
      <w:r>
        <w:rPr>
          <w:sz w:val="20"/>
          <w:szCs w:val="20"/>
        </w:rPr>
        <w:t>model converts network coverage and impediment information in a geospatial model to derive broadband availability and quality ratings.</w:t>
      </w:r>
    </w:p>
    <w:p w14:paraId="7B16DE3E" w14:textId="77777777" w:rsidR="005B762B" w:rsidRDefault="005B762B" w:rsidP="005B762B">
      <w:pPr>
        <w:pStyle w:val="Heading2"/>
      </w:pPr>
      <w:bookmarkStart w:id="187" w:name="_Toc372889242"/>
      <w:bookmarkStart w:id="188" w:name="_Toc373481213"/>
      <w:bookmarkStart w:id="189" w:name="_Toc373483623"/>
      <w:bookmarkStart w:id="190" w:name="_Toc380479901"/>
      <w:r>
        <w:t>4.1. Telstra Distribution Area – geographical building block</w:t>
      </w:r>
      <w:bookmarkEnd w:id="187"/>
      <w:bookmarkEnd w:id="188"/>
      <w:bookmarkEnd w:id="189"/>
      <w:bookmarkEnd w:id="190"/>
    </w:p>
    <w:p w14:paraId="3758EEC7" w14:textId="77777777" w:rsidR="005B762B" w:rsidRPr="005F32AC" w:rsidRDefault="005B762B" w:rsidP="005F32AC">
      <w:pPr>
        <w:pStyle w:val="BodyText"/>
      </w:pPr>
      <w:r w:rsidRPr="005F32AC">
        <w:t xml:space="preserve">The fixed broadband analysis used Telstra Distribution Areas (DA) for assessment and comparison of broadband at a local level primarily because a number of underpinning data are available at the DA level. </w:t>
      </w:r>
    </w:p>
    <w:p w14:paraId="69CD24AD" w14:textId="77777777" w:rsidR="005B762B" w:rsidRPr="005F32AC" w:rsidRDefault="005B762B" w:rsidP="005F32AC">
      <w:pPr>
        <w:pStyle w:val="BodyText"/>
      </w:pPr>
      <w:r w:rsidRPr="005F32AC">
        <w:t xml:space="preserve">The DA is a network component of a Telstra Exchange Service Area (ESA) although exceptions exist where an ESA has no DAs. Each DA typically comprises 100-200 premises, but in some cases, a single DA may comprise several thousand premises. DAs vary in geographical coverage, generally increasing in size as population or premises density decreases. In cases where ESAs are geographically large and no DAs have been defined, the analysis used a series of proxy DAs (of which 7,410 contain premises) based on suburb boundaries defined by the Australian Bureau of Statistics. To improve the validity of data, all DAs with up to 10 premises (approximately 12,000) were removed from the analysis. </w:t>
      </w:r>
    </w:p>
    <w:p w14:paraId="7E04FF9F" w14:textId="77777777" w:rsidR="005B762B" w:rsidRPr="005B1ECC" w:rsidRDefault="005B762B" w:rsidP="005F32AC">
      <w:pPr>
        <w:pStyle w:val="BodyText"/>
      </w:pPr>
      <w:r w:rsidRPr="005F32AC">
        <w:t>The use of a geographical building block in combination with the location of each premises within each DA boundary provided the basic mechanism by which fixed broadband network coverage information was converted into measures of broadband availability or quality:</w:t>
      </w:r>
    </w:p>
    <w:p w14:paraId="20CF83DB" w14:textId="77777777" w:rsidR="005B762B" w:rsidRPr="005B1ECC" w:rsidRDefault="005B762B" w:rsidP="005B762B">
      <w:pPr>
        <w:pStyle w:val="BodyText"/>
        <w:numPr>
          <w:ilvl w:val="0"/>
          <w:numId w:val="3"/>
        </w:numPr>
        <w:tabs>
          <w:tab w:val="clear" w:pos="0"/>
        </w:tabs>
        <w:ind w:left="426"/>
      </w:pPr>
      <w:r w:rsidRPr="005B1ECC">
        <w:t xml:space="preserve">where a </w:t>
      </w:r>
      <w:r>
        <w:t xml:space="preserve">fixed </w:t>
      </w:r>
      <w:r w:rsidRPr="005B1ECC">
        <w:t>network provides 100 per cent coverage to a DA, in the absence of any impediments or model weightings, that DA receive</w:t>
      </w:r>
      <w:r>
        <w:t>d</w:t>
      </w:r>
      <w:r w:rsidRPr="005B1ECC">
        <w:t xml:space="preserve"> 100 per cent for that metric</w:t>
      </w:r>
      <w:r>
        <w:t xml:space="preserve"> (corresponding to an availability rating of A)</w:t>
      </w:r>
      <w:r w:rsidRPr="005B1ECC">
        <w:t>.</w:t>
      </w:r>
    </w:p>
    <w:p w14:paraId="54021D3B" w14:textId="77777777" w:rsidR="005B762B" w:rsidRPr="005B1ECC" w:rsidRDefault="005B762B" w:rsidP="005B762B">
      <w:pPr>
        <w:pStyle w:val="BodyText"/>
        <w:numPr>
          <w:ilvl w:val="0"/>
          <w:numId w:val="3"/>
        </w:numPr>
        <w:tabs>
          <w:tab w:val="clear" w:pos="0"/>
        </w:tabs>
        <w:ind w:left="426"/>
      </w:pPr>
      <w:r w:rsidRPr="005B1ECC">
        <w:t>where half the premises are covered</w:t>
      </w:r>
      <w:r>
        <w:t>,</w:t>
      </w:r>
      <w:r w:rsidRPr="005B1ECC">
        <w:t xml:space="preserve"> the appropriate availability score </w:t>
      </w:r>
      <w:r>
        <w:t>was</w:t>
      </w:r>
      <w:r w:rsidRPr="005B1ECC">
        <w:t xml:space="preserve"> 50 per cent</w:t>
      </w:r>
      <w:r>
        <w:t xml:space="preserve"> (corresponding to an availability rating of C)</w:t>
      </w:r>
      <w:r w:rsidRPr="005B1ECC">
        <w:t>.</w:t>
      </w:r>
    </w:p>
    <w:p w14:paraId="702854DF" w14:textId="77777777" w:rsidR="005B762B" w:rsidRPr="005B1ECC" w:rsidRDefault="005B762B" w:rsidP="005B762B">
      <w:pPr>
        <w:pStyle w:val="BodyText"/>
        <w:numPr>
          <w:ilvl w:val="0"/>
          <w:numId w:val="3"/>
        </w:numPr>
        <w:tabs>
          <w:tab w:val="clear" w:pos="0"/>
        </w:tabs>
        <w:ind w:left="426"/>
      </w:pPr>
      <w:r w:rsidRPr="005B1ECC">
        <w:t xml:space="preserve">where impediments to particular </w:t>
      </w:r>
      <w:r>
        <w:t xml:space="preserve">fixed </w:t>
      </w:r>
      <w:r w:rsidRPr="005B1ECC">
        <w:t xml:space="preserve">broadband services </w:t>
      </w:r>
      <w:r>
        <w:t>were</w:t>
      </w:r>
      <w:r w:rsidRPr="005B1ECC">
        <w:t xml:space="preserve"> included, these either reduce</w:t>
      </w:r>
      <w:r>
        <w:t>d</w:t>
      </w:r>
      <w:r w:rsidRPr="005B1ECC">
        <w:t xml:space="preserve"> the overall number of premises that can access a</w:t>
      </w:r>
      <w:r>
        <w:t xml:space="preserve"> given service in a DA, or we</w:t>
      </w:r>
      <w:r w:rsidRPr="005B1ECC">
        <w:t xml:space="preserve">re used as scaling factors where the impact </w:t>
      </w:r>
      <w:r>
        <w:t>could</w:t>
      </w:r>
      <w:r w:rsidRPr="005B1ECC">
        <w:t xml:space="preserve"> not </w:t>
      </w:r>
      <w:r>
        <w:t>be</w:t>
      </w:r>
      <w:r w:rsidRPr="005B1ECC">
        <w:t xml:space="preserve"> readily localised to a specific DA.</w:t>
      </w:r>
    </w:p>
    <w:p w14:paraId="564CD331" w14:textId="77777777" w:rsidR="005B762B" w:rsidRDefault="005B762B" w:rsidP="005B762B">
      <w:pPr>
        <w:pStyle w:val="Heading2"/>
      </w:pPr>
      <w:bookmarkStart w:id="191" w:name="_Toc380479902"/>
      <w:bookmarkStart w:id="192" w:name="_Toc372889243"/>
      <w:bookmarkStart w:id="193" w:name="_Toc373481214"/>
      <w:bookmarkStart w:id="194" w:name="_Toc373483624"/>
      <w:r>
        <w:t>4.2. Broadband availability calculation</w:t>
      </w:r>
      <w:bookmarkEnd w:id="191"/>
      <w:r>
        <w:t xml:space="preserve"> </w:t>
      </w:r>
      <w:bookmarkEnd w:id="192"/>
      <w:bookmarkEnd w:id="193"/>
      <w:bookmarkEnd w:id="194"/>
    </w:p>
    <w:p w14:paraId="5C4ED318" w14:textId="77777777" w:rsidR="005B762B" w:rsidRPr="005F32AC" w:rsidRDefault="005B762B" w:rsidP="005F32AC">
      <w:pPr>
        <w:pStyle w:val="BodyText"/>
      </w:pPr>
      <w:r w:rsidRPr="005F32AC">
        <w:t>The calculation of a fixed broadband availability rating was based on the proportion of the premises in a DA that are serviceable by a given fixed network. The aggregate measure of fixed broadband availability was also derived from the combined coverage by any of the fixed networks assessed in the model. However, overlapping coverage of different fixed networks was not aggregated, with only a single network considered at each premises to provide a maximum of 100 per cent broadband availability. As such, while many premises do have access to multiple technologies, a high availability rating does not necessarily result in strong competition or choice for consumers.</w:t>
      </w:r>
    </w:p>
    <w:p w14:paraId="570526D2" w14:textId="77777777" w:rsidR="005B762B" w:rsidRPr="001552B7" w:rsidRDefault="005B762B" w:rsidP="005F32AC">
      <w:pPr>
        <w:pStyle w:val="BodyText"/>
      </w:pPr>
      <w:r w:rsidRPr="005F32AC">
        <w:t>For example, Figure 21 depicts three DAs, each containing four premises. Although the DA on the left would receive a fixed broadband availability measure of zero (corresponding to a rating of E), the two remaining DAs would both receive a score of 50 per cent (leading to a rating of C). As such, the aggregate measure of fixed broadband availability represents a technology-agnostic measure of the degree to which consumers in a given area can access a broadband service.</w:t>
      </w:r>
    </w:p>
    <w:p w14:paraId="7BAF1DBA" w14:textId="77777777" w:rsidR="005B762B" w:rsidRPr="005B1ECC" w:rsidRDefault="005B762B" w:rsidP="005B762B">
      <w:pPr>
        <w:jc w:val="center"/>
      </w:pPr>
      <w:r w:rsidRPr="005B1ECC">
        <w:rPr>
          <w:noProof/>
          <w:lang w:val="en-AU" w:eastAsia="en-AU"/>
        </w:rPr>
        <w:drawing>
          <wp:inline distT="0" distB="0" distL="0" distR="0" wp14:anchorId="1586AC38" wp14:editId="6A899DDC">
            <wp:extent cx="5486400" cy="225709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ility2.png"/>
                    <pic:cNvPicPr/>
                  </pic:nvPicPr>
                  <pic:blipFill>
                    <a:blip r:embed="rId56">
                      <a:extLst>
                        <a:ext uri="{28A0092B-C50C-407E-A947-70E740481C1C}">
                          <a14:useLocalDpi xmlns:a14="http://schemas.microsoft.com/office/drawing/2010/main" val="0"/>
                        </a:ext>
                      </a:extLst>
                    </a:blip>
                    <a:stretch>
                      <a:fillRect/>
                    </a:stretch>
                  </pic:blipFill>
                  <pic:spPr>
                    <a:xfrm>
                      <a:off x="0" y="0"/>
                      <a:ext cx="5490132" cy="2258630"/>
                    </a:xfrm>
                    <a:prstGeom prst="rect">
                      <a:avLst/>
                    </a:prstGeom>
                  </pic:spPr>
                </pic:pic>
              </a:graphicData>
            </a:graphic>
          </wp:inline>
        </w:drawing>
      </w:r>
    </w:p>
    <w:p w14:paraId="081467CD" w14:textId="77777777" w:rsidR="005B762B" w:rsidRDefault="005B762B" w:rsidP="005B762B">
      <w:pPr>
        <w:pStyle w:val="Subtitle"/>
        <w:rPr>
          <w:sz w:val="20"/>
        </w:rPr>
      </w:pPr>
    </w:p>
    <w:p w14:paraId="11DEE749" w14:textId="77777777" w:rsidR="005B762B" w:rsidRPr="00527CA0" w:rsidRDefault="005B762B" w:rsidP="005B762B">
      <w:pPr>
        <w:pStyle w:val="Subtitle"/>
        <w:spacing w:after="240"/>
        <w:ind w:left="227"/>
        <w:rPr>
          <w:sz w:val="20"/>
        </w:rPr>
      </w:pPr>
      <w:r>
        <w:rPr>
          <w:sz w:val="20"/>
        </w:rPr>
        <w:t>Figure 21. The broadband availability</w:t>
      </w:r>
      <w:r w:rsidRPr="005B1ECC">
        <w:rPr>
          <w:sz w:val="20"/>
        </w:rPr>
        <w:t xml:space="preserve"> model would rate the left example as having </w:t>
      </w:r>
      <w:r>
        <w:rPr>
          <w:sz w:val="20"/>
        </w:rPr>
        <w:t>no</w:t>
      </w:r>
      <w:r w:rsidRPr="005B1ECC">
        <w:rPr>
          <w:sz w:val="20"/>
        </w:rPr>
        <w:t xml:space="preserve"> availability</w:t>
      </w:r>
      <w:r>
        <w:rPr>
          <w:sz w:val="20"/>
        </w:rPr>
        <w:t xml:space="preserve"> (Band E)</w:t>
      </w:r>
      <w:r w:rsidRPr="005B1ECC">
        <w:rPr>
          <w:sz w:val="20"/>
        </w:rPr>
        <w:t xml:space="preserve">, </w:t>
      </w:r>
      <w:r>
        <w:rPr>
          <w:sz w:val="20"/>
        </w:rPr>
        <w:t>and</w:t>
      </w:r>
      <w:r w:rsidRPr="005B1ECC">
        <w:rPr>
          <w:sz w:val="20"/>
        </w:rPr>
        <w:t xml:space="preserve"> the centre and right example</w:t>
      </w:r>
      <w:r>
        <w:rPr>
          <w:sz w:val="20"/>
        </w:rPr>
        <w:t>s</w:t>
      </w:r>
      <w:r w:rsidRPr="005B1ECC">
        <w:rPr>
          <w:sz w:val="20"/>
        </w:rPr>
        <w:t xml:space="preserve"> as having 50 per cent availability </w:t>
      </w:r>
      <w:r>
        <w:rPr>
          <w:sz w:val="20"/>
        </w:rPr>
        <w:t>(Band C)</w:t>
      </w:r>
      <w:r w:rsidRPr="005B1ECC">
        <w:rPr>
          <w:sz w:val="20"/>
        </w:rPr>
        <w:t xml:space="preserve"> as a broadband platform is available to half of the premises</w:t>
      </w:r>
      <w:r>
        <w:rPr>
          <w:sz w:val="20"/>
        </w:rPr>
        <w:t xml:space="preserve">. </w:t>
      </w:r>
    </w:p>
    <w:p w14:paraId="2F5B9DC2" w14:textId="77777777" w:rsidR="005B762B" w:rsidRPr="005F32AC" w:rsidRDefault="005B762B" w:rsidP="005F32AC">
      <w:pPr>
        <w:pStyle w:val="BodyText"/>
      </w:pPr>
      <w:r w:rsidRPr="005F32AC">
        <w:t xml:space="preserve">Broadband availability ratings were also calculated for each fixed technology platform. These reflected the relative coverage of each technology within a DA and, where appropriate, considered various impediments to obtaining a service over a given network.  </w:t>
      </w:r>
    </w:p>
    <w:p w14:paraId="24BA928D" w14:textId="77777777" w:rsidR="005B762B" w:rsidRPr="005F32AC" w:rsidRDefault="005B762B" w:rsidP="005F32AC">
      <w:pPr>
        <w:pStyle w:val="BodyText"/>
      </w:pPr>
      <w:r w:rsidRPr="005F32AC">
        <w:t>For FTTP networks, the model assumed full coverage for premises within the fibre footprint with some limited exceptions. This was assumed because existing (non-NBN) FTTP networks have generally been rolled out in new housing development estates and therefore all premises in the footprint can access the network, although there are some exceptions. While NBN Co’s FTTP footprint was included in the modelling, service class zero premises (passed by fibre but unable to access a service) were not counted towards FTTP availability calculations.</w:t>
      </w:r>
    </w:p>
    <w:p w14:paraId="2494F687" w14:textId="77777777" w:rsidR="005B762B" w:rsidRPr="005B1ECC" w:rsidRDefault="005B762B" w:rsidP="005F32AC">
      <w:pPr>
        <w:pStyle w:val="BodyText"/>
      </w:pPr>
      <w:r w:rsidRPr="005F32AC">
        <w:t>For the HFC networks, the model scaled the coverage to reflect that not all premises within the HFC footprint are able to access a service.</w:t>
      </w:r>
    </w:p>
    <w:p w14:paraId="01C26194" w14:textId="67A9C9CA" w:rsidR="005B762B" w:rsidRPr="005B1ECC" w:rsidRDefault="005B762B" w:rsidP="005B762B">
      <w:pPr>
        <w:pStyle w:val="BodyText"/>
      </w:pPr>
      <w:r w:rsidRPr="005B1ECC">
        <w:t xml:space="preserve">In the case of </w:t>
      </w:r>
      <w:r w:rsidR="003830A1">
        <w:t>ADSL</w:t>
      </w:r>
      <w:r w:rsidRPr="005B1ECC">
        <w:t xml:space="preserve"> services, availability </w:t>
      </w:r>
      <w:r>
        <w:t>was</w:t>
      </w:r>
      <w:r w:rsidRPr="005B1ECC">
        <w:t xml:space="preserve"> limited withi</w:t>
      </w:r>
      <w:r>
        <w:t>n the model where</w:t>
      </w:r>
      <w:r w:rsidRPr="005B1ECC">
        <w:t>:</w:t>
      </w:r>
    </w:p>
    <w:p w14:paraId="192617A6" w14:textId="15C2883C" w:rsidR="005B762B" w:rsidRPr="005B1ECC" w:rsidRDefault="005B762B" w:rsidP="005B762B">
      <w:pPr>
        <w:pStyle w:val="BodyText"/>
        <w:numPr>
          <w:ilvl w:val="0"/>
          <w:numId w:val="3"/>
        </w:numPr>
        <w:tabs>
          <w:tab w:val="clear" w:pos="0"/>
        </w:tabs>
        <w:ind w:left="426"/>
      </w:pPr>
      <w:r w:rsidRPr="005B1ECC">
        <w:t xml:space="preserve">the ESA or DA does not support </w:t>
      </w:r>
      <w:r w:rsidR="003830A1">
        <w:t>ADSL</w:t>
      </w:r>
      <w:r w:rsidRPr="005B1ECC">
        <w:t xml:space="preserve"> services,</w:t>
      </w:r>
    </w:p>
    <w:p w14:paraId="65660D94" w14:textId="77777777" w:rsidR="005B762B" w:rsidRPr="005B1ECC" w:rsidRDefault="005B762B" w:rsidP="005B762B">
      <w:pPr>
        <w:pStyle w:val="BodyText"/>
        <w:numPr>
          <w:ilvl w:val="0"/>
          <w:numId w:val="3"/>
        </w:numPr>
        <w:tabs>
          <w:tab w:val="clear" w:pos="0"/>
        </w:tabs>
        <w:ind w:left="426"/>
      </w:pPr>
      <w:r w:rsidRPr="005B1ECC">
        <w:t>excessive cable length is identified,</w:t>
      </w:r>
    </w:p>
    <w:p w14:paraId="1723C22E" w14:textId="57AB155B" w:rsidR="005B762B" w:rsidRPr="005B1ECC" w:rsidRDefault="005B762B" w:rsidP="005B762B">
      <w:pPr>
        <w:pStyle w:val="BodyText"/>
        <w:numPr>
          <w:ilvl w:val="0"/>
          <w:numId w:val="3"/>
        </w:numPr>
        <w:tabs>
          <w:tab w:val="clear" w:pos="0"/>
        </w:tabs>
        <w:ind w:left="426"/>
      </w:pPr>
      <w:r w:rsidRPr="005B1ECC">
        <w:t>RIM or other pair gain devices have not be</w:t>
      </w:r>
      <w:r>
        <w:t>en</w:t>
      </w:r>
      <w:r w:rsidRPr="005B1ECC">
        <w:t xml:space="preserve"> remediated to allow provision of </w:t>
      </w:r>
      <w:r w:rsidR="003830A1">
        <w:t>ADSL</w:t>
      </w:r>
      <w:r w:rsidRPr="005B1ECC">
        <w:t xml:space="preserve"> services,</w:t>
      </w:r>
    </w:p>
    <w:p w14:paraId="51DD2944" w14:textId="77777777" w:rsidR="005B762B" w:rsidRPr="005B1ECC" w:rsidRDefault="005B762B" w:rsidP="005B762B">
      <w:pPr>
        <w:pStyle w:val="BodyText"/>
        <w:numPr>
          <w:ilvl w:val="0"/>
          <w:numId w:val="3"/>
        </w:numPr>
        <w:tabs>
          <w:tab w:val="clear" w:pos="0"/>
        </w:tabs>
        <w:ind w:left="426"/>
      </w:pPr>
      <w:r w:rsidRPr="005B1ECC">
        <w:t>the availability of spare ports at the exchange is low, or</w:t>
      </w:r>
    </w:p>
    <w:p w14:paraId="2C84E547" w14:textId="77777777" w:rsidR="005B762B" w:rsidRPr="005B1ECC" w:rsidRDefault="005B762B" w:rsidP="005B762B">
      <w:pPr>
        <w:pStyle w:val="BodyText"/>
        <w:numPr>
          <w:ilvl w:val="0"/>
          <w:numId w:val="3"/>
        </w:numPr>
        <w:tabs>
          <w:tab w:val="clear" w:pos="0"/>
        </w:tabs>
        <w:ind w:left="426"/>
      </w:pPr>
      <w:r w:rsidRPr="005B1ECC">
        <w:t>capacity at the relevant exchange has been capped.</w:t>
      </w:r>
    </w:p>
    <w:p w14:paraId="015CAAE4" w14:textId="354F2115" w:rsidR="005B762B" w:rsidRPr="005F32AC" w:rsidRDefault="005B762B" w:rsidP="005F32AC">
      <w:pPr>
        <w:pStyle w:val="BodyText"/>
      </w:pPr>
      <w:r w:rsidRPr="005F32AC">
        <w:t xml:space="preserve">In the case of the first three variables, the model estimated a specific number of premises within the DA that were prevented from accessing an </w:t>
      </w:r>
      <w:r w:rsidR="003830A1" w:rsidRPr="005F32AC">
        <w:t>ADSL</w:t>
      </w:r>
      <w:r w:rsidRPr="005F32AC">
        <w:t xml:space="preserve"> service. </w:t>
      </w:r>
    </w:p>
    <w:p w14:paraId="5B1494FD" w14:textId="3C6BC89A" w:rsidR="005B762B" w:rsidRPr="005F32AC" w:rsidRDefault="005B762B" w:rsidP="005F32AC">
      <w:pPr>
        <w:pStyle w:val="BodyText"/>
      </w:pPr>
      <w:r w:rsidRPr="005F32AC">
        <w:t>For the latter two variables, the specific number of premises constrained from accessing a service is dependent on dynamic factors including the current level of take-up and demand for additional services. No data were available for these factors. However, in recognition that these are impediments to accessing a service, a weighting was applied where ports were low</w:t>
      </w:r>
      <w:r w:rsidRPr="005F32AC">
        <w:rPr>
          <w:rStyle w:val="FootnoteReference"/>
        </w:rPr>
        <w:footnoteReference w:id="13"/>
      </w:r>
      <w:r w:rsidRPr="005F32AC">
        <w:t xml:space="preserve"> or the exchange was capped. More information about factors that affect </w:t>
      </w:r>
      <w:r w:rsidR="003830A1" w:rsidRPr="005F32AC">
        <w:t>ADSL</w:t>
      </w:r>
      <w:r w:rsidRPr="005F32AC">
        <w:t xml:space="preserve"> is outlined in Table 8 and Appendix </w:t>
      </w:r>
      <w:r w:rsidR="007F2AB4" w:rsidRPr="005F32AC">
        <w:t>E</w:t>
      </w:r>
      <w:r w:rsidRPr="005F32AC">
        <w:t>.</w:t>
      </w:r>
    </w:p>
    <w:p w14:paraId="3FA4958A" w14:textId="77777777" w:rsidR="005B762B" w:rsidRDefault="005B762B" w:rsidP="005B762B">
      <w:pPr>
        <w:pStyle w:val="BodyText"/>
        <w:spacing w:after="0"/>
        <w:rPr>
          <w:rFonts w:asciiTheme="majorHAnsi" w:eastAsiaTheme="majorEastAsia" w:hAnsiTheme="majorHAnsi"/>
          <w:i/>
          <w:color w:val="4F81BD" w:themeColor="accent1"/>
          <w:spacing w:val="15"/>
          <w:sz w:val="20"/>
        </w:rPr>
      </w:pPr>
      <w:r w:rsidRPr="005B1ECC">
        <w:rPr>
          <w:rFonts w:asciiTheme="majorHAnsi" w:eastAsiaTheme="majorEastAsia" w:hAnsiTheme="majorHAnsi"/>
          <w:i/>
          <w:color w:val="4F81BD" w:themeColor="accent1"/>
          <w:spacing w:val="15"/>
          <w:sz w:val="20"/>
        </w:rPr>
        <w:t xml:space="preserve">Table </w:t>
      </w:r>
      <w:r>
        <w:rPr>
          <w:rFonts w:asciiTheme="majorHAnsi" w:eastAsiaTheme="majorEastAsia" w:hAnsiTheme="majorHAnsi"/>
          <w:i/>
          <w:color w:val="4F81BD" w:themeColor="accent1"/>
          <w:spacing w:val="15"/>
          <w:sz w:val="20"/>
        </w:rPr>
        <w:t>8</w:t>
      </w:r>
      <w:r w:rsidRPr="005B1ECC">
        <w:rPr>
          <w:rFonts w:asciiTheme="majorHAnsi" w:eastAsiaTheme="majorEastAsia" w:hAnsiTheme="majorHAnsi"/>
          <w:i/>
          <w:color w:val="4F81BD" w:themeColor="accent1"/>
          <w:spacing w:val="15"/>
          <w:sz w:val="20"/>
        </w:rPr>
        <w:t xml:space="preserve">. </w:t>
      </w:r>
      <w:r>
        <w:rPr>
          <w:rFonts w:asciiTheme="majorHAnsi" w:eastAsiaTheme="majorEastAsia" w:hAnsiTheme="majorHAnsi"/>
          <w:i/>
          <w:color w:val="4F81BD" w:themeColor="accent1"/>
          <w:spacing w:val="15"/>
          <w:sz w:val="20"/>
        </w:rPr>
        <w:t>B</w:t>
      </w:r>
      <w:r w:rsidRPr="005B1ECC">
        <w:rPr>
          <w:rFonts w:asciiTheme="majorHAnsi" w:eastAsiaTheme="majorEastAsia" w:hAnsiTheme="majorHAnsi"/>
          <w:i/>
          <w:color w:val="4F81BD" w:themeColor="accent1"/>
          <w:spacing w:val="15"/>
          <w:sz w:val="20"/>
        </w:rPr>
        <w:t xml:space="preserve">arriers to accessing a DSL </w:t>
      </w:r>
      <w:r>
        <w:rPr>
          <w:rFonts w:asciiTheme="majorHAnsi" w:eastAsiaTheme="majorEastAsia" w:hAnsiTheme="majorHAnsi"/>
          <w:i/>
          <w:color w:val="4F81BD" w:themeColor="accent1"/>
          <w:spacing w:val="15"/>
          <w:sz w:val="20"/>
        </w:rPr>
        <w:t>broadband service</w:t>
      </w:r>
    </w:p>
    <w:tbl>
      <w:tblPr>
        <w:tblStyle w:val="MediumGrid3-Accent1"/>
        <w:tblW w:w="9437" w:type="dxa"/>
        <w:jc w:val="center"/>
        <w:tblInd w:w="1162" w:type="dxa"/>
        <w:tblLook w:val="04A0" w:firstRow="1" w:lastRow="0" w:firstColumn="1" w:lastColumn="0" w:noHBand="0" w:noVBand="1"/>
      </w:tblPr>
      <w:tblGrid>
        <w:gridCol w:w="2000"/>
        <w:gridCol w:w="7437"/>
      </w:tblGrid>
      <w:tr w:rsidR="005B762B" w:rsidRPr="005B1ECC" w14:paraId="5C7C1D5D" w14:textId="77777777" w:rsidTr="00F8020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00" w:type="dxa"/>
            <w:noWrap/>
          </w:tcPr>
          <w:p w14:paraId="28099617" w14:textId="77777777" w:rsidR="005B762B" w:rsidRPr="00793C7E" w:rsidRDefault="005B762B" w:rsidP="00F8020A">
            <w:pPr>
              <w:rPr>
                <w:rFonts w:asciiTheme="majorHAnsi" w:hAnsiTheme="majorHAnsi"/>
                <w:color w:val="FFFFFF" w:themeColor="background1"/>
                <w:sz w:val="20"/>
                <w:szCs w:val="20"/>
              </w:rPr>
            </w:pPr>
            <w:r w:rsidRPr="00793C7E">
              <w:rPr>
                <w:rFonts w:asciiTheme="majorHAnsi" w:hAnsiTheme="majorHAnsi" w:cs="Calibri"/>
                <w:color w:val="FFFFFF" w:themeColor="background1"/>
                <w:sz w:val="20"/>
                <w:szCs w:val="20"/>
              </w:rPr>
              <w:t>Distance from the exchange</w:t>
            </w:r>
          </w:p>
        </w:tc>
        <w:tc>
          <w:tcPr>
            <w:tcW w:w="7437" w:type="dxa"/>
            <w:shd w:val="clear" w:color="auto" w:fill="DBE5F1" w:themeFill="accent1" w:themeFillTint="33"/>
            <w:noWrap/>
          </w:tcPr>
          <w:p w14:paraId="12CFCAB9" w14:textId="70F602A2" w:rsidR="005B762B" w:rsidRDefault="003830A1" w:rsidP="00F8020A">
            <w:pPr>
              <w:spacing w:after="240"/>
              <w:cnfStyle w:val="100000000000" w:firstRow="1" w:lastRow="0" w:firstColumn="0" w:lastColumn="0" w:oddVBand="0" w:evenVBand="0" w:oddHBand="0" w:evenHBand="0" w:firstRowFirstColumn="0" w:firstRowLastColumn="0" w:lastRowFirstColumn="0" w:lastRowLastColumn="0"/>
              <w:rPr>
                <w:rFonts w:asciiTheme="majorHAnsi" w:hAnsiTheme="majorHAnsi" w:cs="Calibri"/>
                <w:b w:val="0"/>
                <w:color w:val="48494B"/>
                <w:sz w:val="22"/>
                <w:szCs w:val="22"/>
              </w:rPr>
            </w:pPr>
            <w:r>
              <w:rPr>
                <w:rFonts w:asciiTheme="majorHAnsi" w:hAnsiTheme="majorHAnsi" w:cs="Calibri"/>
                <w:b w:val="0"/>
                <w:color w:val="48494B"/>
                <w:sz w:val="22"/>
                <w:szCs w:val="22"/>
              </w:rPr>
              <w:t>ADSL</w:t>
            </w:r>
            <w:r w:rsidR="005B762B" w:rsidRPr="007E2EBD">
              <w:rPr>
                <w:rFonts w:asciiTheme="majorHAnsi" w:hAnsiTheme="majorHAnsi" w:cs="Calibri"/>
                <w:b w:val="0"/>
                <w:color w:val="48494B"/>
                <w:sz w:val="22"/>
                <w:szCs w:val="22"/>
              </w:rPr>
              <w:t xml:space="preserve"> signals degrade over distance of the copper and therefore there is a distance beyond which an </w:t>
            </w:r>
            <w:r>
              <w:rPr>
                <w:rFonts w:asciiTheme="majorHAnsi" w:hAnsiTheme="majorHAnsi" w:cs="Calibri"/>
                <w:b w:val="0"/>
                <w:color w:val="48494B"/>
                <w:sz w:val="22"/>
                <w:szCs w:val="22"/>
              </w:rPr>
              <w:t>ADSL</w:t>
            </w:r>
            <w:r w:rsidR="005B762B" w:rsidRPr="007E2EBD">
              <w:rPr>
                <w:rFonts w:asciiTheme="majorHAnsi" w:hAnsiTheme="majorHAnsi" w:cs="Calibri"/>
                <w:b w:val="0"/>
                <w:color w:val="48494B"/>
                <w:sz w:val="22"/>
                <w:szCs w:val="22"/>
              </w:rPr>
              <w:t xml:space="preserve"> service is effectively not capable of being supplied. Although this cable distance can depend on the local condition of the copper, the degree to which it is isolated from electro-magnetic interference and the locally used copper grade, the level of signal loss at around 5 kilometres provides a practical limit to the areas beyond which a premises generally cannot access </w:t>
            </w:r>
            <w:r w:rsidR="005B762B">
              <w:rPr>
                <w:rFonts w:asciiTheme="majorHAnsi" w:hAnsiTheme="majorHAnsi" w:cs="Calibri"/>
                <w:b w:val="0"/>
                <w:color w:val="48494B"/>
                <w:sz w:val="22"/>
                <w:szCs w:val="22"/>
              </w:rPr>
              <w:t xml:space="preserve">an </w:t>
            </w:r>
            <w:r>
              <w:rPr>
                <w:rFonts w:asciiTheme="majorHAnsi" w:hAnsiTheme="majorHAnsi" w:cs="Calibri"/>
                <w:b w:val="0"/>
                <w:color w:val="48494B"/>
                <w:sz w:val="22"/>
                <w:szCs w:val="22"/>
              </w:rPr>
              <w:t>ADSL</w:t>
            </w:r>
            <w:r w:rsidR="005B762B" w:rsidRPr="007E2EBD">
              <w:rPr>
                <w:rFonts w:asciiTheme="majorHAnsi" w:hAnsiTheme="majorHAnsi" w:cs="Calibri"/>
                <w:b w:val="0"/>
                <w:color w:val="48494B"/>
                <w:sz w:val="22"/>
                <w:szCs w:val="22"/>
              </w:rPr>
              <w:t xml:space="preserve"> service.  </w:t>
            </w:r>
          </w:p>
          <w:p w14:paraId="48A0D0EE" w14:textId="4E638C3B" w:rsidR="005B762B" w:rsidRPr="007E2EBD" w:rsidRDefault="005B762B" w:rsidP="00F8020A">
            <w:pPr>
              <w:cnfStyle w:val="100000000000" w:firstRow="1" w:lastRow="0" w:firstColumn="0" w:lastColumn="0" w:oddVBand="0" w:evenVBand="0" w:oddHBand="0" w:evenHBand="0" w:firstRowFirstColumn="0" w:firstRowLastColumn="0" w:lastRowFirstColumn="0" w:lastRowLastColumn="0"/>
              <w:rPr>
                <w:rFonts w:asciiTheme="majorHAnsi" w:hAnsiTheme="majorHAnsi"/>
                <w:color w:val="48494B"/>
                <w:sz w:val="22"/>
                <w:szCs w:val="22"/>
              </w:rPr>
            </w:pPr>
            <w:r w:rsidRPr="007E2EBD">
              <w:rPr>
                <w:rFonts w:asciiTheme="majorHAnsi" w:hAnsiTheme="majorHAnsi" w:cs="Calibri"/>
                <w:b w:val="0"/>
                <w:color w:val="48494B"/>
                <w:sz w:val="22"/>
                <w:szCs w:val="22"/>
              </w:rPr>
              <w:t xml:space="preserve">It is recognised that rural areas are often serviced with heavier gauge cable that is capable of supporting </w:t>
            </w:r>
            <w:r w:rsidR="003830A1">
              <w:rPr>
                <w:rFonts w:asciiTheme="majorHAnsi" w:hAnsiTheme="majorHAnsi" w:cs="Calibri"/>
                <w:b w:val="0"/>
                <w:color w:val="48494B"/>
                <w:sz w:val="22"/>
                <w:szCs w:val="22"/>
              </w:rPr>
              <w:t>ADSL</w:t>
            </w:r>
            <w:r w:rsidRPr="007E2EBD">
              <w:rPr>
                <w:rFonts w:asciiTheme="majorHAnsi" w:hAnsiTheme="majorHAnsi" w:cs="Calibri"/>
                <w:b w:val="0"/>
                <w:color w:val="48494B"/>
                <w:sz w:val="22"/>
                <w:szCs w:val="22"/>
              </w:rPr>
              <w:t xml:space="preserve"> services as far </w:t>
            </w:r>
            <w:r>
              <w:rPr>
                <w:rFonts w:asciiTheme="majorHAnsi" w:hAnsiTheme="majorHAnsi" w:cs="Calibri"/>
                <w:b w:val="0"/>
                <w:color w:val="48494B"/>
                <w:sz w:val="22"/>
                <w:szCs w:val="22"/>
              </w:rPr>
              <w:t xml:space="preserve">as </w:t>
            </w:r>
            <w:r w:rsidRPr="007E2EBD">
              <w:rPr>
                <w:rFonts w:asciiTheme="majorHAnsi" w:hAnsiTheme="majorHAnsi" w:cs="Calibri"/>
                <w:b w:val="0"/>
                <w:color w:val="48494B"/>
                <w:sz w:val="22"/>
                <w:szCs w:val="22"/>
              </w:rPr>
              <w:t xml:space="preserve">8.6 kilometres for 0.9mm cable.  However, as the analysis was conducted at the DA level, there is only a small proportion of DAs where the distance is larger than five kilometres and as such there is minimal effect on the results from adopting the five </w:t>
            </w:r>
            <w:r>
              <w:rPr>
                <w:rFonts w:asciiTheme="majorHAnsi" w:hAnsiTheme="majorHAnsi" w:cs="Calibri"/>
                <w:b w:val="0"/>
                <w:color w:val="48494B"/>
                <w:sz w:val="22"/>
                <w:szCs w:val="22"/>
              </w:rPr>
              <w:t>kilometre</w:t>
            </w:r>
            <w:r w:rsidRPr="007E2EBD">
              <w:rPr>
                <w:rFonts w:asciiTheme="majorHAnsi" w:hAnsiTheme="majorHAnsi" w:cs="Calibri"/>
                <w:b w:val="0"/>
                <w:color w:val="48494B"/>
                <w:sz w:val="22"/>
                <w:szCs w:val="22"/>
              </w:rPr>
              <w:t xml:space="preserve"> limit.</w:t>
            </w:r>
          </w:p>
        </w:tc>
      </w:tr>
      <w:tr w:rsidR="005B762B" w:rsidRPr="005B1ECC" w14:paraId="2CCEEBF8" w14:textId="77777777" w:rsidTr="00F802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00" w:type="dxa"/>
            <w:noWrap/>
          </w:tcPr>
          <w:p w14:paraId="207F7000" w14:textId="77777777" w:rsidR="005B762B" w:rsidRPr="00793C7E" w:rsidRDefault="005B762B" w:rsidP="00F8020A">
            <w:pPr>
              <w:rPr>
                <w:rFonts w:asciiTheme="majorHAnsi" w:hAnsiTheme="majorHAnsi" w:cs="Calibri"/>
                <w:b w:val="0"/>
                <w:color w:val="FFFFFF" w:themeColor="background1"/>
                <w:sz w:val="20"/>
                <w:szCs w:val="20"/>
              </w:rPr>
            </w:pPr>
            <w:r w:rsidRPr="00793C7E">
              <w:rPr>
                <w:rFonts w:asciiTheme="majorHAnsi" w:hAnsiTheme="majorHAnsi" w:cs="Calibri"/>
                <w:color w:val="FFFFFF" w:themeColor="background1"/>
                <w:sz w:val="20"/>
                <w:szCs w:val="20"/>
              </w:rPr>
              <w:t xml:space="preserve">Pair </w:t>
            </w:r>
            <w:r>
              <w:rPr>
                <w:rFonts w:asciiTheme="majorHAnsi" w:hAnsiTheme="majorHAnsi" w:cs="Calibri"/>
                <w:color w:val="FFFFFF" w:themeColor="background1"/>
                <w:sz w:val="20"/>
                <w:szCs w:val="20"/>
              </w:rPr>
              <w:t>g</w:t>
            </w:r>
            <w:r w:rsidRPr="00793C7E">
              <w:rPr>
                <w:rFonts w:asciiTheme="majorHAnsi" w:hAnsiTheme="majorHAnsi" w:cs="Calibri"/>
                <w:color w:val="FFFFFF" w:themeColor="background1"/>
                <w:sz w:val="20"/>
                <w:szCs w:val="20"/>
              </w:rPr>
              <w:t>ain systems</w:t>
            </w:r>
          </w:p>
          <w:p w14:paraId="53F8631A" w14:textId="77777777" w:rsidR="005B762B" w:rsidRPr="00793C7E" w:rsidRDefault="005B762B" w:rsidP="00F8020A">
            <w:pPr>
              <w:rPr>
                <w:rFonts w:asciiTheme="majorHAnsi" w:hAnsiTheme="majorHAnsi"/>
                <w:color w:val="FFFFFF" w:themeColor="background1"/>
                <w:sz w:val="20"/>
                <w:szCs w:val="20"/>
              </w:rPr>
            </w:pPr>
          </w:p>
        </w:tc>
        <w:tc>
          <w:tcPr>
            <w:tcW w:w="7437" w:type="dxa"/>
            <w:noWrap/>
          </w:tcPr>
          <w:p w14:paraId="7AFEB1A3" w14:textId="77777777" w:rsidR="005B762B" w:rsidRPr="00FF6C5E" w:rsidRDefault="005B762B" w:rsidP="00F8020A">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olor w:val="48494B"/>
                <w:spacing w:val="5"/>
                <w:kern w:val="28"/>
                <w:sz w:val="22"/>
              </w:rPr>
            </w:pPr>
            <w:r w:rsidRPr="007E2EBD">
              <w:rPr>
                <w:rFonts w:asciiTheme="majorHAnsi" w:hAnsiTheme="majorHAnsi" w:cs="Calibri"/>
                <w:color w:val="48494B"/>
                <w:sz w:val="22"/>
                <w:szCs w:val="22"/>
              </w:rPr>
              <w:t>Pair gain systems (small and medium) allow multiple standard telephone lines to be carried over a single pair of copper wires. There are also large pair gain systems including a RIM</w:t>
            </w:r>
            <w:r>
              <w:rPr>
                <w:rFonts w:asciiTheme="majorHAnsi" w:hAnsiTheme="majorHAnsi" w:cs="Calibri"/>
                <w:color w:val="48494B"/>
                <w:sz w:val="22"/>
                <w:szCs w:val="22"/>
              </w:rPr>
              <w:t>—</w:t>
            </w:r>
            <w:r w:rsidRPr="007E2EBD">
              <w:rPr>
                <w:rFonts w:asciiTheme="majorHAnsi" w:hAnsiTheme="majorHAnsi" w:cs="Calibri"/>
                <w:color w:val="48494B"/>
                <w:sz w:val="22"/>
                <w:szCs w:val="22"/>
              </w:rPr>
              <w:t>a remote integrated multiplexer which can typically deliver between 120 and 480 telephone services. These systems were traditionally used to ensure the timely delivery of voice services in outer</w:t>
            </w:r>
            <w:r>
              <w:rPr>
                <w:rFonts w:asciiTheme="majorHAnsi" w:hAnsiTheme="majorHAnsi" w:cs="Calibri"/>
                <w:color w:val="48494B"/>
                <w:sz w:val="22"/>
                <w:szCs w:val="22"/>
              </w:rPr>
              <w:t xml:space="preserve"> </w:t>
            </w:r>
            <w:r w:rsidRPr="007E2EBD">
              <w:rPr>
                <w:rFonts w:asciiTheme="majorHAnsi" w:hAnsiTheme="majorHAnsi" w:cs="Calibri"/>
                <w:color w:val="48494B"/>
                <w:sz w:val="22"/>
                <w:szCs w:val="22"/>
              </w:rPr>
              <w:t xml:space="preserve">metropolitan areas or new estates where it was not deemed to be economically feasible to upgrade existing copper plant. </w:t>
            </w:r>
          </w:p>
          <w:p w14:paraId="17F1A836" w14:textId="2B535E53" w:rsidR="005B762B" w:rsidRPr="007E2EBD" w:rsidRDefault="005B762B" w:rsidP="00F8020A">
            <w:pPr>
              <w:spacing w:after="30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48494B"/>
                <w:spacing w:val="5"/>
                <w:kern w:val="28"/>
                <w:sz w:val="22"/>
                <w:szCs w:val="22"/>
              </w:rPr>
            </w:pPr>
            <w:r w:rsidRPr="007E2EBD">
              <w:rPr>
                <w:rFonts w:asciiTheme="majorHAnsi" w:hAnsiTheme="majorHAnsi" w:cs="Calibri"/>
                <w:color w:val="48494B"/>
                <w:sz w:val="22"/>
                <w:szCs w:val="22"/>
              </w:rPr>
              <w:t xml:space="preserve">Generally </w:t>
            </w:r>
            <w:r w:rsidR="003830A1">
              <w:rPr>
                <w:rFonts w:asciiTheme="majorHAnsi" w:hAnsiTheme="majorHAnsi" w:cs="Calibri"/>
                <w:color w:val="48494B"/>
                <w:sz w:val="22"/>
                <w:szCs w:val="22"/>
              </w:rPr>
              <w:t>ADSL</w:t>
            </w:r>
            <w:r w:rsidRPr="007E2EBD">
              <w:rPr>
                <w:rFonts w:asciiTheme="majorHAnsi" w:hAnsiTheme="majorHAnsi" w:cs="Calibri"/>
                <w:color w:val="48494B"/>
                <w:sz w:val="22"/>
                <w:szCs w:val="22"/>
              </w:rPr>
              <w:t xml:space="preserve"> services are not available to those on the end of small or medium pair gain systems, although in some circumstances </w:t>
            </w:r>
            <w:r>
              <w:rPr>
                <w:rFonts w:asciiTheme="majorHAnsi" w:hAnsiTheme="majorHAnsi" w:cs="Calibri"/>
                <w:color w:val="48494B"/>
                <w:sz w:val="22"/>
                <w:szCs w:val="22"/>
              </w:rPr>
              <w:t>a</w:t>
            </w:r>
            <w:r w:rsidRPr="007E2EBD">
              <w:rPr>
                <w:rFonts w:asciiTheme="majorHAnsi" w:hAnsiTheme="majorHAnsi" w:cs="Calibri"/>
                <w:color w:val="48494B"/>
                <w:sz w:val="22"/>
                <w:szCs w:val="22"/>
              </w:rPr>
              <w:t xml:space="preserve"> network provider can re-use an available line for </w:t>
            </w:r>
            <w:r w:rsidR="003830A1">
              <w:rPr>
                <w:rFonts w:asciiTheme="majorHAnsi" w:hAnsiTheme="majorHAnsi" w:cs="Calibri"/>
                <w:color w:val="48494B"/>
                <w:sz w:val="22"/>
                <w:szCs w:val="22"/>
              </w:rPr>
              <w:t>ADSL</w:t>
            </w:r>
            <w:r w:rsidRPr="007E2EBD">
              <w:rPr>
                <w:rFonts w:asciiTheme="majorHAnsi" w:hAnsiTheme="majorHAnsi" w:cs="Calibri"/>
                <w:color w:val="48494B"/>
                <w:sz w:val="22"/>
                <w:szCs w:val="22"/>
              </w:rPr>
              <w:t xml:space="preserve"> services. Many large pair gain systems have been upgraded to provide </w:t>
            </w:r>
            <w:r w:rsidR="003830A1">
              <w:rPr>
                <w:rFonts w:asciiTheme="majorHAnsi" w:hAnsiTheme="majorHAnsi" w:cs="Calibri"/>
                <w:color w:val="48494B"/>
                <w:sz w:val="22"/>
                <w:szCs w:val="22"/>
              </w:rPr>
              <w:t>ADSL</w:t>
            </w:r>
            <w:r w:rsidRPr="007E2EBD">
              <w:rPr>
                <w:rFonts w:asciiTheme="majorHAnsi" w:hAnsiTheme="majorHAnsi" w:cs="Calibri"/>
                <w:color w:val="48494B"/>
                <w:sz w:val="22"/>
                <w:szCs w:val="22"/>
              </w:rPr>
              <w:t xml:space="preserve"> services</w:t>
            </w:r>
            <w:r>
              <w:rPr>
                <w:rFonts w:asciiTheme="majorHAnsi" w:hAnsiTheme="majorHAnsi" w:cs="Calibri"/>
                <w:color w:val="48494B"/>
                <w:sz w:val="22"/>
                <w:szCs w:val="22"/>
              </w:rPr>
              <w:t>,</w:t>
            </w:r>
            <w:r w:rsidRPr="007E2EBD">
              <w:rPr>
                <w:rFonts w:asciiTheme="majorHAnsi" w:hAnsiTheme="majorHAnsi" w:cs="Calibri"/>
                <w:color w:val="48494B"/>
                <w:sz w:val="22"/>
                <w:szCs w:val="22"/>
              </w:rPr>
              <w:t xml:space="preserve"> although this depends on the type of pair gain system used and the port capacity within it. </w:t>
            </w:r>
          </w:p>
        </w:tc>
      </w:tr>
      <w:tr w:rsidR="005B762B" w:rsidRPr="005B1ECC" w14:paraId="2EE21E64" w14:textId="77777777" w:rsidTr="00F8020A">
        <w:trPr>
          <w:trHeight w:val="300"/>
          <w:jc w:val="center"/>
        </w:trPr>
        <w:tc>
          <w:tcPr>
            <w:cnfStyle w:val="001000000000" w:firstRow="0" w:lastRow="0" w:firstColumn="1" w:lastColumn="0" w:oddVBand="0" w:evenVBand="0" w:oddHBand="0" w:evenHBand="0" w:firstRowFirstColumn="0" w:firstRowLastColumn="0" w:lastRowFirstColumn="0" w:lastRowLastColumn="0"/>
            <w:tcW w:w="2000" w:type="dxa"/>
            <w:noWrap/>
          </w:tcPr>
          <w:p w14:paraId="193F6675" w14:textId="77777777" w:rsidR="005B762B" w:rsidRPr="00793C7E" w:rsidRDefault="005B762B" w:rsidP="00F8020A">
            <w:pPr>
              <w:rPr>
                <w:rFonts w:asciiTheme="majorHAnsi" w:hAnsiTheme="majorHAnsi" w:cs="Calibri"/>
                <w:b w:val="0"/>
                <w:color w:val="FFFFFF" w:themeColor="background1"/>
                <w:sz w:val="20"/>
                <w:szCs w:val="20"/>
              </w:rPr>
            </w:pPr>
            <w:r w:rsidRPr="00793C7E">
              <w:rPr>
                <w:rFonts w:asciiTheme="majorHAnsi" w:hAnsiTheme="majorHAnsi" w:cs="Calibri"/>
                <w:color w:val="FFFFFF" w:themeColor="background1"/>
                <w:sz w:val="20"/>
                <w:szCs w:val="20"/>
              </w:rPr>
              <w:t>Port availability</w:t>
            </w:r>
          </w:p>
        </w:tc>
        <w:tc>
          <w:tcPr>
            <w:tcW w:w="7437" w:type="dxa"/>
            <w:noWrap/>
          </w:tcPr>
          <w:p w14:paraId="304A566B" w14:textId="77103097" w:rsidR="005B762B" w:rsidRPr="007E2EBD" w:rsidRDefault="003830A1" w:rsidP="00F8020A">
            <w:pPr>
              <w:spacing w:after="300"/>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48494B"/>
                <w:spacing w:val="5"/>
                <w:kern w:val="28"/>
                <w:sz w:val="22"/>
                <w:szCs w:val="22"/>
              </w:rPr>
            </w:pPr>
            <w:r>
              <w:rPr>
                <w:rFonts w:asciiTheme="majorHAnsi" w:hAnsiTheme="majorHAnsi" w:cs="Calibri"/>
                <w:color w:val="48494B"/>
                <w:sz w:val="22"/>
                <w:szCs w:val="22"/>
              </w:rPr>
              <w:t>ADSL</w:t>
            </w:r>
            <w:r w:rsidR="005B762B" w:rsidRPr="007E2EBD">
              <w:rPr>
                <w:rFonts w:asciiTheme="majorHAnsi" w:hAnsiTheme="majorHAnsi" w:cs="Calibri"/>
                <w:color w:val="48494B"/>
                <w:sz w:val="22"/>
                <w:szCs w:val="22"/>
              </w:rPr>
              <w:t xml:space="preserve"> services may be </w:t>
            </w:r>
            <w:r w:rsidR="005B762B">
              <w:rPr>
                <w:rFonts w:asciiTheme="majorHAnsi" w:hAnsiTheme="majorHAnsi" w:cs="Calibri"/>
                <w:color w:val="48494B"/>
                <w:sz w:val="22"/>
                <w:szCs w:val="22"/>
              </w:rPr>
              <w:t>unavailable</w:t>
            </w:r>
            <w:r w:rsidR="005B762B" w:rsidRPr="007E2EBD">
              <w:rPr>
                <w:rFonts w:asciiTheme="majorHAnsi" w:hAnsiTheme="majorHAnsi" w:cs="Calibri"/>
                <w:color w:val="48494B"/>
                <w:sz w:val="22"/>
                <w:szCs w:val="22"/>
              </w:rPr>
              <w:t xml:space="preserve"> due to </w:t>
            </w:r>
            <w:r w:rsidR="005B762B">
              <w:rPr>
                <w:rFonts w:asciiTheme="majorHAnsi" w:hAnsiTheme="majorHAnsi" w:cs="Calibri"/>
                <w:color w:val="48494B"/>
                <w:sz w:val="22"/>
                <w:szCs w:val="22"/>
              </w:rPr>
              <w:t>a shortage of</w:t>
            </w:r>
            <w:r w:rsidR="005B762B" w:rsidRPr="007E2EBD">
              <w:rPr>
                <w:rFonts w:asciiTheme="majorHAnsi" w:hAnsiTheme="majorHAnsi" w:cs="Calibri"/>
                <w:color w:val="48494B"/>
                <w:sz w:val="22"/>
                <w:szCs w:val="22"/>
              </w:rPr>
              <w:t xml:space="preserve"> available ports at the exchange, including if the exchange is capped and no further equipment to support </w:t>
            </w:r>
            <w:r>
              <w:rPr>
                <w:rFonts w:asciiTheme="majorHAnsi" w:hAnsiTheme="majorHAnsi" w:cs="Calibri"/>
                <w:color w:val="48494B"/>
                <w:sz w:val="22"/>
                <w:szCs w:val="22"/>
              </w:rPr>
              <w:t>ADSL</w:t>
            </w:r>
            <w:r w:rsidR="005B762B" w:rsidRPr="007E2EBD">
              <w:rPr>
                <w:rFonts w:asciiTheme="majorHAnsi" w:hAnsiTheme="majorHAnsi" w:cs="Calibri"/>
                <w:color w:val="48494B"/>
                <w:sz w:val="22"/>
                <w:szCs w:val="22"/>
              </w:rPr>
              <w:t xml:space="preserve"> services can be installed. </w:t>
            </w:r>
          </w:p>
        </w:tc>
      </w:tr>
      <w:tr w:rsidR="005B762B" w:rsidRPr="005B1ECC" w14:paraId="01EA58E0" w14:textId="77777777" w:rsidTr="00F8020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00" w:type="dxa"/>
            <w:noWrap/>
          </w:tcPr>
          <w:p w14:paraId="33B49BCD" w14:textId="77777777" w:rsidR="005B762B" w:rsidRPr="00793C7E" w:rsidRDefault="005B762B" w:rsidP="00F8020A">
            <w:pPr>
              <w:rPr>
                <w:rFonts w:asciiTheme="majorHAnsi" w:hAnsiTheme="majorHAnsi"/>
                <w:color w:val="FFFFFF" w:themeColor="background1"/>
                <w:sz w:val="20"/>
                <w:szCs w:val="20"/>
              </w:rPr>
            </w:pPr>
            <w:r w:rsidRPr="00793C7E">
              <w:rPr>
                <w:rFonts w:asciiTheme="majorHAnsi" w:hAnsiTheme="majorHAnsi" w:cs="Calibri"/>
                <w:color w:val="FFFFFF" w:themeColor="background1"/>
                <w:sz w:val="20"/>
                <w:szCs w:val="20"/>
              </w:rPr>
              <w:t>Transpositioning</w:t>
            </w:r>
          </w:p>
        </w:tc>
        <w:tc>
          <w:tcPr>
            <w:tcW w:w="7437" w:type="dxa"/>
            <w:noWrap/>
          </w:tcPr>
          <w:p w14:paraId="32C9C72A" w14:textId="7F236898" w:rsidR="005B762B" w:rsidRPr="007E2EBD" w:rsidRDefault="005B762B" w:rsidP="00F8020A">
            <w:pPr>
              <w:spacing w:after="30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olor w:val="48494B"/>
                <w:sz w:val="22"/>
                <w:szCs w:val="22"/>
              </w:rPr>
            </w:pPr>
            <w:r w:rsidRPr="007E2EBD">
              <w:rPr>
                <w:sz w:val="22"/>
                <w:szCs w:val="22"/>
              </w:rPr>
              <w:t xml:space="preserve">Typically more copper cables have been deployed to a large pair gain system than are needed to deliver the number of voice services it can supply. Under a process known as ‘transpositioning’ a premises seeking access to </w:t>
            </w:r>
            <w:r>
              <w:rPr>
                <w:sz w:val="22"/>
                <w:szCs w:val="22"/>
              </w:rPr>
              <w:t xml:space="preserve">an </w:t>
            </w:r>
            <w:r w:rsidR="003830A1">
              <w:rPr>
                <w:sz w:val="22"/>
                <w:szCs w:val="22"/>
              </w:rPr>
              <w:t>ADSL</w:t>
            </w:r>
            <w:r w:rsidRPr="007E2EBD">
              <w:rPr>
                <w:sz w:val="22"/>
                <w:szCs w:val="22"/>
              </w:rPr>
              <w:t xml:space="preserve"> service that is not supported by the large pair gain system can be re-allocated to one of the additional copper cables that connect directly to the exchange.</w:t>
            </w:r>
          </w:p>
        </w:tc>
      </w:tr>
    </w:tbl>
    <w:p w14:paraId="166028D9" w14:textId="77777777" w:rsidR="005B762B" w:rsidRPr="00AC55F6" w:rsidRDefault="005B762B" w:rsidP="005B762B">
      <w:pPr>
        <w:pStyle w:val="Heading2"/>
      </w:pPr>
      <w:bookmarkStart w:id="195" w:name="_Toc380479903"/>
      <w:r>
        <w:t>4.3. Broadband quality calculation</w:t>
      </w:r>
      <w:bookmarkEnd w:id="195"/>
    </w:p>
    <w:p w14:paraId="020BCB67" w14:textId="77777777" w:rsidR="005B762B" w:rsidRPr="005F32AC" w:rsidRDefault="005B762B" w:rsidP="005F32AC">
      <w:pPr>
        <w:pStyle w:val="BodyText"/>
      </w:pPr>
      <w:r w:rsidRPr="005F32AC">
        <w:t xml:space="preserve">In terms of fixed broadband quality, the model assessed the capability of the access network infrastructure available in the DA, with a higher weighting being placed on platforms capable of delivering higher speed services. </w:t>
      </w:r>
    </w:p>
    <w:p w14:paraId="1986EC3D" w14:textId="77777777" w:rsidR="005B762B" w:rsidRPr="005F32AC" w:rsidRDefault="005B762B" w:rsidP="005F32AC">
      <w:pPr>
        <w:pStyle w:val="BodyText"/>
      </w:pPr>
      <w:r w:rsidRPr="005F32AC">
        <w:t xml:space="preserve">For the purposes of this analysis, FTTP was considered as the best-in-class platform given its existing capability to offer services of 1 gigabit per second (Gbps) and its scalability to offer even higher speed services. </w:t>
      </w:r>
    </w:p>
    <w:p w14:paraId="68218E04" w14:textId="77777777" w:rsidR="005B762B" w:rsidRPr="005F32AC" w:rsidRDefault="005B762B" w:rsidP="005F32AC">
      <w:pPr>
        <w:pStyle w:val="BodyText"/>
      </w:pPr>
      <w:r w:rsidRPr="005F32AC">
        <w:t xml:space="preserve">While HFC networks support services with peak download speeds approaching 110 Mbps, these networks were weighted lower than FTTP due to the lower upload speeds available and the current contention ratios for shared infrastructure which can limit the potential for these networks to deliver high speed services to a large number of premises simultaneously. </w:t>
      </w:r>
    </w:p>
    <w:p w14:paraId="6A522696" w14:textId="77777777" w:rsidR="005B762B" w:rsidRPr="005F32AC" w:rsidRDefault="005B762B" w:rsidP="005F32AC">
      <w:pPr>
        <w:pStyle w:val="BodyText"/>
      </w:pPr>
      <w:r w:rsidRPr="005F32AC">
        <w:t>FTTN networks were weighted in line with HFC networks. While FTTN networks currently offer lower speeds than HFC networks, there is a well-defined technology roadmap for the base infrastructure used to deploy FTTN to deliver speeds in excess of 100 Mbps.</w:t>
      </w:r>
    </w:p>
    <w:p w14:paraId="6C9F4159" w14:textId="5371E878" w:rsidR="005B762B" w:rsidRPr="005F32AC" w:rsidRDefault="005B762B" w:rsidP="005F32AC">
      <w:pPr>
        <w:pStyle w:val="BodyText"/>
      </w:pPr>
      <w:r w:rsidRPr="005F32AC">
        <w:t xml:space="preserve">NBN Co’s fixed wireless network was weighted below HFC and FTTN, but higher than </w:t>
      </w:r>
      <w:r w:rsidR="003830A1" w:rsidRPr="005F32AC">
        <w:t>ADSL</w:t>
      </w:r>
      <w:r w:rsidRPr="005F32AC">
        <w:t xml:space="preserve"> services as services delivering peak download speeds of 25 Mbps are currently available.</w:t>
      </w:r>
    </w:p>
    <w:p w14:paraId="349AF303" w14:textId="7AC87DDD" w:rsidR="005B762B" w:rsidRPr="005F32AC" w:rsidRDefault="003830A1" w:rsidP="005F32AC">
      <w:pPr>
        <w:pStyle w:val="BodyText"/>
      </w:pPr>
      <w:r w:rsidRPr="005F32AC">
        <w:t>ADSL</w:t>
      </w:r>
      <w:r w:rsidR="005B762B" w:rsidRPr="005F32AC">
        <w:t xml:space="preserve"> networks were given a lower weighting than FTTP, HFC, FTTN and fixed wireless due to the maximum theoretical speeds that can be offered. The weighting was based on the median speed achievable within a DA, itself primarily a factor of cable length, and the specific </w:t>
      </w:r>
      <w:r w:rsidRPr="005F32AC">
        <w:t>ADSL</w:t>
      </w:r>
      <w:r w:rsidR="005B762B" w:rsidRPr="005F32AC">
        <w:t xml:space="preserve"> technology deployed. Cable length was estimated by calculating the shortest street distance between each individual premises and either the exchange or cabinet at which the infrastructure providing broadband access is located. </w:t>
      </w:r>
    </w:p>
    <w:p w14:paraId="7A4BD3DA" w14:textId="6261D708" w:rsidR="005B762B" w:rsidRPr="005F32AC" w:rsidRDefault="005B762B" w:rsidP="005F32AC">
      <w:pPr>
        <w:pStyle w:val="BodyText"/>
      </w:pPr>
      <w:r w:rsidRPr="005F32AC">
        <w:t xml:space="preserve">A factor of 10 per cent was added to </w:t>
      </w:r>
      <w:r w:rsidR="00DA7347" w:rsidRPr="005F32AC">
        <w:t xml:space="preserve">the </w:t>
      </w:r>
      <w:r w:rsidRPr="005F32AC">
        <w:t xml:space="preserve">calculated distance from the exchange to account for coils of excess cable that are typically stored in communication pits to facilitate local fault repairs. These distances were then used to predict the likely </w:t>
      </w:r>
      <w:r w:rsidR="003830A1" w:rsidRPr="005F32AC">
        <w:t>ADSL</w:t>
      </w:r>
      <w:r w:rsidRPr="005F32AC">
        <w:t xml:space="preserve"> download speed by comparing them with a speed versus distance relationship based on empirical data of actual broadband signal loss and cable distance. The empirical dataset comprised 20,000 samples of ADSL2+ download sync speeds and associated cable loss. The cable loss (in Decibels, dB) was used to estimate line length using the industry accepted average loss of 13.8 dB per kilometre for 0.4mm diameter copper cable.</w:t>
      </w:r>
    </w:p>
    <w:p w14:paraId="4A0B5CF6" w14:textId="5E833D66" w:rsidR="005B762B" w:rsidRPr="005F32AC" w:rsidRDefault="005B762B" w:rsidP="005F32AC">
      <w:pPr>
        <w:pStyle w:val="BodyText"/>
      </w:pPr>
      <w:r w:rsidRPr="005F32AC">
        <w:t>Data points were then grouped according to line lengths of 100 metre increments, and a calculation of the median speed at each distance was made. The observed relationship between the measured signal loss and estimated cable length was applied to the estimate</w:t>
      </w:r>
      <w:r w:rsidR="00DA7347" w:rsidRPr="005F32AC">
        <w:t>d</w:t>
      </w:r>
      <w:r w:rsidRPr="005F32AC">
        <w:t xml:space="preserve"> line length for every premises with </w:t>
      </w:r>
      <w:r w:rsidR="003830A1" w:rsidRPr="005F32AC">
        <w:t>ADSL</w:t>
      </w:r>
      <w:r w:rsidRPr="005F32AC">
        <w:t xml:space="preserve"> access in the DA and the median speed for each DA was determined. The median was considered to provide a more accurate representation of likely speeds experienced by end users in the DA than average speed. As such, while individual premises within each DA will experience a range of speeds, the modelled median peak speed provides a reasonable indication of the speeds achievable in the DA and provides a measure for comparison with other DAs.</w:t>
      </w:r>
    </w:p>
    <w:p w14:paraId="30FA327E" w14:textId="77777777" w:rsidR="005B762B" w:rsidRPr="005F32AC" w:rsidRDefault="005B762B" w:rsidP="005F32AC">
      <w:pPr>
        <w:pStyle w:val="BodyText"/>
      </w:pPr>
      <w:r w:rsidRPr="005F32AC">
        <w:t xml:space="preserve">It should be noted that some exchange service areas are served by multiple exchanges (sub-exchanges) due to the number of premises in the area. In calculating distance to the exchange, the assumption was made that a premises was served by the closest exchange infrastructure. It will be the case that some premises in the exchange service area are not served by the closest exchange infrastructure. As such, the analysis may overstate the median peak speed achievable in those areas. </w:t>
      </w:r>
    </w:p>
    <w:p w14:paraId="096FDF8C" w14:textId="77777777" w:rsidR="005B762B" w:rsidRPr="005F32AC" w:rsidRDefault="005B762B" w:rsidP="005F32AC">
      <w:pPr>
        <w:pStyle w:val="BodyText"/>
      </w:pPr>
      <w:r w:rsidRPr="005F32AC">
        <w:t>There are approximately 90 ESAs that fall into this category</w:t>
      </w:r>
      <w:r w:rsidRPr="005F32AC">
        <w:rPr>
          <w:rStyle w:val="FootnoteReference"/>
        </w:rPr>
        <w:footnoteReference w:id="14"/>
      </w:r>
      <w:r w:rsidRPr="005F32AC">
        <w:t>. Table 9 shows the distribution of these exchanges across the states and territories.</w:t>
      </w:r>
    </w:p>
    <w:p w14:paraId="4034F4A8" w14:textId="77777777" w:rsidR="007671C6" w:rsidRDefault="007671C6" w:rsidP="005B762B">
      <w:pPr>
        <w:pStyle w:val="BodyText"/>
      </w:pPr>
    </w:p>
    <w:p w14:paraId="23DFB42F" w14:textId="77777777" w:rsidR="005B762B" w:rsidRPr="0006509A" w:rsidRDefault="005B762B" w:rsidP="005B762B">
      <w:pPr>
        <w:pStyle w:val="Subtitle"/>
        <w:rPr>
          <w:sz w:val="20"/>
        </w:rPr>
      </w:pPr>
      <w:r w:rsidRPr="0006509A">
        <w:rPr>
          <w:sz w:val="20"/>
          <w:szCs w:val="20"/>
        </w:rPr>
        <w:t xml:space="preserve">Table </w:t>
      </w:r>
      <w:r>
        <w:rPr>
          <w:sz w:val="20"/>
          <w:szCs w:val="20"/>
        </w:rPr>
        <w:t>9</w:t>
      </w:r>
      <w:r w:rsidRPr="0006509A">
        <w:rPr>
          <w:sz w:val="20"/>
          <w:szCs w:val="20"/>
        </w:rPr>
        <w:t xml:space="preserve">. </w:t>
      </w:r>
      <w:r w:rsidRPr="0006509A">
        <w:rPr>
          <w:sz w:val="20"/>
        </w:rPr>
        <w:t>Distribution of ESAs with multiple exchanges</w:t>
      </w:r>
    </w:p>
    <w:tbl>
      <w:tblPr>
        <w:tblStyle w:val="MediumGrid3-Accent11"/>
        <w:tblW w:w="9322" w:type="dxa"/>
        <w:tblLook w:val="04A0" w:firstRow="1" w:lastRow="0" w:firstColumn="1" w:lastColumn="0" w:noHBand="0" w:noVBand="1"/>
      </w:tblPr>
      <w:tblGrid>
        <w:gridCol w:w="3652"/>
        <w:gridCol w:w="5670"/>
      </w:tblGrid>
      <w:tr w:rsidR="005B762B" w:rsidRPr="00A60907" w14:paraId="7B4CC9FB" w14:textId="77777777" w:rsidTr="00F8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8103D00" w14:textId="77777777" w:rsidR="005B762B" w:rsidRPr="00A60907" w:rsidRDefault="005B762B" w:rsidP="00F8020A">
            <w:pPr>
              <w:spacing w:after="120"/>
              <w:rPr>
                <w:rFonts w:eastAsia="MS Mincho" w:cs="Calibri"/>
                <w:color w:val="FFFFFF"/>
                <w:szCs w:val="24"/>
                <w:lang w:eastAsia="en-AU"/>
              </w:rPr>
            </w:pPr>
          </w:p>
        </w:tc>
        <w:tc>
          <w:tcPr>
            <w:tcW w:w="5670" w:type="dxa"/>
          </w:tcPr>
          <w:p w14:paraId="0200FF3F" w14:textId="77777777" w:rsidR="005B762B" w:rsidRPr="00A60907" w:rsidRDefault="005B762B" w:rsidP="00F8020A">
            <w:pPr>
              <w:spacing w:after="120"/>
              <w:jc w:val="center"/>
              <w:cnfStyle w:val="100000000000" w:firstRow="1" w:lastRow="0" w:firstColumn="0" w:lastColumn="0" w:oddVBand="0" w:evenVBand="0" w:oddHBand="0" w:evenHBand="0" w:firstRowFirstColumn="0" w:firstRowLastColumn="0" w:lastRowFirstColumn="0" w:lastRowLastColumn="0"/>
              <w:rPr>
                <w:rFonts w:eastAsia="MS Mincho"/>
                <w:color w:val="000000"/>
                <w:szCs w:val="24"/>
                <w:lang w:eastAsia="en-AU"/>
              </w:rPr>
            </w:pPr>
            <w:r w:rsidRPr="00AD0FA4">
              <w:rPr>
                <w:color w:val="FFFFFF" w:themeColor="background1"/>
                <w:lang w:eastAsia="en-AU"/>
              </w:rPr>
              <w:t>Distribution of ESAs</w:t>
            </w:r>
          </w:p>
        </w:tc>
      </w:tr>
      <w:tr w:rsidR="005B762B" w:rsidRPr="00A60907" w14:paraId="5EF637CF"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4BEDA7EF" w14:textId="77777777" w:rsidR="005B762B" w:rsidRPr="00A60907" w:rsidRDefault="005B762B" w:rsidP="00F8020A">
            <w:pPr>
              <w:spacing w:after="120"/>
              <w:jc w:val="right"/>
              <w:rPr>
                <w:rFonts w:eastAsia="MS Mincho"/>
                <w:sz w:val="20"/>
                <w:szCs w:val="24"/>
              </w:rPr>
            </w:pPr>
            <w:r w:rsidRPr="00A60907">
              <w:rPr>
                <w:rFonts w:eastAsia="MS Mincho" w:cs="Calibri"/>
                <w:color w:val="FFFFFF"/>
                <w:sz w:val="20"/>
                <w:szCs w:val="24"/>
                <w:lang w:eastAsia="en-AU"/>
              </w:rPr>
              <w:t>ACT</w:t>
            </w:r>
          </w:p>
        </w:tc>
        <w:tc>
          <w:tcPr>
            <w:tcW w:w="5670" w:type="dxa"/>
            <w:vAlign w:val="center"/>
          </w:tcPr>
          <w:p w14:paraId="77504F11" w14:textId="77777777" w:rsidR="005B762B" w:rsidRPr="00A60907" w:rsidRDefault="005B762B" w:rsidP="00F8020A">
            <w:pPr>
              <w:spacing w:after="120"/>
              <w:jc w:val="center"/>
              <w:cnfStyle w:val="000000100000" w:firstRow="0" w:lastRow="0" w:firstColumn="0" w:lastColumn="0" w:oddVBand="0" w:evenVBand="0" w:oddHBand="1" w:evenHBand="0" w:firstRowFirstColumn="0" w:firstRowLastColumn="0" w:lastRowFirstColumn="0" w:lastRowLastColumn="0"/>
              <w:rPr>
                <w:rFonts w:eastAsia="MS Mincho"/>
                <w:b/>
                <w:color w:val="000000"/>
                <w:sz w:val="20"/>
                <w:szCs w:val="24"/>
              </w:rPr>
            </w:pPr>
            <w:r w:rsidRPr="00A60907">
              <w:rPr>
                <w:rFonts w:eastAsia="MS Mincho"/>
                <w:b/>
                <w:color w:val="000000"/>
                <w:sz w:val="20"/>
                <w:szCs w:val="24"/>
              </w:rPr>
              <w:t>2</w:t>
            </w:r>
          </w:p>
        </w:tc>
      </w:tr>
      <w:tr w:rsidR="005B762B" w:rsidRPr="00A60907" w14:paraId="0E579C05" w14:textId="77777777" w:rsidTr="00F8020A">
        <w:tc>
          <w:tcPr>
            <w:cnfStyle w:val="001000000000" w:firstRow="0" w:lastRow="0" w:firstColumn="1" w:lastColumn="0" w:oddVBand="0" w:evenVBand="0" w:oddHBand="0" w:evenHBand="0" w:firstRowFirstColumn="0" w:firstRowLastColumn="0" w:lastRowFirstColumn="0" w:lastRowLastColumn="0"/>
            <w:tcW w:w="3652" w:type="dxa"/>
          </w:tcPr>
          <w:p w14:paraId="26C7EAF9" w14:textId="77777777" w:rsidR="005B762B" w:rsidRPr="00A60907" w:rsidRDefault="005B762B" w:rsidP="00F8020A">
            <w:pPr>
              <w:spacing w:after="120"/>
              <w:jc w:val="right"/>
              <w:rPr>
                <w:rFonts w:eastAsia="MS Mincho" w:cs="Calibri"/>
                <w:color w:val="FFFFFF"/>
                <w:sz w:val="20"/>
                <w:szCs w:val="24"/>
                <w:lang w:eastAsia="en-AU"/>
              </w:rPr>
            </w:pPr>
            <w:r w:rsidRPr="00A60907">
              <w:rPr>
                <w:rFonts w:eastAsia="MS Mincho" w:cs="Calibri"/>
                <w:color w:val="FFFFFF"/>
                <w:sz w:val="20"/>
                <w:szCs w:val="24"/>
                <w:lang w:eastAsia="en-AU"/>
              </w:rPr>
              <w:t>NSW</w:t>
            </w:r>
          </w:p>
        </w:tc>
        <w:tc>
          <w:tcPr>
            <w:tcW w:w="5670" w:type="dxa"/>
            <w:vAlign w:val="center"/>
          </w:tcPr>
          <w:p w14:paraId="5E8E2613" w14:textId="77777777" w:rsidR="005B762B" w:rsidRPr="00A60907" w:rsidRDefault="005B762B" w:rsidP="00F8020A">
            <w:pPr>
              <w:spacing w:after="120"/>
              <w:jc w:val="center"/>
              <w:cnfStyle w:val="000000000000" w:firstRow="0" w:lastRow="0" w:firstColumn="0" w:lastColumn="0" w:oddVBand="0" w:evenVBand="0" w:oddHBand="0" w:evenHBand="0" w:firstRowFirstColumn="0" w:firstRowLastColumn="0" w:lastRowFirstColumn="0" w:lastRowLastColumn="0"/>
              <w:rPr>
                <w:rFonts w:eastAsia="MS Mincho"/>
                <w:b/>
                <w:color w:val="000000"/>
                <w:sz w:val="20"/>
                <w:szCs w:val="24"/>
              </w:rPr>
            </w:pPr>
            <w:r>
              <w:rPr>
                <w:rFonts w:cs="Calibri"/>
                <w:b/>
                <w:bCs/>
                <w:color w:val="000000"/>
                <w:sz w:val="20"/>
              </w:rPr>
              <w:t>21</w:t>
            </w:r>
          </w:p>
        </w:tc>
      </w:tr>
      <w:tr w:rsidR="005B762B" w:rsidRPr="00A60907" w14:paraId="2F93391F"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52091B9F" w14:textId="77777777" w:rsidR="005B762B" w:rsidRPr="00A60907" w:rsidRDefault="005B762B" w:rsidP="00F8020A">
            <w:pPr>
              <w:spacing w:after="120"/>
              <w:jc w:val="right"/>
              <w:rPr>
                <w:rFonts w:eastAsia="MS Mincho" w:cs="Calibri"/>
                <w:color w:val="FFFFFF"/>
                <w:sz w:val="20"/>
                <w:szCs w:val="24"/>
                <w:lang w:eastAsia="en-AU"/>
              </w:rPr>
            </w:pPr>
            <w:r w:rsidRPr="00A60907">
              <w:rPr>
                <w:rFonts w:eastAsia="MS Mincho" w:cs="Calibri"/>
                <w:color w:val="FFFFFF"/>
                <w:sz w:val="20"/>
                <w:szCs w:val="24"/>
                <w:lang w:eastAsia="en-AU"/>
              </w:rPr>
              <w:t>NT</w:t>
            </w:r>
          </w:p>
        </w:tc>
        <w:tc>
          <w:tcPr>
            <w:tcW w:w="5670" w:type="dxa"/>
            <w:vAlign w:val="center"/>
          </w:tcPr>
          <w:p w14:paraId="42757841" w14:textId="77777777" w:rsidR="005B762B" w:rsidRPr="00A60907" w:rsidRDefault="005B762B" w:rsidP="00F8020A">
            <w:pPr>
              <w:spacing w:after="120"/>
              <w:jc w:val="center"/>
              <w:cnfStyle w:val="000000100000" w:firstRow="0" w:lastRow="0" w:firstColumn="0" w:lastColumn="0" w:oddVBand="0" w:evenVBand="0" w:oddHBand="1" w:evenHBand="0" w:firstRowFirstColumn="0" w:firstRowLastColumn="0" w:lastRowFirstColumn="0" w:lastRowLastColumn="0"/>
              <w:rPr>
                <w:rFonts w:eastAsia="MS Mincho"/>
                <w:b/>
                <w:color w:val="000000"/>
                <w:sz w:val="20"/>
                <w:szCs w:val="24"/>
              </w:rPr>
            </w:pPr>
            <w:r>
              <w:rPr>
                <w:rFonts w:cs="Calibri"/>
                <w:b/>
                <w:bCs/>
                <w:color w:val="000000"/>
                <w:sz w:val="20"/>
              </w:rPr>
              <w:t>7</w:t>
            </w:r>
          </w:p>
        </w:tc>
      </w:tr>
      <w:tr w:rsidR="005B762B" w:rsidRPr="00A60907" w14:paraId="77303305" w14:textId="77777777" w:rsidTr="00F8020A">
        <w:tc>
          <w:tcPr>
            <w:cnfStyle w:val="001000000000" w:firstRow="0" w:lastRow="0" w:firstColumn="1" w:lastColumn="0" w:oddVBand="0" w:evenVBand="0" w:oddHBand="0" w:evenHBand="0" w:firstRowFirstColumn="0" w:firstRowLastColumn="0" w:lastRowFirstColumn="0" w:lastRowLastColumn="0"/>
            <w:tcW w:w="3652" w:type="dxa"/>
          </w:tcPr>
          <w:p w14:paraId="3E031621" w14:textId="77777777" w:rsidR="005B762B" w:rsidRPr="00A60907" w:rsidRDefault="005B762B" w:rsidP="00F8020A">
            <w:pPr>
              <w:spacing w:after="120"/>
              <w:jc w:val="right"/>
              <w:rPr>
                <w:rFonts w:eastAsia="MS Mincho" w:cs="Calibri"/>
                <w:color w:val="FFFFFF"/>
                <w:sz w:val="20"/>
                <w:szCs w:val="24"/>
                <w:lang w:eastAsia="en-AU"/>
              </w:rPr>
            </w:pPr>
            <w:r w:rsidRPr="00A60907">
              <w:rPr>
                <w:rFonts w:eastAsia="MS Mincho"/>
                <w:color w:val="FFFFFF"/>
                <w:sz w:val="20"/>
                <w:szCs w:val="24"/>
                <w:lang w:eastAsia="en-AU"/>
              </w:rPr>
              <w:t>QLD</w:t>
            </w:r>
          </w:p>
        </w:tc>
        <w:tc>
          <w:tcPr>
            <w:tcW w:w="5670" w:type="dxa"/>
            <w:vAlign w:val="center"/>
          </w:tcPr>
          <w:p w14:paraId="1774CEDA" w14:textId="77777777" w:rsidR="005B762B" w:rsidRPr="00A60907" w:rsidRDefault="005B762B" w:rsidP="00F8020A">
            <w:pPr>
              <w:spacing w:after="120"/>
              <w:jc w:val="center"/>
              <w:cnfStyle w:val="000000000000" w:firstRow="0" w:lastRow="0" w:firstColumn="0" w:lastColumn="0" w:oddVBand="0" w:evenVBand="0" w:oddHBand="0" w:evenHBand="0" w:firstRowFirstColumn="0" w:firstRowLastColumn="0" w:lastRowFirstColumn="0" w:lastRowLastColumn="0"/>
              <w:rPr>
                <w:rFonts w:eastAsia="MS Mincho"/>
                <w:b/>
                <w:color w:val="000000"/>
                <w:sz w:val="20"/>
                <w:szCs w:val="24"/>
              </w:rPr>
            </w:pPr>
            <w:r>
              <w:rPr>
                <w:rFonts w:cs="Calibri"/>
                <w:b/>
                <w:bCs/>
                <w:color w:val="000000"/>
                <w:sz w:val="20"/>
              </w:rPr>
              <w:t>9</w:t>
            </w:r>
          </w:p>
        </w:tc>
      </w:tr>
      <w:tr w:rsidR="005B762B" w:rsidRPr="00A60907" w14:paraId="0479BE81"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0F223F01" w14:textId="77777777" w:rsidR="005B762B" w:rsidRPr="00A60907" w:rsidRDefault="005B762B" w:rsidP="00F8020A">
            <w:pPr>
              <w:spacing w:after="120"/>
              <w:jc w:val="right"/>
              <w:rPr>
                <w:rFonts w:eastAsia="MS Mincho" w:cs="Calibri"/>
                <w:color w:val="FFFFFF"/>
                <w:sz w:val="20"/>
                <w:szCs w:val="24"/>
                <w:lang w:eastAsia="en-AU"/>
              </w:rPr>
            </w:pPr>
            <w:r w:rsidRPr="00A60907">
              <w:rPr>
                <w:rFonts w:eastAsia="MS Mincho"/>
                <w:color w:val="FFFFFF"/>
                <w:sz w:val="20"/>
                <w:szCs w:val="24"/>
                <w:lang w:eastAsia="en-AU"/>
              </w:rPr>
              <w:t>SA</w:t>
            </w:r>
          </w:p>
        </w:tc>
        <w:tc>
          <w:tcPr>
            <w:tcW w:w="5670" w:type="dxa"/>
            <w:vAlign w:val="center"/>
          </w:tcPr>
          <w:p w14:paraId="2FD7CA54" w14:textId="77777777" w:rsidR="005B762B" w:rsidRPr="00A60907" w:rsidRDefault="005B762B" w:rsidP="00F8020A">
            <w:pPr>
              <w:spacing w:after="120"/>
              <w:jc w:val="center"/>
              <w:cnfStyle w:val="000000100000" w:firstRow="0" w:lastRow="0" w:firstColumn="0" w:lastColumn="0" w:oddVBand="0" w:evenVBand="0" w:oddHBand="1" w:evenHBand="0" w:firstRowFirstColumn="0" w:firstRowLastColumn="0" w:lastRowFirstColumn="0" w:lastRowLastColumn="0"/>
              <w:rPr>
                <w:rFonts w:eastAsia="MS Mincho"/>
                <w:b/>
                <w:color w:val="000000"/>
                <w:sz w:val="20"/>
                <w:szCs w:val="24"/>
              </w:rPr>
            </w:pPr>
            <w:r>
              <w:rPr>
                <w:b/>
                <w:color w:val="000000"/>
                <w:sz w:val="20"/>
              </w:rPr>
              <w:t>2</w:t>
            </w:r>
          </w:p>
        </w:tc>
      </w:tr>
      <w:tr w:rsidR="005B762B" w:rsidRPr="00A60907" w14:paraId="53E769A5" w14:textId="77777777" w:rsidTr="00F8020A">
        <w:tc>
          <w:tcPr>
            <w:cnfStyle w:val="001000000000" w:firstRow="0" w:lastRow="0" w:firstColumn="1" w:lastColumn="0" w:oddVBand="0" w:evenVBand="0" w:oddHBand="0" w:evenHBand="0" w:firstRowFirstColumn="0" w:firstRowLastColumn="0" w:lastRowFirstColumn="0" w:lastRowLastColumn="0"/>
            <w:tcW w:w="3652" w:type="dxa"/>
          </w:tcPr>
          <w:p w14:paraId="4D8E0100" w14:textId="77777777" w:rsidR="005B762B" w:rsidRPr="00A60907" w:rsidRDefault="005B762B" w:rsidP="00F8020A">
            <w:pPr>
              <w:spacing w:after="120"/>
              <w:jc w:val="right"/>
              <w:rPr>
                <w:rFonts w:eastAsia="MS Mincho" w:cs="Calibri"/>
                <w:color w:val="FFFFFF"/>
                <w:sz w:val="20"/>
                <w:szCs w:val="24"/>
                <w:lang w:eastAsia="en-AU"/>
              </w:rPr>
            </w:pPr>
            <w:r w:rsidRPr="00A60907">
              <w:rPr>
                <w:rFonts w:eastAsia="MS Mincho"/>
                <w:color w:val="FFFFFF"/>
                <w:sz w:val="20"/>
                <w:szCs w:val="24"/>
                <w:lang w:eastAsia="en-AU"/>
              </w:rPr>
              <w:t>TAS</w:t>
            </w:r>
          </w:p>
        </w:tc>
        <w:tc>
          <w:tcPr>
            <w:tcW w:w="5670" w:type="dxa"/>
            <w:vAlign w:val="center"/>
          </w:tcPr>
          <w:p w14:paraId="5BC9484C" w14:textId="77777777" w:rsidR="005B762B" w:rsidRPr="00A60907" w:rsidRDefault="005B762B" w:rsidP="00F8020A">
            <w:pPr>
              <w:spacing w:after="120"/>
              <w:jc w:val="center"/>
              <w:cnfStyle w:val="000000000000" w:firstRow="0" w:lastRow="0" w:firstColumn="0" w:lastColumn="0" w:oddVBand="0" w:evenVBand="0" w:oddHBand="0" w:evenHBand="0" w:firstRowFirstColumn="0" w:firstRowLastColumn="0" w:lastRowFirstColumn="0" w:lastRowLastColumn="0"/>
              <w:rPr>
                <w:rFonts w:eastAsia="MS Mincho"/>
                <w:b/>
                <w:color w:val="000000"/>
                <w:sz w:val="20"/>
                <w:szCs w:val="24"/>
              </w:rPr>
            </w:pPr>
            <w:r>
              <w:rPr>
                <w:b/>
                <w:color w:val="000000"/>
                <w:sz w:val="20"/>
              </w:rPr>
              <w:t>1</w:t>
            </w:r>
          </w:p>
        </w:tc>
      </w:tr>
      <w:tr w:rsidR="005B762B" w:rsidRPr="00A60907" w14:paraId="7B6E9A46"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6FCCB734" w14:textId="77777777" w:rsidR="005B762B" w:rsidRPr="00A60907" w:rsidRDefault="005B762B" w:rsidP="00F8020A">
            <w:pPr>
              <w:spacing w:after="120"/>
              <w:jc w:val="right"/>
              <w:rPr>
                <w:rFonts w:eastAsia="MS Mincho" w:cs="Calibri"/>
                <w:color w:val="FFFFFF"/>
                <w:sz w:val="20"/>
                <w:szCs w:val="24"/>
                <w:lang w:eastAsia="en-AU"/>
              </w:rPr>
            </w:pPr>
            <w:r w:rsidRPr="00A60907">
              <w:rPr>
                <w:rFonts w:eastAsia="MS Mincho"/>
                <w:color w:val="FFFFFF"/>
                <w:sz w:val="20"/>
                <w:szCs w:val="24"/>
                <w:lang w:eastAsia="en-AU"/>
              </w:rPr>
              <w:t>VIC</w:t>
            </w:r>
          </w:p>
        </w:tc>
        <w:tc>
          <w:tcPr>
            <w:tcW w:w="5670" w:type="dxa"/>
            <w:vAlign w:val="center"/>
          </w:tcPr>
          <w:p w14:paraId="1B9D450C" w14:textId="77777777" w:rsidR="005B762B" w:rsidRPr="00A60907" w:rsidRDefault="005B762B" w:rsidP="00F8020A">
            <w:pPr>
              <w:spacing w:after="120"/>
              <w:jc w:val="center"/>
              <w:cnfStyle w:val="000000100000" w:firstRow="0" w:lastRow="0" w:firstColumn="0" w:lastColumn="0" w:oddVBand="0" w:evenVBand="0" w:oddHBand="1" w:evenHBand="0" w:firstRowFirstColumn="0" w:firstRowLastColumn="0" w:lastRowFirstColumn="0" w:lastRowLastColumn="0"/>
              <w:rPr>
                <w:rFonts w:eastAsia="MS Mincho"/>
                <w:b/>
                <w:color w:val="000000"/>
                <w:sz w:val="20"/>
                <w:szCs w:val="24"/>
              </w:rPr>
            </w:pPr>
            <w:r>
              <w:rPr>
                <w:rFonts w:eastAsia="MS Mincho" w:cs="Calibri"/>
                <w:b/>
                <w:bCs/>
                <w:color w:val="000000"/>
                <w:sz w:val="20"/>
                <w:szCs w:val="24"/>
              </w:rPr>
              <w:t>19</w:t>
            </w:r>
          </w:p>
        </w:tc>
      </w:tr>
      <w:tr w:rsidR="005B762B" w:rsidRPr="00A60907" w14:paraId="286EB955" w14:textId="77777777" w:rsidTr="00F8020A">
        <w:tc>
          <w:tcPr>
            <w:cnfStyle w:val="001000000000" w:firstRow="0" w:lastRow="0" w:firstColumn="1" w:lastColumn="0" w:oddVBand="0" w:evenVBand="0" w:oddHBand="0" w:evenHBand="0" w:firstRowFirstColumn="0" w:firstRowLastColumn="0" w:lastRowFirstColumn="0" w:lastRowLastColumn="0"/>
            <w:tcW w:w="3652" w:type="dxa"/>
          </w:tcPr>
          <w:p w14:paraId="5D21631E" w14:textId="77777777" w:rsidR="005B762B" w:rsidRPr="00A60907" w:rsidRDefault="005B762B" w:rsidP="00F8020A">
            <w:pPr>
              <w:spacing w:after="120"/>
              <w:jc w:val="right"/>
              <w:rPr>
                <w:rFonts w:eastAsia="MS Mincho"/>
                <w:sz w:val="20"/>
                <w:szCs w:val="24"/>
              </w:rPr>
            </w:pPr>
            <w:r w:rsidRPr="00A60907">
              <w:rPr>
                <w:rFonts w:eastAsia="MS Mincho" w:cs="Calibri"/>
                <w:color w:val="FFFFFF"/>
                <w:sz w:val="20"/>
                <w:szCs w:val="24"/>
                <w:lang w:eastAsia="en-AU"/>
              </w:rPr>
              <w:t>WA</w:t>
            </w:r>
          </w:p>
        </w:tc>
        <w:tc>
          <w:tcPr>
            <w:tcW w:w="5670" w:type="dxa"/>
            <w:vAlign w:val="center"/>
          </w:tcPr>
          <w:p w14:paraId="64E4611E" w14:textId="77777777" w:rsidR="005B762B" w:rsidRPr="00A60907" w:rsidRDefault="005B762B" w:rsidP="00F8020A">
            <w:pPr>
              <w:spacing w:after="120"/>
              <w:jc w:val="center"/>
              <w:cnfStyle w:val="000000000000" w:firstRow="0" w:lastRow="0" w:firstColumn="0" w:lastColumn="0" w:oddVBand="0" w:evenVBand="0" w:oddHBand="0" w:evenHBand="0" w:firstRowFirstColumn="0" w:firstRowLastColumn="0" w:lastRowFirstColumn="0" w:lastRowLastColumn="0"/>
              <w:rPr>
                <w:rFonts w:eastAsia="MS Mincho"/>
                <w:color w:val="000000"/>
                <w:sz w:val="20"/>
                <w:szCs w:val="24"/>
              </w:rPr>
            </w:pPr>
            <w:r>
              <w:rPr>
                <w:rFonts w:cs="Calibri"/>
                <w:b/>
                <w:bCs/>
                <w:color w:val="000000"/>
                <w:sz w:val="20"/>
              </w:rPr>
              <w:t>33</w:t>
            </w:r>
          </w:p>
        </w:tc>
      </w:tr>
      <w:tr w:rsidR="005B762B" w:rsidRPr="00A60907" w14:paraId="6AB1A09A" w14:textId="77777777" w:rsidTr="00F80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3AC8A7E7" w14:textId="77777777" w:rsidR="005B762B" w:rsidRPr="00A60907" w:rsidRDefault="005B762B" w:rsidP="00F8020A">
            <w:pPr>
              <w:spacing w:after="120"/>
              <w:jc w:val="right"/>
              <w:rPr>
                <w:rFonts w:eastAsia="MS Mincho" w:cs="Calibri"/>
                <w:color w:val="FFFFFF"/>
                <w:sz w:val="20"/>
                <w:szCs w:val="24"/>
                <w:lang w:eastAsia="en-AU"/>
              </w:rPr>
            </w:pPr>
            <w:r w:rsidRPr="00A60907">
              <w:rPr>
                <w:rFonts w:eastAsia="MS Mincho" w:cs="Calibri"/>
                <w:color w:val="FFFFFF"/>
                <w:sz w:val="20"/>
                <w:szCs w:val="24"/>
                <w:lang w:eastAsia="en-AU"/>
              </w:rPr>
              <w:t>Total</w:t>
            </w:r>
          </w:p>
        </w:tc>
        <w:tc>
          <w:tcPr>
            <w:tcW w:w="5670" w:type="dxa"/>
            <w:vAlign w:val="center"/>
          </w:tcPr>
          <w:p w14:paraId="3EDE2155" w14:textId="77777777" w:rsidR="005B762B" w:rsidRPr="00A60907" w:rsidRDefault="005B762B" w:rsidP="00F8020A">
            <w:pPr>
              <w:spacing w:after="120"/>
              <w:jc w:val="center"/>
              <w:cnfStyle w:val="000000100000" w:firstRow="0" w:lastRow="0" w:firstColumn="0" w:lastColumn="0" w:oddVBand="0" w:evenVBand="0" w:oddHBand="1" w:evenHBand="0" w:firstRowFirstColumn="0" w:firstRowLastColumn="0" w:lastRowFirstColumn="0" w:lastRowLastColumn="0"/>
              <w:rPr>
                <w:rFonts w:eastAsia="MS Mincho" w:cs="Calibri"/>
                <w:b/>
                <w:bCs/>
                <w:color w:val="000000"/>
                <w:sz w:val="20"/>
                <w:szCs w:val="24"/>
              </w:rPr>
            </w:pPr>
            <w:r>
              <w:rPr>
                <w:rFonts w:eastAsia="MS Mincho" w:cs="Calibri"/>
                <w:b/>
                <w:bCs/>
                <w:color w:val="000000"/>
                <w:sz w:val="20"/>
                <w:szCs w:val="24"/>
              </w:rPr>
              <w:t>94</w:t>
            </w:r>
          </w:p>
        </w:tc>
      </w:tr>
    </w:tbl>
    <w:p w14:paraId="3B6B3546" w14:textId="77777777" w:rsidR="005B762B" w:rsidRDefault="005B762B" w:rsidP="005B762B"/>
    <w:p w14:paraId="1AE7858A" w14:textId="240759C7" w:rsidR="005B762B" w:rsidRPr="005F32AC" w:rsidRDefault="005B762B" w:rsidP="005F32AC">
      <w:pPr>
        <w:pStyle w:val="BodyText"/>
      </w:pPr>
      <w:r w:rsidRPr="005F32AC">
        <w:t xml:space="preserve">Narre Warren in the south eastern outskirts of Melbourne is an example of one of these ESAs. It has approximately 130 DAs and about 40 per cent of these are in the top two bands for quality. This is due to the good coverage of HFC in the area. The majority of the DAs are in the lower two quality bands, which indicates that there is access to </w:t>
      </w:r>
      <w:r w:rsidR="003830A1" w:rsidRPr="005F32AC">
        <w:t>ADSL</w:t>
      </w:r>
      <w:r w:rsidRPr="005F32AC">
        <w:t xml:space="preserve"> services. Those services may be of variable quality, and based on the modelling conducted for this analysis, provide a median peak download speed of between 1.5Mbps and 24 Mbps. However, in a number of cases, areas of Narre Warren are not connected to the nearest exchange such that the cable length can be too long to support the provision of an </w:t>
      </w:r>
      <w:r w:rsidR="003830A1" w:rsidRPr="005F32AC">
        <w:t>ADSL</w:t>
      </w:r>
      <w:r w:rsidRPr="005F32AC">
        <w:t xml:space="preserve"> service. </w:t>
      </w:r>
    </w:p>
    <w:p w14:paraId="3EFAC112" w14:textId="267B4AAB" w:rsidR="005B762B" w:rsidRPr="005F32AC" w:rsidRDefault="005B762B" w:rsidP="005F32AC">
      <w:pPr>
        <w:pStyle w:val="BodyText"/>
      </w:pPr>
      <w:r w:rsidRPr="005F32AC">
        <w:t xml:space="preserve">To accommodate situations where multiple network coverage footprints are present in a DA, the model maximised the potential quality rating by determining the best performing technology available to each premises. For example, for the premises depicted in Figure 22 with coverage from both HFC and </w:t>
      </w:r>
      <w:r w:rsidR="003830A1" w:rsidRPr="005F32AC">
        <w:t>ADSL</w:t>
      </w:r>
      <w:r w:rsidRPr="005F32AC">
        <w:t xml:space="preserve"> networks, the model would derive the quality measure from HFC coverage. It would assess this DA to have a quality rating in the D category, where most premises are likely to have access to </w:t>
      </w:r>
      <w:r w:rsidR="003830A1" w:rsidRPr="005F32AC">
        <w:t>ADSL</w:t>
      </w:r>
      <w:r w:rsidRPr="005F32AC">
        <w:t xml:space="preserve"> services only, while the remaining premises may have access to high quality services available by HFC, FTTP or FTTN. </w:t>
      </w:r>
    </w:p>
    <w:p w14:paraId="34CDA363" w14:textId="77777777" w:rsidR="005B762B" w:rsidRPr="005B1ECC" w:rsidRDefault="005B762B" w:rsidP="005B762B">
      <w:pPr>
        <w:jc w:val="center"/>
      </w:pPr>
      <w:r>
        <w:rPr>
          <w:noProof/>
          <w:lang w:val="en-AU" w:eastAsia="en-AU"/>
        </w:rPr>
        <w:drawing>
          <wp:inline distT="0" distB="0" distL="0" distR="0" wp14:anchorId="3C79DFA2" wp14:editId="2A85141B">
            <wp:extent cx="3916908" cy="167867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4.png"/>
                    <pic:cNvPicPr/>
                  </pic:nvPicPr>
                  <pic:blipFill>
                    <a:blip r:embed="rId57">
                      <a:extLst>
                        <a:ext uri="{28A0092B-C50C-407E-A947-70E740481C1C}">
                          <a14:useLocalDpi xmlns:a14="http://schemas.microsoft.com/office/drawing/2010/main" val="0"/>
                        </a:ext>
                      </a:extLst>
                    </a:blip>
                    <a:stretch>
                      <a:fillRect/>
                    </a:stretch>
                  </pic:blipFill>
                  <pic:spPr>
                    <a:xfrm>
                      <a:off x="0" y="0"/>
                      <a:ext cx="3922784" cy="1681192"/>
                    </a:xfrm>
                    <a:prstGeom prst="rect">
                      <a:avLst/>
                    </a:prstGeom>
                  </pic:spPr>
                </pic:pic>
              </a:graphicData>
            </a:graphic>
          </wp:inline>
        </w:drawing>
      </w:r>
    </w:p>
    <w:p w14:paraId="5001CA41" w14:textId="112AE9B9" w:rsidR="005B762B" w:rsidRDefault="005B762B" w:rsidP="005B762B">
      <w:pPr>
        <w:pStyle w:val="Subtitle"/>
        <w:rPr>
          <w:sz w:val="20"/>
        </w:rPr>
      </w:pPr>
      <w:r w:rsidRPr="005B1ECC">
        <w:rPr>
          <w:sz w:val="20"/>
        </w:rPr>
        <w:t xml:space="preserve">Figure </w:t>
      </w:r>
      <w:r>
        <w:rPr>
          <w:sz w:val="20"/>
        </w:rPr>
        <w:t>22</w:t>
      </w:r>
      <w:r w:rsidRPr="005B1ECC">
        <w:rPr>
          <w:sz w:val="20"/>
        </w:rPr>
        <w:t>.The model derive</w:t>
      </w:r>
      <w:r>
        <w:rPr>
          <w:sz w:val="20"/>
        </w:rPr>
        <w:t>s</w:t>
      </w:r>
      <w:r w:rsidRPr="005B1ECC">
        <w:rPr>
          <w:sz w:val="20"/>
        </w:rPr>
        <w:t xml:space="preserve"> </w:t>
      </w:r>
      <w:r>
        <w:rPr>
          <w:sz w:val="20"/>
        </w:rPr>
        <w:t>a</w:t>
      </w:r>
      <w:r w:rsidRPr="005B1ECC">
        <w:rPr>
          <w:sz w:val="20"/>
        </w:rPr>
        <w:t xml:space="preserve"> </w:t>
      </w:r>
      <w:r>
        <w:rPr>
          <w:sz w:val="20"/>
        </w:rPr>
        <w:t xml:space="preserve">fixed broadband quality rating </w:t>
      </w:r>
      <w:r w:rsidRPr="005B1ECC">
        <w:rPr>
          <w:sz w:val="20"/>
        </w:rPr>
        <w:t xml:space="preserve">from </w:t>
      </w:r>
      <w:r>
        <w:rPr>
          <w:sz w:val="20"/>
        </w:rPr>
        <w:t>(a)</w:t>
      </w:r>
      <w:r w:rsidRPr="005B1ECC">
        <w:rPr>
          <w:sz w:val="20"/>
        </w:rPr>
        <w:t xml:space="preserve"> the weighting associated with HFC performance </w:t>
      </w:r>
      <w:r>
        <w:rPr>
          <w:sz w:val="20"/>
        </w:rPr>
        <w:t xml:space="preserve">for the premises with both HFC coverage and </w:t>
      </w:r>
      <w:r w:rsidR="003830A1">
        <w:rPr>
          <w:sz w:val="20"/>
        </w:rPr>
        <w:t>ADSL</w:t>
      </w:r>
      <w:r>
        <w:rPr>
          <w:sz w:val="20"/>
        </w:rPr>
        <w:t xml:space="preserve"> because HFC</w:t>
      </w:r>
      <w:r w:rsidRPr="005B1ECC">
        <w:rPr>
          <w:sz w:val="20"/>
        </w:rPr>
        <w:t xml:space="preserve"> is preferred over the lower performing </w:t>
      </w:r>
      <w:r w:rsidR="003830A1">
        <w:rPr>
          <w:sz w:val="20"/>
        </w:rPr>
        <w:t>ADSL</w:t>
      </w:r>
      <w:r w:rsidRPr="005B1ECC">
        <w:rPr>
          <w:sz w:val="20"/>
        </w:rPr>
        <w:t xml:space="preserve"> technology</w:t>
      </w:r>
      <w:r>
        <w:rPr>
          <w:sz w:val="20"/>
        </w:rPr>
        <w:t xml:space="preserve">, and (b) the weighting associated with the </w:t>
      </w:r>
      <w:r w:rsidR="003830A1">
        <w:rPr>
          <w:sz w:val="20"/>
        </w:rPr>
        <w:t>ADSL</w:t>
      </w:r>
      <w:r>
        <w:rPr>
          <w:sz w:val="20"/>
        </w:rPr>
        <w:t xml:space="preserve"> for the remaining premises</w:t>
      </w:r>
      <w:r w:rsidRPr="005B1ECC">
        <w:rPr>
          <w:sz w:val="20"/>
        </w:rPr>
        <w:t>.</w:t>
      </w:r>
      <w:bookmarkStart w:id="196" w:name="_Toc373481218"/>
      <w:bookmarkStart w:id="197" w:name="_Toc373483628"/>
    </w:p>
    <w:p w14:paraId="6FB90FC7" w14:textId="77777777" w:rsidR="005B762B" w:rsidRDefault="005B762B" w:rsidP="005B762B">
      <w:pPr>
        <w:pStyle w:val="BodyText"/>
      </w:pPr>
    </w:p>
    <w:p w14:paraId="0CE22F25" w14:textId="77777777" w:rsidR="007671C6" w:rsidRDefault="007671C6" w:rsidP="005B762B">
      <w:pPr>
        <w:pStyle w:val="BodyText"/>
      </w:pPr>
    </w:p>
    <w:p w14:paraId="299F4246" w14:textId="77777777" w:rsidR="005B762B" w:rsidRDefault="005B762B" w:rsidP="005B762B">
      <w:pPr>
        <w:pStyle w:val="Heading2"/>
      </w:pPr>
      <w:bookmarkStart w:id="198" w:name="_Toc380479904"/>
      <w:r>
        <w:t>4.4. Data Inputs</w:t>
      </w:r>
      <w:bookmarkEnd w:id="196"/>
      <w:bookmarkEnd w:id="197"/>
      <w:bookmarkEnd w:id="198"/>
    </w:p>
    <w:p w14:paraId="5DBE505E" w14:textId="77777777" w:rsidR="005B762B" w:rsidRDefault="005B762B" w:rsidP="005B762B">
      <w:pPr>
        <w:pStyle w:val="BodyText"/>
      </w:pPr>
      <w:r>
        <w:t xml:space="preserve">This analysis makes use of the following data inputs: </w:t>
      </w:r>
    </w:p>
    <w:p w14:paraId="691E174A" w14:textId="77777777" w:rsidR="005B762B" w:rsidRPr="00C03B8D" w:rsidRDefault="005B762B" w:rsidP="005B762B">
      <w:pPr>
        <w:pStyle w:val="BodyText"/>
        <w:numPr>
          <w:ilvl w:val="0"/>
          <w:numId w:val="3"/>
        </w:numPr>
        <w:rPr>
          <w:rFonts w:eastAsia="Times New Roman"/>
        </w:rPr>
      </w:pPr>
      <w:r>
        <w:rPr>
          <w:rFonts w:eastAsia="Times New Roman"/>
        </w:rPr>
        <w:t>C</w:t>
      </w:r>
      <w:r w:rsidRPr="00C03B8D">
        <w:rPr>
          <w:rFonts w:eastAsia="Times New Roman"/>
        </w:rPr>
        <w:t>urrent network coverage data from all major telecommunications carriers and a number of smaller players with customer access networks,</w:t>
      </w:r>
    </w:p>
    <w:p w14:paraId="4270565D" w14:textId="77777777" w:rsidR="005B762B" w:rsidRPr="005B1ECC" w:rsidRDefault="005B762B" w:rsidP="005B762B">
      <w:pPr>
        <w:pStyle w:val="BodyText"/>
        <w:numPr>
          <w:ilvl w:val="0"/>
          <w:numId w:val="3"/>
        </w:numPr>
      </w:pPr>
      <w:r>
        <w:rPr>
          <w:rFonts w:eastAsia="Times New Roman"/>
        </w:rPr>
        <w:t>Data</w:t>
      </w:r>
      <w:r w:rsidRPr="005B1ECC">
        <w:t xml:space="preserve"> from the Telstra Wholesale website, </w:t>
      </w:r>
    </w:p>
    <w:p w14:paraId="6AADF783" w14:textId="2EA9E46D" w:rsidR="005B762B" w:rsidRDefault="005B762B" w:rsidP="005B762B">
      <w:pPr>
        <w:pStyle w:val="BodyText"/>
        <w:numPr>
          <w:ilvl w:val="0"/>
          <w:numId w:val="3"/>
        </w:numPr>
        <w:rPr>
          <w:rFonts w:eastAsia="Times New Roman"/>
        </w:rPr>
      </w:pPr>
      <w:r>
        <w:rPr>
          <w:rFonts w:eastAsia="Times New Roman"/>
        </w:rPr>
        <w:t xml:space="preserve">Empirical </w:t>
      </w:r>
      <w:r w:rsidR="003830A1">
        <w:rPr>
          <w:rFonts w:eastAsia="Times New Roman"/>
        </w:rPr>
        <w:t>ADSL</w:t>
      </w:r>
      <w:r>
        <w:rPr>
          <w:rFonts w:eastAsia="Times New Roman"/>
        </w:rPr>
        <w:t xml:space="preserve"> usage observations comprising </w:t>
      </w:r>
      <w:r w:rsidRPr="00D45844">
        <w:rPr>
          <w:rFonts w:eastAsia="Times New Roman"/>
        </w:rPr>
        <w:t xml:space="preserve">20,000 real world </w:t>
      </w:r>
      <w:r>
        <w:rPr>
          <w:rFonts w:eastAsia="Times New Roman"/>
        </w:rPr>
        <w:t xml:space="preserve">measures of </w:t>
      </w:r>
      <w:r w:rsidR="003830A1">
        <w:rPr>
          <w:rFonts w:eastAsia="Times New Roman"/>
        </w:rPr>
        <w:t>ADSL</w:t>
      </w:r>
      <w:r w:rsidRPr="00D45844">
        <w:rPr>
          <w:rFonts w:eastAsia="Times New Roman"/>
        </w:rPr>
        <w:t xml:space="preserve"> download sync speeds</w:t>
      </w:r>
      <w:r>
        <w:rPr>
          <w:rFonts w:eastAsia="Times New Roman"/>
        </w:rPr>
        <w:t xml:space="preserve">, </w:t>
      </w:r>
      <w:r w:rsidRPr="00D45844">
        <w:rPr>
          <w:rFonts w:eastAsia="Times New Roman"/>
        </w:rPr>
        <w:t xml:space="preserve"> associated cable loss</w:t>
      </w:r>
      <w:r>
        <w:rPr>
          <w:rFonts w:eastAsia="Times New Roman"/>
        </w:rPr>
        <w:t>, and the location and number of small, medium and large pair gains, and</w:t>
      </w:r>
    </w:p>
    <w:p w14:paraId="2EFD529A" w14:textId="77777777" w:rsidR="005B762B" w:rsidRDefault="005B762B" w:rsidP="005B762B">
      <w:pPr>
        <w:pStyle w:val="BodyText"/>
        <w:numPr>
          <w:ilvl w:val="0"/>
          <w:numId w:val="3"/>
        </w:numPr>
      </w:pPr>
      <w:r>
        <w:t xml:space="preserve">Locations and numbers of premises from </w:t>
      </w:r>
      <w:r w:rsidRPr="005B1ECC">
        <w:t>the Geo</w:t>
      </w:r>
      <w:r>
        <w:t>coded National Address File (G</w:t>
      </w:r>
      <w:r>
        <w:noBreakHyphen/>
      </w:r>
      <w:r w:rsidRPr="005B1ECC">
        <w:t>NAF)</w:t>
      </w:r>
      <w:r>
        <w:t xml:space="preserve">. </w:t>
      </w:r>
    </w:p>
    <w:p w14:paraId="4756BB02" w14:textId="37287E71" w:rsidR="005B762B" w:rsidRPr="005F32AC" w:rsidRDefault="005B762B" w:rsidP="005F32AC">
      <w:pPr>
        <w:pStyle w:val="BodyText"/>
      </w:pPr>
      <w:r w:rsidRPr="005F32AC">
        <w:t>All data sources are the most current available, dating from July 2013 to October 2013. It is important to note that telecommunications carriers continually invest in infrastructure, and broadband availability and quality is therefore dynamic</w:t>
      </w:r>
      <w:r w:rsidRPr="005F32AC">
        <w:rPr>
          <w:rStyle w:val="FootnoteReference"/>
        </w:rPr>
        <w:footnoteReference w:id="15"/>
      </w:r>
      <w:r w:rsidRPr="005F32AC">
        <w:t xml:space="preserve">. This analysis was finalised in December 2013.  Further detail is provided in Appendix </w:t>
      </w:r>
      <w:r w:rsidR="004160AD" w:rsidRPr="005F32AC">
        <w:t>F</w:t>
      </w:r>
      <w:r w:rsidRPr="005F32AC">
        <w:t>.</w:t>
      </w:r>
    </w:p>
    <w:p w14:paraId="65510621" w14:textId="75419EAD" w:rsidR="005B762B" w:rsidRPr="005F32AC" w:rsidRDefault="005B762B" w:rsidP="005F32AC">
      <w:pPr>
        <w:pStyle w:val="BodyText"/>
      </w:pPr>
      <w:r w:rsidRPr="005F32AC">
        <w:t xml:space="preserve">The analysis considered including a broader range of factors than those in the final model including competition, faults, backhaul provisioning, infrastructure age and technology refresh cycles and user experience testing for broadband platforms other than </w:t>
      </w:r>
      <w:r w:rsidR="003830A1" w:rsidRPr="005F32AC">
        <w:t>ADSL</w:t>
      </w:r>
      <w:r w:rsidRPr="005F32AC">
        <w:t>. These factors were not included in the final model either because data sources were not available, or the factors were considered to add minimal value to the overall analysis.</w:t>
      </w:r>
    </w:p>
    <w:p w14:paraId="706507FC" w14:textId="77777777" w:rsidR="005B762B" w:rsidRDefault="005B762B" w:rsidP="005B762B">
      <w:pPr>
        <w:pStyle w:val="Heading1"/>
      </w:pPr>
      <w:bookmarkStart w:id="199" w:name="_Toc380479905"/>
      <w:r>
        <w:t>5.  More information</w:t>
      </w:r>
      <w:bookmarkEnd w:id="199"/>
    </w:p>
    <w:p w14:paraId="6EF0533E" w14:textId="77777777" w:rsidR="005B762B" w:rsidRDefault="005B762B" w:rsidP="005B762B">
      <w:r>
        <w:t xml:space="preserve">For more information about broadband quality and availability in your area, you can visit the new MyBroadband website at </w:t>
      </w:r>
      <w:r w:rsidRPr="00892A8D">
        <w:rPr>
          <w:b/>
        </w:rPr>
        <w:t>www.mybroadband.communications.gov.au</w:t>
      </w:r>
      <w:r>
        <w:t xml:space="preserve">. </w:t>
      </w:r>
    </w:p>
    <w:p w14:paraId="14B665BD" w14:textId="77777777" w:rsidR="005B762B" w:rsidRDefault="005B762B" w:rsidP="005B762B"/>
    <w:p w14:paraId="3469D303" w14:textId="0EE06B6F" w:rsidR="005B762B" w:rsidRDefault="005B762B" w:rsidP="005B762B">
      <w:r>
        <w:t xml:space="preserve">If you have any questions about this material, please email </w:t>
      </w:r>
      <w:r w:rsidRPr="00C83BD2">
        <w:rPr>
          <w:b/>
        </w:rPr>
        <w:t>mybroadband@communications.gov.au</w:t>
      </w:r>
      <w:r>
        <w:t>.</w:t>
      </w:r>
    </w:p>
    <w:p w14:paraId="5AD0DB47" w14:textId="5DE2FE48" w:rsidR="009828D6" w:rsidRDefault="009828D6">
      <w:r>
        <w:br w:type="page"/>
      </w:r>
    </w:p>
    <w:p w14:paraId="07A5B8B9" w14:textId="77777777" w:rsidR="009828D6" w:rsidRPr="00046545" w:rsidRDefault="009828D6" w:rsidP="009828D6">
      <w:pPr>
        <w:pStyle w:val="Heading1"/>
        <w:spacing w:before="0"/>
        <w:jc w:val="both"/>
        <w:rPr>
          <w:sz w:val="40"/>
        </w:rPr>
      </w:pPr>
      <w:r w:rsidRPr="00046545">
        <w:rPr>
          <w:sz w:val="40"/>
        </w:rPr>
        <w:t xml:space="preserve">Appendix </w:t>
      </w:r>
      <w:r>
        <w:rPr>
          <w:sz w:val="40"/>
        </w:rPr>
        <w:t>A</w:t>
      </w:r>
      <w:r w:rsidRPr="00046545">
        <w:rPr>
          <w:sz w:val="40"/>
        </w:rPr>
        <w:t xml:space="preserve"> – Broadband technologies explained</w:t>
      </w:r>
    </w:p>
    <w:p w14:paraId="7BAC5769" w14:textId="77777777" w:rsidR="009828D6" w:rsidRPr="00046545" w:rsidRDefault="009828D6" w:rsidP="009828D6"/>
    <w:tbl>
      <w:tblPr>
        <w:tblStyle w:val="MediumGrid3-Accent11"/>
        <w:tblW w:w="9900" w:type="dxa"/>
        <w:tblInd w:w="108" w:type="dxa"/>
        <w:tblLook w:val="04A0" w:firstRow="1" w:lastRow="0" w:firstColumn="1" w:lastColumn="0" w:noHBand="0" w:noVBand="1"/>
      </w:tblPr>
      <w:tblGrid>
        <w:gridCol w:w="1843"/>
        <w:gridCol w:w="3917"/>
        <w:gridCol w:w="4140"/>
      </w:tblGrid>
      <w:tr w:rsidR="009828D6" w:rsidRPr="00F90B72" w14:paraId="360D1CD2" w14:textId="77777777" w:rsidTr="005D4DA2">
        <w:trPr>
          <w:cnfStyle w:val="100000000000" w:firstRow="1" w:lastRow="0"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843" w:type="dxa"/>
            <w:noWrap/>
            <w:vAlign w:val="center"/>
          </w:tcPr>
          <w:p w14:paraId="1DA25EEB" w14:textId="77777777" w:rsidR="009828D6" w:rsidRPr="00F90B72" w:rsidRDefault="009828D6" w:rsidP="005D4DA2">
            <w:pPr>
              <w:jc w:val="center"/>
              <w:rPr>
                <w:color w:val="FFFFFF" w:themeColor="background1"/>
              </w:rPr>
            </w:pPr>
            <w:r w:rsidRPr="00F90B72">
              <w:rPr>
                <w:rFonts w:cs="Calibri"/>
                <w:color w:val="FFFFFF" w:themeColor="background1"/>
              </w:rPr>
              <w:t>Broadband Technology</w:t>
            </w:r>
          </w:p>
        </w:tc>
        <w:tc>
          <w:tcPr>
            <w:tcW w:w="3917" w:type="dxa"/>
            <w:noWrap/>
            <w:vAlign w:val="center"/>
          </w:tcPr>
          <w:p w14:paraId="792015F0" w14:textId="77777777" w:rsidR="009828D6" w:rsidRPr="00F90B72" w:rsidRDefault="009828D6" w:rsidP="005D4DA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90B72">
              <w:rPr>
                <w:rFonts w:cs="Calibri"/>
                <w:color w:val="FFFFFF" w:themeColor="background1"/>
              </w:rPr>
              <w:t>Description</w:t>
            </w:r>
          </w:p>
        </w:tc>
        <w:tc>
          <w:tcPr>
            <w:tcW w:w="4140" w:type="dxa"/>
            <w:vAlign w:val="center"/>
          </w:tcPr>
          <w:p w14:paraId="5EF69DB5" w14:textId="77777777" w:rsidR="009828D6" w:rsidRPr="00F90B72" w:rsidRDefault="009828D6" w:rsidP="005D4DA2">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90B72">
              <w:rPr>
                <w:rFonts w:cs="Calibri"/>
                <w:color w:val="FFFFFF" w:themeColor="background1"/>
              </w:rPr>
              <w:t>Factors impacting data speeds</w:t>
            </w:r>
          </w:p>
        </w:tc>
      </w:tr>
      <w:tr w:rsidR="009828D6" w:rsidRPr="00F90B72" w14:paraId="6BE507F0" w14:textId="77777777" w:rsidTr="005D4D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301765A1" w14:textId="77777777" w:rsidR="009828D6" w:rsidRPr="00F90B72" w:rsidRDefault="009828D6" w:rsidP="005D4DA2">
            <w:pPr>
              <w:rPr>
                <w:color w:val="FFFFFF" w:themeColor="background1"/>
              </w:rPr>
            </w:pPr>
            <w:r w:rsidRPr="00F90B72">
              <w:rPr>
                <w:color w:val="FFFFFF" w:themeColor="background1"/>
              </w:rPr>
              <w:t>Dial-up</w:t>
            </w:r>
          </w:p>
        </w:tc>
        <w:tc>
          <w:tcPr>
            <w:tcW w:w="3917" w:type="dxa"/>
            <w:noWrap/>
          </w:tcPr>
          <w:p w14:paraId="0CA293F4" w14:textId="77777777" w:rsidR="009828D6" w:rsidRPr="000430DB" w:rsidRDefault="009828D6" w:rsidP="005D4DA2">
            <w:pPr>
              <w:spacing w:after="30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Dial-up is a technology that uses copper telephone lines to establish a low bit-rate connection to an internet service provider. The typical dial-up modems have a maximum theoretical transfer speed of 56 kilobits per second. While dial-up technology can be used to access the internet it is a basic technology and is not considered to be a broadband technology. As such, dial-up was not assessed in this study.</w:t>
            </w:r>
          </w:p>
        </w:tc>
        <w:tc>
          <w:tcPr>
            <w:tcW w:w="4140" w:type="dxa"/>
          </w:tcPr>
          <w:p w14:paraId="5412AF89" w14:textId="77777777" w:rsidR="009828D6" w:rsidRPr="000430DB" w:rsidRDefault="009828D6" w:rsidP="009828D6">
            <w:pPr>
              <w:numPr>
                <w:ilvl w:val="0"/>
                <w:numId w:val="16"/>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Limitations of the technology and the modem capability.</w:t>
            </w:r>
          </w:p>
        </w:tc>
      </w:tr>
      <w:tr w:rsidR="009828D6" w:rsidRPr="00F90B72" w14:paraId="69963C03" w14:textId="77777777" w:rsidTr="005D4DA2">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4C6E74FA" w14:textId="77777777" w:rsidR="009828D6" w:rsidRPr="00F90B72" w:rsidRDefault="009828D6" w:rsidP="005D4DA2">
            <w:pPr>
              <w:rPr>
                <w:rFonts w:cs="Calibri"/>
                <w:color w:val="FFFFFF" w:themeColor="background1"/>
              </w:rPr>
            </w:pPr>
            <w:r>
              <w:rPr>
                <w:rFonts w:cs="Calibri"/>
                <w:color w:val="FFFFFF" w:themeColor="background1"/>
              </w:rPr>
              <w:t>A</w:t>
            </w:r>
            <w:r w:rsidRPr="00F90B72">
              <w:rPr>
                <w:rFonts w:cs="Calibri"/>
                <w:color w:val="FFFFFF" w:themeColor="background1"/>
              </w:rPr>
              <w:t>DSL (Asymmetric Digital Subscriber Line)</w:t>
            </w:r>
          </w:p>
          <w:p w14:paraId="448A7F26" w14:textId="77777777" w:rsidR="009828D6" w:rsidRPr="00F90B72" w:rsidRDefault="009828D6" w:rsidP="005D4DA2">
            <w:pPr>
              <w:rPr>
                <w:color w:val="FFFFFF" w:themeColor="background1"/>
              </w:rPr>
            </w:pPr>
          </w:p>
        </w:tc>
        <w:tc>
          <w:tcPr>
            <w:tcW w:w="3917" w:type="dxa"/>
            <w:noWrap/>
          </w:tcPr>
          <w:p w14:paraId="103CB6F7" w14:textId="77777777" w:rsidR="009828D6" w:rsidRPr="000430DB" w:rsidRDefault="009828D6" w:rsidP="005D4DA2">
            <w:pPr>
              <w:spacing w:after="30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 xml:space="preserve">A technology designed to give basic broadband performance over copper telephone lines, allowing more data to be sent than with dial-up internet. Downstream data speeds for ADSL are up to 8 Mbps and up to 1.3 Mbps upstream. </w:t>
            </w:r>
          </w:p>
        </w:tc>
        <w:tc>
          <w:tcPr>
            <w:tcW w:w="4140" w:type="dxa"/>
          </w:tcPr>
          <w:p w14:paraId="0443D343" w14:textId="77777777" w:rsidR="009828D6" w:rsidRPr="000430DB" w:rsidRDefault="009828D6" w:rsidP="009828D6">
            <w:pPr>
              <w:numPr>
                <w:ilvl w:val="0"/>
                <w:numId w:val="16"/>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Limitations of the selected technology associated with its technical standard (8 Mbps for ADSL)</w:t>
            </w:r>
          </w:p>
          <w:p w14:paraId="390C674A" w14:textId="77777777" w:rsidR="009828D6" w:rsidRPr="000430DB" w:rsidRDefault="009828D6" w:rsidP="009828D6">
            <w:pPr>
              <w:numPr>
                <w:ilvl w:val="0"/>
                <w:numId w:val="16"/>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Service plan</w:t>
            </w:r>
          </w:p>
          <w:p w14:paraId="2BE35355" w14:textId="77777777" w:rsidR="009828D6" w:rsidRPr="000430DB" w:rsidRDefault="009828D6" w:rsidP="009828D6">
            <w:pPr>
              <w:numPr>
                <w:ilvl w:val="0"/>
                <w:numId w:val="16"/>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Copper line length</w:t>
            </w:r>
          </w:p>
          <w:p w14:paraId="4B00A85D" w14:textId="77777777" w:rsidR="009828D6" w:rsidRPr="000430DB" w:rsidRDefault="009828D6" w:rsidP="009828D6">
            <w:pPr>
              <w:numPr>
                <w:ilvl w:val="0"/>
                <w:numId w:val="16"/>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Signal interference</w:t>
            </w:r>
          </w:p>
          <w:p w14:paraId="7347D25F" w14:textId="77777777" w:rsidR="009828D6" w:rsidRPr="000430DB" w:rsidRDefault="009828D6" w:rsidP="009828D6">
            <w:pPr>
              <w:numPr>
                <w:ilvl w:val="0"/>
                <w:numId w:val="16"/>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Quality of the copper line</w:t>
            </w:r>
          </w:p>
          <w:p w14:paraId="255E7781" w14:textId="77777777" w:rsidR="009828D6" w:rsidRPr="000430DB" w:rsidRDefault="009828D6" w:rsidP="009828D6">
            <w:pPr>
              <w:numPr>
                <w:ilvl w:val="0"/>
                <w:numId w:val="16"/>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rFonts w:cs="Calibri"/>
                <w:color w:val="000000" w:themeColor="text1"/>
              </w:rPr>
              <w:t>Retail Service Provider’s (RSP)</w:t>
            </w:r>
            <w:r w:rsidRPr="000430DB">
              <w:rPr>
                <w:color w:val="000000" w:themeColor="text1"/>
              </w:rPr>
              <w:t xml:space="preserve"> network and backhaul provisioning</w:t>
            </w:r>
          </w:p>
          <w:p w14:paraId="341B6668" w14:textId="77777777" w:rsidR="009828D6" w:rsidRPr="000430DB" w:rsidRDefault="009828D6" w:rsidP="009828D6">
            <w:pPr>
              <w:numPr>
                <w:ilvl w:val="0"/>
                <w:numId w:val="16"/>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Home wiring</w:t>
            </w:r>
          </w:p>
          <w:p w14:paraId="1A3475C1"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End user equipment and software</w:t>
            </w:r>
          </w:p>
        </w:tc>
      </w:tr>
      <w:tr w:rsidR="009828D6" w:rsidRPr="00F90B72" w14:paraId="1C53104C" w14:textId="77777777" w:rsidTr="005D4D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43892332" w14:textId="77777777" w:rsidR="009828D6" w:rsidRPr="00F90B72" w:rsidRDefault="009828D6" w:rsidP="005D4DA2">
            <w:pPr>
              <w:rPr>
                <w:color w:val="FFFFFF" w:themeColor="background1"/>
              </w:rPr>
            </w:pPr>
            <w:r w:rsidRPr="00F90B72">
              <w:rPr>
                <w:rFonts w:cs="Calibri"/>
                <w:color w:val="FFFFFF" w:themeColor="background1"/>
              </w:rPr>
              <w:t>ADSL2+</w:t>
            </w:r>
          </w:p>
        </w:tc>
        <w:tc>
          <w:tcPr>
            <w:tcW w:w="3917" w:type="dxa"/>
            <w:noWrap/>
          </w:tcPr>
          <w:p w14:paraId="7F180269" w14:textId="77777777" w:rsidR="009828D6" w:rsidRPr="000430DB" w:rsidRDefault="009828D6" w:rsidP="005D4DA2">
            <w:pPr>
              <w:spacing w:after="30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An enhancement to ADSL that uses a wider frequency range to achieve substantially faster speeds over relatively short distances. ADSL2+ speeds reach up to 24 Mbps downstream and up to 3.3 Mbps upstream.</w:t>
            </w:r>
          </w:p>
        </w:tc>
        <w:tc>
          <w:tcPr>
            <w:tcW w:w="4140" w:type="dxa"/>
          </w:tcPr>
          <w:p w14:paraId="572180C3"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Limitations of the selected technology associated with its technical standard (24 Mbps for ADSL2+)</w:t>
            </w:r>
          </w:p>
          <w:p w14:paraId="3B559407"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Service plan</w:t>
            </w:r>
          </w:p>
          <w:p w14:paraId="5D1CAC8E"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Copper line length</w:t>
            </w:r>
          </w:p>
          <w:p w14:paraId="30149F86"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Signal interference</w:t>
            </w:r>
          </w:p>
          <w:p w14:paraId="2238ACA7"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Quality of the copper line</w:t>
            </w:r>
          </w:p>
          <w:p w14:paraId="73443564"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rFonts w:cs="Calibri"/>
                <w:color w:val="000000" w:themeColor="text1"/>
              </w:rPr>
              <w:t>RSP’s</w:t>
            </w:r>
            <w:r w:rsidRPr="000430DB">
              <w:rPr>
                <w:color w:val="000000" w:themeColor="text1"/>
              </w:rPr>
              <w:t xml:space="preserve"> network and backhaul provisioning</w:t>
            </w:r>
          </w:p>
          <w:p w14:paraId="1AC13C69"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Home wiring</w:t>
            </w:r>
          </w:p>
          <w:p w14:paraId="02373E06"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End user equipment and software</w:t>
            </w:r>
          </w:p>
        </w:tc>
      </w:tr>
      <w:tr w:rsidR="009828D6" w:rsidRPr="00F90B72" w14:paraId="18D10C6B" w14:textId="77777777" w:rsidTr="005D4DA2">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39A4FC38" w14:textId="77777777" w:rsidR="009828D6" w:rsidRPr="00F90B72" w:rsidRDefault="009828D6" w:rsidP="005D4DA2">
            <w:pPr>
              <w:rPr>
                <w:color w:val="FFFFFF" w:themeColor="background1"/>
              </w:rPr>
            </w:pPr>
            <w:r w:rsidRPr="00F90B72">
              <w:rPr>
                <w:rFonts w:cs="Calibri"/>
                <w:color w:val="FFFFFF" w:themeColor="background1"/>
              </w:rPr>
              <w:t>Mobile broadband</w:t>
            </w:r>
          </w:p>
        </w:tc>
        <w:tc>
          <w:tcPr>
            <w:tcW w:w="3917" w:type="dxa"/>
            <w:noWrap/>
          </w:tcPr>
          <w:p w14:paraId="096CBB33" w14:textId="77777777" w:rsidR="009828D6" w:rsidRPr="000430DB" w:rsidRDefault="009828D6" w:rsidP="005D4DA2">
            <w:pPr>
              <w:spacing w:after="30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 xml:space="preserve">3G mobile networks typically offer speeds between 1-20 Mbps downstream and 550 kilobits per second to 3 Mbps upstream. 4G mobile networks typically offer speeds between 2-50 Mbps downstream and 1-10 Mbps upstream. However, mobile networks are shared networks such that when multiple users are accessing the network at the same time the speed performance will reduce.  </w:t>
            </w:r>
          </w:p>
        </w:tc>
        <w:tc>
          <w:tcPr>
            <w:tcW w:w="4140" w:type="dxa"/>
          </w:tcPr>
          <w:p w14:paraId="2B56589D"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Limitations of the selected technology associated with its technical standard (GSM, WCDMA, LTE)</w:t>
            </w:r>
          </w:p>
          <w:p w14:paraId="2A9244A5"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Service plan</w:t>
            </w:r>
          </w:p>
          <w:p w14:paraId="48603DF7"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Cell site congestion/usage</w:t>
            </w:r>
          </w:p>
          <w:p w14:paraId="2F360645"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Backhaul capacity at cell site</w:t>
            </w:r>
          </w:p>
          <w:p w14:paraId="469B613A"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 xml:space="preserve">Interference </w:t>
            </w:r>
          </w:p>
          <w:p w14:paraId="51EDD7F1"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End user equipment and software</w:t>
            </w:r>
          </w:p>
          <w:p w14:paraId="2C822BA4"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Signal coverage (in-building, topography)</w:t>
            </w:r>
          </w:p>
        </w:tc>
      </w:tr>
      <w:tr w:rsidR="009828D6" w:rsidRPr="00F90B72" w14:paraId="26B509F8" w14:textId="77777777" w:rsidTr="005D4D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26D6368B" w14:textId="77777777" w:rsidR="009828D6" w:rsidRPr="00F90B72" w:rsidRDefault="009828D6" w:rsidP="005D4DA2">
            <w:pPr>
              <w:rPr>
                <w:color w:val="FFFFFF" w:themeColor="background1"/>
              </w:rPr>
            </w:pPr>
            <w:r w:rsidRPr="00F90B72">
              <w:rPr>
                <w:rFonts w:cs="Calibri"/>
                <w:color w:val="FFFFFF" w:themeColor="background1"/>
              </w:rPr>
              <w:t xml:space="preserve">HFC (Hybrid Fibre Coaxial </w:t>
            </w:r>
            <w:r>
              <w:rPr>
                <w:rFonts w:cs="Calibri"/>
                <w:color w:val="FFFFFF" w:themeColor="background1"/>
              </w:rPr>
              <w:t>c</w:t>
            </w:r>
            <w:r w:rsidRPr="00F90B72">
              <w:rPr>
                <w:rFonts w:cs="Calibri"/>
                <w:color w:val="FFFFFF" w:themeColor="background1"/>
              </w:rPr>
              <w:t>able)</w:t>
            </w:r>
          </w:p>
        </w:tc>
        <w:tc>
          <w:tcPr>
            <w:tcW w:w="3917" w:type="dxa"/>
            <w:noWrap/>
          </w:tcPr>
          <w:p w14:paraId="02F74BE4" w14:textId="77777777" w:rsidR="009828D6" w:rsidRPr="000430DB" w:rsidRDefault="009828D6" w:rsidP="005D4DA2">
            <w:pPr>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A network utilising both optical fibre and coaxial cable for the delivery of Pay TV, internet and voice services. Speeds of up to 110 Mbps downstream and 2.4 Mbps upstream are available on the Australian HFC networks. HFC is a shared technology and speeds can vary depending on usage on the network. It is noted that HFC networks are technically capable of upstream speeds of 26.5 Mbps and there is an upgrade path for HFC networks to DOCSIS 3.1 which offers increased downstream and upstream speeds.</w:t>
            </w:r>
          </w:p>
        </w:tc>
        <w:tc>
          <w:tcPr>
            <w:tcW w:w="4140" w:type="dxa"/>
          </w:tcPr>
          <w:p w14:paraId="642711B0" w14:textId="77777777" w:rsidR="009828D6" w:rsidRPr="000430DB" w:rsidRDefault="009828D6" w:rsidP="009828D6">
            <w:pPr>
              <w:numPr>
                <w:ilvl w:val="0"/>
                <w:numId w:val="15"/>
              </w:numPr>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430DB">
              <w:rPr>
                <w:color w:val="000000" w:themeColor="text1"/>
              </w:rPr>
              <w:t xml:space="preserve">Limitations of the selected technology associated with its technical standard </w:t>
            </w:r>
            <w:r w:rsidRPr="000430DB">
              <w:rPr>
                <w:rFonts w:eastAsia="Times New Roman"/>
                <w:color w:val="000000" w:themeColor="text1"/>
              </w:rPr>
              <w:t>(DOCSIS 2.0 or 3.0)</w:t>
            </w:r>
          </w:p>
          <w:p w14:paraId="49DE7F0E" w14:textId="77777777" w:rsidR="009828D6" w:rsidRPr="000430DB" w:rsidRDefault="009828D6" w:rsidP="009828D6">
            <w:pPr>
              <w:numPr>
                <w:ilvl w:val="0"/>
                <w:numId w:val="15"/>
              </w:numPr>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430DB">
              <w:rPr>
                <w:rFonts w:eastAsia="Times New Roman"/>
                <w:color w:val="000000" w:themeColor="text1"/>
              </w:rPr>
              <w:t>Service plan</w:t>
            </w:r>
          </w:p>
          <w:p w14:paraId="77BD1F10" w14:textId="77777777" w:rsidR="009828D6" w:rsidRPr="000430DB" w:rsidRDefault="009828D6" w:rsidP="009828D6">
            <w:pPr>
              <w:numPr>
                <w:ilvl w:val="0"/>
                <w:numId w:val="15"/>
              </w:numPr>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430DB">
              <w:rPr>
                <w:rFonts w:eastAsia="Times New Roman"/>
                <w:color w:val="000000" w:themeColor="text1"/>
              </w:rPr>
              <w:t>Contention (the number of premises served by an optical node)</w:t>
            </w:r>
          </w:p>
          <w:p w14:paraId="2D5DA6FE" w14:textId="77777777" w:rsidR="009828D6" w:rsidRPr="000430DB" w:rsidRDefault="009828D6" w:rsidP="009828D6">
            <w:pPr>
              <w:numPr>
                <w:ilvl w:val="0"/>
                <w:numId w:val="15"/>
              </w:numPr>
              <w:contextualSpacing/>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430DB">
              <w:rPr>
                <w:rFonts w:eastAsia="Times New Roman"/>
                <w:color w:val="000000" w:themeColor="text1"/>
              </w:rPr>
              <w:t>RSP’s network and backhaul provisioning</w:t>
            </w:r>
          </w:p>
          <w:p w14:paraId="7CDC339D"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rFonts w:eastAsia="Times New Roman"/>
                <w:color w:val="000000" w:themeColor="text1"/>
              </w:rPr>
              <w:t>End user equipment and software</w:t>
            </w:r>
          </w:p>
        </w:tc>
      </w:tr>
      <w:tr w:rsidR="009828D6" w:rsidRPr="00F90B72" w14:paraId="7372064F" w14:textId="77777777" w:rsidTr="005D4DA2">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0A4C3335" w14:textId="77777777" w:rsidR="009828D6" w:rsidRPr="00F90B72" w:rsidRDefault="009828D6" w:rsidP="005D4DA2">
            <w:pPr>
              <w:rPr>
                <w:rFonts w:cs="Calibri"/>
                <w:color w:val="FFFFFF" w:themeColor="background1"/>
              </w:rPr>
            </w:pPr>
            <w:r w:rsidRPr="00F90B72">
              <w:rPr>
                <w:rFonts w:cs="Calibri"/>
                <w:color w:val="FFFFFF" w:themeColor="background1"/>
              </w:rPr>
              <w:t>FTTP (</w:t>
            </w:r>
            <w:r>
              <w:rPr>
                <w:rFonts w:cs="Calibri"/>
                <w:color w:val="FFFFFF" w:themeColor="background1"/>
              </w:rPr>
              <w:t>fibre</w:t>
            </w:r>
            <w:r w:rsidRPr="00F90B72">
              <w:rPr>
                <w:rFonts w:cs="Calibri"/>
                <w:color w:val="FFFFFF" w:themeColor="background1"/>
              </w:rPr>
              <w:t xml:space="preserve"> to the </w:t>
            </w:r>
            <w:r>
              <w:rPr>
                <w:rFonts w:cs="Calibri"/>
                <w:color w:val="FFFFFF" w:themeColor="background1"/>
              </w:rPr>
              <w:t>p</w:t>
            </w:r>
            <w:r w:rsidRPr="00F90B72">
              <w:rPr>
                <w:rFonts w:cs="Calibri"/>
                <w:color w:val="FFFFFF" w:themeColor="background1"/>
              </w:rPr>
              <w:t xml:space="preserve">remises) </w:t>
            </w:r>
          </w:p>
        </w:tc>
        <w:tc>
          <w:tcPr>
            <w:tcW w:w="3917" w:type="dxa"/>
            <w:noWrap/>
          </w:tcPr>
          <w:p w14:paraId="28553001" w14:textId="77777777" w:rsidR="009828D6" w:rsidRPr="000430DB" w:rsidRDefault="009828D6" w:rsidP="005D4DA2">
            <w:pPr>
              <w:spacing w:after="30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Fibre to the premises describes the installation of optical fibre from a point of interconnect to the network all the way to a premises (residential or business). A common FTTP technology that is employed in residential scenarios is GPON – gigabit passive optical network (selected by NBN Co).  GPON delivers 2.5Gbps downstream and 1.2Gbps upstream shared between a maximum of 32 premises in the NBN FTTP deployment. Typically retail products over FTTP networks offer speeds up to 100 Mbps downstream and 40 Mbps upstream, although higher speeds services such 1 gigabit service downstream and 400 Mbps upstream services are available.</w:t>
            </w:r>
          </w:p>
        </w:tc>
        <w:tc>
          <w:tcPr>
            <w:tcW w:w="4140" w:type="dxa"/>
          </w:tcPr>
          <w:p w14:paraId="671F4F3B"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Limitations of the selected technology associated with its technical standard (GPON, 10GPON)</w:t>
            </w:r>
          </w:p>
          <w:p w14:paraId="372F8577"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Service plan purchased by the end user</w:t>
            </w:r>
          </w:p>
          <w:p w14:paraId="352009D0" w14:textId="77777777" w:rsidR="009828D6" w:rsidRPr="000430DB" w:rsidRDefault="009828D6" w:rsidP="009828D6">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430DB">
              <w:rPr>
                <w:rFonts w:eastAsia="Times New Roman"/>
                <w:color w:val="000000" w:themeColor="text1"/>
              </w:rPr>
              <w:t>Contention (the number of premises served by an optical node)</w:t>
            </w:r>
          </w:p>
          <w:p w14:paraId="29253366"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rFonts w:cs="Calibri"/>
                <w:color w:val="000000" w:themeColor="text1"/>
              </w:rPr>
              <w:t>RSP’s</w:t>
            </w:r>
            <w:r w:rsidRPr="000430DB">
              <w:rPr>
                <w:color w:val="000000" w:themeColor="text1"/>
              </w:rPr>
              <w:t xml:space="preserve"> network and backhaul provisioning</w:t>
            </w:r>
          </w:p>
          <w:p w14:paraId="1331AACC"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End user equipment and  software</w:t>
            </w:r>
          </w:p>
        </w:tc>
      </w:tr>
      <w:tr w:rsidR="009828D6" w:rsidRPr="00F90B72" w14:paraId="6BEA66D5" w14:textId="77777777" w:rsidTr="005D4D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7868F95C" w14:textId="77777777" w:rsidR="009828D6" w:rsidRPr="00F90B72" w:rsidRDefault="009828D6" w:rsidP="005D4DA2">
            <w:pPr>
              <w:rPr>
                <w:rFonts w:cs="Calibri"/>
                <w:color w:val="FFFFFF" w:themeColor="background1"/>
              </w:rPr>
            </w:pPr>
            <w:r w:rsidRPr="00F90B72">
              <w:rPr>
                <w:rFonts w:cs="Calibri"/>
                <w:color w:val="FFFFFF" w:themeColor="background1"/>
              </w:rPr>
              <w:t>FTTN (</w:t>
            </w:r>
            <w:r>
              <w:rPr>
                <w:rFonts w:cs="Calibri"/>
                <w:color w:val="FFFFFF" w:themeColor="background1"/>
              </w:rPr>
              <w:t>fibre</w:t>
            </w:r>
            <w:r w:rsidRPr="00F90B72">
              <w:rPr>
                <w:rFonts w:cs="Calibri"/>
                <w:color w:val="FFFFFF" w:themeColor="background1"/>
              </w:rPr>
              <w:t xml:space="preserve"> to the </w:t>
            </w:r>
            <w:r>
              <w:rPr>
                <w:rFonts w:cs="Calibri"/>
                <w:color w:val="FFFFFF" w:themeColor="background1"/>
              </w:rPr>
              <w:t>n</w:t>
            </w:r>
            <w:r w:rsidRPr="00F90B72">
              <w:rPr>
                <w:rFonts w:cs="Calibri"/>
                <w:color w:val="FFFFFF" w:themeColor="background1"/>
              </w:rPr>
              <w:t>ode)</w:t>
            </w:r>
          </w:p>
        </w:tc>
        <w:tc>
          <w:tcPr>
            <w:tcW w:w="3917" w:type="dxa"/>
            <w:noWrap/>
          </w:tcPr>
          <w:p w14:paraId="6E333794" w14:textId="77777777" w:rsidR="009828D6" w:rsidRPr="000430DB" w:rsidRDefault="009828D6" w:rsidP="005D4DA2">
            <w:pPr>
              <w:spacing w:after="30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 xml:space="preserve">Fibre to the node describes the installation of optical fibre from a point of interconnect (or exchange) to a distribution point (a node or street cabinet) in a neighbourhood that serves a few hundred customers within a radius of about 1 kilometres. The connections from the node to the customer premises use the copper connection and one of the Digital Subscriber Line (xDSL) standards to deliver broadband. The only Australian FTTN network delivered at scale is in the ACT. This network offers downstream speeds of up to 60 Mbps and upstream speeds of 5 Mbps and above. Depending on the technical standard utilised FTTN networks are capable of up to 100 Mbps </w:t>
            </w:r>
            <w:r>
              <w:rPr>
                <w:color w:val="000000" w:themeColor="text1"/>
              </w:rPr>
              <w:t>downs</w:t>
            </w:r>
            <w:r w:rsidRPr="000430DB">
              <w:rPr>
                <w:color w:val="000000" w:themeColor="text1"/>
              </w:rPr>
              <w:t xml:space="preserve">tream and </w:t>
            </w:r>
            <w:r>
              <w:rPr>
                <w:color w:val="000000" w:themeColor="text1"/>
              </w:rPr>
              <w:t>50 Mbps up</w:t>
            </w:r>
            <w:r w:rsidRPr="000430DB">
              <w:rPr>
                <w:color w:val="000000" w:themeColor="text1"/>
              </w:rPr>
              <w:t>stream. There is an upgrade path for FTTN networks to G.fast, which is capable of achieving access speeds of hundreds of megabits per second over existing copper wire within 250 metre range of a distribution point.</w:t>
            </w:r>
          </w:p>
        </w:tc>
        <w:tc>
          <w:tcPr>
            <w:tcW w:w="4140" w:type="dxa"/>
          </w:tcPr>
          <w:p w14:paraId="3DE81E07"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 xml:space="preserve">Limitations of the selected technology associated with its technical standard </w:t>
            </w:r>
            <w:r w:rsidRPr="00412888">
              <w:rPr>
                <w:color w:val="000000" w:themeColor="text1"/>
              </w:rPr>
              <w:t>(for example VDSL</w:t>
            </w:r>
            <w:r w:rsidRPr="000430DB">
              <w:rPr>
                <w:color w:val="000000" w:themeColor="text1"/>
              </w:rPr>
              <w:t xml:space="preserve"> or VDSL2)</w:t>
            </w:r>
          </w:p>
          <w:p w14:paraId="0CD4D6BA"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Service plan</w:t>
            </w:r>
          </w:p>
          <w:p w14:paraId="5C3E4B6D"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Copper line length</w:t>
            </w:r>
          </w:p>
          <w:p w14:paraId="5CE074BB"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Signal interference</w:t>
            </w:r>
          </w:p>
          <w:p w14:paraId="29EB057F"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Quality of the copper line</w:t>
            </w:r>
          </w:p>
          <w:p w14:paraId="383EB1A1"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RSP’s network and backhaul provisioning</w:t>
            </w:r>
          </w:p>
          <w:p w14:paraId="583134D2"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Home wiring</w:t>
            </w:r>
          </w:p>
          <w:p w14:paraId="72C43321"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End user equipment and  software</w:t>
            </w:r>
          </w:p>
        </w:tc>
      </w:tr>
      <w:tr w:rsidR="009828D6" w:rsidRPr="00F90B72" w14:paraId="75FB851A" w14:textId="77777777" w:rsidTr="005D4DA2">
        <w:trPr>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1A77DE29" w14:textId="77777777" w:rsidR="009828D6" w:rsidRPr="00F90B72" w:rsidRDefault="009828D6" w:rsidP="005D4DA2">
            <w:pPr>
              <w:rPr>
                <w:color w:val="FFFFFF" w:themeColor="background1"/>
              </w:rPr>
            </w:pPr>
            <w:r w:rsidRPr="00F90B72">
              <w:rPr>
                <w:color w:val="FFFFFF" w:themeColor="background1"/>
              </w:rPr>
              <w:t xml:space="preserve">NBN Fixed Wireless </w:t>
            </w:r>
          </w:p>
          <w:p w14:paraId="03928A37" w14:textId="77777777" w:rsidR="009828D6" w:rsidRPr="00F90B72" w:rsidRDefault="009828D6" w:rsidP="005D4DA2">
            <w:pPr>
              <w:rPr>
                <w:color w:val="FFFFFF" w:themeColor="background1"/>
              </w:rPr>
            </w:pPr>
          </w:p>
        </w:tc>
        <w:tc>
          <w:tcPr>
            <w:tcW w:w="3917" w:type="dxa"/>
            <w:noWrap/>
          </w:tcPr>
          <w:p w14:paraId="27CCFFC0" w14:textId="77777777" w:rsidR="009828D6" w:rsidRPr="000430DB" w:rsidRDefault="009828D6" w:rsidP="005D4DA2">
            <w:pPr>
              <w:spacing w:after="300"/>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NBN Co’s fixed wireless network uses wireless technology commonly referred to as LTE (long term evolution) or 4G. The NBN service is engineered to deliver fixed wireless services to a fixed number of premises within a coverage area. Speeds of up to 25 Mbps downstream and 5 Mbps upstream can be delivered.</w:t>
            </w:r>
            <w:r w:rsidRPr="000430DB">
              <w:rPr>
                <w:b/>
                <w:color w:val="000000" w:themeColor="text1"/>
              </w:rPr>
              <w:t xml:space="preserve"> </w:t>
            </w:r>
          </w:p>
        </w:tc>
        <w:tc>
          <w:tcPr>
            <w:tcW w:w="4140" w:type="dxa"/>
          </w:tcPr>
          <w:p w14:paraId="7E7C432F"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Limitations of the selected technology associated with its technical standard (GSM, WCDMA, LTE)</w:t>
            </w:r>
          </w:p>
          <w:p w14:paraId="002A6B7F"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Service plan</w:t>
            </w:r>
          </w:p>
          <w:p w14:paraId="766A9F8E"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Cell site congestion/usage</w:t>
            </w:r>
          </w:p>
          <w:p w14:paraId="7378022C"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Backhaul capacity at cell site</w:t>
            </w:r>
          </w:p>
          <w:p w14:paraId="5DF83650"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 xml:space="preserve">Interference </w:t>
            </w:r>
          </w:p>
          <w:p w14:paraId="16487D4C" w14:textId="77777777" w:rsidR="009828D6" w:rsidRPr="000430DB" w:rsidRDefault="009828D6" w:rsidP="009828D6">
            <w:pPr>
              <w:numPr>
                <w:ilvl w:val="0"/>
                <w:numId w:val="17"/>
              </w:numPr>
              <w:spacing w:after="200" w:line="276"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0430DB">
              <w:rPr>
                <w:color w:val="000000" w:themeColor="text1"/>
              </w:rPr>
              <w:t>End user equipment and software</w:t>
            </w:r>
          </w:p>
        </w:tc>
      </w:tr>
      <w:tr w:rsidR="009828D6" w:rsidRPr="00F90B72" w14:paraId="359DC680" w14:textId="77777777" w:rsidTr="005D4D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noWrap/>
          </w:tcPr>
          <w:p w14:paraId="4D2E3500" w14:textId="77777777" w:rsidR="009828D6" w:rsidRPr="00F90B72" w:rsidRDefault="009828D6" w:rsidP="005D4DA2">
            <w:pPr>
              <w:rPr>
                <w:rFonts w:cs="Calibri"/>
                <w:color w:val="FFFFFF" w:themeColor="background1"/>
              </w:rPr>
            </w:pPr>
            <w:r w:rsidRPr="00F90B72">
              <w:rPr>
                <w:rFonts w:cs="Calibri"/>
                <w:color w:val="FFFFFF" w:themeColor="background1"/>
              </w:rPr>
              <w:t>Satellite</w:t>
            </w:r>
          </w:p>
        </w:tc>
        <w:tc>
          <w:tcPr>
            <w:tcW w:w="3917" w:type="dxa"/>
            <w:noWrap/>
          </w:tcPr>
          <w:p w14:paraId="00B412E7" w14:textId="77777777" w:rsidR="009828D6" w:rsidRPr="000430DB" w:rsidRDefault="009828D6" w:rsidP="005D4DA2">
            <w:pPr>
              <w:spacing w:after="300"/>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 xml:space="preserve">Retail satellite broadband products over existing Ku-band satellite networks for home users and small businesses offer speeds up to 6 Mbps downstream and up to 1 Mbps upstream. Next generation satellites (such as the NBN Co long term satellite solution which will be launched in 2015) will offer home user and small business satellite customer speeds of up to 25 Mbps downstream and up to 5 Mbps upstream.  </w:t>
            </w:r>
          </w:p>
        </w:tc>
        <w:tc>
          <w:tcPr>
            <w:tcW w:w="4140" w:type="dxa"/>
          </w:tcPr>
          <w:p w14:paraId="1745C97D"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 xml:space="preserve">Limitations of the selected technology associated with the technical standard </w:t>
            </w:r>
          </w:p>
          <w:p w14:paraId="6B4F8245" w14:textId="77777777" w:rsidR="009828D6" w:rsidRPr="000430DB" w:rsidRDefault="009828D6" w:rsidP="009828D6">
            <w:pPr>
              <w:numPr>
                <w:ilvl w:val="0"/>
                <w:numId w:val="17"/>
              </w:numPr>
              <w:spacing w:after="3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Latency (signal delay) between the ground station and satellite affects end user experience especially for real time applications</w:t>
            </w:r>
          </w:p>
          <w:p w14:paraId="64458FCE" w14:textId="77777777" w:rsidR="009828D6" w:rsidRPr="000430DB" w:rsidRDefault="009828D6" w:rsidP="009828D6">
            <w:pPr>
              <w:numPr>
                <w:ilvl w:val="0"/>
                <w:numId w:val="17"/>
              </w:numPr>
              <w:spacing w:after="3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Signal quality during heavy rain (also known as rain fade)</w:t>
            </w:r>
          </w:p>
          <w:p w14:paraId="5BAAC84C"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Service plan</w:t>
            </w:r>
          </w:p>
          <w:p w14:paraId="41D2EC1E"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Satellite congestion/usage</w:t>
            </w:r>
          </w:p>
          <w:p w14:paraId="53B912F0"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Backhaul capacity at cell site</w:t>
            </w:r>
          </w:p>
          <w:p w14:paraId="7E186B6F"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 xml:space="preserve">Interference </w:t>
            </w:r>
          </w:p>
          <w:p w14:paraId="09DE70E5" w14:textId="77777777" w:rsidR="009828D6" w:rsidRPr="000430DB" w:rsidRDefault="009828D6" w:rsidP="009828D6">
            <w:pPr>
              <w:numPr>
                <w:ilvl w:val="0"/>
                <w:numId w:val="17"/>
              </w:numPr>
              <w:spacing w:after="200" w:line="276"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0430DB">
              <w:rPr>
                <w:color w:val="000000" w:themeColor="text1"/>
              </w:rPr>
              <w:t>End user equipment and software</w:t>
            </w:r>
          </w:p>
        </w:tc>
      </w:tr>
    </w:tbl>
    <w:p w14:paraId="00D4F704" w14:textId="77777777" w:rsidR="009828D6" w:rsidRDefault="009828D6" w:rsidP="009828D6"/>
    <w:p w14:paraId="0515181E" w14:textId="77777777" w:rsidR="009828D6" w:rsidRDefault="009828D6" w:rsidP="009828D6">
      <w:pPr>
        <w:spacing w:after="200" w:line="276" w:lineRule="auto"/>
      </w:pPr>
      <w:r>
        <w:br w:type="page"/>
      </w:r>
    </w:p>
    <w:p w14:paraId="154AEB34" w14:textId="77777777" w:rsidR="009828D6" w:rsidRDefault="009828D6" w:rsidP="009828D6">
      <w:pPr>
        <w:pStyle w:val="Heading1"/>
        <w:rPr>
          <w:rFonts w:eastAsia="MS Mincho"/>
          <w:sz w:val="40"/>
          <w:lang w:val="en-US"/>
        </w:rPr>
      </w:pPr>
      <w:r w:rsidRPr="00666F1A">
        <w:rPr>
          <w:rFonts w:eastAsia="MS Mincho"/>
          <w:sz w:val="40"/>
          <w:lang w:val="en-US"/>
        </w:rPr>
        <w:t xml:space="preserve">Appendix </w:t>
      </w:r>
      <w:r>
        <w:rPr>
          <w:rFonts w:eastAsia="MS Mincho"/>
          <w:sz w:val="40"/>
          <w:lang w:val="en-US"/>
        </w:rPr>
        <w:t>B</w:t>
      </w:r>
      <w:r w:rsidRPr="00666F1A">
        <w:rPr>
          <w:rFonts w:eastAsia="MS Mincho"/>
          <w:sz w:val="40"/>
          <w:lang w:val="en-US"/>
        </w:rPr>
        <w:t xml:space="preserve"> – </w:t>
      </w:r>
      <w:r>
        <w:rPr>
          <w:rFonts w:eastAsia="MS Mincho"/>
          <w:sz w:val="40"/>
          <w:lang w:val="en-US"/>
        </w:rPr>
        <w:t>Broadband Maps</w:t>
      </w:r>
    </w:p>
    <w:p w14:paraId="762DE09F" w14:textId="77777777" w:rsidR="009828D6" w:rsidRDefault="009828D6" w:rsidP="009828D6">
      <w:pPr>
        <w:spacing w:after="200" w:line="276" w:lineRule="auto"/>
      </w:pPr>
      <w:r>
        <w:br w:type="page"/>
      </w:r>
    </w:p>
    <w:p w14:paraId="590F3B32" w14:textId="77777777" w:rsidR="009828D6" w:rsidRPr="00046545" w:rsidRDefault="009828D6" w:rsidP="009828D6">
      <w:pPr>
        <w:keepNext/>
        <w:keepLines/>
        <w:outlineLvl w:val="0"/>
        <w:rPr>
          <w:rFonts w:eastAsia="Times New Roman"/>
          <w:b/>
          <w:bCs/>
          <w:color w:val="1A7399"/>
          <w:sz w:val="40"/>
          <w:szCs w:val="32"/>
        </w:rPr>
      </w:pPr>
      <w:r>
        <w:rPr>
          <w:rFonts w:eastAsia="Times New Roman"/>
          <w:b/>
          <w:bCs/>
          <w:color w:val="1A7399"/>
          <w:sz w:val="40"/>
          <w:szCs w:val="32"/>
        </w:rPr>
        <w:t xml:space="preserve">Appendix C </w:t>
      </w:r>
      <w:r w:rsidRPr="00046545">
        <w:rPr>
          <w:rFonts w:eastAsia="Times New Roman"/>
          <w:b/>
          <w:bCs/>
          <w:color w:val="1A7399"/>
          <w:sz w:val="40"/>
          <w:szCs w:val="32"/>
        </w:rPr>
        <w:t xml:space="preserve">- International examples of broadband </w:t>
      </w:r>
      <w:r>
        <w:rPr>
          <w:rFonts w:eastAsia="Times New Roman"/>
          <w:b/>
          <w:bCs/>
          <w:color w:val="1A7399"/>
          <w:sz w:val="40"/>
          <w:szCs w:val="32"/>
        </w:rPr>
        <w:t>assessment</w:t>
      </w:r>
    </w:p>
    <w:p w14:paraId="385EBFF6" w14:textId="77777777" w:rsidR="009828D6" w:rsidRPr="001F7B62" w:rsidRDefault="009828D6" w:rsidP="009828D6">
      <w:pPr>
        <w:spacing w:after="240"/>
      </w:pPr>
      <w:r w:rsidRPr="001F7B62">
        <w:t xml:space="preserve">A number of international jurisdictions have conducted analyses of broadband availability and/or quality, including the United Kingdom, USA, Canada and Germany. </w:t>
      </w:r>
    </w:p>
    <w:p w14:paraId="25F70F32" w14:textId="77777777" w:rsidR="009828D6" w:rsidRPr="00046545" w:rsidRDefault="009828D6" w:rsidP="009828D6">
      <w:pPr>
        <w:keepNext/>
        <w:keepLines/>
        <w:spacing w:before="200"/>
        <w:outlineLvl w:val="2"/>
        <w:rPr>
          <w:rFonts w:eastAsia="Times New Roman"/>
          <w:bCs/>
          <w:color w:val="1A7399"/>
          <w:sz w:val="28"/>
        </w:rPr>
      </w:pPr>
      <w:r w:rsidRPr="00046545">
        <w:rPr>
          <w:rFonts w:eastAsia="Times New Roman"/>
          <w:bCs/>
          <w:color w:val="1A7399"/>
          <w:sz w:val="28"/>
        </w:rPr>
        <w:t>UK</w:t>
      </w:r>
    </w:p>
    <w:p w14:paraId="120EA7F1" w14:textId="77777777" w:rsidR="009828D6" w:rsidRPr="001F7B62" w:rsidRDefault="009828D6" w:rsidP="009828D6">
      <w:pPr>
        <w:pStyle w:val="BodyText"/>
      </w:pPr>
      <w:r w:rsidRPr="001F7B62">
        <w:t xml:space="preserve">In November 2011, the UK telecommunications regulator Ofcom published its first Communications Infrastructure Report. This report was published pursuant to legislation, which provides Ofcom with a statutory duty to report every three years on the state of the UK’s </w:t>
      </w:r>
      <w:r w:rsidRPr="00046545">
        <w:rPr>
          <w:rFonts w:eastAsia="MS Mincho"/>
        </w:rPr>
        <w:t>communications infrastructure</w:t>
      </w:r>
      <w:r w:rsidRPr="00046545">
        <w:rPr>
          <w:rFonts w:eastAsia="MS Mincho"/>
          <w:vertAlign w:val="superscript"/>
        </w:rPr>
        <w:footnoteReference w:id="16"/>
      </w:r>
      <w:r w:rsidRPr="00046545">
        <w:rPr>
          <w:rFonts w:eastAsia="MS Mincho"/>
        </w:rPr>
        <w:t>. Ofcom has recently provided its 2013 update of communications infrastructure, which it compiles on an annual basis, and covers fixed line, mobile broadband and telephony, as well as services and infrastructure associated with the broadcasting sector.</w:t>
      </w:r>
    </w:p>
    <w:p w14:paraId="574D738F" w14:textId="77777777" w:rsidR="009828D6" w:rsidRPr="00046545" w:rsidRDefault="009828D6" w:rsidP="009828D6">
      <w:pPr>
        <w:spacing w:after="240"/>
        <w:rPr>
          <w:rFonts w:eastAsia="MS Mincho"/>
        </w:rPr>
      </w:pPr>
      <w:r w:rsidRPr="00046545">
        <w:rPr>
          <w:rFonts w:eastAsia="MS Mincho"/>
        </w:rPr>
        <w:t>The output of its ongoing study comprises both written accounts of the state of the communications sector, as well as availability maps and a data cube of the underlying inputs against a specific geospatial unit.</w:t>
      </w:r>
    </w:p>
    <w:p w14:paraId="515718D4" w14:textId="77777777" w:rsidR="009828D6" w:rsidRPr="00046545" w:rsidRDefault="009828D6" w:rsidP="009828D6">
      <w:pPr>
        <w:spacing w:after="240"/>
        <w:rPr>
          <w:rFonts w:eastAsia="MS Mincho"/>
        </w:rPr>
      </w:pPr>
      <w:r w:rsidRPr="00046545">
        <w:rPr>
          <w:rFonts w:eastAsia="MS Mincho"/>
        </w:rPr>
        <w:t>Currently five metrics are assessed (average sync. speed, percentage of premises receiving less than 2Mbps, superfast broadband availability, average broadband take up and average data use) to yield an overall performance rating out of five for each administrative authority in the UK. Each local authority is assessed and given a rating out of five for each metric, based on a predetermined scale (for example in relation to average sync speed, speeds of 15-22Mbps are given a score of 1, speeds of 10-15Mbps are given a score of 2, speeds of 8-9 Mbps are given a score of 3).</w:t>
      </w:r>
    </w:p>
    <w:p w14:paraId="15605BBA" w14:textId="77777777" w:rsidR="009828D6" w:rsidRPr="00046545" w:rsidRDefault="009828D6" w:rsidP="009828D6">
      <w:pPr>
        <w:spacing w:after="240"/>
        <w:rPr>
          <w:rFonts w:eastAsia="MS Mincho"/>
        </w:rPr>
      </w:pPr>
      <w:r w:rsidRPr="00046545">
        <w:rPr>
          <w:rFonts w:eastAsia="MS Mincho"/>
        </w:rPr>
        <w:t>Ofcom’s analysis is based on data received by Ofcom as part of its regulatory role, requested from the largest operators in each sector, or reusing data already submitted to Ofcom by industry where possible. In the fixed-line market, data was gathered from communications providers which together comprised over 80</w:t>
      </w:r>
      <w:r>
        <w:rPr>
          <w:rFonts w:eastAsia="MS Mincho"/>
        </w:rPr>
        <w:t xml:space="preserve"> per cent</w:t>
      </w:r>
      <w:r w:rsidRPr="00046545">
        <w:rPr>
          <w:rFonts w:eastAsia="MS Mincho"/>
        </w:rPr>
        <w:t xml:space="preserve"> of that market. Speed data is based on analysis of over 13 million broadband connections and the composition of the sample reflects the mix of technologies (</w:t>
      </w:r>
      <w:r>
        <w:rPr>
          <w:rFonts w:eastAsia="MS Mincho"/>
        </w:rPr>
        <w:t>ADSL</w:t>
      </w:r>
      <w:r w:rsidRPr="00046545">
        <w:rPr>
          <w:rFonts w:eastAsia="MS Mincho"/>
        </w:rPr>
        <w:t xml:space="preserve">, </w:t>
      </w:r>
      <w:r>
        <w:rPr>
          <w:rFonts w:eastAsia="MS Mincho"/>
        </w:rPr>
        <w:t>ADSL</w:t>
      </w:r>
      <w:r w:rsidRPr="00046545">
        <w:rPr>
          <w:rFonts w:eastAsia="MS Mincho"/>
        </w:rPr>
        <w:t>2+, VDSL, FTTP, cable) and telephone line lengths in use across the UK</w:t>
      </w:r>
    </w:p>
    <w:p w14:paraId="2CABB8D3" w14:textId="77777777" w:rsidR="009828D6" w:rsidRPr="00046545" w:rsidRDefault="009828D6" w:rsidP="009828D6">
      <w:pPr>
        <w:keepNext/>
        <w:keepLines/>
        <w:spacing w:before="200"/>
        <w:outlineLvl w:val="2"/>
        <w:rPr>
          <w:rFonts w:eastAsia="Times New Roman"/>
          <w:bCs/>
          <w:color w:val="1A7399"/>
          <w:sz w:val="28"/>
        </w:rPr>
      </w:pPr>
      <w:r w:rsidRPr="00046545">
        <w:rPr>
          <w:rFonts w:eastAsia="Times New Roman"/>
          <w:bCs/>
          <w:color w:val="1A7399"/>
          <w:sz w:val="28"/>
        </w:rPr>
        <w:t>USA</w:t>
      </w:r>
    </w:p>
    <w:p w14:paraId="52DE50B7" w14:textId="77777777" w:rsidR="009828D6" w:rsidRPr="00046545" w:rsidRDefault="009828D6" w:rsidP="009828D6">
      <w:pPr>
        <w:pStyle w:val="BodyText"/>
      </w:pPr>
      <w:r w:rsidRPr="00046545">
        <w:t>The National Telecommunications and Information Administration (NTIA) agency within the United States Department of Commerce undertakes a range of initiatives to increase access and use of broadband services in America. NTIA created the National Broadband Map</w:t>
      </w:r>
      <w:r w:rsidRPr="00046545">
        <w:rPr>
          <w:rFonts w:cs="Calibri"/>
          <w:color w:val="000000"/>
          <w:vertAlign w:val="superscript"/>
        </w:rPr>
        <w:footnoteReference w:id="17"/>
      </w:r>
      <w:r w:rsidRPr="00046545">
        <w:t xml:space="preserve"> in 2011, in collaboration with 50 states, 5 territories and the district of Columbia as a tool to search, analyse and </w:t>
      </w:r>
      <w:r>
        <w:t xml:space="preserve">to </w:t>
      </w:r>
      <w:r w:rsidRPr="00046545">
        <w:t>map broadband availability across the USA. The map also provides an input to a competitive grants program for integrating broadband and information technology into state and local economies.</w:t>
      </w:r>
    </w:p>
    <w:p w14:paraId="35CB630F" w14:textId="77777777" w:rsidR="009828D6" w:rsidRPr="001F7B62" w:rsidRDefault="009828D6" w:rsidP="009828D6">
      <w:pPr>
        <w:pStyle w:val="BodyText"/>
      </w:pPr>
      <w:r w:rsidRPr="001F7B62">
        <w:t>The map provides maps and text summaries of network availability, number of retail service providers, results of speed tests, average speeds, differences in services between urban and rural areas, and demographic information. It also has capability to show how an area ranks compared to other areas on a specified broadband performance metric.</w:t>
      </w:r>
    </w:p>
    <w:p w14:paraId="56A40379" w14:textId="77777777" w:rsidR="009828D6" w:rsidRPr="00046545" w:rsidRDefault="009828D6" w:rsidP="009828D6">
      <w:pPr>
        <w:pStyle w:val="BodyText"/>
        <w:rPr>
          <w:rFonts w:eastAsia="MS Mincho"/>
        </w:rPr>
      </w:pPr>
      <w:r w:rsidRPr="00046545">
        <w:rPr>
          <w:rFonts w:eastAsia="MS Mincho"/>
        </w:rPr>
        <w:t>States are funded to collect data on speeds and services from carriers, who voluntarily participate. The map is updated every 6 months on the basis of this data.</w:t>
      </w:r>
    </w:p>
    <w:p w14:paraId="6D262EAB" w14:textId="77777777" w:rsidR="009828D6" w:rsidRPr="00046545" w:rsidRDefault="009828D6" w:rsidP="009828D6">
      <w:pPr>
        <w:pStyle w:val="BodyText"/>
        <w:rPr>
          <w:rFonts w:eastAsia="MS Mincho"/>
        </w:rPr>
      </w:pPr>
      <w:r w:rsidRPr="00046545">
        <w:rPr>
          <w:rFonts w:eastAsia="MS Mincho"/>
        </w:rPr>
        <w:t>The broadband ranking feature allows users to select an area to be ranked which may include at a national level (i.e. compare all states, compare all counties) or ranked within a state (i.e. compare all counties or census places in a particular state). Users can also select the specific performance metric for comparison (speed, technology, number of providers and demographic</w:t>
      </w:r>
      <w:r>
        <w:rPr>
          <w:rFonts w:eastAsia="MS Mincho"/>
        </w:rPr>
        <w:t>s</w:t>
      </w:r>
      <w:r w:rsidRPr="00046545">
        <w:rPr>
          <w:rFonts w:eastAsia="MS Mincho"/>
        </w:rPr>
        <w:t xml:space="preserve">). This then generates a list with best performing areas ranked first and worst performing areas ranked last. </w:t>
      </w:r>
    </w:p>
    <w:p w14:paraId="6CD93DAB" w14:textId="77777777" w:rsidR="009828D6" w:rsidRPr="00046545" w:rsidRDefault="009828D6" w:rsidP="009828D6">
      <w:pPr>
        <w:keepNext/>
        <w:keepLines/>
        <w:spacing w:before="200"/>
        <w:outlineLvl w:val="2"/>
        <w:rPr>
          <w:rFonts w:eastAsia="Times New Roman"/>
          <w:bCs/>
          <w:color w:val="1A7399"/>
          <w:sz w:val="28"/>
        </w:rPr>
      </w:pPr>
      <w:r w:rsidRPr="00046545">
        <w:rPr>
          <w:rFonts w:eastAsia="Times New Roman"/>
          <w:bCs/>
          <w:color w:val="1A7399"/>
          <w:sz w:val="28"/>
        </w:rPr>
        <w:t>Canada</w:t>
      </w:r>
    </w:p>
    <w:p w14:paraId="651FCA5F" w14:textId="77777777" w:rsidR="009828D6" w:rsidRPr="001F7B62" w:rsidRDefault="009828D6" w:rsidP="009828D6">
      <w:pPr>
        <w:pStyle w:val="BodyText"/>
      </w:pPr>
      <w:r w:rsidRPr="001F7B62">
        <w:t>As part of the Broadband Canada Program (2009-2012), Industry Canada undertook an extensive survey in order to understand the extent to which Canadians remain underserved by existing broadband networks.</w:t>
      </w:r>
    </w:p>
    <w:p w14:paraId="0FA38518" w14:textId="77777777" w:rsidR="009828D6" w:rsidRPr="001F7B62" w:rsidRDefault="009828D6" w:rsidP="009828D6">
      <w:pPr>
        <w:pStyle w:val="BodyText"/>
      </w:pPr>
      <w:r w:rsidRPr="001F7B62">
        <w:t>The National Broadband Maps</w:t>
      </w:r>
      <w:r w:rsidRPr="001F7B62">
        <w:rPr>
          <w:vertAlign w:val="superscript"/>
        </w:rPr>
        <w:footnoteReference w:id="18"/>
      </w:r>
      <w:r w:rsidRPr="001F7B62">
        <w:t xml:space="preserve">  allows for searches by address and provides a summary of service providers operating in the surrounding area, as well as the types of services available (i.e. DSL, fixed line, fixed wireless, mobile wireless or satellite). The sites analysis is tailored to an area bounded by a hexagonal shape of approximately 3 km diameter. </w:t>
      </w:r>
    </w:p>
    <w:p w14:paraId="0F359063" w14:textId="77777777" w:rsidR="009828D6" w:rsidRPr="001F7B62" w:rsidRDefault="009828D6" w:rsidP="009828D6">
      <w:pPr>
        <w:pStyle w:val="BodyText"/>
      </w:pPr>
      <w:r w:rsidRPr="001F7B62">
        <w:t xml:space="preserve">The site lists 49,999 hexagons which are each based on a statistical description allowing comparison with other demographical information. </w:t>
      </w:r>
    </w:p>
    <w:p w14:paraId="14F0CEF4" w14:textId="77777777" w:rsidR="009828D6" w:rsidRPr="001F7B62" w:rsidRDefault="009828D6" w:rsidP="009828D6">
      <w:pPr>
        <w:pStyle w:val="BodyText"/>
      </w:pPr>
      <w:r w:rsidRPr="001F7B62">
        <w:t xml:space="preserve">Although now archived, the Canadian site was launched simultaneously with an invitation for consumers to provide feedback, including through the use of an online speed test. </w:t>
      </w:r>
    </w:p>
    <w:p w14:paraId="754027D3" w14:textId="77777777" w:rsidR="009828D6" w:rsidRPr="001F7B62" w:rsidRDefault="009828D6" w:rsidP="009828D6">
      <w:pPr>
        <w:pStyle w:val="BodyText"/>
      </w:pPr>
      <w:r w:rsidRPr="001F7B62">
        <w:t>The findings of this initiative were used as a basis to assess grant applications for projects from private companies or consortia to build and operate broadband infrastructure.</w:t>
      </w:r>
    </w:p>
    <w:p w14:paraId="3944CAE8" w14:textId="77777777" w:rsidR="009828D6" w:rsidRPr="00046545" w:rsidRDefault="009828D6" w:rsidP="009828D6">
      <w:pPr>
        <w:keepNext/>
        <w:keepLines/>
        <w:spacing w:before="200"/>
        <w:outlineLvl w:val="2"/>
        <w:rPr>
          <w:rFonts w:eastAsia="Times New Roman"/>
          <w:bCs/>
          <w:color w:val="1A7399"/>
          <w:sz w:val="28"/>
        </w:rPr>
      </w:pPr>
      <w:r w:rsidRPr="00046545">
        <w:rPr>
          <w:rFonts w:eastAsia="Times New Roman"/>
          <w:bCs/>
          <w:color w:val="1A7399"/>
          <w:sz w:val="28"/>
        </w:rPr>
        <w:t>Germany</w:t>
      </w:r>
    </w:p>
    <w:p w14:paraId="1F28E67F" w14:textId="77777777" w:rsidR="009828D6" w:rsidRPr="00046545" w:rsidRDefault="009828D6" w:rsidP="009828D6">
      <w:pPr>
        <w:pStyle w:val="BodyText"/>
      </w:pPr>
      <w:r w:rsidRPr="00046545">
        <w:t>The German Government, through its regulatory authority (Federal Network Agency), collects information describing existing utility infrastructure including telecommunications, and has created an Infrastructure Atlas which is accessible to infrastructure developers with the aim of ensuring a coordinated approach to deploying utility infrastructure extensions or improvements.</w:t>
      </w:r>
    </w:p>
    <w:p w14:paraId="7F1F6329" w14:textId="77777777" w:rsidR="009828D6" w:rsidRPr="00046545" w:rsidRDefault="009828D6" w:rsidP="009828D6">
      <w:pPr>
        <w:pStyle w:val="BodyText"/>
      </w:pPr>
      <w:r w:rsidRPr="00046545">
        <w:t>In May 2012, changes to Germany’s Telecommunications Act came into force, providing the Federal Network Agency with more options for acquiring data for its Infrastructure Atlas, which had previously been operated on a voluntary basis. The Federal Network Agency can now require telecommunications network operators and companies that have telecommunications terminal equipment to provide it with specific information, including site data, leading to a significant improvement in the quality and quantity of data.</w:t>
      </w:r>
    </w:p>
    <w:p w14:paraId="722C119B" w14:textId="77777777" w:rsidR="009828D6" w:rsidRPr="00046545" w:rsidRDefault="009828D6" w:rsidP="009828D6">
      <w:pPr>
        <w:pStyle w:val="BodyText"/>
      </w:pPr>
      <w:r w:rsidRPr="00046545">
        <w:t>At a consumer level, the German Government has also produced a broadband-specific atlas</w:t>
      </w:r>
      <w:r w:rsidRPr="00046545">
        <w:rPr>
          <w:vertAlign w:val="superscript"/>
        </w:rPr>
        <w:footnoteReference w:id="19"/>
      </w:r>
      <w:r w:rsidRPr="00046545">
        <w:t> , which also provides the opportunity for individual consumers to provide feedback on the information contained in the atlas, which can then be verified with the assistance of relevant service providers.</w:t>
      </w:r>
    </w:p>
    <w:p w14:paraId="1FAC4EF0" w14:textId="77777777" w:rsidR="009828D6" w:rsidRPr="00046545" w:rsidRDefault="009828D6" w:rsidP="009828D6">
      <w:pPr>
        <w:keepNext/>
        <w:keepLines/>
        <w:spacing w:before="200"/>
        <w:outlineLvl w:val="2"/>
        <w:rPr>
          <w:rFonts w:eastAsia="Times New Roman"/>
          <w:bCs/>
          <w:color w:val="1A7399"/>
          <w:sz w:val="28"/>
        </w:rPr>
      </w:pPr>
      <w:r w:rsidRPr="00046545">
        <w:rPr>
          <w:rFonts w:eastAsia="Times New Roman"/>
          <w:bCs/>
          <w:color w:val="1A7399"/>
          <w:sz w:val="28"/>
        </w:rPr>
        <w:t>European Union</w:t>
      </w:r>
    </w:p>
    <w:p w14:paraId="305D08C2" w14:textId="77777777" w:rsidR="009828D6" w:rsidRDefault="009828D6" w:rsidP="009828D6">
      <w:pPr>
        <w:pStyle w:val="BodyText"/>
        <w:rPr>
          <w:rFonts w:eastAsia="MS Mincho"/>
        </w:rPr>
      </w:pPr>
      <w:r w:rsidRPr="00046545">
        <w:rPr>
          <w:rFonts w:eastAsia="MS Mincho"/>
        </w:rPr>
        <w:t>The European Commission published its Broadband Coverage in Europe 2012</w:t>
      </w:r>
      <w:r w:rsidRPr="00046545">
        <w:rPr>
          <w:rFonts w:eastAsia="MS Mincho"/>
          <w:vertAlign w:val="superscript"/>
        </w:rPr>
        <w:footnoteReference w:id="20"/>
      </w:r>
      <w:r w:rsidRPr="00046545">
        <w:rPr>
          <w:rFonts w:eastAsia="MS Mincho"/>
        </w:rPr>
        <w:t xml:space="preserve"> report to support the objectives of the European Union’s Digital Agenda. The report supports the Agenda’s objectives of providing all European Union citizens with basic broadband coverage by 2013, and with broadband speeds of at least 30 megabits per second by 2020. The report was commissioned by the Directorate General for Communications Networks, Content and Technology, DG Connect, with data from network operators and National Regulatory Agencies. </w:t>
      </w:r>
    </w:p>
    <w:p w14:paraId="7C25BD76" w14:textId="77777777" w:rsidR="009828D6" w:rsidRDefault="009828D6" w:rsidP="009828D6">
      <w:pPr>
        <w:pStyle w:val="BodyText"/>
        <w:rPr>
          <w:rFonts w:eastAsia="MS Mincho"/>
        </w:rPr>
      </w:pPr>
      <w:r w:rsidRPr="00046545">
        <w:rPr>
          <w:rFonts w:eastAsia="MS Mincho"/>
        </w:rPr>
        <w:t xml:space="preserve">This project reports on the number and proportion of households in each European Union country (as well as Norway, Iceland, Croatia and Switzerland) that can access a range of broadband technologies. It further identifies areas where more action is needed to achieve the objectives of the Digital Agenda. The project therefore provides detailed data to inform policy and regulation activities associated with enabling high speed broadband access for the European Union. </w:t>
      </w:r>
    </w:p>
    <w:p w14:paraId="4EE2408B" w14:textId="77777777" w:rsidR="009828D6" w:rsidRDefault="009828D6" w:rsidP="009828D6">
      <w:pPr>
        <w:pStyle w:val="Heading1"/>
        <w:spacing w:before="0"/>
        <w:rPr>
          <w:rFonts w:eastAsia="MS Mincho"/>
        </w:rPr>
      </w:pPr>
      <w:r>
        <w:rPr>
          <w:rFonts w:eastAsia="MS Mincho"/>
        </w:rPr>
        <w:br w:type="page"/>
      </w:r>
    </w:p>
    <w:p w14:paraId="58D2E4E5" w14:textId="77777777" w:rsidR="009828D6" w:rsidRPr="00046545" w:rsidRDefault="009828D6" w:rsidP="009828D6">
      <w:pPr>
        <w:keepNext/>
        <w:keepLines/>
        <w:outlineLvl w:val="0"/>
        <w:rPr>
          <w:rFonts w:eastAsia="Times New Roman"/>
          <w:b/>
          <w:bCs/>
          <w:color w:val="1A7399"/>
          <w:sz w:val="40"/>
          <w:szCs w:val="32"/>
        </w:rPr>
      </w:pPr>
      <w:r w:rsidRPr="00046545">
        <w:rPr>
          <w:sz w:val="40"/>
        </w:rPr>
        <w:t xml:space="preserve"> </w:t>
      </w:r>
      <w:r w:rsidRPr="00046545">
        <w:rPr>
          <w:rFonts w:eastAsia="Times New Roman"/>
          <w:b/>
          <w:bCs/>
          <w:color w:val="1A7399"/>
          <w:sz w:val="40"/>
          <w:szCs w:val="32"/>
        </w:rPr>
        <w:t xml:space="preserve">Appendix </w:t>
      </w:r>
      <w:r>
        <w:rPr>
          <w:rFonts w:eastAsia="Times New Roman"/>
          <w:b/>
          <w:bCs/>
          <w:color w:val="1A7399"/>
          <w:sz w:val="40"/>
          <w:szCs w:val="32"/>
        </w:rPr>
        <w:t>D</w:t>
      </w:r>
      <w:r w:rsidRPr="00046545">
        <w:rPr>
          <w:rFonts w:eastAsia="Times New Roman"/>
          <w:b/>
          <w:bCs/>
          <w:color w:val="1A7399"/>
          <w:sz w:val="40"/>
          <w:szCs w:val="32"/>
        </w:rPr>
        <w:t xml:space="preserve"> – </w:t>
      </w:r>
      <w:r>
        <w:rPr>
          <w:rFonts w:eastAsia="Times New Roman"/>
          <w:b/>
          <w:bCs/>
          <w:color w:val="1A7399"/>
          <w:sz w:val="40"/>
          <w:szCs w:val="32"/>
        </w:rPr>
        <w:t>Analytical model</w:t>
      </w:r>
    </w:p>
    <w:p w14:paraId="2DA3FB36" w14:textId="77777777" w:rsidR="009828D6" w:rsidRPr="00046545" w:rsidRDefault="009828D6" w:rsidP="009828D6"/>
    <w:p w14:paraId="06E90E2D" w14:textId="77777777" w:rsidR="009828D6" w:rsidRPr="00046545" w:rsidRDefault="009828D6" w:rsidP="009828D6">
      <w:r>
        <w:rPr>
          <w:noProof/>
          <w:lang w:val="en-AU" w:eastAsia="en-AU"/>
        </w:rPr>
        <w:drawing>
          <wp:inline distT="0" distB="0" distL="0" distR="0" wp14:anchorId="52B83363" wp14:editId="7F982C76">
            <wp:extent cx="5719313" cy="3778370"/>
            <wp:effectExtent l="0" t="38100" r="0" b="10795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5D199BB" w14:textId="77777777" w:rsidR="009828D6" w:rsidRDefault="009828D6" w:rsidP="009828D6">
      <w:pPr>
        <w:rPr>
          <w:noProof/>
          <w:lang w:val="en-AU" w:eastAsia="en-AU"/>
        </w:rPr>
      </w:pPr>
    </w:p>
    <w:p w14:paraId="45037C6A" w14:textId="77777777" w:rsidR="009828D6" w:rsidRPr="00046545" w:rsidRDefault="009828D6" w:rsidP="009828D6"/>
    <w:p w14:paraId="31C8D469" w14:textId="77777777" w:rsidR="009828D6" w:rsidRDefault="009828D6" w:rsidP="009828D6">
      <w:r>
        <w:rPr>
          <w:noProof/>
          <w:lang w:val="en-AU" w:eastAsia="en-AU"/>
        </w:rPr>
        <w:drawing>
          <wp:inline distT="0" distB="0" distL="0" distR="0" wp14:anchorId="0BEEA05C" wp14:editId="5C8A95B4">
            <wp:extent cx="5967549" cy="3648891"/>
            <wp:effectExtent l="0" t="57150" r="0" b="12319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00899B30" w14:textId="77777777" w:rsidR="009828D6" w:rsidRPr="00046545" w:rsidRDefault="009828D6" w:rsidP="009828D6">
      <w:pPr>
        <w:keepNext/>
        <w:keepLines/>
        <w:spacing w:before="480"/>
        <w:outlineLvl w:val="0"/>
        <w:rPr>
          <w:rFonts w:eastAsia="Times New Roman"/>
          <w:b/>
          <w:bCs/>
          <w:color w:val="1A7399"/>
          <w:sz w:val="40"/>
          <w:szCs w:val="32"/>
        </w:rPr>
      </w:pPr>
      <w:r>
        <w:rPr>
          <w:rFonts w:eastAsia="Times New Roman"/>
          <w:b/>
          <w:bCs/>
          <w:color w:val="1A7399"/>
          <w:sz w:val="40"/>
          <w:szCs w:val="32"/>
        </w:rPr>
        <w:t>Appendix E</w:t>
      </w:r>
      <w:r w:rsidRPr="00046545">
        <w:rPr>
          <w:rFonts w:eastAsia="Times New Roman"/>
          <w:b/>
          <w:bCs/>
          <w:color w:val="1A7399"/>
          <w:sz w:val="40"/>
          <w:szCs w:val="32"/>
        </w:rPr>
        <w:t xml:space="preserve"> – Factors that affect </w:t>
      </w:r>
      <w:r>
        <w:rPr>
          <w:rFonts w:eastAsia="Times New Roman"/>
          <w:b/>
          <w:bCs/>
          <w:color w:val="1A7399"/>
          <w:sz w:val="40"/>
          <w:szCs w:val="32"/>
        </w:rPr>
        <w:t>the availability and quality of ADSL services over copper</w:t>
      </w:r>
    </w:p>
    <w:p w14:paraId="3A132826" w14:textId="77777777" w:rsidR="009828D6" w:rsidRPr="00046545" w:rsidRDefault="009828D6" w:rsidP="009828D6">
      <w:pPr>
        <w:keepNext/>
        <w:keepLines/>
        <w:spacing w:before="200"/>
        <w:outlineLvl w:val="1"/>
        <w:rPr>
          <w:rFonts w:eastAsia="Times New Roman"/>
          <w:bCs/>
          <w:color w:val="1A7399"/>
          <w:sz w:val="36"/>
          <w:szCs w:val="26"/>
        </w:rPr>
      </w:pPr>
      <w:r>
        <w:rPr>
          <w:rFonts w:eastAsia="Times New Roman"/>
          <w:bCs/>
          <w:color w:val="1A7399"/>
          <w:sz w:val="36"/>
          <w:szCs w:val="26"/>
        </w:rPr>
        <w:t>C</w:t>
      </w:r>
      <w:r w:rsidRPr="00046545">
        <w:rPr>
          <w:rFonts w:eastAsia="Times New Roman"/>
          <w:bCs/>
          <w:color w:val="1A7399"/>
          <w:sz w:val="36"/>
          <w:szCs w:val="26"/>
        </w:rPr>
        <w:t>able distance</w:t>
      </w:r>
    </w:p>
    <w:p w14:paraId="0BF81DFD" w14:textId="77777777" w:rsidR="009828D6" w:rsidRPr="00046545" w:rsidRDefault="009828D6" w:rsidP="009828D6">
      <w:pPr>
        <w:pStyle w:val="BodyText"/>
        <w:rPr>
          <w:rFonts w:eastAsia="MS Mincho"/>
        </w:rPr>
      </w:pPr>
      <w:r w:rsidRPr="00046545">
        <w:rPr>
          <w:rFonts w:eastAsia="MS Mincho"/>
        </w:rPr>
        <w:t>As a result of the gradual impact of cable length, ther</w:t>
      </w:r>
      <w:r>
        <w:rPr>
          <w:rFonts w:eastAsia="MS Mincho"/>
        </w:rPr>
        <w:t>e is a distance beyond which an ADSL</w:t>
      </w:r>
      <w:r w:rsidRPr="00046545">
        <w:rPr>
          <w:rFonts w:eastAsia="MS Mincho"/>
        </w:rPr>
        <w:t xml:space="preserve"> service is effectively not capable of being supplied. </w:t>
      </w:r>
    </w:p>
    <w:p w14:paraId="48A32C3B" w14:textId="77777777" w:rsidR="009828D6" w:rsidRPr="00046545" w:rsidRDefault="009828D6" w:rsidP="009828D6">
      <w:pPr>
        <w:pStyle w:val="BodyText"/>
        <w:rPr>
          <w:rFonts w:eastAsia="MS Mincho"/>
        </w:rPr>
      </w:pPr>
      <w:r w:rsidRPr="00046545">
        <w:rPr>
          <w:rFonts w:eastAsia="MS Mincho"/>
        </w:rPr>
        <w:t xml:space="preserve">Although this cable distance can depend on the local condition of the copper and the degree to which it is isolated from electro-magnetic interference, </w:t>
      </w:r>
      <w:r>
        <w:rPr>
          <w:rFonts w:eastAsia="MS Mincho"/>
        </w:rPr>
        <w:t xml:space="preserve">the level of signal loss at 5 kilometres </w:t>
      </w:r>
      <w:r w:rsidRPr="00046545">
        <w:rPr>
          <w:rFonts w:eastAsia="MS Mincho"/>
        </w:rPr>
        <w:t>provides a practical limit to the areas beyond which a premises generall</w:t>
      </w:r>
      <w:r>
        <w:rPr>
          <w:rFonts w:eastAsia="MS Mincho"/>
        </w:rPr>
        <w:t>y cannot access an ADSL</w:t>
      </w:r>
      <w:r w:rsidRPr="00046545">
        <w:rPr>
          <w:rFonts w:eastAsia="MS Mincho"/>
        </w:rPr>
        <w:t xml:space="preserve"> service. It is recognised that rural areas are often serviced with heavier gauge cable</w:t>
      </w:r>
      <w:r>
        <w:rPr>
          <w:rFonts w:eastAsia="MS Mincho"/>
        </w:rPr>
        <w:t xml:space="preserve"> that is capable of supporting ADSL</w:t>
      </w:r>
      <w:r w:rsidRPr="00046545">
        <w:rPr>
          <w:rFonts w:eastAsia="MS Mincho"/>
        </w:rPr>
        <w:t xml:space="preserve"> services as far</w:t>
      </w:r>
      <w:r>
        <w:rPr>
          <w:rFonts w:eastAsia="MS Mincho"/>
        </w:rPr>
        <w:t xml:space="preserve"> 8.6 kilometres for 0.9mm cable. H</w:t>
      </w:r>
      <w:r w:rsidRPr="00046545">
        <w:rPr>
          <w:rFonts w:eastAsia="MS Mincho"/>
        </w:rPr>
        <w:t>owever, as the analysis was conducted at a DA level, there is only a small proportion of DAs where density is larger than 5</w:t>
      </w:r>
      <w:r>
        <w:rPr>
          <w:rFonts w:eastAsia="MS Mincho"/>
        </w:rPr>
        <w:t xml:space="preserve"> kilometres</w:t>
      </w:r>
      <w:r w:rsidRPr="00046545">
        <w:rPr>
          <w:rFonts w:eastAsia="MS Mincho"/>
        </w:rPr>
        <w:t xml:space="preserve"> and as such there is minimal effect on t</w:t>
      </w:r>
      <w:r>
        <w:rPr>
          <w:rFonts w:eastAsia="MS Mincho"/>
        </w:rPr>
        <w:t>he results from adopting the 5 kilometre</w:t>
      </w:r>
      <w:r w:rsidRPr="00046545">
        <w:rPr>
          <w:rFonts w:eastAsia="MS Mincho"/>
        </w:rPr>
        <w:t xml:space="preserve"> cut</w:t>
      </w:r>
      <w:r>
        <w:rPr>
          <w:rFonts w:eastAsia="MS Mincho"/>
        </w:rPr>
        <w:t>-</w:t>
      </w:r>
      <w:r w:rsidRPr="00046545">
        <w:rPr>
          <w:rFonts w:eastAsia="MS Mincho"/>
        </w:rPr>
        <w:t>off.</w:t>
      </w:r>
    </w:p>
    <w:p w14:paraId="36E4AB8D" w14:textId="77777777" w:rsidR="009828D6" w:rsidRPr="00046545" w:rsidRDefault="009828D6" w:rsidP="009828D6">
      <w:pPr>
        <w:keepNext/>
        <w:keepLines/>
        <w:spacing w:before="200"/>
        <w:outlineLvl w:val="1"/>
        <w:rPr>
          <w:rFonts w:eastAsia="Times New Roman"/>
          <w:bCs/>
          <w:color w:val="1A7399"/>
          <w:sz w:val="36"/>
          <w:szCs w:val="26"/>
        </w:rPr>
      </w:pPr>
      <w:r w:rsidRPr="00046545">
        <w:rPr>
          <w:rFonts w:eastAsia="Times New Roman"/>
          <w:bCs/>
          <w:color w:val="1A7399"/>
          <w:sz w:val="36"/>
          <w:szCs w:val="26"/>
        </w:rPr>
        <w:t>Estimating telephone line length</w:t>
      </w:r>
    </w:p>
    <w:p w14:paraId="7D960B13" w14:textId="77777777" w:rsidR="009828D6" w:rsidRPr="00046545" w:rsidRDefault="009828D6" w:rsidP="009828D6">
      <w:pPr>
        <w:pStyle w:val="BodyText"/>
        <w:rPr>
          <w:rFonts w:eastAsia="MS Mincho"/>
        </w:rPr>
      </w:pPr>
      <w:r w:rsidRPr="00046545">
        <w:rPr>
          <w:rFonts w:eastAsia="MS Mincho"/>
        </w:rPr>
        <w:t xml:space="preserve">Line length is a critical variable affecting </w:t>
      </w:r>
      <w:r>
        <w:rPr>
          <w:rFonts w:eastAsia="MS Mincho"/>
        </w:rPr>
        <w:t>ADSL</w:t>
      </w:r>
      <w:r w:rsidRPr="00046545">
        <w:rPr>
          <w:rFonts w:eastAsia="MS Mincho"/>
        </w:rPr>
        <w:t xml:space="preserve"> performance across a DA. Data on geographic routing of telephone lines are not available, so an equivalent is required. As telephone lines are generally routed via stre</w:t>
      </w:r>
      <w:r>
        <w:rPr>
          <w:rFonts w:eastAsia="MS Mincho"/>
        </w:rPr>
        <w:t xml:space="preserve">ets from the telephone exchange </w:t>
      </w:r>
      <w:r w:rsidRPr="00046545">
        <w:rPr>
          <w:rFonts w:eastAsia="MS Mincho"/>
        </w:rPr>
        <w:t xml:space="preserve">to premises, an estimate of the cable length can be determined from the shortest street distance between these two points. </w:t>
      </w:r>
      <w:r>
        <w:rPr>
          <w:rFonts w:eastAsia="MS Mincho"/>
        </w:rPr>
        <w:t xml:space="preserve">However, telephone lines are frequently routed via a street cabinet which may contain the equipment necessary to deliver ADSL services, such that the street distance from the cabinet rather than the exchange to the premises is more critical. </w:t>
      </w:r>
      <w:r w:rsidRPr="00046545">
        <w:rPr>
          <w:rFonts w:eastAsia="MS Mincho"/>
        </w:rPr>
        <w:t xml:space="preserve">To automate the process of determining this distance </w:t>
      </w:r>
      <w:r>
        <w:rPr>
          <w:rFonts w:eastAsia="MS Mincho"/>
        </w:rPr>
        <w:t xml:space="preserve">(red dashed line) </w:t>
      </w:r>
      <w:r w:rsidRPr="00046545">
        <w:rPr>
          <w:rFonts w:eastAsia="MS Mincho"/>
        </w:rPr>
        <w:t xml:space="preserve">for each premises in a DA, the department modified its own purpose-built spatial tool (Streetcrawl), to account for the location of street cabinets which was provided for this analysis by Telstra. </w:t>
      </w:r>
    </w:p>
    <w:p w14:paraId="0033C35B" w14:textId="77777777" w:rsidR="009828D6" w:rsidRPr="00046545" w:rsidRDefault="009828D6" w:rsidP="009828D6">
      <w:r>
        <w:rPr>
          <w:noProof/>
          <w:lang w:val="en-AU" w:eastAsia="en-AU"/>
        </w:rPr>
        <mc:AlternateContent>
          <mc:Choice Requires="wpc">
            <w:drawing>
              <wp:inline distT="0" distB="0" distL="0" distR="0" wp14:anchorId="4B9E01A4" wp14:editId="07B1D5F6">
                <wp:extent cx="5600700" cy="1304014"/>
                <wp:effectExtent l="0" t="0" r="0" b="0"/>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 name="Group 2"/>
                        <wpg:cNvGrpSpPr/>
                        <wpg:grpSpPr>
                          <a:xfrm>
                            <a:off x="121936" y="87440"/>
                            <a:ext cx="1356106" cy="348645"/>
                            <a:chOff x="0" y="0"/>
                            <a:chExt cx="1271214" cy="387565"/>
                          </a:xfrm>
                          <a:scene3d>
                            <a:camera prst="orthographicFront"/>
                            <a:lightRig rig="flat" dir="t"/>
                          </a:scene3d>
                        </wpg:grpSpPr>
                        <wps:wsp>
                          <wps:cNvPr id="20" name="Rectangle 20"/>
                          <wps:cNvSpPr/>
                          <wps:spPr>
                            <a:xfrm>
                              <a:off x="0" y="0"/>
                              <a:ext cx="1271214" cy="387565"/>
                            </a:xfrm>
                            <a:prstGeom prst="rect">
                              <a:avLst/>
                            </a:prstGeom>
                            <a:sp3d prstMaterial="dkEdge">
                              <a:bevelT w="8200" h="38100"/>
                            </a:sp3d>
                          </wps:spPr>
                          <wps:style>
                            <a:lnRef idx="0">
                              <a:schemeClr val="lt1">
                                <a:hueOff val="0"/>
                                <a:satOff val="0"/>
                                <a:lumOff val="0"/>
                                <a:alphaOff val="0"/>
                              </a:schemeClr>
                            </a:lnRef>
                            <a:fillRef idx="2">
                              <a:schemeClr val="accent1">
                                <a:alpha val="70000"/>
                                <a:hueOff val="0"/>
                                <a:satOff val="0"/>
                                <a:lumOff val="0"/>
                                <a:alphaOff val="0"/>
                              </a:schemeClr>
                            </a:fillRef>
                            <a:effectRef idx="1">
                              <a:schemeClr val="accent1">
                                <a:alpha val="70000"/>
                                <a:hueOff val="0"/>
                                <a:satOff val="0"/>
                                <a:lumOff val="0"/>
                                <a:alphaOff val="0"/>
                              </a:schemeClr>
                            </a:effectRef>
                            <a:fontRef idx="minor">
                              <a:schemeClr val="dk1"/>
                            </a:fontRef>
                          </wps:style>
                          <wps:bodyPr/>
                        </wps:wsp>
                        <wps:wsp>
                          <wps:cNvPr id="21" name="Rectangle 21"/>
                          <wps:cNvSpPr/>
                          <wps:spPr>
                            <a:xfrm>
                              <a:off x="0" y="0"/>
                              <a:ext cx="1271214" cy="387565"/>
                            </a:xfrm>
                            <a:prstGeom prst="rect">
                              <a:avLst/>
                            </a:prstGeom>
                            <a:sp3d/>
                          </wps:spPr>
                          <wps:style>
                            <a:lnRef idx="0">
                              <a:scrgbClr r="0" g="0" b="0"/>
                            </a:lnRef>
                            <a:fillRef idx="0">
                              <a:scrgbClr r="0" g="0" b="0"/>
                            </a:fillRef>
                            <a:effectRef idx="0">
                              <a:scrgbClr r="0" g="0" b="0"/>
                            </a:effectRef>
                            <a:fontRef idx="minor">
                              <a:schemeClr val="dk1"/>
                            </a:fontRef>
                          </wps:style>
                          <wps:txbx>
                            <w:txbxContent>
                              <w:p w14:paraId="57F70EEA" w14:textId="77777777" w:rsidR="009828D6" w:rsidRPr="002F5F3E" w:rsidRDefault="009828D6" w:rsidP="009828D6">
                                <w:pPr>
                                  <w:pStyle w:val="NormalWeb"/>
                                  <w:spacing w:before="0" w:beforeAutospacing="0" w:after="84" w:afterAutospacing="0" w:line="216" w:lineRule="auto"/>
                                  <w:jc w:val="center"/>
                                  <w:rPr>
                                    <w:rFonts w:asciiTheme="minorHAnsi" w:hAnsiTheme="minorHAnsi" w:cstheme="minorHAnsi"/>
                                  </w:rPr>
                                </w:pPr>
                                <w:r w:rsidRPr="002F5F3E">
                                  <w:rPr>
                                    <w:rFonts w:asciiTheme="minorHAnsi" w:hAnsiTheme="minorHAnsi" w:cstheme="minorHAnsi"/>
                                    <w:kern w:val="24"/>
                                  </w:rPr>
                                  <w:t>Exchange</w:t>
                                </w:r>
                              </w:p>
                            </w:txbxContent>
                          </wps:txbx>
                          <wps:bodyPr spcFirstLastPara="0" vert="horz" wrap="square" lIns="6350" tIns="6350" rIns="6350" bIns="6350" numCol="1" spcCol="1270" anchor="ctr" anchorCtr="0">
                            <a:noAutofit/>
                          </wps:bodyPr>
                        </wps:wsp>
                      </wpg:wgp>
                      <wpg:wgp>
                        <wpg:cNvPr id="23" name="Group 23"/>
                        <wpg:cNvGrpSpPr/>
                        <wpg:grpSpPr>
                          <a:xfrm>
                            <a:off x="1707065" y="773264"/>
                            <a:ext cx="1355488" cy="306310"/>
                            <a:chOff x="0" y="0"/>
                            <a:chExt cx="1271214" cy="387565"/>
                          </a:xfrm>
                          <a:scene3d>
                            <a:camera prst="orthographicFront"/>
                            <a:lightRig rig="flat" dir="t"/>
                          </a:scene3d>
                        </wpg:grpSpPr>
                        <wps:wsp>
                          <wps:cNvPr id="24" name="Rectangle 24"/>
                          <wps:cNvSpPr/>
                          <wps:spPr>
                            <a:xfrm>
                              <a:off x="0" y="0"/>
                              <a:ext cx="1271214" cy="387565"/>
                            </a:xfrm>
                            <a:prstGeom prst="rect">
                              <a:avLst/>
                            </a:prstGeom>
                            <a:sp3d prstMaterial="dkEdge">
                              <a:bevelT w="8200" h="38100"/>
                            </a:sp3d>
                          </wps:spPr>
                          <wps:style>
                            <a:lnRef idx="0">
                              <a:schemeClr val="lt1">
                                <a:hueOff val="0"/>
                                <a:satOff val="0"/>
                                <a:lumOff val="0"/>
                                <a:alphaOff val="0"/>
                              </a:schemeClr>
                            </a:lnRef>
                            <a:fillRef idx="2">
                              <a:schemeClr val="accent1">
                                <a:alpha val="70000"/>
                                <a:hueOff val="0"/>
                                <a:satOff val="0"/>
                                <a:lumOff val="0"/>
                                <a:alphaOff val="0"/>
                              </a:schemeClr>
                            </a:fillRef>
                            <a:effectRef idx="1">
                              <a:schemeClr val="accent1">
                                <a:alpha val="70000"/>
                                <a:hueOff val="0"/>
                                <a:satOff val="0"/>
                                <a:lumOff val="0"/>
                                <a:alphaOff val="0"/>
                              </a:schemeClr>
                            </a:effectRef>
                            <a:fontRef idx="minor">
                              <a:schemeClr val="dk1"/>
                            </a:fontRef>
                          </wps:style>
                          <wps:txbx>
                            <w:txbxContent>
                              <w:p w14:paraId="02AC7EF8" w14:textId="77777777" w:rsidR="009828D6" w:rsidRPr="002F5F3E" w:rsidRDefault="009828D6" w:rsidP="009828D6">
                                <w:pPr>
                                  <w:rPr>
                                    <w:rFonts w:asciiTheme="minorHAnsi" w:eastAsia="Times New Roman" w:hAnsiTheme="minorHAnsi" w:cstheme="minorHAnsi"/>
                                  </w:rPr>
                                </w:pPr>
                              </w:p>
                            </w:txbxContent>
                          </wps:txbx>
                          <wps:bodyPr/>
                        </wps:wsp>
                        <wps:wsp>
                          <wps:cNvPr id="25" name="Rectangle 25"/>
                          <wps:cNvSpPr/>
                          <wps:spPr>
                            <a:xfrm>
                              <a:off x="0" y="0"/>
                              <a:ext cx="1271214" cy="387565"/>
                            </a:xfrm>
                            <a:prstGeom prst="rect">
                              <a:avLst/>
                            </a:prstGeom>
                            <a:sp3d/>
                          </wps:spPr>
                          <wps:style>
                            <a:lnRef idx="0">
                              <a:scrgbClr r="0" g="0" b="0"/>
                            </a:lnRef>
                            <a:fillRef idx="0">
                              <a:scrgbClr r="0" g="0" b="0"/>
                            </a:fillRef>
                            <a:effectRef idx="0">
                              <a:scrgbClr r="0" g="0" b="0"/>
                            </a:effectRef>
                            <a:fontRef idx="minor">
                              <a:schemeClr val="dk1"/>
                            </a:fontRef>
                          </wps:style>
                          <wps:txbx>
                            <w:txbxContent>
                              <w:p w14:paraId="5A06CCBE" w14:textId="77777777" w:rsidR="009828D6" w:rsidRPr="002F5F3E" w:rsidRDefault="009828D6" w:rsidP="009828D6">
                                <w:pPr>
                                  <w:pStyle w:val="NormalWeb"/>
                                  <w:spacing w:before="0" w:beforeAutospacing="0" w:after="84" w:afterAutospacing="0" w:line="216" w:lineRule="auto"/>
                                  <w:jc w:val="center"/>
                                  <w:rPr>
                                    <w:rFonts w:asciiTheme="minorHAnsi" w:hAnsiTheme="minorHAnsi" w:cstheme="minorHAnsi"/>
                                  </w:rPr>
                                </w:pPr>
                                <w:r>
                                  <w:rPr>
                                    <w:rFonts w:asciiTheme="minorHAnsi" w:eastAsia="Calibri" w:hAnsiTheme="minorHAnsi" w:cstheme="minorHAnsi"/>
                                    <w:kern w:val="24"/>
                                  </w:rPr>
                                  <w:t>Cabinet</w:t>
                                </w:r>
                              </w:p>
                            </w:txbxContent>
                          </wps:txbx>
                          <wps:bodyPr spcFirstLastPara="0" vert="horz" wrap="square" lIns="6350" tIns="6350" rIns="6350" bIns="6350" numCol="1" spcCol="1270" anchor="ctr" anchorCtr="0">
                            <a:noAutofit/>
                          </wps:bodyPr>
                        </wps:wsp>
                      </wpg:wgp>
                      <wpg:wgp>
                        <wpg:cNvPr id="26" name="Group 26"/>
                        <wpg:cNvGrpSpPr/>
                        <wpg:grpSpPr>
                          <a:xfrm>
                            <a:off x="3901860" y="773051"/>
                            <a:ext cx="1355488" cy="306697"/>
                            <a:chOff x="0" y="0"/>
                            <a:chExt cx="1271214" cy="387565"/>
                          </a:xfrm>
                          <a:scene3d>
                            <a:camera prst="orthographicFront"/>
                            <a:lightRig rig="flat" dir="t"/>
                          </a:scene3d>
                        </wpg:grpSpPr>
                        <wps:wsp>
                          <wps:cNvPr id="27" name="Rectangle 27"/>
                          <wps:cNvSpPr/>
                          <wps:spPr>
                            <a:xfrm>
                              <a:off x="0" y="0"/>
                              <a:ext cx="1271214" cy="387565"/>
                            </a:xfrm>
                            <a:prstGeom prst="rect">
                              <a:avLst/>
                            </a:prstGeom>
                            <a:sp3d prstMaterial="dkEdge">
                              <a:bevelT w="8200" h="38100"/>
                            </a:sp3d>
                          </wps:spPr>
                          <wps:style>
                            <a:lnRef idx="0">
                              <a:schemeClr val="lt1">
                                <a:hueOff val="0"/>
                                <a:satOff val="0"/>
                                <a:lumOff val="0"/>
                                <a:alphaOff val="0"/>
                              </a:schemeClr>
                            </a:lnRef>
                            <a:fillRef idx="2">
                              <a:schemeClr val="accent1">
                                <a:alpha val="70000"/>
                                <a:hueOff val="0"/>
                                <a:satOff val="0"/>
                                <a:lumOff val="0"/>
                                <a:alphaOff val="0"/>
                              </a:schemeClr>
                            </a:fillRef>
                            <a:effectRef idx="1">
                              <a:schemeClr val="accent1">
                                <a:alpha val="70000"/>
                                <a:hueOff val="0"/>
                                <a:satOff val="0"/>
                                <a:lumOff val="0"/>
                                <a:alphaOff val="0"/>
                              </a:schemeClr>
                            </a:effectRef>
                            <a:fontRef idx="minor">
                              <a:schemeClr val="dk1"/>
                            </a:fontRef>
                          </wps:style>
                          <wps:txbx>
                            <w:txbxContent>
                              <w:p w14:paraId="0654232C" w14:textId="77777777" w:rsidR="009828D6" w:rsidRPr="002F5F3E" w:rsidRDefault="009828D6" w:rsidP="009828D6">
                                <w:pPr>
                                  <w:rPr>
                                    <w:rFonts w:asciiTheme="minorHAnsi" w:eastAsia="Times New Roman" w:hAnsiTheme="minorHAnsi" w:cstheme="minorHAnsi"/>
                                  </w:rPr>
                                </w:pPr>
                              </w:p>
                            </w:txbxContent>
                          </wps:txbx>
                          <wps:bodyPr/>
                        </wps:wsp>
                        <wps:wsp>
                          <wps:cNvPr id="28" name="Rectangle 28"/>
                          <wps:cNvSpPr/>
                          <wps:spPr>
                            <a:xfrm>
                              <a:off x="0" y="0"/>
                              <a:ext cx="1271214" cy="387565"/>
                            </a:xfrm>
                            <a:prstGeom prst="rect">
                              <a:avLst/>
                            </a:prstGeom>
                            <a:sp3d/>
                          </wps:spPr>
                          <wps:style>
                            <a:lnRef idx="0">
                              <a:scrgbClr r="0" g="0" b="0"/>
                            </a:lnRef>
                            <a:fillRef idx="0">
                              <a:scrgbClr r="0" g="0" b="0"/>
                            </a:fillRef>
                            <a:effectRef idx="0">
                              <a:scrgbClr r="0" g="0" b="0"/>
                            </a:effectRef>
                            <a:fontRef idx="minor">
                              <a:schemeClr val="dk1"/>
                            </a:fontRef>
                          </wps:style>
                          <wps:txbx>
                            <w:txbxContent>
                              <w:p w14:paraId="01B05477" w14:textId="77777777" w:rsidR="009828D6" w:rsidRPr="002F5F3E" w:rsidRDefault="009828D6" w:rsidP="009828D6">
                                <w:pPr>
                                  <w:pStyle w:val="NormalWeb"/>
                                  <w:spacing w:before="0" w:beforeAutospacing="0" w:after="84" w:afterAutospacing="0" w:line="216" w:lineRule="auto"/>
                                  <w:jc w:val="center"/>
                                  <w:rPr>
                                    <w:rFonts w:asciiTheme="minorHAnsi" w:hAnsiTheme="minorHAnsi" w:cstheme="minorHAnsi"/>
                                  </w:rPr>
                                </w:pPr>
                                <w:r>
                                  <w:rPr>
                                    <w:rFonts w:asciiTheme="minorHAnsi" w:eastAsia="Calibri" w:hAnsiTheme="minorHAnsi" w:cstheme="minorHAnsi"/>
                                    <w:kern w:val="24"/>
                                  </w:rPr>
                                  <w:t>Premises</w:t>
                                </w:r>
                              </w:p>
                            </w:txbxContent>
                          </wps:txbx>
                          <wps:bodyPr spcFirstLastPara="0" vert="horz" wrap="square" lIns="6350" tIns="6350" rIns="6350" bIns="6350" numCol="1" spcCol="1270" anchor="ctr" anchorCtr="0">
                            <a:noAutofit/>
                          </wps:bodyPr>
                        </wps:wsp>
                      </wpg:wgp>
                      <wpg:wgp>
                        <wpg:cNvPr id="29" name="Group 29"/>
                        <wpg:cNvGrpSpPr/>
                        <wpg:grpSpPr>
                          <a:xfrm>
                            <a:off x="3901860" y="87464"/>
                            <a:ext cx="1355488" cy="348627"/>
                            <a:chOff x="0" y="0"/>
                            <a:chExt cx="1271214" cy="387565"/>
                          </a:xfrm>
                          <a:scene3d>
                            <a:camera prst="orthographicFront"/>
                            <a:lightRig rig="flat" dir="t"/>
                          </a:scene3d>
                        </wpg:grpSpPr>
                        <wps:wsp>
                          <wps:cNvPr id="30" name="Rectangle 30"/>
                          <wps:cNvSpPr/>
                          <wps:spPr>
                            <a:xfrm>
                              <a:off x="0" y="0"/>
                              <a:ext cx="1271214" cy="387565"/>
                            </a:xfrm>
                            <a:prstGeom prst="rect">
                              <a:avLst/>
                            </a:prstGeom>
                            <a:sp3d prstMaterial="dkEdge">
                              <a:bevelT w="8200" h="38100"/>
                            </a:sp3d>
                          </wps:spPr>
                          <wps:style>
                            <a:lnRef idx="0">
                              <a:schemeClr val="lt1">
                                <a:hueOff val="0"/>
                                <a:satOff val="0"/>
                                <a:lumOff val="0"/>
                                <a:alphaOff val="0"/>
                              </a:schemeClr>
                            </a:lnRef>
                            <a:fillRef idx="2">
                              <a:schemeClr val="accent1">
                                <a:alpha val="70000"/>
                                <a:hueOff val="0"/>
                                <a:satOff val="0"/>
                                <a:lumOff val="0"/>
                                <a:alphaOff val="0"/>
                              </a:schemeClr>
                            </a:fillRef>
                            <a:effectRef idx="1">
                              <a:schemeClr val="accent1">
                                <a:alpha val="70000"/>
                                <a:hueOff val="0"/>
                                <a:satOff val="0"/>
                                <a:lumOff val="0"/>
                                <a:alphaOff val="0"/>
                              </a:schemeClr>
                            </a:effectRef>
                            <a:fontRef idx="minor">
                              <a:schemeClr val="dk1"/>
                            </a:fontRef>
                          </wps:style>
                          <wps:txbx>
                            <w:txbxContent>
                              <w:p w14:paraId="2A8C3170" w14:textId="77777777" w:rsidR="009828D6" w:rsidRPr="002F5F3E" w:rsidRDefault="009828D6" w:rsidP="009828D6">
                                <w:pPr>
                                  <w:rPr>
                                    <w:rFonts w:asciiTheme="minorHAnsi" w:eastAsia="Times New Roman" w:hAnsiTheme="minorHAnsi" w:cstheme="minorHAnsi"/>
                                  </w:rPr>
                                </w:pPr>
                              </w:p>
                            </w:txbxContent>
                          </wps:txbx>
                          <wps:bodyPr/>
                        </wps:wsp>
                        <wps:wsp>
                          <wps:cNvPr id="31" name="Rectangle 31"/>
                          <wps:cNvSpPr/>
                          <wps:spPr>
                            <a:xfrm>
                              <a:off x="0" y="0"/>
                              <a:ext cx="1271214" cy="387565"/>
                            </a:xfrm>
                            <a:prstGeom prst="rect">
                              <a:avLst/>
                            </a:prstGeom>
                            <a:sp3d/>
                          </wps:spPr>
                          <wps:style>
                            <a:lnRef idx="0">
                              <a:scrgbClr r="0" g="0" b="0"/>
                            </a:lnRef>
                            <a:fillRef idx="0">
                              <a:scrgbClr r="0" g="0" b="0"/>
                            </a:fillRef>
                            <a:effectRef idx="0">
                              <a:scrgbClr r="0" g="0" b="0"/>
                            </a:effectRef>
                            <a:fontRef idx="minor">
                              <a:schemeClr val="dk1"/>
                            </a:fontRef>
                          </wps:style>
                          <wps:txbx>
                            <w:txbxContent>
                              <w:p w14:paraId="51B7A525" w14:textId="77777777" w:rsidR="009828D6" w:rsidRPr="002F5F3E" w:rsidRDefault="009828D6" w:rsidP="009828D6">
                                <w:pPr>
                                  <w:pStyle w:val="NormalWeb"/>
                                  <w:spacing w:before="0" w:beforeAutospacing="0" w:after="84" w:afterAutospacing="0" w:line="216" w:lineRule="auto"/>
                                  <w:jc w:val="center"/>
                                  <w:rPr>
                                    <w:rFonts w:asciiTheme="minorHAnsi" w:hAnsiTheme="minorHAnsi" w:cstheme="minorHAnsi"/>
                                  </w:rPr>
                                </w:pPr>
                                <w:r>
                                  <w:rPr>
                                    <w:rFonts w:asciiTheme="minorHAnsi" w:eastAsia="Calibri" w:hAnsiTheme="minorHAnsi" w:cstheme="minorHAnsi"/>
                                    <w:kern w:val="24"/>
                                  </w:rPr>
                                  <w:t>Premises</w:t>
                                </w:r>
                              </w:p>
                            </w:txbxContent>
                          </wps:txbx>
                          <wps:bodyPr spcFirstLastPara="0" vert="horz" wrap="square" lIns="6350" tIns="6350" rIns="6350" bIns="6350" numCol="1" spcCol="1270" anchor="ctr" anchorCtr="0">
                            <a:noAutofit/>
                          </wps:bodyPr>
                        </wps:wsp>
                      </wpg:wgp>
                      <wps:wsp>
                        <wps:cNvPr id="32" name="Elbow Connector 32"/>
                        <wps:cNvCnPr>
                          <a:endCxn id="24" idx="1"/>
                        </wps:cNvCnPr>
                        <wps:spPr>
                          <a:xfrm>
                            <a:off x="731600" y="436193"/>
                            <a:ext cx="975465" cy="490226"/>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stCxn id="21" idx="3"/>
                          <a:endCxn id="30" idx="1"/>
                        </wps:cNvCnPr>
                        <wps:spPr>
                          <a:xfrm>
                            <a:off x="1478042" y="261763"/>
                            <a:ext cx="2423818" cy="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stCxn id="25" idx="3"/>
                          <a:endCxn id="27" idx="1"/>
                        </wps:cNvCnPr>
                        <wps:spPr>
                          <a:xfrm flipV="1">
                            <a:off x="3062553" y="926400"/>
                            <a:ext cx="839307" cy="1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1478041" y="371839"/>
                            <a:ext cx="2423818" cy="0"/>
                          </a:xfrm>
                          <a:prstGeom prst="line">
                            <a:avLst/>
                          </a:prstGeom>
                          <a:ln>
                            <a:prstDash val="sysDash"/>
                          </a:ln>
                        </wps:spPr>
                        <wps:style>
                          <a:lnRef idx="3">
                            <a:schemeClr val="accent2"/>
                          </a:lnRef>
                          <a:fillRef idx="0">
                            <a:schemeClr val="accent2"/>
                          </a:fillRef>
                          <a:effectRef idx="2">
                            <a:schemeClr val="accent2"/>
                          </a:effectRef>
                          <a:fontRef idx="minor">
                            <a:schemeClr val="tx1"/>
                          </a:fontRef>
                        </wps:style>
                        <wps:bodyPr/>
                      </wps:wsp>
                      <wps:wsp>
                        <wps:cNvPr id="36" name="Straight Connector 36"/>
                        <wps:cNvCnPr/>
                        <wps:spPr>
                          <a:xfrm>
                            <a:off x="3062553" y="991571"/>
                            <a:ext cx="839306" cy="0"/>
                          </a:xfrm>
                          <a:prstGeom prst="line">
                            <a:avLst/>
                          </a:prstGeom>
                          <a:ln>
                            <a:prstDash val="sysDash"/>
                          </a:ln>
                        </wps:spPr>
                        <wps:style>
                          <a:lnRef idx="3">
                            <a:schemeClr val="accent2"/>
                          </a:lnRef>
                          <a:fillRef idx="0">
                            <a:schemeClr val="accent2"/>
                          </a:fillRef>
                          <a:effectRef idx="2">
                            <a:schemeClr val="accent2"/>
                          </a:effectRef>
                          <a:fontRef idx="minor">
                            <a:schemeClr val="tx1"/>
                          </a:fontRef>
                        </wps:style>
                        <wps:bodyPr/>
                      </wps:wsp>
                    </wpc:wpc>
                  </a:graphicData>
                </a:graphic>
              </wp:inline>
            </w:drawing>
          </mc:Choice>
          <mc:Fallback>
            <w:pict>
              <v:group id="Canvas 39" o:spid="_x0000_s1026" editas="canvas" style="width:441pt;height:102.7pt;mso-position-horizontal-relative:char;mso-position-vertical-relative:line" coordsize="56007,1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7;height:13036;visibility:visible;mso-wrap-style:square">
                  <v:fill o:detectmouseclick="t"/>
                  <v:path o:connecttype="none"/>
                </v:shape>
                <v:group id="Group 2" o:spid="_x0000_s1028" style="position:absolute;left:1219;top:874;width:13561;height:3486" coordsize="12712,3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0" o:spid="_x0000_s1029" style="position:absolute;width:12712;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TjcIA&#10;AADbAAAADwAAAGRycy9kb3ducmV2LnhtbERPy4rCMBTdC/5DuIIb0XScQaQaRQaEygyID9Tlpbm2&#10;xeamNlE7fr1ZDLg8nPd03phS3Kl2hWUFH4MIBHFqdcGZgv1u2R+DcB5ZY2mZFPyRg/ms3ZpirO2D&#10;N3Tf+kyEEHYxKsi9r2IpXZqTQTewFXHgzrY26AOsM6lrfIRwU8phFI2kwYJDQ44VfeeUXrY3o+Bz&#10;/XX91Uc8HMbn3vWZmNNq/ZMo1e00iwkIT41/i//diVYwDOvD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VONwgAAANsAAAAPAAAAAAAAAAAAAAAAAJgCAABkcnMvZG93&#10;bnJldi54bWxQSwUGAAAAAAQABAD1AAAAhwMAAAAA&#10;" fillcolor="#a7bfde [1620]" stroked="f">
                    <v:fill opacity="45875f" color2="#e4ecf5 [500]" o:opacity2="45875f" rotate="t" angle="180" colors="0 #a3c4ff;22938f #bfd5ff;1 #e5eeff" focus="100%" type="gradient"/>
                    <v:shadow on="t" color="black" opacity="24903f" origin=",.5" offset="0,.55556mm"/>
                  </v:rect>
                  <v:rect id="Rectangle 21" o:spid="_x0000_s1030" style="position:absolute;width:12712;height: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m+MUA&#10;AADbAAAADwAAAGRycy9kb3ducmV2LnhtbESPQUsDMRSE74L/ITyhF7HZ9iCyNi1lUbCHotYF6e11&#10;87oJ3bwsSexu/70RhB6HmfmGWaxG14kzhWg9K5hNCxDEjdeWWwX11+vDE4iYkDV2nknBhSKslrc3&#10;Cyy1H/iTzrvUigzhWKICk1JfShkbQw7j1PfE2Tv64DBlGVqpAw4Z7jo5L4pH6dByXjDYU2WoOe1+&#10;nIKP/Xu9OVT3L6berovqe7BB20qpyd24fgaRaEzX8H/7TSuYz+DvS/4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ib4xQAAANsAAAAPAAAAAAAAAAAAAAAAAJgCAABkcnMv&#10;ZG93bnJldi54bWxQSwUGAAAAAAQABAD1AAAAigMAAAAA&#10;" filled="f" stroked="f">
                    <v:textbox inset=".5pt,.5pt,.5pt,.5pt">
                      <w:txbxContent>
                        <w:p w14:paraId="57F70EEA" w14:textId="77777777" w:rsidR="009828D6" w:rsidRPr="002F5F3E" w:rsidRDefault="009828D6" w:rsidP="009828D6">
                          <w:pPr>
                            <w:pStyle w:val="NormalWeb"/>
                            <w:spacing w:before="0" w:beforeAutospacing="0" w:after="84" w:afterAutospacing="0" w:line="216" w:lineRule="auto"/>
                            <w:jc w:val="center"/>
                            <w:rPr>
                              <w:rFonts w:asciiTheme="minorHAnsi" w:hAnsiTheme="minorHAnsi" w:cstheme="minorHAnsi"/>
                            </w:rPr>
                          </w:pPr>
                          <w:r w:rsidRPr="002F5F3E">
                            <w:rPr>
                              <w:rFonts w:asciiTheme="minorHAnsi" w:hAnsiTheme="minorHAnsi" w:cstheme="minorHAnsi"/>
                              <w:kern w:val="24"/>
                            </w:rPr>
                            <w:t>Exchange</w:t>
                          </w:r>
                        </w:p>
                      </w:txbxContent>
                    </v:textbox>
                  </v:rect>
                </v:group>
                <v:group id="Group 23" o:spid="_x0000_s1031" style="position:absolute;left:17070;top:7732;width:13555;height:3063" coordsize="12712,3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24" o:spid="_x0000_s1032" style="position:absolute;width:12712;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VjscA&#10;AADbAAAADwAAAGRycy9kb3ducmV2LnhtbESPW2vCQBSE34X+h+UU+iK6qUoJMauUQiFiQbygPh6y&#10;JxeaPRuzq6b99d1CoY/DzHzDpMveNOJGnastK3geRyCIc6trLhUc9u+jGITzyBoby6TgixwsFw+D&#10;FBNt77yl286XIkDYJaig8r5NpHR5RQbd2LbEwStsZ9AH2ZVSd3gPcNPISRS9SIM1h4UKW3qrKP/c&#10;XY2C6WZ2+dAnPB7jYnj5zsx5tVlnSj099q9zEJ56/x/+a2dawWQGv1/CD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VY7HAAAA2wAAAA8AAAAAAAAAAAAAAAAAmAIAAGRy&#10;cy9kb3ducmV2LnhtbFBLBQYAAAAABAAEAPUAAACMAwAAAAA=&#10;" fillcolor="#a7bfde [1620]" stroked="f">
                    <v:fill opacity="45875f" color2="#e4ecf5 [500]" o:opacity2="45875f" rotate="t" angle="180" colors="0 #a3c4ff;22938f #bfd5ff;1 #e5eeff" focus="100%" type="gradient"/>
                    <v:shadow on="t" color="black" opacity="24903f" origin=",.5" offset="0,.55556mm"/>
                    <v:textbox>
                      <w:txbxContent>
                        <w:p w14:paraId="02AC7EF8" w14:textId="77777777" w:rsidR="009828D6" w:rsidRPr="002F5F3E" w:rsidRDefault="009828D6" w:rsidP="009828D6">
                          <w:pPr>
                            <w:rPr>
                              <w:rFonts w:asciiTheme="minorHAnsi" w:eastAsia="Times New Roman" w:hAnsiTheme="minorHAnsi" w:cstheme="minorHAnsi"/>
                            </w:rPr>
                          </w:pPr>
                        </w:p>
                      </w:txbxContent>
                    </v:textbox>
                  </v:rect>
                  <v:rect id="Rectangle 25" o:spid="_x0000_s1033" style="position:absolute;width:12712;height: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g+8UA&#10;AADbAAAADwAAAGRycy9kb3ducmV2LnhtbESPQUsDMRSE7wX/Q3iCF7HZFiyyNi1lsaAHsV0XxNtz&#10;89wENy9LErvrvzeC0OMwM98w6+3kenGiEK1nBYt5AYK49dpyp6B53d/cgYgJWWPvmRT8UITt5mK2&#10;xlL7kY90qlMnMoRjiQpMSkMpZWwNOYxzPxBn79MHhynL0EkdcMxw18tlUaykQ8t5weBAlaH2q/52&#10;Cg7vL83TR3X9YJrnXVG9jTZoWyl1dTnt7kEkmtI5/N9+1AqWt/D3Jf8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SD7xQAAANsAAAAPAAAAAAAAAAAAAAAAAJgCAABkcnMv&#10;ZG93bnJldi54bWxQSwUGAAAAAAQABAD1AAAAigMAAAAA&#10;" filled="f" stroked="f">
                    <v:textbox inset=".5pt,.5pt,.5pt,.5pt">
                      <w:txbxContent>
                        <w:p w14:paraId="5A06CCBE" w14:textId="77777777" w:rsidR="009828D6" w:rsidRPr="002F5F3E" w:rsidRDefault="009828D6" w:rsidP="009828D6">
                          <w:pPr>
                            <w:pStyle w:val="NormalWeb"/>
                            <w:spacing w:before="0" w:beforeAutospacing="0" w:after="84" w:afterAutospacing="0" w:line="216" w:lineRule="auto"/>
                            <w:jc w:val="center"/>
                            <w:rPr>
                              <w:rFonts w:asciiTheme="minorHAnsi" w:hAnsiTheme="minorHAnsi" w:cstheme="minorHAnsi"/>
                            </w:rPr>
                          </w:pPr>
                          <w:r>
                            <w:rPr>
                              <w:rFonts w:asciiTheme="minorHAnsi" w:eastAsia="Calibri" w:hAnsiTheme="minorHAnsi" w:cstheme="minorHAnsi"/>
                              <w:kern w:val="24"/>
                            </w:rPr>
                            <w:t>Cabinet</w:t>
                          </w:r>
                        </w:p>
                      </w:txbxContent>
                    </v:textbox>
                  </v:rect>
                </v:group>
                <v:group id="Group 26" o:spid="_x0000_s1034" style="position:absolute;left:39018;top:7730;width:13555;height:3067" coordsize="12712,3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035" style="position:absolute;width:12712;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L+ccA&#10;AADbAAAADwAAAGRycy9kb3ducmV2LnhtbESP3WrCQBSE7wu+w3KE3hTdqKVK6kZEKEQsSLXYXh6y&#10;Jz+YPRuzq6Z9erdQ8HKYmW+Y+aIztbhQ6yrLCkbDCARxZnXFhYLP/dtgBsJ5ZI21ZVLwQw4WSe9h&#10;jrG2V/6gy84XIkDYxaig9L6JpXRZSQbd0DbEwctta9AH2RZSt3gNcFPLcRS9SIMVh4USG1qVlB13&#10;Z6Ngsn0+vesvPBxm+dPpNzXf6+0mVeqx3y1fQXjq/D383061gvEU/r6EH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0y/nHAAAA2wAAAA8AAAAAAAAAAAAAAAAAmAIAAGRy&#10;cy9kb3ducmV2LnhtbFBLBQYAAAAABAAEAPUAAACMAwAAAAA=&#10;" fillcolor="#a7bfde [1620]" stroked="f">
                    <v:fill opacity="45875f" color2="#e4ecf5 [500]" o:opacity2="45875f" rotate="t" angle="180" colors="0 #a3c4ff;22938f #bfd5ff;1 #e5eeff" focus="100%" type="gradient"/>
                    <v:shadow on="t" color="black" opacity="24903f" origin=",.5" offset="0,.55556mm"/>
                    <v:textbox>
                      <w:txbxContent>
                        <w:p w14:paraId="0654232C" w14:textId="77777777" w:rsidR="009828D6" w:rsidRPr="002F5F3E" w:rsidRDefault="009828D6" w:rsidP="009828D6">
                          <w:pPr>
                            <w:rPr>
                              <w:rFonts w:asciiTheme="minorHAnsi" w:eastAsia="Times New Roman" w:hAnsiTheme="minorHAnsi" w:cstheme="minorHAnsi"/>
                            </w:rPr>
                          </w:pPr>
                        </w:p>
                      </w:txbxContent>
                    </v:textbox>
                  </v:rect>
                  <v:rect id="Rectangle 28" o:spid="_x0000_s1036" style="position:absolute;width:12712;height: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PZcIA&#10;AADbAAAADwAAAGRycy9kb3ducmV2LnhtbERPz0vDMBS+D/wfwhO8jC11Bxl1aRlFQQ+i2wqy27N5&#10;NsHmpSRxrf+9OQgeP77fu3p2g7hQiNazgtt1AYK489pyr6A9Pa62IGJC1jh4JgU/FKGurhY7LLWf&#10;+ECXY+pFDuFYogKT0lhKGTtDDuPaj8SZ+/TBYcow9FIHnHK4G+SmKO6kQ8u5weBIjaHu6/jtFLyd&#10;X9vnj2b5YNqXfdG8TzZo2yh1cz3v70EkmtO/+M/9pBVs8tj8Jf8A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I9lwgAAANsAAAAPAAAAAAAAAAAAAAAAAJgCAABkcnMvZG93&#10;bnJldi54bWxQSwUGAAAAAAQABAD1AAAAhwMAAAAA&#10;" filled="f" stroked="f">
                    <v:textbox inset=".5pt,.5pt,.5pt,.5pt">
                      <w:txbxContent>
                        <w:p w14:paraId="01B05477" w14:textId="77777777" w:rsidR="009828D6" w:rsidRPr="002F5F3E" w:rsidRDefault="009828D6" w:rsidP="009828D6">
                          <w:pPr>
                            <w:pStyle w:val="NormalWeb"/>
                            <w:spacing w:before="0" w:beforeAutospacing="0" w:after="84" w:afterAutospacing="0" w:line="216" w:lineRule="auto"/>
                            <w:jc w:val="center"/>
                            <w:rPr>
                              <w:rFonts w:asciiTheme="minorHAnsi" w:hAnsiTheme="minorHAnsi" w:cstheme="minorHAnsi"/>
                            </w:rPr>
                          </w:pPr>
                          <w:r>
                            <w:rPr>
                              <w:rFonts w:asciiTheme="minorHAnsi" w:eastAsia="Calibri" w:hAnsiTheme="minorHAnsi" w:cstheme="minorHAnsi"/>
                              <w:kern w:val="24"/>
                            </w:rPr>
                            <w:t>Premises</w:t>
                          </w:r>
                        </w:p>
                      </w:txbxContent>
                    </v:textbox>
                  </v:rect>
                </v:group>
                <v:group id="Group 29" o:spid="_x0000_s1037" style="position:absolute;left:39018;top:874;width:13555;height:3486" coordsize="12712,3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0" o:spid="_x0000_s1038" style="position:absolute;width:12712;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FUMMA&#10;AADbAAAADwAAAGRycy9kb3ducmV2LnhtbERPS2vCQBC+F/oflin0UnTTByLRVUQopFQQH6jHITsm&#10;wexszG419td3DgWPH997PO1crS7Uhsqzgdd+Aoo497biwsB289kbggoR2WLtmQzcKMB08vgwxtT6&#10;K6/oso6FkhAOKRooY2xSrUNeksPQ9w2xcEffOowC20LbFq8S7mr9liQD7bBiaSixoXlJ+Wn94wy8&#10;Lz/OC7vH3W54fDn/Zu7wtfzOjHl+6mYjUJG6eBf/uzMrPlkvX+QH6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TFUMMAAADbAAAADwAAAAAAAAAAAAAAAACYAgAAZHJzL2Rv&#10;d25yZXYueG1sUEsFBgAAAAAEAAQA9QAAAIgDAAAAAA==&#10;" fillcolor="#a7bfde [1620]" stroked="f">
                    <v:fill opacity="45875f" color2="#e4ecf5 [500]" o:opacity2="45875f" rotate="t" angle="180" colors="0 #a3c4ff;22938f #bfd5ff;1 #e5eeff" focus="100%" type="gradient"/>
                    <v:shadow on="t" color="black" opacity="24903f" origin=",.5" offset="0,.55556mm"/>
                    <v:textbox>
                      <w:txbxContent>
                        <w:p w14:paraId="2A8C3170" w14:textId="77777777" w:rsidR="009828D6" w:rsidRPr="002F5F3E" w:rsidRDefault="009828D6" w:rsidP="009828D6">
                          <w:pPr>
                            <w:rPr>
                              <w:rFonts w:asciiTheme="minorHAnsi" w:eastAsia="Times New Roman" w:hAnsiTheme="minorHAnsi" w:cstheme="minorHAnsi"/>
                            </w:rPr>
                          </w:pPr>
                        </w:p>
                      </w:txbxContent>
                    </v:textbox>
                  </v:rect>
                  <v:rect id="Rectangle 31" o:spid="_x0000_s1039" style="position:absolute;width:12712;height: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wJcUA&#10;AADbAAAADwAAAGRycy9kb3ducmV2LnhtbESPQUsDMRSE74L/ITzBi7TZKohsm5ayKNiDaOtC6e25&#10;eW6Cm5clSbvbf98IgsdhZr5hFqvRdeJEIVrPCmbTAgRx47XlVkH9+TJ5AhETssbOMyk4U4TV8vpq&#10;gaX2A2/ptEutyBCOJSowKfWllLEx5DBOfU+cvW8fHKYsQyt1wCHDXSfvi+JROrScFwz2VBlqfnZH&#10;p+Dj8F5vvqq7Z1O/rYtqP9igbaXU7c24noNINKb/8F/7VSt4mMHvl/w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7AlxQAAANsAAAAPAAAAAAAAAAAAAAAAAJgCAABkcnMv&#10;ZG93bnJldi54bWxQSwUGAAAAAAQABAD1AAAAigMAAAAA&#10;" filled="f" stroked="f">
                    <v:textbox inset=".5pt,.5pt,.5pt,.5pt">
                      <w:txbxContent>
                        <w:p w14:paraId="51B7A525" w14:textId="77777777" w:rsidR="009828D6" w:rsidRPr="002F5F3E" w:rsidRDefault="009828D6" w:rsidP="009828D6">
                          <w:pPr>
                            <w:pStyle w:val="NormalWeb"/>
                            <w:spacing w:before="0" w:beforeAutospacing="0" w:after="84" w:afterAutospacing="0" w:line="216" w:lineRule="auto"/>
                            <w:jc w:val="center"/>
                            <w:rPr>
                              <w:rFonts w:asciiTheme="minorHAnsi" w:hAnsiTheme="minorHAnsi" w:cstheme="minorHAnsi"/>
                            </w:rPr>
                          </w:pPr>
                          <w:r>
                            <w:rPr>
                              <w:rFonts w:asciiTheme="minorHAnsi" w:eastAsia="Calibri" w:hAnsiTheme="minorHAnsi" w:cstheme="minorHAnsi"/>
                              <w:kern w:val="24"/>
                            </w:rPr>
                            <w:t>Premises</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 o:spid="_x0000_s1040" type="#_x0000_t34" style="position:absolute;left:7316;top:4361;width:9754;height:49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ezMQAAADbAAAADwAAAGRycy9kb3ducmV2LnhtbESP3YrCMBSE7wXfIRzBG1lTFYrbNYoI&#10;siIK/uwDHJpjW21OSpPV6tMbQfBymJlvmMmsMaW4Uu0KywoG/QgEcWp1wZmCv+PyawzCeWSNpWVS&#10;cCcHs2m7NcFE2xvv6XrwmQgQdgkqyL2vEildmpNB17cVcfBOtjbog6wzqWu8Bbgp5TCKYmmw4LCQ&#10;Y0WLnNLL4d8okIPdby96rOPe8dw8TLX83izirVLdTjP/AeGp8Z/wu73SCkZDeH0JP0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J7MxAAAANsAAAAPAAAAAAAAAAAA&#10;AAAAAKECAABkcnMvZG93bnJldi54bWxQSwUGAAAAAAQABAD5AAAAkgMAAAAA&#10;" strokecolor="#4579b8 [3044]"/>
                <v:line id="Straight Connector 33" o:spid="_x0000_s1041" style="position:absolute;visibility:visible;mso-wrap-style:square" from="14780,2617" to="39018,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j8QAAADbAAAADwAAAGRycy9kb3ducmV2LnhtbESPUWvCQBCE34X+h2MLfdNLDYqNniKF&#10;grR9UfsD1tw2Ceb20rutxv56ryD4OMzMN8xi1btWnSjExrOB51EGirj0tuHKwNf+bTgDFQXZYuuZ&#10;DFwowmr5MFhgYf2Zt3TaSaUShGOBBmqRrtA6ljU5jCPfESfv2weHkmSotA14TnDX6nGWTbXDhtNC&#10;jR291lQed7/OwM/H5yZeDu1YppO/92NYz14kj8Y8PfbrOSihXu7hW3tjDeQ5/H9JP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z+PxAAAANsAAAAPAAAAAAAAAAAA&#10;AAAAAKECAABkcnMvZG93bnJldi54bWxQSwUGAAAAAAQABAD5AAAAkgMAAAAA&#10;" strokecolor="#4579b8 [3044]"/>
                <v:line id="Straight Connector 34" o:spid="_x0000_s1042" style="position:absolute;flip:y;visibility:visible;mso-wrap-style:square" from="30625,9264" to="39018,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VncYAAADbAAAADwAAAGRycy9kb3ducmV2LnhtbESPT2vCQBTE70K/w/IKvdWNf6glzUZE&#10;kAYL1aqHHh/ZZxLMvo3Z1cR++m6h4HGYmd8wybw3tbhS6yrLCkbDCARxbnXFhYLDfvX8CsJ5ZI21&#10;ZVJwIwfz9GGQYKxtx1903flCBAi7GBWU3jexlC4vyaAb2oY4eEfbGvRBtoXULXYBbmo5jqIXabDi&#10;sFBiQ8uS8tPuYhRkGa/XP7zafI+253c/qT4+p91MqafHfvEGwlPv7+H/dqYVTKb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3lZ3GAAAA2wAAAA8AAAAAAAAA&#10;AAAAAAAAoQIAAGRycy9kb3ducmV2LnhtbFBLBQYAAAAABAAEAPkAAACUAwAAAAA=&#10;" strokecolor="#4579b8 [3044]"/>
                <v:line id="Straight Connector 35" o:spid="_x0000_s1043" style="position:absolute;visibility:visible;mso-wrap-style:square" from="14780,3718" to="39018,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rGcMAAADbAAAADwAAAGRycy9kb3ducmV2LnhtbESPQWvCQBSE70L/w/IK3nRTRZHoKlIQ&#10;FGKrtvb8yL4mwezbsLvG+O+7BcHjMDPfMItVZ2rRkvOVZQVvwwQEcW51xYWC76/NYAbCB2SNtWVS&#10;cCcPq+VLb4Gptjc+UnsKhYgQ9ikqKENoUil9XpJBP7QNcfR+rTMYonSF1A5vEW5qOUqSqTRYcVwo&#10;saH3kvLL6WoUMGe7rduf2+7z8OOuH8dslE1mSvVfu/UcRKAuPMOP9lYrGE/g/0v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pKxnDAAAA2wAAAA8AAAAAAAAAAAAA&#10;AAAAoQIAAGRycy9kb3ducmV2LnhtbFBLBQYAAAAABAAEAPkAAACRAwAAAAA=&#10;" strokecolor="#c0504d [3205]" strokeweight="3pt">
                  <v:stroke dashstyle="3 1"/>
                  <v:shadow on="t" color="black" opacity="22937f" origin=",.5" offset="0,.63889mm"/>
                </v:line>
                <v:line id="Straight Connector 36" o:spid="_x0000_s1044" style="position:absolute;visibility:visible;mso-wrap-style:square" from="30625,9915" to="39018,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u1bsQAAADbAAAADwAAAGRycy9kb3ducmV2LnhtbESPQWvCQBSE70L/w/IK3nRTpSLRTZBC&#10;wUJq1daeH9nXJJh9G3bXmP77rlDwOMzMN8w6H0wrenK+sazgaZqAIC6tbrhS8PX5OlmC8AFZY2uZ&#10;FPyShzx7GK0x1fbKB+qPoRIRwj5FBXUIXSqlL2sy6Ke2I47ej3UGQ5SuktrhNcJNK2dJspAGG44L&#10;NXb0UlN5Pl6MAubibeveT/3wsf92l92hmBXPS6XGj8NmBSLQEO7h//ZWK5gv4PYl/gC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7VuxAAAANsAAAAPAAAAAAAAAAAA&#10;AAAAAKECAABkcnMvZG93bnJldi54bWxQSwUGAAAAAAQABAD5AAAAkgMAAAAA&#10;" strokecolor="#c0504d [3205]" strokeweight="3pt">
                  <v:stroke dashstyle="3 1"/>
                  <v:shadow on="t" color="black" opacity="22937f" origin=",.5" offset="0,.63889mm"/>
                </v:line>
                <w10:anchorlock/>
              </v:group>
            </w:pict>
          </mc:Fallback>
        </mc:AlternateContent>
      </w:r>
    </w:p>
    <w:p w14:paraId="5CDA194D" w14:textId="77777777" w:rsidR="009828D6" w:rsidRPr="00046545" w:rsidRDefault="009828D6" w:rsidP="009828D6">
      <w:pPr>
        <w:numPr>
          <w:ilvl w:val="1"/>
          <w:numId w:val="0"/>
        </w:numPr>
        <w:rPr>
          <w:rFonts w:eastAsia="MS Gothic"/>
          <w:i/>
          <w:iCs/>
          <w:color w:val="4F81BD"/>
          <w:spacing w:val="15"/>
          <w:sz w:val="20"/>
        </w:rPr>
      </w:pPr>
      <w:r w:rsidRPr="00046545">
        <w:rPr>
          <w:rFonts w:eastAsia="MS Gothic"/>
          <w:i/>
          <w:iCs/>
          <w:color w:val="4F81BD"/>
          <w:spacing w:val="15"/>
          <w:sz w:val="20"/>
        </w:rPr>
        <w:t>Schematic diagram of the different architectures in the copper network, adapted from Access Network Dimensioning Rules Long run incremental costing model input, Telstra Corporation 2008.</w:t>
      </w:r>
    </w:p>
    <w:p w14:paraId="3609955D" w14:textId="77777777" w:rsidR="009828D6" w:rsidRPr="00046545" w:rsidRDefault="009828D6" w:rsidP="009828D6"/>
    <w:p w14:paraId="28B3D259" w14:textId="77777777" w:rsidR="009828D6" w:rsidRPr="00046545" w:rsidRDefault="009828D6" w:rsidP="009828D6">
      <w:pPr>
        <w:pStyle w:val="BodyText"/>
        <w:rPr>
          <w:rFonts w:eastAsia="MS Mincho"/>
        </w:rPr>
      </w:pPr>
      <w:r w:rsidRPr="00046545">
        <w:rPr>
          <w:rFonts w:eastAsia="MS Mincho"/>
        </w:rPr>
        <w:t>It is noted that a factor of 10 per cent has also been added to this to account for the coils of excess cable that are typically stored in communication pits, to provide additional cable to facilitate local fault repairs. Data on the location of premises within each DA was sourced from the Geocoded National Address File (GNAF), while data on Telstra exchange service areas and Distribution Areas has come from the Pitney Bowes ExchangeInfo database, and used under license.</w:t>
      </w:r>
    </w:p>
    <w:p w14:paraId="159977B4" w14:textId="77777777" w:rsidR="009828D6" w:rsidRPr="00046545" w:rsidRDefault="009828D6" w:rsidP="009828D6">
      <w:pPr>
        <w:keepNext/>
        <w:keepLines/>
        <w:spacing w:before="200"/>
        <w:outlineLvl w:val="1"/>
        <w:rPr>
          <w:rFonts w:eastAsia="Times New Roman"/>
          <w:bCs/>
          <w:color w:val="1A7399"/>
          <w:sz w:val="36"/>
          <w:szCs w:val="26"/>
        </w:rPr>
      </w:pPr>
      <w:r w:rsidRPr="00046545">
        <w:rPr>
          <w:rFonts w:eastAsia="Times New Roman"/>
          <w:bCs/>
          <w:color w:val="1A7399"/>
          <w:sz w:val="36"/>
          <w:szCs w:val="26"/>
        </w:rPr>
        <w:t>Technological impediments</w:t>
      </w:r>
    </w:p>
    <w:p w14:paraId="3B91DFED" w14:textId="77777777" w:rsidR="009828D6" w:rsidRPr="00046545" w:rsidRDefault="009828D6" w:rsidP="009828D6">
      <w:pPr>
        <w:pStyle w:val="BodyText"/>
        <w:rPr>
          <w:rFonts w:eastAsia="MS Mincho"/>
        </w:rPr>
      </w:pPr>
      <w:r w:rsidRPr="00046545">
        <w:rPr>
          <w:rFonts w:eastAsia="MS Mincho"/>
        </w:rPr>
        <w:t xml:space="preserve">In addition to the progressive effect of cable distance, </w:t>
      </w:r>
      <w:r>
        <w:rPr>
          <w:rFonts w:eastAsia="MS Mincho"/>
        </w:rPr>
        <w:t>ADSL</w:t>
      </w:r>
      <w:r w:rsidRPr="00046545">
        <w:rPr>
          <w:rFonts w:eastAsia="MS Mincho"/>
        </w:rPr>
        <w:t xml:space="preserve"> service delivery can also be inhibited due to the presence of a class of technology originally designed to maximise the extent voice services could be delivered without the need to deploy additional cabling from an existing exchange. Pair gain systems enable the delivery of more voice services than the number of individual cables available, and so provide a more cost effective way of expanding the network.  However, in many cases these technology choices have not been compatible with </w:t>
      </w:r>
      <w:r>
        <w:rPr>
          <w:rFonts w:eastAsia="MS Mincho"/>
        </w:rPr>
        <w:t>ADSL</w:t>
      </w:r>
      <w:r w:rsidRPr="00046545">
        <w:rPr>
          <w:rFonts w:eastAsia="MS Mincho"/>
        </w:rPr>
        <w:t xml:space="preserve"> service deliver</w:t>
      </w:r>
      <w:r>
        <w:rPr>
          <w:rFonts w:eastAsia="MS Mincho"/>
        </w:rPr>
        <w:t>y</w:t>
      </w:r>
      <w:r w:rsidRPr="00046545">
        <w:rPr>
          <w:rFonts w:eastAsia="MS Mincho"/>
        </w:rPr>
        <w:t xml:space="preserve"> and require additional remediation work to resolve.</w:t>
      </w:r>
    </w:p>
    <w:p w14:paraId="66484F07" w14:textId="77777777" w:rsidR="009828D6" w:rsidRPr="00046545" w:rsidRDefault="009828D6" w:rsidP="009828D6">
      <w:pPr>
        <w:pStyle w:val="BodyText"/>
        <w:rPr>
          <w:rFonts w:eastAsia="MS Mincho"/>
        </w:rPr>
      </w:pPr>
      <w:r w:rsidRPr="00046545">
        <w:rPr>
          <w:rFonts w:eastAsia="MS Mincho"/>
        </w:rPr>
        <w:t xml:space="preserve">There are a number of different systems used in Telstra’s copper network, collectively referred to as </w:t>
      </w:r>
      <w:r>
        <w:rPr>
          <w:rFonts w:eastAsia="MS Mincho"/>
        </w:rPr>
        <w:t>pair gain systems</w:t>
      </w:r>
      <w:r w:rsidRPr="00046545">
        <w:rPr>
          <w:rFonts w:eastAsia="MS Mincho"/>
        </w:rPr>
        <w:t xml:space="preserve">, and often denoted as small, medium or large systems depending on the number of services </w:t>
      </w:r>
      <w:r>
        <w:rPr>
          <w:rFonts w:eastAsia="MS Mincho"/>
        </w:rPr>
        <w:t xml:space="preserve">that </w:t>
      </w:r>
      <w:r w:rsidRPr="00046545">
        <w:rPr>
          <w:rFonts w:eastAsia="MS Mincho"/>
        </w:rPr>
        <w:t xml:space="preserve">can be supported. </w:t>
      </w:r>
    </w:p>
    <w:p w14:paraId="7F0CA7C4" w14:textId="77777777" w:rsidR="009828D6" w:rsidRPr="00046545" w:rsidRDefault="009828D6" w:rsidP="009828D6">
      <w:pPr>
        <w:keepNext/>
        <w:keepLines/>
        <w:spacing w:before="200"/>
        <w:outlineLvl w:val="2"/>
        <w:rPr>
          <w:rFonts w:eastAsia="Times New Roman"/>
          <w:bCs/>
          <w:color w:val="1A7399"/>
          <w:sz w:val="28"/>
        </w:rPr>
      </w:pPr>
      <w:r w:rsidRPr="00046545">
        <w:rPr>
          <w:rFonts w:eastAsia="Times New Roman"/>
          <w:bCs/>
          <w:color w:val="1A7399"/>
          <w:sz w:val="28"/>
        </w:rPr>
        <w:t>Remote Integrated Multiplexers (RIMS)</w:t>
      </w:r>
    </w:p>
    <w:p w14:paraId="238CFD72" w14:textId="77777777" w:rsidR="009828D6" w:rsidRPr="00046545" w:rsidRDefault="009828D6" w:rsidP="009828D6">
      <w:pPr>
        <w:pStyle w:val="BodyText"/>
        <w:rPr>
          <w:rFonts w:eastAsia="MS Mincho"/>
        </w:rPr>
      </w:pPr>
      <w:r w:rsidRPr="00046545">
        <w:rPr>
          <w:rFonts w:eastAsia="MS Mincho"/>
        </w:rPr>
        <w:t>RIMS are a type of large pair gain system capable of supporting a range of services with each RIM cabin</w:t>
      </w:r>
      <w:r>
        <w:rPr>
          <w:rFonts w:eastAsia="MS Mincho"/>
        </w:rPr>
        <w:t>et accommodating up to eight</w:t>
      </w:r>
      <w:r w:rsidRPr="00046545">
        <w:rPr>
          <w:rFonts w:eastAsia="MS Mincho"/>
        </w:rPr>
        <w:t xml:space="preserve"> individual modules, each supporting 30 voice services. DSL services may also be provided where a ‘minimux’ has been deployed, which typically support the provision of 90 </w:t>
      </w:r>
      <w:r>
        <w:rPr>
          <w:rFonts w:eastAsia="MS Mincho"/>
        </w:rPr>
        <w:t>ADSL</w:t>
      </w:r>
      <w:r w:rsidRPr="00046545">
        <w:rPr>
          <w:rFonts w:eastAsia="MS Mincho"/>
        </w:rPr>
        <w:t xml:space="preserve"> services. </w:t>
      </w:r>
    </w:p>
    <w:p w14:paraId="72E3BFD3" w14:textId="77777777" w:rsidR="009828D6" w:rsidRPr="00046545" w:rsidRDefault="009828D6" w:rsidP="009828D6">
      <w:pPr>
        <w:pStyle w:val="BodyText"/>
        <w:rPr>
          <w:rFonts w:eastAsia="MS Mincho"/>
        </w:rPr>
      </w:pPr>
      <w:r w:rsidRPr="00046545">
        <w:rPr>
          <w:rFonts w:eastAsia="MS Mincho"/>
        </w:rPr>
        <w:t xml:space="preserve">Additionally, Telstra’s ‘Top-hat’ project has resulted in the deployment of extension enclosures on the top of existing RIM cabinets to provide for the delivery of DSL services to </w:t>
      </w:r>
      <w:r>
        <w:rPr>
          <w:rFonts w:eastAsia="MS Mincho"/>
        </w:rPr>
        <w:t>approximately 220,000 premises.</w:t>
      </w:r>
    </w:p>
    <w:p w14:paraId="2642F172" w14:textId="77777777" w:rsidR="009828D6" w:rsidRPr="00046545" w:rsidRDefault="009828D6" w:rsidP="009828D6">
      <w:pPr>
        <w:keepNext/>
        <w:keepLines/>
        <w:spacing w:before="200"/>
        <w:outlineLvl w:val="2"/>
        <w:rPr>
          <w:rFonts w:eastAsia="Times New Roman"/>
          <w:bCs/>
          <w:color w:val="1A7399"/>
          <w:sz w:val="28"/>
        </w:rPr>
      </w:pPr>
      <w:r w:rsidRPr="00046545">
        <w:rPr>
          <w:rFonts w:eastAsia="Times New Roman"/>
          <w:bCs/>
          <w:color w:val="1A7399"/>
          <w:sz w:val="28"/>
        </w:rPr>
        <w:t xml:space="preserve">Remote Customer Multiplexer (RCM) &amp; Digital Concentrator System (DCS-20) </w:t>
      </w:r>
    </w:p>
    <w:p w14:paraId="71357C8D" w14:textId="77777777" w:rsidR="009828D6" w:rsidRPr="00046545" w:rsidRDefault="009828D6" w:rsidP="009828D6">
      <w:pPr>
        <w:pStyle w:val="BodyText"/>
        <w:rPr>
          <w:rFonts w:eastAsia="MS Mincho"/>
        </w:rPr>
      </w:pPr>
      <w:r w:rsidRPr="00046545">
        <w:rPr>
          <w:rFonts w:eastAsia="MS Mincho"/>
        </w:rPr>
        <w:t>RCM units provide 30 potential voice ports, with 4-5 being modules typically deployed into each RCM cabinet. DCS-20s also provide 30 ports per module and are typically installed in remote exchange buildings, where they may provide several hundred voice ports. Both of these structures within the copper network are not capable of support DSL services.</w:t>
      </w:r>
    </w:p>
    <w:p w14:paraId="2BF81AC5" w14:textId="77777777" w:rsidR="009828D6" w:rsidRPr="00046545" w:rsidRDefault="009828D6" w:rsidP="009828D6">
      <w:pPr>
        <w:keepNext/>
        <w:keepLines/>
        <w:spacing w:before="200"/>
        <w:outlineLvl w:val="2"/>
        <w:rPr>
          <w:rFonts w:eastAsia="Times New Roman"/>
          <w:bCs/>
          <w:color w:val="1A7399"/>
          <w:sz w:val="28"/>
        </w:rPr>
      </w:pPr>
      <w:r w:rsidRPr="00046545">
        <w:rPr>
          <w:rFonts w:eastAsia="Times New Roman"/>
          <w:bCs/>
          <w:color w:val="1A7399"/>
          <w:sz w:val="28"/>
        </w:rPr>
        <w:t>Customer Multiplexer (CMUX)</w:t>
      </w:r>
    </w:p>
    <w:p w14:paraId="6827C078" w14:textId="77777777" w:rsidR="009828D6" w:rsidRPr="00046545" w:rsidRDefault="009828D6" w:rsidP="009828D6">
      <w:pPr>
        <w:pStyle w:val="BodyText"/>
        <w:rPr>
          <w:rFonts w:eastAsia="MS Mincho"/>
        </w:rPr>
      </w:pPr>
      <w:r w:rsidRPr="00046545">
        <w:rPr>
          <w:rFonts w:eastAsia="MS Mincho"/>
        </w:rPr>
        <w:t xml:space="preserve">A CMUX is </w:t>
      </w:r>
      <w:r w:rsidRPr="00412888">
        <w:rPr>
          <w:rFonts w:eastAsia="MS Mincho"/>
        </w:rPr>
        <w:t>a relative</w:t>
      </w:r>
      <w:r>
        <w:rPr>
          <w:rFonts w:eastAsia="MS Mincho"/>
        </w:rPr>
        <w:t>ly new type of pair gain system.</w:t>
      </w:r>
      <w:r w:rsidRPr="00412888">
        <w:rPr>
          <w:rFonts w:eastAsia="MS Mincho"/>
        </w:rPr>
        <w:t xml:space="preserve"> </w:t>
      </w:r>
      <w:r>
        <w:rPr>
          <w:rFonts w:eastAsia="MS Mincho"/>
        </w:rPr>
        <w:t>M</w:t>
      </w:r>
      <w:r w:rsidRPr="00412888">
        <w:rPr>
          <w:rFonts w:eastAsia="MS Mincho"/>
        </w:rPr>
        <w:t xml:space="preserve">ore complex than a RIM, it can handle various services such as voice, ISDN and </w:t>
      </w:r>
      <w:r>
        <w:rPr>
          <w:rFonts w:eastAsia="MS Mincho"/>
        </w:rPr>
        <w:t>ADSL</w:t>
      </w:r>
      <w:r w:rsidRPr="00412888">
        <w:rPr>
          <w:rFonts w:eastAsia="MS Mincho"/>
        </w:rPr>
        <w:t xml:space="preserve"> services, and the various mix of services enabled depends on the local service requirements. For example, where existing voice services are provided via a RIM cabinet, a CMUX could be installed for the sole purpose of supporting the provision of </w:t>
      </w:r>
      <w:r>
        <w:rPr>
          <w:rFonts w:eastAsia="MS Mincho"/>
        </w:rPr>
        <w:t>ADSL</w:t>
      </w:r>
      <w:r w:rsidRPr="00412888">
        <w:rPr>
          <w:rFonts w:eastAsia="MS Mincho"/>
        </w:rPr>
        <w:t xml:space="preserve"> services.</w:t>
      </w:r>
    </w:p>
    <w:p w14:paraId="580FB1AE" w14:textId="77777777" w:rsidR="009828D6" w:rsidRPr="00046545" w:rsidRDefault="009828D6" w:rsidP="009828D6">
      <w:pPr>
        <w:keepNext/>
        <w:keepLines/>
        <w:spacing w:before="200"/>
        <w:outlineLvl w:val="2"/>
        <w:rPr>
          <w:rFonts w:eastAsia="Times New Roman"/>
          <w:bCs/>
          <w:color w:val="1A7399"/>
          <w:sz w:val="28"/>
        </w:rPr>
      </w:pPr>
      <w:r w:rsidRPr="00046545">
        <w:rPr>
          <w:rFonts w:eastAsia="Times New Roman"/>
          <w:bCs/>
          <w:color w:val="1A7399"/>
          <w:sz w:val="28"/>
        </w:rPr>
        <w:t xml:space="preserve">Small/Medium Pair Gain Systems </w:t>
      </w:r>
    </w:p>
    <w:p w14:paraId="6D20443D" w14:textId="77777777" w:rsidR="009828D6" w:rsidRPr="00046545" w:rsidRDefault="009828D6" w:rsidP="009828D6">
      <w:pPr>
        <w:pStyle w:val="BodyText"/>
        <w:rPr>
          <w:rFonts w:eastAsia="MS Mincho"/>
        </w:rPr>
      </w:pPr>
      <w:r w:rsidRPr="00046545">
        <w:rPr>
          <w:rFonts w:eastAsia="MS Mincho"/>
        </w:rPr>
        <w:t xml:space="preserve">Medium Pair Gain Systems, capable of supporting 10-30 voice services, but are not able to support the supply of </w:t>
      </w:r>
      <w:r>
        <w:rPr>
          <w:rFonts w:eastAsia="MS Mincho"/>
        </w:rPr>
        <w:t>ADSL</w:t>
      </w:r>
      <w:r w:rsidRPr="00046545">
        <w:rPr>
          <w:rFonts w:eastAsia="MS Mincho"/>
        </w:rPr>
        <w:t xml:space="preserve"> services. The copper network also contains small pair gain systems (supporting between two and 10 voice services only), which must be removed before DSL services can be supplied over copper lines. In total, Telstra has advised there </w:t>
      </w:r>
      <w:r>
        <w:rPr>
          <w:rFonts w:eastAsia="MS Mincho"/>
        </w:rPr>
        <w:t>remain</w:t>
      </w:r>
      <w:r w:rsidRPr="00046545">
        <w:rPr>
          <w:rFonts w:eastAsia="MS Mincho"/>
        </w:rPr>
        <w:t xml:space="preserve"> relatively few sm</w:t>
      </w:r>
      <w:r>
        <w:rPr>
          <w:rFonts w:eastAsia="MS Mincho"/>
        </w:rPr>
        <w:t xml:space="preserve">all and medium pair gain lines </w:t>
      </w:r>
      <w:r w:rsidRPr="00046545">
        <w:rPr>
          <w:rFonts w:eastAsia="MS Mincho"/>
        </w:rPr>
        <w:t>distributed throughout the copper network</w:t>
      </w:r>
      <w:r>
        <w:rPr>
          <w:rFonts w:eastAsia="MS Mincho"/>
        </w:rPr>
        <w:t>,</w:t>
      </w:r>
      <w:r w:rsidRPr="00046545">
        <w:rPr>
          <w:rFonts w:eastAsia="MS Mincho"/>
        </w:rPr>
        <w:t xml:space="preserve"> constraining access to less than </w:t>
      </w:r>
      <w:r>
        <w:rPr>
          <w:rFonts w:eastAsia="MS Mincho"/>
        </w:rPr>
        <w:t xml:space="preserve">1 </w:t>
      </w:r>
      <w:r w:rsidRPr="00046545">
        <w:rPr>
          <w:rFonts w:eastAsia="MS Mincho"/>
        </w:rPr>
        <w:t xml:space="preserve">per cent of the total services in operation. </w:t>
      </w:r>
    </w:p>
    <w:p w14:paraId="09E6C4CF" w14:textId="77777777" w:rsidR="009828D6" w:rsidRPr="00046545" w:rsidRDefault="009828D6" w:rsidP="009828D6">
      <w:pPr>
        <w:keepNext/>
        <w:keepLines/>
        <w:spacing w:before="200"/>
        <w:outlineLvl w:val="2"/>
        <w:rPr>
          <w:rFonts w:eastAsia="Times New Roman"/>
          <w:bCs/>
          <w:color w:val="1A7399"/>
          <w:sz w:val="28"/>
        </w:rPr>
      </w:pPr>
      <w:r w:rsidRPr="00046545">
        <w:rPr>
          <w:rFonts w:eastAsia="Times New Roman"/>
          <w:bCs/>
          <w:color w:val="1A7399"/>
          <w:sz w:val="28"/>
        </w:rPr>
        <w:t>Transposition</w:t>
      </w:r>
    </w:p>
    <w:p w14:paraId="7518FB35" w14:textId="77777777" w:rsidR="009828D6" w:rsidRPr="00EA3B32" w:rsidRDefault="009828D6" w:rsidP="009828D6">
      <w:pPr>
        <w:pStyle w:val="BodyText"/>
        <w:rPr>
          <w:rFonts w:eastAsia="MS Mincho"/>
        </w:rPr>
      </w:pPr>
      <w:r w:rsidRPr="00EA3B32">
        <w:rPr>
          <w:rFonts w:eastAsia="MS Mincho"/>
        </w:rPr>
        <w:t>Large pair gain systems were deployed to maximise the number of voice services that could be delivered over a limited number of cables originating at the local telephone exchange.</w:t>
      </w:r>
      <w:r>
        <w:rPr>
          <w:rFonts w:eastAsia="MS Mincho"/>
        </w:rPr>
        <w:t xml:space="preserve"> T</w:t>
      </w:r>
      <w:r w:rsidRPr="00EA3B32">
        <w:rPr>
          <w:rFonts w:eastAsia="MS Mincho"/>
        </w:rPr>
        <w:t xml:space="preserve">ypically more cables were deployed than are needed to support the large pair gain system, </w:t>
      </w:r>
      <w:r>
        <w:rPr>
          <w:rFonts w:eastAsia="MS Mincho"/>
        </w:rPr>
        <w:t>and</w:t>
      </w:r>
      <w:r w:rsidRPr="00EA3B32">
        <w:rPr>
          <w:rFonts w:eastAsia="MS Mincho"/>
        </w:rPr>
        <w:t xml:space="preserve"> under a process known as ‘transpositioning’ </w:t>
      </w:r>
      <w:r>
        <w:rPr>
          <w:rFonts w:eastAsia="MS Mincho"/>
        </w:rPr>
        <w:t>this allowed the customer connection to be</w:t>
      </w:r>
      <w:r w:rsidRPr="00EA3B32">
        <w:rPr>
          <w:rFonts w:eastAsia="MS Mincho"/>
        </w:rPr>
        <w:t xml:space="preserve"> re-allocated to a copper cable that connects directly to the exchange</w:t>
      </w:r>
      <w:r>
        <w:rPr>
          <w:rFonts w:eastAsia="MS Mincho"/>
        </w:rPr>
        <w:t xml:space="preserve"> and an ADSL service to be supplied</w:t>
      </w:r>
      <w:r w:rsidRPr="00EA3B32">
        <w:rPr>
          <w:rFonts w:eastAsia="MS Mincho"/>
        </w:rPr>
        <w:t>.</w:t>
      </w:r>
    </w:p>
    <w:p w14:paraId="5A6A216E" w14:textId="77777777" w:rsidR="009828D6" w:rsidRPr="00EA3B32" w:rsidRDefault="009828D6" w:rsidP="009828D6">
      <w:pPr>
        <w:pStyle w:val="BodyText"/>
        <w:rPr>
          <w:rFonts w:eastAsia="MS Mincho"/>
        </w:rPr>
      </w:pPr>
      <w:r w:rsidRPr="00EA3B32">
        <w:rPr>
          <w:rFonts w:eastAsia="MS Mincho"/>
        </w:rPr>
        <w:t>This possibility has also been accommodated in the model based on an estimate provided by Telstra of the proportion of transposition requests that were successful when this process commenced a number of years ago. In effect</w:t>
      </w:r>
      <w:r>
        <w:rPr>
          <w:rFonts w:eastAsia="MS Mincho"/>
        </w:rPr>
        <w:t>,</w:t>
      </w:r>
      <w:r w:rsidRPr="00EA3B32">
        <w:rPr>
          <w:rFonts w:eastAsia="MS Mincho"/>
        </w:rPr>
        <w:t xml:space="preserve"> this increases the availability of </w:t>
      </w:r>
      <w:r>
        <w:rPr>
          <w:rFonts w:eastAsia="MS Mincho"/>
        </w:rPr>
        <w:t>ADSL services by approximately 30 per cent.</w:t>
      </w:r>
    </w:p>
    <w:p w14:paraId="3491587F" w14:textId="77777777" w:rsidR="009828D6" w:rsidRPr="00046545" w:rsidRDefault="009828D6" w:rsidP="009828D6">
      <w:pPr>
        <w:keepNext/>
        <w:keepLines/>
        <w:outlineLvl w:val="2"/>
        <w:rPr>
          <w:rFonts w:eastAsia="Times New Roman"/>
          <w:bCs/>
          <w:color w:val="1A7399"/>
          <w:sz w:val="28"/>
        </w:rPr>
      </w:pPr>
      <w:r>
        <w:rPr>
          <w:rFonts w:eastAsia="Times New Roman"/>
          <w:bCs/>
          <w:color w:val="1A7399"/>
          <w:sz w:val="28"/>
        </w:rPr>
        <w:t>Port availability and capped exchange</w:t>
      </w:r>
    </w:p>
    <w:p w14:paraId="46FCCA51" w14:textId="77777777" w:rsidR="009828D6" w:rsidRDefault="009828D6" w:rsidP="009828D6">
      <w:pPr>
        <w:pStyle w:val="BodyText"/>
        <w:rPr>
          <w:rFonts w:eastAsia="MS Mincho"/>
        </w:rPr>
      </w:pPr>
      <w:r>
        <w:rPr>
          <w:rFonts w:eastAsia="MS Mincho"/>
        </w:rPr>
        <w:t>ADSL</w:t>
      </w:r>
      <w:r w:rsidRPr="002170CD">
        <w:rPr>
          <w:rFonts w:eastAsia="MS Mincho"/>
        </w:rPr>
        <w:t xml:space="preserve"> services may be unavailable to some premises due to a shortage of available </w:t>
      </w:r>
      <w:r>
        <w:rPr>
          <w:rFonts w:eastAsia="MS Mincho"/>
        </w:rPr>
        <w:t>capacity (</w:t>
      </w:r>
      <w:r w:rsidRPr="002170CD">
        <w:rPr>
          <w:rFonts w:eastAsia="MS Mincho"/>
        </w:rPr>
        <w:t>ports</w:t>
      </w:r>
      <w:r>
        <w:rPr>
          <w:rFonts w:eastAsia="MS Mincho"/>
        </w:rPr>
        <w:t>)</w:t>
      </w:r>
      <w:r w:rsidRPr="002170CD">
        <w:rPr>
          <w:rFonts w:eastAsia="MS Mincho"/>
        </w:rPr>
        <w:t xml:space="preserve"> at the local exchange</w:t>
      </w:r>
      <w:r>
        <w:rPr>
          <w:rFonts w:eastAsia="MS Mincho"/>
        </w:rPr>
        <w:t xml:space="preserve">. Although additional capacity could be deployed to provide for additional ADSL services in most cases, in a number of instances there is no free space within the exchange and the exchange is considered to be ‘capped’. </w:t>
      </w:r>
    </w:p>
    <w:p w14:paraId="6AEA5885" w14:textId="77777777" w:rsidR="009828D6" w:rsidRPr="002917A9" w:rsidRDefault="009828D6" w:rsidP="009828D6">
      <w:pPr>
        <w:pStyle w:val="BodyText"/>
        <w:rPr>
          <w:rFonts w:eastAsia="MS Mincho"/>
        </w:rPr>
      </w:pPr>
      <w:r>
        <w:t>Not all premises served by capped exchanges or those with limited ports are unable to access ADSL services. Rather, due to these conditions, a proportion may be unable to access a service. It should be noted that port constraints are dynamic and change as customers make alterations to their service orders. For the purposes of this analysis, DAs in ESAs where there were fewer ports than would be required to support an increase in demand of 2 per cent</w:t>
      </w:r>
      <w:r>
        <w:rPr>
          <w:rStyle w:val="FootnoteReference"/>
        </w:rPr>
        <w:footnoteReference w:id="21"/>
      </w:r>
      <w:r>
        <w:t xml:space="preserve"> of the number of services in operation as at June 2013, were considered to have </w:t>
      </w:r>
      <w:r w:rsidRPr="00E162F6">
        <w:t xml:space="preserve">limited ports </w:t>
      </w:r>
      <w:r w:rsidRPr="002917A9">
        <w:rPr>
          <w:rFonts w:eastAsia="MS Mincho"/>
        </w:rPr>
        <w:t>available.</w:t>
      </w:r>
    </w:p>
    <w:p w14:paraId="3B52D104" w14:textId="77777777" w:rsidR="009828D6" w:rsidRDefault="009828D6" w:rsidP="009828D6">
      <w:pPr>
        <w:spacing w:after="200" w:line="276" w:lineRule="auto"/>
        <w:rPr>
          <w:rFonts w:eastAsia="MS Mincho"/>
          <w:b/>
          <w:bCs/>
          <w:color w:val="1A7399"/>
          <w:sz w:val="40"/>
          <w:szCs w:val="32"/>
          <w:lang w:val="en-US"/>
        </w:rPr>
      </w:pPr>
      <w:r>
        <w:rPr>
          <w:rFonts w:eastAsia="MS Mincho"/>
          <w:sz w:val="40"/>
          <w:lang w:val="en-US"/>
        </w:rPr>
        <w:br w:type="page"/>
      </w:r>
    </w:p>
    <w:p w14:paraId="7329531A" w14:textId="77777777" w:rsidR="009828D6" w:rsidRDefault="009828D6" w:rsidP="009828D6">
      <w:pPr>
        <w:pStyle w:val="Heading1"/>
        <w:spacing w:before="0"/>
        <w:rPr>
          <w:rFonts w:eastAsia="MS Mincho"/>
          <w:sz w:val="40"/>
          <w:lang w:val="en-US"/>
        </w:rPr>
      </w:pPr>
      <w:r w:rsidRPr="00666F1A">
        <w:rPr>
          <w:rFonts w:eastAsia="MS Mincho"/>
          <w:sz w:val="40"/>
          <w:lang w:val="en-US"/>
        </w:rPr>
        <w:t xml:space="preserve">Appendix </w:t>
      </w:r>
      <w:r>
        <w:rPr>
          <w:rFonts w:eastAsia="MS Mincho"/>
          <w:sz w:val="40"/>
          <w:lang w:val="en-US"/>
        </w:rPr>
        <w:t>F – Data inputs to the analytical model</w:t>
      </w:r>
    </w:p>
    <w:p w14:paraId="136605AF" w14:textId="77777777" w:rsidR="009828D6" w:rsidRPr="006912CB" w:rsidRDefault="009828D6" w:rsidP="009828D6">
      <w:pPr>
        <w:rPr>
          <w:lang w:val="en-US"/>
        </w:rPr>
      </w:pPr>
    </w:p>
    <w:tbl>
      <w:tblPr>
        <w:tblStyle w:val="LightList-Accent11"/>
        <w:tblW w:w="9889" w:type="dxa"/>
        <w:tblLook w:val="04A0" w:firstRow="1" w:lastRow="0" w:firstColumn="1" w:lastColumn="0" w:noHBand="0" w:noVBand="1"/>
      </w:tblPr>
      <w:tblGrid>
        <w:gridCol w:w="7054"/>
        <w:gridCol w:w="2835"/>
      </w:tblGrid>
      <w:tr w:rsidR="009828D6" w:rsidRPr="00EE518B" w14:paraId="732607FB" w14:textId="77777777" w:rsidTr="005D4DA2">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7054" w:type="dxa"/>
          </w:tcPr>
          <w:p w14:paraId="4BF4BA01" w14:textId="77777777" w:rsidR="009828D6" w:rsidRPr="00E54461" w:rsidRDefault="009828D6" w:rsidP="005D4DA2">
            <w:pPr>
              <w:rPr>
                <w:color w:val="FFFFFF" w:themeColor="background1"/>
                <w:sz w:val="22"/>
                <w:szCs w:val="22"/>
              </w:rPr>
            </w:pPr>
            <w:r w:rsidRPr="00E54461">
              <w:rPr>
                <w:color w:val="FFFFFF" w:themeColor="background1"/>
                <w:sz w:val="22"/>
                <w:szCs w:val="22"/>
              </w:rPr>
              <w:t>Broadband Availability and Quality Data Inputs</w:t>
            </w:r>
          </w:p>
        </w:tc>
        <w:tc>
          <w:tcPr>
            <w:tcW w:w="2835" w:type="dxa"/>
          </w:tcPr>
          <w:p w14:paraId="06909162" w14:textId="77777777" w:rsidR="009828D6" w:rsidRPr="00E54461" w:rsidRDefault="009828D6" w:rsidP="005D4DA2">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Current as at</w:t>
            </w:r>
          </w:p>
        </w:tc>
      </w:tr>
      <w:tr w:rsidR="009828D6" w:rsidRPr="00EE518B" w14:paraId="1EC55618" w14:textId="77777777" w:rsidTr="005D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50D2EE8" w14:textId="77777777" w:rsidR="009828D6" w:rsidRPr="00E54461" w:rsidRDefault="009828D6" w:rsidP="005D4DA2">
            <w:pPr>
              <w:rPr>
                <w:b w:val="0"/>
                <w:color w:val="000000" w:themeColor="text1"/>
                <w:sz w:val="22"/>
                <w:szCs w:val="22"/>
              </w:rPr>
            </w:pPr>
            <w:r w:rsidRPr="00E54461">
              <w:rPr>
                <w:b w:val="0"/>
                <w:color w:val="000000" w:themeColor="text1"/>
                <w:sz w:val="22"/>
                <w:szCs w:val="22"/>
              </w:rPr>
              <w:t>Geocoded National Address File (G-NAF) – location of premises</w:t>
            </w:r>
          </w:p>
        </w:tc>
        <w:tc>
          <w:tcPr>
            <w:tcW w:w="2835" w:type="dxa"/>
          </w:tcPr>
          <w:p w14:paraId="35CD4463"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E54461">
              <w:rPr>
                <w:color w:val="000000" w:themeColor="text1"/>
                <w:sz w:val="22"/>
                <w:szCs w:val="22"/>
              </w:rPr>
              <w:t>September 2013</w:t>
            </w:r>
          </w:p>
        </w:tc>
      </w:tr>
      <w:tr w:rsidR="009828D6" w:rsidRPr="00EE518B" w14:paraId="353DC985" w14:textId="77777777" w:rsidTr="005D4DA2">
        <w:tc>
          <w:tcPr>
            <w:cnfStyle w:val="001000000000" w:firstRow="0" w:lastRow="0" w:firstColumn="1" w:lastColumn="0" w:oddVBand="0" w:evenVBand="0" w:oddHBand="0" w:evenHBand="0" w:firstRowFirstColumn="0" w:firstRowLastColumn="0" w:lastRowFirstColumn="0" w:lastRowLastColumn="0"/>
            <w:tcW w:w="7054" w:type="dxa"/>
          </w:tcPr>
          <w:p w14:paraId="13849F2D" w14:textId="77777777" w:rsidR="009828D6" w:rsidRPr="00E54461" w:rsidRDefault="009828D6" w:rsidP="005D4DA2">
            <w:pPr>
              <w:rPr>
                <w:b w:val="0"/>
                <w:color w:val="000000" w:themeColor="text1"/>
                <w:sz w:val="22"/>
                <w:szCs w:val="22"/>
              </w:rPr>
            </w:pPr>
            <w:r w:rsidRPr="00E54461">
              <w:rPr>
                <w:b w:val="0"/>
                <w:color w:val="000000" w:themeColor="text1"/>
                <w:sz w:val="22"/>
                <w:szCs w:val="22"/>
              </w:rPr>
              <w:t>ExchangeInfo data set – Exchange Service Area and Distribution Area boundaries, and large pair gain types (where present)</w:t>
            </w:r>
          </w:p>
        </w:tc>
        <w:tc>
          <w:tcPr>
            <w:tcW w:w="2835" w:type="dxa"/>
          </w:tcPr>
          <w:p w14:paraId="61DB4D9F"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September 2013</w:t>
            </w:r>
          </w:p>
        </w:tc>
      </w:tr>
      <w:tr w:rsidR="009828D6" w:rsidRPr="00EE518B" w14:paraId="1461CB1A" w14:textId="77777777" w:rsidTr="005D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C6D9F1" w:themeFill="text2" w:themeFillTint="33"/>
          </w:tcPr>
          <w:p w14:paraId="1E68B75B" w14:textId="77777777" w:rsidR="009828D6" w:rsidRPr="00E54461" w:rsidRDefault="009828D6" w:rsidP="005D4DA2">
            <w:pPr>
              <w:rPr>
                <w:rFonts w:cstheme="minorHAnsi"/>
                <w:color w:val="000000" w:themeColor="text1"/>
                <w:sz w:val="22"/>
                <w:szCs w:val="22"/>
              </w:rPr>
            </w:pPr>
            <w:r w:rsidRPr="00E54461">
              <w:rPr>
                <w:rFonts w:cstheme="minorHAnsi"/>
                <w:color w:val="000000" w:themeColor="text1"/>
                <w:sz w:val="22"/>
                <w:szCs w:val="22"/>
              </w:rPr>
              <w:t xml:space="preserve">Spatial representation of FTTP networks </w:t>
            </w:r>
          </w:p>
        </w:tc>
        <w:tc>
          <w:tcPr>
            <w:tcW w:w="2835" w:type="dxa"/>
            <w:shd w:val="clear" w:color="auto" w:fill="C6D9F1" w:themeFill="text2" w:themeFillTint="33"/>
          </w:tcPr>
          <w:p w14:paraId="324ECED7"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r>
      <w:tr w:rsidR="009828D6" w:rsidRPr="00EE518B" w14:paraId="7277A56C" w14:textId="77777777" w:rsidTr="005D4DA2">
        <w:tc>
          <w:tcPr>
            <w:cnfStyle w:val="001000000000" w:firstRow="0" w:lastRow="0" w:firstColumn="1" w:lastColumn="0" w:oddVBand="0" w:evenVBand="0" w:oddHBand="0" w:evenHBand="0" w:firstRowFirstColumn="0" w:firstRowLastColumn="0" w:lastRowFirstColumn="0" w:lastRowLastColumn="0"/>
            <w:tcW w:w="7054" w:type="dxa"/>
          </w:tcPr>
          <w:p w14:paraId="06B95261" w14:textId="77777777" w:rsidR="009828D6" w:rsidRPr="00E54461" w:rsidRDefault="009828D6" w:rsidP="009828D6">
            <w:pPr>
              <w:pStyle w:val="ListParagraph"/>
              <w:numPr>
                <w:ilvl w:val="0"/>
                <w:numId w:val="31"/>
              </w:numPr>
              <w:spacing w:after="0" w:line="240" w:lineRule="auto"/>
              <w:ind w:left="0"/>
              <w:rPr>
                <w:rFonts w:cstheme="minorHAnsi"/>
                <w:b w:val="0"/>
                <w:color w:val="000000" w:themeColor="text1"/>
              </w:rPr>
            </w:pPr>
            <w:r w:rsidRPr="00E54461">
              <w:rPr>
                <w:rFonts w:cstheme="minorHAnsi"/>
                <w:b w:val="0"/>
                <w:color w:val="000000" w:themeColor="text1"/>
              </w:rPr>
              <w:t xml:space="preserve">iiNet FTTP </w:t>
            </w:r>
          </w:p>
          <w:p w14:paraId="0E9A13FB" w14:textId="77777777" w:rsidR="009828D6" w:rsidRPr="00E54461" w:rsidRDefault="009828D6" w:rsidP="009828D6">
            <w:pPr>
              <w:pStyle w:val="ListParagraph"/>
              <w:numPr>
                <w:ilvl w:val="0"/>
                <w:numId w:val="31"/>
              </w:numPr>
              <w:spacing w:after="0" w:line="240" w:lineRule="auto"/>
              <w:ind w:left="0"/>
              <w:rPr>
                <w:rFonts w:cstheme="minorHAnsi"/>
                <w:b w:val="0"/>
                <w:color w:val="000000" w:themeColor="text1"/>
              </w:rPr>
            </w:pPr>
            <w:r w:rsidRPr="00E54461">
              <w:rPr>
                <w:rFonts w:cstheme="minorHAnsi"/>
                <w:b w:val="0"/>
                <w:color w:val="000000" w:themeColor="text1"/>
              </w:rPr>
              <w:t xml:space="preserve">Telstra FTTP </w:t>
            </w:r>
          </w:p>
          <w:p w14:paraId="47FD3543" w14:textId="77777777" w:rsidR="009828D6" w:rsidRPr="00E54461" w:rsidRDefault="009828D6" w:rsidP="009828D6">
            <w:pPr>
              <w:pStyle w:val="ListParagraph"/>
              <w:numPr>
                <w:ilvl w:val="0"/>
                <w:numId w:val="31"/>
              </w:numPr>
              <w:spacing w:after="0" w:line="240" w:lineRule="auto"/>
              <w:ind w:left="0"/>
              <w:rPr>
                <w:rFonts w:cstheme="minorHAnsi"/>
                <w:b w:val="0"/>
                <w:color w:val="000000" w:themeColor="text1"/>
              </w:rPr>
            </w:pPr>
            <w:r w:rsidRPr="00E54461">
              <w:rPr>
                <w:rFonts w:cstheme="minorHAnsi"/>
                <w:b w:val="0"/>
                <w:color w:val="000000" w:themeColor="text1"/>
              </w:rPr>
              <w:t xml:space="preserve">NBN Brownfields and Greenfields </w:t>
            </w:r>
          </w:p>
          <w:p w14:paraId="57F12434" w14:textId="77777777" w:rsidR="009828D6" w:rsidRPr="00E54461" w:rsidRDefault="009828D6" w:rsidP="009828D6">
            <w:pPr>
              <w:pStyle w:val="ListParagraph"/>
              <w:numPr>
                <w:ilvl w:val="0"/>
                <w:numId w:val="31"/>
              </w:numPr>
              <w:spacing w:after="0" w:line="240" w:lineRule="auto"/>
              <w:ind w:left="0"/>
              <w:rPr>
                <w:rFonts w:cstheme="minorHAnsi"/>
                <w:b w:val="0"/>
                <w:color w:val="000000" w:themeColor="text1"/>
              </w:rPr>
            </w:pPr>
            <w:r w:rsidRPr="00E54461">
              <w:rPr>
                <w:rFonts w:cstheme="minorHAnsi"/>
                <w:b w:val="0"/>
                <w:color w:val="000000" w:themeColor="text1"/>
              </w:rPr>
              <w:t>OPENetworks</w:t>
            </w:r>
          </w:p>
          <w:p w14:paraId="5906C910" w14:textId="77777777" w:rsidR="009828D6" w:rsidRPr="00E54461" w:rsidRDefault="009828D6" w:rsidP="009828D6">
            <w:pPr>
              <w:pStyle w:val="ListParagraph"/>
              <w:numPr>
                <w:ilvl w:val="0"/>
                <w:numId w:val="31"/>
              </w:numPr>
              <w:spacing w:after="0" w:line="240" w:lineRule="auto"/>
              <w:ind w:left="0"/>
              <w:rPr>
                <w:rFonts w:cstheme="minorHAnsi"/>
                <w:color w:val="000000" w:themeColor="text1"/>
              </w:rPr>
            </w:pPr>
            <w:r w:rsidRPr="00E54461">
              <w:rPr>
                <w:rFonts w:cstheme="minorHAnsi"/>
                <w:b w:val="0"/>
                <w:color w:val="000000" w:themeColor="text1"/>
              </w:rPr>
              <w:t xml:space="preserve">Pivit </w:t>
            </w:r>
          </w:p>
          <w:p w14:paraId="745C5369" w14:textId="77777777" w:rsidR="009828D6" w:rsidRPr="00E54461" w:rsidRDefault="009828D6" w:rsidP="009828D6">
            <w:pPr>
              <w:pStyle w:val="ListParagraph"/>
              <w:numPr>
                <w:ilvl w:val="0"/>
                <w:numId w:val="31"/>
              </w:numPr>
              <w:spacing w:after="0" w:line="240" w:lineRule="auto"/>
              <w:ind w:left="0"/>
              <w:rPr>
                <w:rFonts w:cstheme="minorHAnsi"/>
                <w:color w:val="000000" w:themeColor="text1"/>
              </w:rPr>
            </w:pPr>
            <w:r w:rsidRPr="00E54461">
              <w:rPr>
                <w:rFonts w:cstheme="minorHAnsi"/>
                <w:b w:val="0"/>
                <w:color w:val="000000" w:themeColor="text1"/>
              </w:rPr>
              <w:t xml:space="preserve">Opticomm FTTP </w:t>
            </w:r>
          </w:p>
          <w:p w14:paraId="14F8D2DE" w14:textId="77777777" w:rsidR="009828D6" w:rsidRPr="00E54461" w:rsidRDefault="009828D6" w:rsidP="009828D6">
            <w:pPr>
              <w:pStyle w:val="ListParagraph"/>
              <w:numPr>
                <w:ilvl w:val="0"/>
                <w:numId w:val="31"/>
              </w:numPr>
              <w:spacing w:after="0" w:line="240" w:lineRule="auto"/>
              <w:ind w:left="0"/>
              <w:rPr>
                <w:rFonts w:cstheme="minorHAnsi"/>
                <w:b w:val="0"/>
                <w:color w:val="000000" w:themeColor="text1"/>
              </w:rPr>
            </w:pPr>
            <w:r w:rsidRPr="00E54461">
              <w:rPr>
                <w:rFonts w:cstheme="minorHAnsi"/>
                <w:b w:val="0"/>
                <w:color w:val="000000" w:themeColor="text1"/>
              </w:rPr>
              <w:t xml:space="preserve">ClubLinks </w:t>
            </w:r>
          </w:p>
          <w:p w14:paraId="28BE3B88" w14:textId="77777777" w:rsidR="009828D6" w:rsidRPr="00E54461" w:rsidRDefault="009828D6" w:rsidP="009828D6">
            <w:pPr>
              <w:pStyle w:val="ListParagraph"/>
              <w:numPr>
                <w:ilvl w:val="0"/>
                <w:numId w:val="31"/>
              </w:numPr>
              <w:spacing w:after="0" w:line="240" w:lineRule="auto"/>
              <w:ind w:left="0"/>
              <w:rPr>
                <w:rFonts w:cstheme="minorHAnsi"/>
                <w:b w:val="0"/>
                <w:color w:val="000000" w:themeColor="text1"/>
              </w:rPr>
            </w:pPr>
            <w:r w:rsidRPr="00E54461">
              <w:rPr>
                <w:rFonts w:cstheme="minorHAnsi"/>
                <w:b w:val="0"/>
                <w:color w:val="000000" w:themeColor="text1"/>
              </w:rPr>
              <w:t xml:space="preserve">Places Victoria </w:t>
            </w:r>
          </w:p>
          <w:p w14:paraId="24FEA2AE" w14:textId="77777777" w:rsidR="009828D6" w:rsidRPr="00E54461" w:rsidRDefault="009828D6" w:rsidP="009828D6">
            <w:pPr>
              <w:pStyle w:val="ListParagraph"/>
              <w:numPr>
                <w:ilvl w:val="0"/>
                <w:numId w:val="31"/>
              </w:numPr>
              <w:spacing w:after="0" w:line="240" w:lineRule="auto"/>
              <w:ind w:left="0"/>
              <w:rPr>
                <w:rFonts w:cstheme="minorHAnsi"/>
                <w:b w:val="0"/>
                <w:color w:val="000000" w:themeColor="text1"/>
              </w:rPr>
            </w:pPr>
            <w:r w:rsidRPr="00E54461">
              <w:rPr>
                <w:rFonts w:cstheme="minorHAnsi"/>
                <w:b w:val="0"/>
                <w:color w:val="000000" w:themeColor="text1"/>
              </w:rPr>
              <w:t xml:space="preserve">Sanctuary Cove </w:t>
            </w:r>
          </w:p>
        </w:tc>
        <w:tc>
          <w:tcPr>
            <w:tcW w:w="2835" w:type="dxa"/>
          </w:tcPr>
          <w:p w14:paraId="57B3B19F"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October 2013</w:t>
            </w:r>
          </w:p>
          <w:p w14:paraId="23B1F462"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October 2013</w:t>
            </w:r>
          </w:p>
          <w:p w14:paraId="7CF92259"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December</w:t>
            </w:r>
            <w:r w:rsidRPr="00E54461">
              <w:rPr>
                <w:color w:val="000000" w:themeColor="text1"/>
                <w:sz w:val="22"/>
                <w:szCs w:val="22"/>
              </w:rPr>
              <w:t xml:space="preserve"> 2013</w:t>
            </w:r>
          </w:p>
          <w:p w14:paraId="7CA7ACDC"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October 2013</w:t>
            </w:r>
          </w:p>
          <w:p w14:paraId="479F6FC7"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October 2013</w:t>
            </w:r>
          </w:p>
          <w:p w14:paraId="4A9008DF"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October 2013</w:t>
            </w:r>
          </w:p>
          <w:p w14:paraId="12B13C37"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October 2013</w:t>
            </w:r>
          </w:p>
          <w:p w14:paraId="345FBE5B"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October 2013</w:t>
            </w:r>
          </w:p>
          <w:p w14:paraId="5816819F"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October 2013</w:t>
            </w:r>
          </w:p>
        </w:tc>
      </w:tr>
      <w:tr w:rsidR="009828D6" w:rsidRPr="00EE518B" w14:paraId="08716947" w14:textId="77777777" w:rsidTr="005D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C6D9F1" w:themeFill="text2" w:themeFillTint="33"/>
          </w:tcPr>
          <w:p w14:paraId="73121951" w14:textId="77777777" w:rsidR="009828D6" w:rsidRPr="00E54461" w:rsidRDefault="009828D6" w:rsidP="005D4DA2">
            <w:pPr>
              <w:rPr>
                <w:rFonts w:cstheme="minorHAnsi"/>
                <w:color w:val="000000" w:themeColor="text1"/>
                <w:sz w:val="22"/>
                <w:szCs w:val="22"/>
              </w:rPr>
            </w:pPr>
            <w:r w:rsidRPr="00E54461">
              <w:rPr>
                <w:rFonts w:cstheme="minorHAnsi"/>
                <w:color w:val="000000" w:themeColor="text1"/>
                <w:sz w:val="22"/>
                <w:szCs w:val="22"/>
              </w:rPr>
              <w:t>Spatial representation of HFC networks</w:t>
            </w:r>
          </w:p>
        </w:tc>
        <w:tc>
          <w:tcPr>
            <w:tcW w:w="2835" w:type="dxa"/>
            <w:shd w:val="clear" w:color="auto" w:fill="C6D9F1" w:themeFill="text2" w:themeFillTint="33"/>
          </w:tcPr>
          <w:p w14:paraId="186226A6"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r>
      <w:tr w:rsidR="009828D6" w:rsidRPr="00EE518B" w14:paraId="059FEF28" w14:textId="77777777" w:rsidTr="005D4DA2">
        <w:tc>
          <w:tcPr>
            <w:cnfStyle w:val="001000000000" w:firstRow="0" w:lastRow="0" w:firstColumn="1" w:lastColumn="0" w:oddVBand="0" w:evenVBand="0" w:oddHBand="0" w:evenHBand="0" w:firstRowFirstColumn="0" w:firstRowLastColumn="0" w:lastRowFirstColumn="0" w:lastRowLastColumn="0"/>
            <w:tcW w:w="7054" w:type="dxa"/>
          </w:tcPr>
          <w:p w14:paraId="01E07A66" w14:textId="77777777" w:rsidR="009828D6" w:rsidRPr="00E54461" w:rsidRDefault="009828D6" w:rsidP="009828D6">
            <w:pPr>
              <w:pStyle w:val="ListParagraph"/>
              <w:numPr>
                <w:ilvl w:val="0"/>
                <w:numId w:val="32"/>
              </w:numPr>
              <w:spacing w:after="0" w:line="240" w:lineRule="auto"/>
              <w:ind w:left="0"/>
              <w:rPr>
                <w:rFonts w:cstheme="minorHAnsi"/>
                <w:b w:val="0"/>
                <w:color w:val="000000" w:themeColor="text1"/>
              </w:rPr>
            </w:pPr>
            <w:r w:rsidRPr="00E54461">
              <w:rPr>
                <w:rFonts w:cstheme="minorHAnsi"/>
                <w:b w:val="0"/>
                <w:color w:val="000000" w:themeColor="text1"/>
              </w:rPr>
              <w:t xml:space="preserve">Optus HFC </w:t>
            </w:r>
          </w:p>
          <w:p w14:paraId="1BC457F9" w14:textId="77777777" w:rsidR="009828D6" w:rsidRPr="00E54461" w:rsidRDefault="009828D6" w:rsidP="009828D6">
            <w:pPr>
              <w:pStyle w:val="ListParagraph"/>
              <w:numPr>
                <w:ilvl w:val="0"/>
                <w:numId w:val="32"/>
              </w:numPr>
              <w:spacing w:after="0" w:line="240" w:lineRule="auto"/>
              <w:ind w:left="0"/>
              <w:rPr>
                <w:rFonts w:cstheme="minorHAnsi"/>
                <w:b w:val="0"/>
                <w:color w:val="000000" w:themeColor="text1"/>
              </w:rPr>
            </w:pPr>
            <w:r w:rsidRPr="00E54461">
              <w:rPr>
                <w:rFonts w:cstheme="minorHAnsi"/>
                <w:b w:val="0"/>
                <w:color w:val="000000" w:themeColor="text1"/>
              </w:rPr>
              <w:t xml:space="preserve">Opticomm HFC </w:t>
            </w:r>
          </w:p>
          <w:p w14:paraId="566FB8C9" w14:textId="77777777" w:rsidR="009828D6" w:rsidRPr="00E54461" w:rsidRDefault="009828D6" w:rsidP="009828D6">
            <w:pPr>
              <w:pStyle w:val="ListParagraph"/>
              <w:numPr>
                <w:ilvl w:val="0"/>
                <w:numId w:val="32"/>
              </w:numPr>
              <w:spacing w:after="0" w:line="240" w:lineRule="auto"/>
              <w:ind w:left="0"/>
              <w:rPr>
                <w:rFonts w:cstheme="minorHAnsi"/>
                <w:b w:val="0"/>
                <w:color w:val="000000" w:themeColor="text1"/>
              </w:rPr>
            </w:pPr>
            <w:r w:rsidRPr="00E54461">
              <w:rPr>
                <w:rFonts w:cstheme="minorHAnsi"/>
                <w:b w:val="0"/>
                <w:color w:val="000000" w:themeColor="text1"/>
              </w:rPr>
              <w:t xml:space="preserve">Telstra HFC </w:t>
            </w:r>
          </w:p>
          <w:p w14:paraId="1710D2E2" w14:textId="77777777" w:rsidR="009828D6" w:rsidRPr="00E54461" w:rsidRDefault="009828D6" w:rsidP="009828D6">
            <w:pPr>
              <w:pStyle w:val="ListParagraph"/>
              <w:numPr>
                <w:ilvl w:val="0"/>
                <w:numId w:val="32"/>
              </w:numPr>
              <w:spacing w:after="0" w:line="240" w:lineRule="auto"/>
              <w:ind w:left="0"/>
              <w:rPr>
                <w:rFonts w:cstheme="minorHAnsi"/>
                <w:b w:val="0"/>
                <w:color w:val="000000" w:themeColor="text1"/>
              </w:rPr>
            </w:pPr>
            <w:r w:rsidRPr="00E54461">
              <w:rPr>
                <w:rFonts w:cstheme="minorHAnsi"/>
                <w:b w:val="0"/>
                <w:color w:val="000000" w:themeColor="text1"/>
              </w:rPr>
              <w:t>iiNet HFC</w:t>
            </w:r>
          </w:p>
        </w:tc>
        <w:tc>
          <w:tcPr>
            <w:tcW w:w="2835" w:type="dxa"/>
          </w:tcPr>
          <w:p w14:paraId="7B76F619"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October 2013</w:t>
            </w:r>
          </w:p>
          <w:p w14:paraId="1DCC20A9"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October 2013</w:t>
            </w:r>
          </w:p>
          <w:p w14:paraId="3B0DA55F"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E54461">
              <w:rPr>
                <w:color w:val="000000" w:themeColor="text1"/>
                <w:sz w:val="22"/>
                <w:szCs w:val="22"/>
              </w:rPr>
              <w:t>October 2013</w:t>
            </w:r>
          </w:p>
          <w:p w14:paraId="158E0D46"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E54461">
              <w:rPr>
                <w:color w:val="000000" w:themeColor="text1"/>
                <w:sz w:val="22"/>
                <w:szCs w:val="22"/>
              </w:rPr>
              <w:t>October 2013</w:t>
            </w:r>
          </w:p>
        </w:tc>
      </w:tr>
      <w:tr w:rsidR="009828D6" w:rsidRPr="00EE518B" w14:paraId="721FFB53" w14:textId="77777777" w:rsidTr="005D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C6D9F1" w:themeFill="text2" w:themeFillTint="33"/>
          </w:tcPr>
          <w:p w14:paraId="63A671E6" w14:textId="77777777" w:rsidR="009828D6" w:rsidRPr="00E54461" w:rsidRDefault="009828D6" w:rsidP="005D4DA2">
            <w:pPr>
              <w:rPr>
                <w:rFonts w:cstheme="minorHAnsi"/>
                <w:color w:val="000000" w:themeColor="text1"/>
                <w:sz w:val="22"/>
                <w:szCs w:val="22"/>
              </w:rPr>
            </w:pPr>
            <w:r w:rsidRPr="00E54461">
              <w:rPr>
                <w:rFonts w:cstheme="minorHAnsi"/>
                <w:color w:val="000000" w:themeColor="text1"/>
                <w:sz w:val="22"/>
                <w:szCs w:val="22"/>
              </w:rPr>
              <w:t>Spatial representation of FTTN network</w:t>
            </w:r>
          </w:p>
        </w:tc>
        <w:tc>
          <w:tcPr>
            <w:tcW w:w="2835" w:type="dxa"/>
            <w:shd w:val="clear" w:color="auto" w:fill="C6D9F1" w:themeFill="text2" w:themeFillTint="33"/>
          </w:tcPr>
          <w:p w14:paraId="036C7061"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r>
      <w:tr w:rsidR="009828D6" w:rsidRPr="00EE518B" w14:paraId="33B4CA96" w14:textId="77777777" w:rsidTr="005D4DA2">
        <w:tc>
          <w:tcPr>
            <w:cnfStyle w:val="001000000000" w:firstRow="0" w:lastRow="0" w:firstColumn="1" w:lastColumn="0" w:oddVBand="0" w:evenVBand="0" w:oddHBand="0" w:evenHBand="0" w:firstRowFirstColumn="0" w:firstRowLastColumn="0" w:lastRowFirstColumn="0" w:lastRowLastColumn="0"/>
            <w:tcW w:w="7054" w:type="dxa"/>
          </w:tcPr>
          <w:p w14:paraId="4FF980EF" w14:textId="77777777" w:rsidR="009828D6" w:rsidRPr="00E54461" w:rsidRDefault="009828D6" w:rsidP="009828D6">
            <w:pPr>
              <w:pStyle w:val="ListParagraph"/>
              <w:numPr>
                <w:ilvl w:val="0"/>
                <w:numId w:val="34"/>
              </w:numPr>
              <w:spacing w:after="0" w:line="240" w:lineRule="auto"/>
              <w:ind w:left="0"/>
              <w:rPr>
                <w:rFonts w:cstheme="minorHAnsi"/>
                <w:b w:val="0"/>
                <w:color w:val="000000" w:themeColor="text1"/>
              </w:rPr>
            </w:pPr>
            <w:r w:rsidRPr="00E54461">
              <w:rPr>
                <w:rFonts w:cstheme="minorHAnsi"/>
                <w:b w:val="0"/>
                <w:color w:val="000000" w:themeColor="text1"/>
              </w:rPr>
              <w:t xml:space="preserve">iiNet FTTN </w:t>
            </w:r>
          </w:p>
        </w:tc>
        <w:tc>
          <w:tcPr>
            <w:tcW w:w="2835" w:type="dxa"/>
          </w:tcPr>
          <w:p w14:paraId="31D42C50"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E54461">
              <w:rPr>
                <w:rFonts w:cstheme="minorHAnsi"/>
                <w:color w:val="000000" w:themeColor="text1"/>
                <w:sz w:val="22"/>
                <w:szCs w:val="22"/>
              </w:rPr>
              <w:t>October  2013</w:t>
            </w:r>
          </w:p>
        </w:tc>
      </w:tr>
      <w:tr w:rsidR="009828D6" w:rsidRPr="00EE518B" w14:paraId="57C80B9B" w14:textId="77777777" w:rsidTr="005D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C6D9F1" w:themeFill="text2" w:themeFillTint="33"/>
          </w:tcPr>
          <w:p w14:paraId="39CCA7F2" w14:textId="77777777" w:rsidR="009828D6" w:rsidRPr="00E54461" w:rsidRDefault="009828D6" w:rsidP="005D4DA2">
            <w:pPr>
              <w:rPr>
                <w:rFonts w:cstheme="minorHAnsi"/>
                <w:color w:val="000000" w:themeColor="text1"/>
                <w:sz w:val="22"/>
                <w:szCs w:val="22"/>
              </w:rPr>
            </w:pPr>
            <w:r w:rsidRPr="00E54461">
              <w:rPr>
                <w:rFonts w:cstheme="minorHAnsi"/>
                <w:color w:val="000000" w:themeColor="text1"/>
                <w:sz w:val="22"/>
                <w:szCs w:val="22"/>
              </w:rPr>
              <w:t>Spatial representation of NBN Co’s fixed wireless network</w:t>
            </w:r>
          </w:p>
        </w:tc>
        <w:tc>
          <w:tcPr>
            <w:tcW w:w="2835" w:type="dxa"/>
            <w:shd w:val="clear" w:color="auto" w:fill="C6D9F1" w:themeFill="text2" w:themeFillTint="33"/>
          </w:tcPr>
          <w:p w14:paraId="7B53C561"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r>
      <w:tr w:rsidR="009828D6" w:rsidRPr="00EE518B" w14:paraId="5A21698C" w14:textId="77777777" w:rsidTr="005D4DA2">
        <w:tc>
          <w:tcPr>
            <w:cnfStyle w:val="001000000000" w:firstRow="0" w:lastRow="0" w:firstColumn="1" w:lastColumn="0" w:oddVBand="0" w:evenVBand="0" w:oddHBand="0" w:evenHBand="0" w:firstRowFirstColumn="0" w:firstRowLastColumn="0" w:lastRowFirstColumn="0" w:lastRowLastColumn="0"/>
            <w:tcW w:w="7054" w:type="dxa"/>
          </w:tcPr>
          <w:p w14:paraId="30720C68" w14:textId="77777777" w:rsidR="009828D6" w:rsidRPr="00E54461" w:rsidRDefault="009828D6" w:rsidP="009828D6">
            <w:pPr>
              <w:pStyle w:val="ListParagraph"/>
              <w:numPr>
                <w:ilvl w:val="0"/>
                <w:numId w:val="33"/>
              </w:numPr>
              <w:spacing w:after="0" w:line="240" w:lineRule="auto"/>
              <w:ind w:left="0"/>
              <w:rPr>
                <w:rFonts w:cstheme="minorHAnsi"/>
                <w:b w:val="0"/>
                <w:color w:val="000000" w:themeColor="text1"/>
              </w:rPr>
            </w:pPr>
            <w:r w:rsidRPr="00E54461">
              <w:rPr>
                <w:rFonts w:cstheme="minorHAnsi"/>
                <w:b w:val="0"/>
                <w:color w:val="000000" w:themeColor="text1"/>
              </w:rPr>
              <w:t xml:space="preserve">NBN </w:t>
            </w:r>
            <w:r>
              <w:rPr>
                <w:rFonts w:cstheme="minorHAnsi"/>
                <w:b w:val="0"/>
                <w:color w:val="000000" w:themeColor="text1"/>
              </w:rPr>
              <w:t xml:space="preserve">Co </w:t>
            </w:r>
            <w:r w:rsidRPr="00E54461">
              <w:rPr>
                <w:rFonts w:cstheme="minorHAnsi"/>
                <w:b w:val="0"/>
                <w:color w:val="000000" w:themeColor="text1"/>
              </w:rPr>
              <w:t xml:space="preserve">Fixed Wireless </w:t>
            </w:r>
          </w:p>
        </w:tc>
        <w:tc>
          <w:tcPr>
            <w:tcW w:w="2835" w:type="dxa"/>
          </w:tcPr>
          <w:p w14:paraId="2252B61E"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Pr>
                <w:rFonts w:cstheme="minorHAnsi"/>
                <w:color w:val="000000" w:themeColor="text1"/>
                <w:sz w:val="22"/>
                <w:szCs w:val="22"/>
              </w:rPr>
              <w:t>December</w:t>
            </w:r>
            <w:r w:rsidRPr="00E54461">
              <w:rPr>
                <w:rFonts w:cstheme="minorHAnsi"/>
                <w:color w:val="000000" w:themeColor="text1"/>
                <w:sz w:val="22"/>
                <w:szCs w:val="22"/>
              </w:rPr>
              <w:t xml:space="preserve"> 2013</w:t>
            </w:r>
          </w:p>
        </w:tc>
      </w:tr>
      <w:tr w:rsidR="009828D6" w:rsidRPr="00EE518B" w14:paraId="32E8119B" w14:textId="77777777" w:rsidTr="005D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C6D9F1" w:themeFill="text2" w:themeFillTint="33"/>
          </w:tcPr>
          <w:p w14:paraId="4EDB1918" w14:textId="77777777" w:rsidR="009828D6" w:rsidRPr="00E54461" w:rsidRDefault="009828D6" w:rsidP="005D4DA2">
            <w:pPr>
              <w:rPr>
                <w:rFonts w:cstheme="minorHAnsi"/>
                <w:color w:val="000000" w:themeColor="text1"/>
                <w:sz w:val="22"/>
                <w:szCs w:val="22"/>
              </w:rPr>
            </w:pPr>
            <w:r w:rsidRPr="00E54461">
              <w:rPr>
                <w:rFonts w:cstheme="minorHAnsi"/>
                <w:color w:val="000000" w:themeColor="text1"/>
                <w:sz w:val="22"/>
                <w:szCs w:val="22"/>
              </w:rPr>
              <w:t>Spatial representation of mobile broadband networks</w:t>
            </w:r>
          </w:p>
        </w:tc>
        <w:tc>
          <w:tcPr>
            <w:tcW w:w="2835" w:type="dxa"/>
            <w:shd w:val="clear" w:color="auto" w:fill="C6D9F1" w:themeFill="text2" w:themeFillTint="33"/>
          </w:tcPr>
          <w:p w14:paraId="465E8383"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r>
      <w:tr w:rsidR="009828D6" w:rsidRPr="00EE518B" w14:paraId="3FFD3447" w14:textId="77777777" w:rsidTr="005D4DA2">
        <w:tc>
          <w:tcPr>
            <w:cnfStyle w:val="001000000000" w:firstRow="0" w:lastRow="0" w:firstColumn="1" w:lastColumn="0" w:oddVBand="0" w:evenVBand="0" w:oddHBand="0" w:evenHBand="0" w:firstRowFirstColumn="0" w:firstRowLastColumn="0" w:lastRowFirstColumn="0" w:lastRowLastColumn="0"/>
            <w:tcW w:w="7054" w:type="dxa"/>
          </w:tcPr>
          <w:p w14:paraId="0BF8390F" w14:textId="77777777" w:rsidR="009828D6" w:rsidRPr="00E54461" w:rsidRDefault="009828D6" w:rsidP="009828D6">
            <w:pPr>
              <w:pStyle w:val="ListParagraph"/>
              <w:numPr>
                <w:ilvl w:val="0"/>
                <w:numId w:val="35"/>
              </w:numPr>
              <w:spacing w:after="0" w:line="240" w:lineRule="auto"/>
              <w:ind w:left="0"/>
              <w:rPr>
                <w:rFonts w:cstheme="minorHAnsi"/>
                <w:b w:val="0"/>
                <w:color w:val="000000" w:themeColor="text1"/>
              </w:rPr>
            </w:pPr>
            <w:r w:rsidRPr="00E54461">
              <w:rPr>
                <w:rFonts w:cstheme="minorHAnsi"/>
                <w:b w:val="0"/>
                <w:color w:val="000000" w:themeColor="text1"/>
              </w:rPr>
              <w:t xml:space="preserve">Telstra  </w:t>
            </w:r>
          </w:p>
          <w:p w14:paraId="4CB1AE71" w14:textId="77777777" w:rsidR="009828D6" w:rsidRPr="00E54461" w:rsidRDefault="009828D6" w:rsidP="009828D6">
            <w:pPr>
              <w:pStyle w:val="ListParagraph"/>
              <w:numPr>
                <w:ilvl w:val="0"/>
                <w:numId w:val="35"/>
              </w:numPr>
              <w:spacing w:after="0" w:line="240" w:lineRule="auto"/>
              <w:ind w:left="0"/>
              <w:rPr>
                <w:rFonts w:cstheme="minorHAnsi"/>
                <w:b w:val="0"/>
                <w:color w:val="000000" w:themeColor="text1"/>
              </w:rPr>
            </w:pPr>
            <w:r w:rsidRPr="00E54461">
              <w:rPr>
                <w:rFonts w:cstheme="minorHAnsi"/>
                <w:b w:val="0"/>
                <w:color w:val="000000" w:themeColor="text1"/>
              </w:rPr>
              <w:t xml:space="preserve">Optus </w:t>
            </w:r>
          </w:p>
          <w:p w14:paraId="577E1584" w14:textId="77777777" w:rsidR="009828D6" w:rsidRPr="00E54461" w:rsidRDefault="009828D6" w:rsidP="009828D6">
            <w:pPr>
              <w:pStyle w:val="ListParagraph"/>
              <w:numPr>
                <w:ilvl w:val="0"/>
                <w:numId w:val="35"/>
              </w:numPr>
              <w:spacing w:after="0" w:line="240" w:lineRule="auto"/>
              <w:ind w:left="0"/>
              <w:rPr>
                <w:rFonts w:cstheme="minorHAnsi"/>
                <w:b w:val="0"/>
                <w:color w:val="000000" w:themeColor="text1"/>
              </w:rPr>
            </w:pPr>
            <w:r w:rsidRPr="00E54461">
              <w:rPr>
                <w:rFonts w:cstheme="minorHAnsi"/>
                <w:b w:val="0"/>
                <w:color w:val="000000" w:themeColor="text1"/>
              </w:rPr>
              <w:t xml:space="preserve">Vodafone </w:t>
            </w:r>
          </w:p>
        </w:tc>
        <w:tc>
          <w:tcPr>
            <w:tcW w:w="2835" w:type="dxa"/>
          </w:tcPr>
          <w:p w14:paraId="1B0C5B72"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Pr>
                <w:rFonts w:cstheme="minorHAnsi"/>
                <w:color w:val="000000" w:themeColor="text1"/>
                <w:sz w:val="22"/>
                <w:szCs w:val="22"/>
              </w:rPr>
              <w:t>September</w:t>
            </w:r>
            <w:r w:rsidRPr="00E54461">
              <w:rPr>
                <w:rFonts w:cstheme="minorHAnsi"/>
                <w:color w:val="000000" w:themeColor="text1"/>
                <w:sz w:val="22"/>
                <w:szCs w:val="22"/>
              </w:rPr>
              <w:t xml:space="preserve"> 2013</w:t>
            </w:r>
          </w:p>
          <w:p w14:paraId="441CECDF"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E54461">
              <w:rPr>
                <w:rFonts w:cstheme="minorHAnsi"/>
                <w:color w:val="000000" w:themeColor="text1"/>
                <w:sz w:val="22"/>
                <w:szCs w:val="22"/>
              </w:rPr>
              <w:t>October 2013</w:t>
            </w:r>
          </w:p>
          <w:p w14:paraId="24B7F34A"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E54461">
              <w:rPr>
                <w:rFonts w:cstheme="minorHAnsi"/>
                <w:color w:val="000000" w:themeColor="text1"/>
                <w:sz w:val="22"/>
                <w:szCs w:val="22"/>
              </w:rPr>
              <w:t>October 2013</w:t>
            </w:r>
          </w:p>
        </w:tc>
      </w:tr>
      <w:tr w:rsidR="009828D6" w:rsidRPr="00EE518B" w14:paraId="6B6C70F5" w14:textId="77777777" w:rsidTr="005D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C6D9F1" w:themeFill="text2" w:themeFillTint="33"/>
          </w:tcPr>
          <w:p w14:paraId="6FCB4BD3" w14:textId="77777777" w:rsidR="009828D6" w:rsidRPr="00E54461" w:rsidRDefault="009828D6" w:rsidP="005D4DA2">
            <w:pPr>
              <w:rPr>
                <w:rFonts w:cstheme="minorHAnsi"/>
                <w:color w:val="000000" w:themeColor="text1"/>
                <w:sz w:val="22"/>
                <w:szCs w:val="22"/>
              </w:rPr>
            </w:pPr>
            <w:r w:rsidRPr="00E54461">
              <w:rPr>
                <w:rFonts w:cstheme="minorHAnsi"/>
                <w:color w:val="000000" w:themeColor="text1"/>
                <w:sz w:val="22"/>
                <w:szCs w:val="22"/>
              </w:rPr>
              <w:t>Digital Subscriber Line Access Multiplexer (DSLAM) deployment in exchange and Customer Access Network (CAN) sites</w:t>
            </w:r>
          </w:p>
        </w:tc>
        <w:tc>
          <w:tcPr>
            <w:tcW w:w="2835" w:type="dxa"/>
            <w:shd w:val="clear" w:color="auto" w:fill="C6D9F1" w:themeFill="text2" w:themeFillTint="33"/>
          </w:tcPr>
          <w:p w14:paraId="6528DB28"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r>
      <w:tr w:rsidR="009828D6" w:rsidRPr="00EE518B" w14:paraId="6D829268" w14:textId="77777777" w:rsidTr="005D4DA2">
        <w:tc>
          <w:tcPr>
            <w:cnfStyle w:val="001000000000" w:firstRow="0" w:lastRow="0" w:firstColumn="1" w:lastColumn="0" w:oddVBand="0" w:evenVBand="0" w:oddHBand="0" w:evenHBand="0" w:firstRowFirstColumn="0" w:firstRowLastColumn="0" w:lastRowFirstColumn="0" w:lastRowLastColumn="0"/>
            <w:tcW w:w="7054" w:type="dxa"/>
          </w:tcPr>
          <w:p w14:paraId="3A3668A1" w14:textId="77777777" w:rsidR="009828D6" w:rsidRPr="00E54461" w:rsidRDefault="009828D6" w:rsidP="005D4DA2">
            <w:pPr>
              <w:rPr>
                <w:rFonts w:cstheme="minorHAnsi"/>
                <w:color w:val="000000" w:themeColor="text1"/>
                <w:sz w:val="22"/>
                <w:szCs w:val="22"/>
              </w:rPr>
            </w:pPr>
            <w:r w:rsidRPr="00E54461">
              <w:rPr>
                <w:rFonts w:cstheme="minorHAnsi"/>
                <w:b w:val="0"/>
                <w:color w:val="000000" w:themeColor="text1"/>
                <w:sz w:val="22"/>
                <w:szCs w:val="22"/>
              </w:rPr>
              <w:t>Record Keeping Rule reports for Telstra and iiNet (infrastructure elements, and Services in Operation (SIOs)) – includes spatial location of cabinets and pillars</w:t>
            </w:r>
          </w:p>
        </w:tc>
        <w:tc>
          <w:tcPr>
            <w:tcW w:w="2835" w:type="dxa"/>
          </w:tcPr>
          <w:p w14:paraId="5458CB78"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Pr>
                <w:rFonts w:cstheme="minorHAnsi"/>
                <w:color w:val="000000" w:themeColor="text1"/>
                <w:sz w:val="22"/>
                <w:szCs w:val="22"/>
              </w:rPr>
              <w:t>June</w:t>
            </w:r>
            <w:r w:rsidRPr="00E54461">
              <w:rPr>
                <w:rFonts w:cstheme="minorHAnsi"/>
                <w:color w:val="000000" w:themeColor="text1"/>
                <w:sz w:val="22"/>
                <w:szCs w:val="22"/>
              </w:rPr>
              <w:t xml:space="preserve"> 2013</w:t>
            </w:r>
          </w:p>
        </w:tc>
      </w:tr>
      <w:tr w:rsidR="009828D6" w:rsidRPr="00EE518B" w14:paraId="3024442A" w14:textId="77777777" w:rsidTr="005D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shd w:val="clear" w:color="auto" w:fill="C6D9F1" w:themeFill="text2" w:themeFillTint="33"/>
          </w:tcPr>
          <w:p w14:paraId="45379B7D" w14:textId="77777777" w:rsidR="009828D6" w:rsidRPr="00E54461" w:rsidRDefault="009828D6" w:rsidP="005D4DA2">
            <w:pPr>
              <w:rPr>
                <w:rFonts w:cstheme="minorHAnsi"/>
                <w:color w:val="000000" w:themeColor="text1"/>
                <w:sz w:val="22"/>
                <w:szCs w:val="22"/>
              </w:rPr>
            </w:pPr>
            <w:r>
              <w:rPr>
                <w:rFonts w:cstheme="minorHAnsi"/>
                <w:color w:val="000000" w:themeColor="text1"/>
                <w:sz w:val="22"/>
                <w:szCs w:val="22"/>
              </w:rPr>
              <w:t>A</w:t>
            </w:r>
            <w:r w:rsidRPr="00E54461">
              <w:rPr>
                <w:rFonts w:cstheme="minorHAnsi"/>
                <w:color w:val="000000" w:themeColor="text1"/>
                <w:sz w:val="22"/>
                <w:szCs w:val="22"/>
              </w:rPr>
              <w:t>DSL impediments in exchange and CAN sites</w:t>
            </w:r>
          </w:p>
        </w:tc>
        <w:tc>
          <w:tcPr>
            <w:tcW w:w="2835" w:type="dxa"/>
            <w:shd w:val="clear" w:color="auto" w:fill="C6D9F1" w:themeFill="text2" w:themeFillTint="33"/>
          </w:tcPr>
          <w:p w14:paraId="0154E00F"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r>
      <w:tr w:rsidR="009828D6" w:rsidRPr="00EE518B" w14:paraId="2F52C084" w14:textId="77777777" w:rsidTr="005D4DA2">
        <w:tc>
          <w:tcPr>
            <w:cnfStyle w:val="001000000000" w:firstRow="0" w:lastRow="0" w:firstColumn="1" w:lastColumn="0" w:oddVBand="0" w:evenVBand="0" w:oddHBand="0" w:evenHBand="0" w:firstRowFirstColumn="0" w:firstRowLastColumn="0" w:lastRowFirstColumn="0" w:lastRowLastColumn="0"/>
            <w:tcW w:w="7054" w:type="dxa"/>
          </w:tcPr>
          <w:p w14:paraId="7A57D93F" w14:textId="77777777" w:rsidR="009828D6" w:rsidRPr="00E54461" w:rsidRDefault="009828D6" w:rsidP="009828D6">
            <w:pPr>
              <w:pStyle w:val="ListParagraph"/>
              <w:numPr>
                <w:ilvl w:val="0"/>
                <w:numId w:val="30"/>
              </w:numPr>
              <w:spacing w:after="0" w:line="240" w:lineRule="auto"/>
              <w:ind w:left="0"/>
              <w:rPr>
                <w:rFonts w:cstheme="minorHAnsi"/>
                <w:b w:val="0"/>
                <w:color w:val="000000" w:themeColor="text1"/>
              </w:rPr>
            </w:pPr>
            <w:r w:rsidRPr="00E54461">
              <w:rPr>
                <w:rFonts w:cstheme="minorHAnsi"/>
                <w:b w:val="0"/>
                <w:color w:val="000000" w:themeColor="text1"/>
              </w:rPr>
              <w:t xml:space="preserve">Available </w:t>
            </w:r>
            <w:r>
              <w:rPr>
                <w:rFonts w:cstheme="minorHAnsi"/>
                <w:b w:val="0"/>
                <w:color w:val="000000" w:themeColor="text1"/>
              </w:rPr>
              <w:t>A</w:t>
            </w:r>
            <w:r w:rsidRPr="00E54461">
              <w:rPr>
                <w:rFonts w:cstheme="minorHAnsi"/>
                <w:b w:val="0"/>
                <w:color w:val="000000" w:themeColor="text1"/>
              </w:rPr>
              <w:t>DSL Capacity – Exchanges: Telstra Wholesale website</w:t>
            </w:r>
          </w:p>
          <w:p w14:paraId="17363100" w14:textId="77777777" w:rsidR="009828D6" w:rsidRPr="00E54461" w:rsidRDefault="009828D6" w:rsidP="009828D6">
            <w:pPr>
              <w:pStyle w:val="ListParagraph"/>
              <w:numPr>
                <w:ilvl w:val="0"/>
                <w:numId w:val="30"/>
              </w:numPr>
              <w:spacing w:after="0" w:line="240" w:lineRule="auto"/>
              <w:ind w:left="0"/>
              <w:rPr>
                <w:rFonts w:cstheme="minorHAnsi"/>
                <w:color w:val="000000" w:themeColor="text1"/>
              </w:rPr>
            </w:pPr>
            <w:r>
              <w:rPr>
                <w:rFonts w:cstheme="minorHAnsi"/>
                <w:b w:val="0"/>
                <w:color w:val="000000" w:themeColor="text1"/>
              </w:rPr>
              <w:t>Available A</w:t>
            </w:r>
            <w:r w:rsidRPr="00E54461">
              <w:rPr>
                <w:rFonts w:cstheme="minorHAnsi"/>
                <w:b w:val="0"/>
                <w:color w:val="000000" w:themeColor="text1"/>
              </w:rPr>
              <w:t>DSL Capacity – CAN: Telstra Wholesale website</w:t>
            </w:r>
          </w:p>
          <w:p w14:paraId="15028679" w14:textId="77777777" w:rsidR="009828D6" w:rsidRPr="00E54461" w:rsidRDefault="009828D6" w:rsidP="009828D6">
            <w:pPr>
              <w:pStyle w:val="ListParagraph"/>
              <w:numPr>
                <w:ilvl w:val="0"/>
                <w:numId w:val="30"/>
              </w:numPr>
              <w:spacing w:after="0" w:line="240" w:lineRule="auto"/>
              <w:ind w:left="0"/>
              <w:rPr>
                <w:rFonts w:cstheme="minorHAnsi"/>
                <w:color w:val="000000" w:themeColor="text1"/>
              </w:rPr>
            </w:pPr>
            <w:r w:rsidRPr="00E54461">
              <w:rPr>
                <w:rFonts w:cstheme="minorHAnsi"/>
                <w:b w:val="0"/>
                <w:color w:val="000000" w:themeColor="text1"/>
              </w:rPr>
              <w:t>Access Broadband Minimux Report: Telstra wholesale website</w:t>
            </w:r>
          </w:p>
          <w:p w14:paraId="1CED8FA6" w14:textId="77777777" w:rsidR="009828D6" w:rsidRPr="00E54461" w:rsidRDefault="009828D6" w:rsidP="009828D6">
            <w:pPr>
              <w:pStyle w:val="ListParagraph"/>
              <w:numPr>
                <w:ilvl w:val="0"/>
                <w:numId w:val="30"/>
              </w:numPr>
              <w:spacing w:after="0" w:line="240" w:lineRule="auto"/>
              <w:ind w:left="0"/>
              <w:rPr>
                <w:rFonts w:cstheme="minorHAnsi"/>
                <w:color w:val="000000" w:themeColor="text1"/>
              </w:rPr>
            </w:pPr>
            <w:r>
              <w:rPr>
                <w:rFonts w:cstheme="minorHAnsi"/>
                <w:b w:val="0"/>
                <w:color w:val="000000" w:themeColor="text1"/>
              </w:rPr>
              <w:t>A</w:t>
            </w:r>
            <w:r w:rsidRPr="00E54461">
              <w:rPr>
                <w:rFonts w:cstheme="minorHAnsi"/>
                <w:b w:val="0"/>
                <w:color w:val="000000" w:themeColor="text1"/>
              </w:rPr>
              <w:t>DSL Enabled ESAs: Telstra wholesale website</w:t>
            </w:r>
          </w:p>
        </w:tc>
        <w:tc>
          <w:tcPr>
            <w:tcW w:w="2835" w:type="dxa"/>
          </w:tcPr>
          <w:p w14:paraId="60AC95EA"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E54461">
              <w:rPr>
                <w:rFonts w:cstheme="minorHAnsi"/>
                <w:color w:val="000000" w:themeColor="text1"/>
                <w:sz w:val="22"/>
                <w:szCs w:val="22"/>
              </w:rPr>
              <w:t>October 2013</w:t>
            </w:r>
          </w:p>
          <w:p w14:paraId="58001E34"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E54461">
              <w:rPr>
                <w:rFonts w:cstheme="minorHAnsi"/>
                <w:color w:val="000000" w:themeColor="text1"/>
                <w:sz w:val="22"/>
                <w:szCs w:val="22"/>
              </w:rPr>
              <w:t>October 2013</w:t>
            </w:r>
          </w:p>
          <w:p w14:paraId="179395D2"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E54461">
              <w:rPr>
                <w:rFonts w:cstheme="minorHAnsi"/>
                <w:color w:val="000000" w:themeColor="text1"/>
                <w:sz w:val="22"/>
                <w:szCs w:val="22"/>
              </w:rPr>
              <w:t>July 2013</w:t>
            </w:r>
          </w:p>
          <w:p w14:paraId="13E76678"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E54461">
              <w:rPr>
                <w:rFonts w:cstheme="minorHAnsi"/>
                <w:color w:val="000000" w:themeColor="text1"/>
                <w:sz w:val="22"/>
                <w:szCs w:val="22"/>
              </w:rPr>
              <w:t>October 2013</w:t>
            </w:r>
          </w:p>
        </w:tc>
      </w:tr>
      <w:tr w:rsidR="009828D6" w:rsidRPr="00EE518B" w14:paraId="2C0D6648" w14:textId="77777777" w:rsidTr="005D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14B06744" w14:textId="77777777" w:rsidR="009828D6" w:rsidRPr="00E54461" w:rsidRDefault="009828D6" w:rsidP="005D4DA2">
            <w:pPr>
              <w:rPr>
                <w:rFonts w:cstheme="minorHAnsi"/>
                <w:b w:val="0"/>
                <w:color w:val="000000" w:themeColor="text1"/>
                <w:sz w:val="22"/>
                <w:szCs w:val="22"/>
              </w:rPr>
            </w:pPr>
            <w:r w:rsidRPr="00E54461">
              <w:rPr>
                <w:rFonts w:cstheme="minorHAnsi"/>
                <w:b w:val="0"/>
                <w:color w:val="000000" w:themeColor="text1"/>
                <w:sz w:val="22"/>
                <w:szCs w:val="22"/>
              </w:rPr>
              <w:t>The number of current SIOs affected by unresolved small and medium pair gains systems by Exchange Service Area from Telstra.</w:t>
            </w:r>
          </w:p>
        </w:tc>
        <w:tc>
          <w:tcPr>
            <w:tcW w:w="2835" w:type="dxa"/>
          </w:tcPr>
          <w:p w14:paraId="4E7650FA"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E54461">
              <w:rPr>
                <w:rFonts w:cstheme="minorHAnsi"/>
                <w:color w:val="000000" w:themeColor="text1"/>
                <w:sz w:val="22"/>
                <w:szCs w:val="22"/>
              </w:rPr>
              <w:t>October 2013</w:t>
            </w:r>
          </w:p>
        </w:tc>
      </w:tr>
      <w:tr w:rsidR="009828D6" w:rsidRPr="00EE518B" w14:paraId="4A8E2772" w14:textId="77777777" w:rsidTr="005D4DA2">
        <w:tc>
          <w:tcPr>
            <w:cnfStyle w:val="001000000000" w:firstRow="0" w:lastRow="0" w:firstColumn="1" w:lastColumn="0" w:oddVBand="0" w:evenVBand="0" w:oddHBand="0" w:evenHBand="0" w:firstRowFirstColumn="0" w:firstRowLastColumn="0" w:lastRowFirstColumn="0" w:lastRowLastColumn="0"/>
            <w:tcW w:w="7054" w:type="dxa"/>
          </w:tcPr>
          <w:p w14:paraId="19199B5F" w14:textId="77777777" w:rsidR="009828D6" w:rsidRPr="00E54461" w:rsidRDefault="009828D6" w:rsidP="005D4DA2">
            <w:pPr>
              <w:rPr>
                <w:rFonts w:cstheme="minorHAnsi"/>
                <w:b w:val="0"/>
                <w:color w:val="000000" w:themeColor="text1"/>
                <w:sz w:val="22"/>
                <w:szCs w:val="22"/>
              </w:rPr>
            </w:pPr>
            <w:r w:rsidRPr="00E54461">
              <w:rPr>
                <w:rFonts w:cstheme="minorHAnsi"/>
                <w:b w:val="0"/>
                <w:color w:val="000000" w:themeColor="text1"/>
                <w:sz w:val="22"/>
                <w:szCs w:val="22"/>
              </w:rPr>
              <w:t xml:space="preserve">Exchange capped list - </w:t>
            </w:r>
          </w:p>
          <w:p w14:paraId="066A3C5E" w14:textId="77777777" w:rsidR="009828D6" w:rsidRPr="00E54461" w:rsidRDefault="009828D6" w:rsidP="009828D6">
            <w:pPr>
              <w:pStyle w:val="ListParagraph"/>
              <w:numPr>
                <w:ilvl w:val="0"/>
                <w:numId w:val="36"/>
              </w:numPr>
              <w:spacing w:after="0" w:line="240" w:lineRule="auto"/>
              <w:ind w:left="0"/>
              <w:rPr>
                <w:rFonts w:cstheme="minorHAnsi"/>
                <w:color w:val="000000" w:themeColor="text1"/>
              </w:rPr>
            </w:pPr>
            <w:r w:rsidRPr="00E54461">
              <w:rPr>
                <w:rFonts w:cstheme="minorHAnsi"/>
                <w:b w:val="0"/>
                <w:color w:val="000000" w:themeColor="text1"/>
              </w:rPr>
              <w:t>Fixed facilities access capped sites: Telstra wholesale website</w:t>
            </w:r>
          </w:p>
        </w:tc>
        <w:tc>
          <w:tcPr>
            <w:tcW w:w="2835" w:type="dxa"/>
          </w:tcPr>
          <w:p w14:paraId="349AA61C"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2BE35059" w14:textId="77777777" w:rsidR="009828D6" w:rsidRPr="00E54461" w:rsidRDefault="009828D6" w:rsidP="005D4DA2">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E54461">
              <w:rPr>
                <w:rFonts w:cstheme="minorHAnsi"/>
                <w:color w:val="000000" w:themeColor="text1"/>
                <w:sz w:val="22"/>
                <w:szCs w:val="22"/>
              </w:rPr>
              <w:t>October 2013</w:t>
            </w:r>
          </w:p>
        </w:tc>
      </w:tr>
      <w:tr w:rsidR="009828D6" w:rsidRPr="00EE518B" w14:paraId="45F75992" w14:textId="77777777" w:rsidTr="005D4D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4A8C1455" w14:textId="77777777" w:rsidR="009828D6" w:rsidRPr="00C9342D" w:rsidRDefault="009828D6" w:rsidP="005D4DA2">
            <w:pPr>
              <w:rPr>
                <w:rFonts w:asciiTheme="minorHAnsi" w:eastAsiaTheme="minorHAnsi" w:hAnsiTheme="minorHAnsi" w:cstheme="minorHAnsi"/>
                <w:b w:val="0"/>
                <w:color w:val="000000" w:themeColor="text1"/>
                <w:sz w:val="22"/>
                <w:szCs w:val="22"/>
                <w:lang w:val="en-AU"/>
              </w:rPr>
            </w:pPr>
            <w:r>
              <w:rPr>
                <w:rFonts w:asciiTheme="minorHAnsi" w:eastAsiaTheme="minorHAnsi" w:hAnsiTheme="minorHAnsi" w:cstheme="minorHAnsi"/>
                <w:b w:val="0"/>
                <w:color w:val="000000" w:themeColor="text1"/>
                <w:sz w:val="22"/>
                <w:szCs w:val="22"/>
                <w:lang w:val="en-AU"/>
              </w:rPr>
              <w:t>A</w:t>
            </w:r>
            <w:r w:rsidRPr="00C9342D">
              <w:rPr>
                <w:rFonts w:asciiTheme="minorHAnsi" w:eastAsiaTheme="minorHAnsi" w:hAnsiTheme="minorHAnsi" w:cstheme="minorHAnsi"/>
                <w:b w:val="0"/>
                <w:color w:val="000000" w:themeColor="text1"/>
                <w:sz w:val="22"/>
                <w:szCs w:val="22"/>
                <w:lang w:val="en-AU"/>
              </w:rPr>
              <w:t xml:space="preserve">DSL download sync speeds and the associated cable loss for SIOs from Telstra - 20,000 real world sample points </w:t>
            </w:r>
          </w:p>
          <w:p w14:paraId="7AF4EB80" w14:textId="77777777" w:rsidR="009828D6" w:rsidRPr="00E54461" w:rsidRDefault="009828D6" w:rsidP="009828D6">
            <w:pPr>
              <w:pStyle w:val="ListParagraph"/>
              <w:numPr>
                <w:ilvl w:val="0"/>
                <w:numId w:val="37"/>
              </w:numPr>
              <w:spacing w:after="0" w:line="240" w:lineRule="auto"/>
              <w:ind w:left="0"/>
              <w:rPr>
                <w:rFonts w:cstheme="minorHAnsi"/>
                <w:color w:val="000000" w:themeColor="text1"/>
              </w:rPr>
            </w:pPr>
            <w:r w:rsidRPr="00E54461">
              <w:rPr>
                <w:rFonts w:cstheme="minorHAnsi"/>
                <w:b w:val="0"/>
                <w:color w:val="000000" w:themeColor="text1"/>
              </w:rPr>
              <w:t xml:space="preserve">Pitney Bowes StreetPro street data (2013) </w:t>
            </w:r>
          </w:p>
        </w:tc>
        <w:tc>
          <w:tcPr>
            <w:tcW w:w="2835" w:type="dxa"/>
          </w:tcPr>
          <w:p w14:paraId="20FB798C"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Pr>
                <w:rFonts w:cstheme="minorHAnsi"/>
                <w:color w:val="000000" w:themeColor="text1"/>
                <w:sz w:val="22"/>
                <w:szCs w:val="22"/>
              </w:rPr>
              <w:t>May 2011</w:t>
            </w:r>
          </w:p>
          <w:p w14:paraId="6A72C6D9"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50436E9D" w14:textId="77777777" w:rsidR="009828D6" w:rsidRPr="00E54461" w:rsidRDefault="009828D6" w:rsidP="005D4DA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E54461">
              <w:rPr>
                <w:rFonts w:cstheme="minorHAnsi"/>
                <w:color w:val="000000" w:themeColor="text1"/>
                <w:sz w:val="22"/>
                <w:szCs w:val="22"/>
              </w:rPr>
              <w:t>October 2013</w:t>
            </w:r>
          </w:p>
        </w:tc>
      </w:tr>
    </w:tbl>
    <w:p w14:paraId="3D341C64" w14:textId="77777777" w:rsidR="009828D6" w:rsidRDefault="009828D6" w:rsidP="009828D6">
      <w:pPr>
        <w:spacing w:after="200" w:line="276" w:lineRule="auto"/>
        <w:rPr>
          <w:rFonts w:eastAsia="MS Mincho"/>
        </w:rPr>
      </w:pPr>
      <w:r>
        <w:rPr>
          <w:rFonts w:eastAsia="MS Mincho"/>
        </w:rPr>
        <w:br w:type="page"/>
      </w:r>
    </w:p>
    <w:p w14:paraId="133206D1" w14:textId="77777777" w:rsidR="009828D6" w:rsidRPr="00046545" w:rsidRDefault="009828D6" w:rsidP="009828D6">
      <w:pPr>
        <w:spacing w:after="120"/>
        <w:rPr>
          <w:rFonts w:eastAsia="Times New Roman"/>
          <w:b/>
          <w:bCs/>
          <w:color w:val="1A7399"/>
          <w:sz w:val="40"/>
          <w:szCs w:val="32"/>
        </w:rPr>
      </w:pPr>
      <w:r>
        <w:rPr>
          <w:rFonts w:eastAsia="Times New Roman"/>
          <w:b/>
          <w:bCs/>
          <w:color w:val="1A7399"/>
          <w:sz w:val="40"/>
          <w:szCs w:val="32"/>
        </w:rPr>
        <w:t>Appendix G</w:t>
      </w:r>
      <w:r w:rsidRPr="00046545">
        <w:rPr>
          <w:rFonts w:eastAsia="Times New Roman"/>
          <w:b/>
          <w:bCs/>
          <w:color w:val="1A7399"/>
          <w:sz w:val="40"/>
          <w:szCs w:val="32"/>
        </w:rPr>
        <w:t xml:space="preserve"> – </w:t>
      </w:r>
      <w:r>
        <w:rPr>
          <w:rFonts w:eastAsia="Times New Roman"/>
          <w:b/>
          <w:bCs/>
          <w:color w:val="1A7399"/>
          <w:sz w:val="40"/>
          <w:szCs w:val="32"/>
        </w:rPr>
        <w:t>Broadband glossary</w:t>
      </w:r>
    </w:p>
    <w:p w14:paraId="013C3547" w14:textId="77777777" w:rsidR="009828D6" w:rsidRPr="00046545" w:rsidRDefault="009828D6" w:rsidP="009828D6">
      <w:pPr>
        <w:rPr>
          <w:rFonts w:ascii="Arial" w:hAnsi="Arial" w:cs="Arial"/>
          <w:b/>
          <w:sz w:val="22"/>
          <w:szCs w:val="22"/>
        </w:rPr>
      </w:pPr>
    </w:p>
    <w:tbl>
      <w:tblPr>
        <w:tblStyle w:val="MediumGrid3-Accent11"/>
        <w:tblW w:w="9356" w:type="dxa"/>
        <w:tblInd w:w="108" w:type="dxa"/>
        <w:tblLayout w:type="fixed"/>
        <w:tblLook w:val="01E0" w:firstRow="1" w:lastRow="1" w:firstColumn="1" w:lastColumn="1" w:noHBand="0" w:noVBand="0"/>
      </w:tblPr>
      <w:tblGrid>
        <w:gridCol w:w="1701"/>
        <w:gridCol w:w="7655"/>
      </w:tblGrid>
      <w:tr w:rsidR="009828D6" w:rsidRPr="00046545" w14:paraId="4AF86B19" w14:textId="77777777" w:rsidTr="005D4DA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DD4A4DA" w14:textId="77777777" w:rsidR="009828D6" w:rsidRPr="001258B4" w:rsidRDefault="009828D6" w:rsidP="005D4DA2">
            <w:pPr>
              <w:widowControl w:val="0"/>
              <w:spacing w:before="6" w:line="200" w:lineRule="exact"/>
              <w:rPr>
                <w:color w:val="FFFFFF"/>
              </w:rPr>
            </w:pPr>
          </w:p>
          <w:p w14:paraId="61C54B03" w14:textId="77777777" w:rsidR="009828D6" w:rsidRPr="001258B4" w:rsidRDefault="009828D6" w:rsidP="005D4DA2">
            <w:pPr>
              <w:widowControl w:val="0"/>
              <w:rPr>
                <w:rFonts w:eastAsia="Calibri"/>
                <w:color w:val="FFFFFF"/>
              </w:rPr>
            </w:pPr>
            <w:r>
              <w:rPr>
                <w:rFonts w:eastAsia="Calibri"/>
                <w:color w:val="FFFFFF"/>
              </w:rPr>
              <w:t>A</w:t>
            </w:r>
            <w:r w:rsidRPr="001258B4">
              <w:rPr>
                <w:rFonts w:eastAsia="Calibri"/>
                <w:color w:val="FFFFFF"/>
              </w:rPr>
              <w:t>DSL/</w:t>
            </w:r>
            <w:r>
              <w:rPr>
                <w:rFonts w:eastAsia="Calibri"/>
                <w:color w:val="FFFFFF"/>
              </w:rPr>
              <w:t>A</w:t>
            </w:r>
            <w:r w:rsidRPr="001258B4">
              <w:rPr>
                <w:rFonts w:eastAsia="Calibri"/>
                <w:color w:val="FFFFFF"/>
              </w:rPr>
              <w:t>DSL2+</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68DB9538" w14:textId="77777777" w:rsidR="009828D6" w:rsidRPr="00150623" w:rsidRDefault="009828D6" w:rsidP="005D4DA2">
            <w:pPr>
              <w:pStyle w:val="BodyText"/>
              <w:rPr>
                <w:b w:val="0"/>
              </w:rPr>
            </w:pPr>
            <w:r>
              <w:rPr>
                <w:b w:val="0"/>
              </w:rPr>
              <w:t xml:space="preserve">Asymmetric </w:t>
            </w:r>
            <w:r w:rsidRPr="00150623">
              <w:rPr>
                <w:b w:val="0"/>
              </w:rPr>
              <w:t xml:space="preserve">Digital Subscriber Line </w:t>
            </w:r>
            <w:r>
              <w:rPr>
                <w:b w:val="0"/>
              </w:rPr>
              <w:t xml:space="preserve">technology </w:t>
            </w:r>
            <w:r w:rsidRPr="00150623">
              <w:rPr>
                <w:b w:val="0"/>
              </w:rPr>
              <w:t xml:space="preserve">provides internet access over copper </w:t>
            </w:r>
            <w:r>
              <w:rPr>
                <w:b w:val="0"/>
              </w:rPr>
              <w:t>cables</w:t>
            </w:r>
            <w:r w:rsidRPr="00150623">
              <w:rPr>
                <w:b w:val="0"/>
              </w:rPr>
              <w:t>.</w:t>
            </w:r>
            <w:r w:rsidRPr="00150623">
              <w:rPr>
                <w:rStyle w:val="BodyTextChar"/>
                <w:b w:val="0"/>
              </w:rPr>
              <w:t xml:space="preserve"> ADSL2+</w:t>
            </w:r>
            <w:r w:rsidRPr="00150623">
              <w:rPr>
                <w:b w:val="0"/>
              </w:rPr>
              <w:t xml:space="preserve"> can achieve download data rates of up to 24</w:t>
            </w:r>
            <w:r w:rsidRPr="00150623">
              <w:rPr>
                <w:b w:val="0"/>
                <w:w w:val="99"/>
              </w:rPr>
              <w:t xml:space="preserve"> </w:t>
            </w:r>
            <w:r>
              <w:rPr>
                <w:b w:val="0"/>
              </w:rPr>
              <w:t xml:space="preserve">Mbps while ADSL is up to 8 Mbps and generally have limited upload speeds of around 1 Mbps. </w:t>
            </w:r>
            <w:r w:rsidRPr="00150623">
              <w:rPr>
                <w:b w:val="0"/>
              </w:rPr>
              <w:t xml:space="preserve">Upload and download </w:t>
            </w:r>
            <w:r>
              <w:rPr>
                <w:b w:val="0"/>
              </w:rPr>
              <w:t xml:space="preserve">speeds </w:t>
            </w:r>
            <w:r w:rsidRPr="00150623">
              <w:rPr>
                <w:b w:val="0"/>
              </w:rPr>
              <w:t>decline as the length of the copper line increases.</w:t>
            </w:r>
          </w:p>
        </w:tc>
      </w:tr>
      <w:tr w:rsidR="009828D6" w:rsidRPr="00046545" w14:paraId="46ABB0D0" w14:textId="77777777" w:rsidTr="005D4D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7316B2F" w14:textId="77777777" w:rsidR="009828D6" w:rsidRPr="001258B4" w:rsidRDefault="009828D6" w:rsidP="005D4DA2">
            <w:pPr>
              <w:widowControl w:val="0"/>
              <w:spacing w:before="6" w:line="200" w:lineRule="exact"/>
              <w:rPr>
                <w:color w:val="FFFFFF"/>
              </w:rPr>
            </w:pPr>
          </w:p>
          <w:p w14:paraId="7DE9C063" w14:textId="77777777" w:rsidR="009828D6" w:rsidRPr="001258B4" w:rsidRDefault="009828D6" w:rsidP="005D4DA2">
            <w:pPr>
              <w:widowControl w:val="0"/>
              <w:rPr>
                <w:rFonts w:eastAsia="Calibri"/>
                <w:color w:val="FFFFFF"/>
              </w:rPr>
            </w:pPr>
            <w:r w:rsidRPr="001258B4">
              <w:rPr>
                <w:rFonts w:eastAsia="Calibri"/>
                <w:color w:val="FFFFFF"/>
              </w:rPr>
              <w:t>Broadband</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0B869FC3" w14:textId="77777777" w:rsidR="009828D6" w:rsidRPr="00150623" w:rsidRDefault="009828D6" w:rsidP="005D4DA2">
            <w:pPr>
              <w:pStyle w:val="BodyText"/>
              <w:rPr>
                <w:b w:val="0"/>
              </w:rPr>
            </w:pPr>
            <w:r>
              <w:rPr>
                <w:b w:val="0"/>
              </w:rPr>
              <w:t>‘</w:t>
            </w:r>
            <w:r w:rsidRPr="00150623">
              <w:rPr>
                <w:b w:val="0"/>
              </w:rPr>
              <w:t>Always on</w:t>
            </w:r>
            <w:r>
              <w:rPr>
                <w:b w:val="0"/>
              </w:rPr>
              <w:t>’</w:t>
            </w:r>
            <w:r w:rsidRPr="00150623">
              <w:rPr>
                <w:b w:val="0"/>
              </w:rPr>
              <w:t xml:space="preserve"> internet connections.</w:t>
            </w:r>
          </w:p>
        </w:tc>
      </w:tr>
      <w:tr w:rsidR="009828D6" w:rsidRPr="00046545" w14:paraId="1538DA36" w14:textId="77777777" w:rsidTr="005D4DA2">
        <w:trPr>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3AB0583" w14:textId="77777777" w:rsidR="009828D6" w:rsidRPr="001258B4" w:rsidRDefault="009828D6" w:rsidP="005D4DA2">
            <w:pPr>
              <w:widowControl w:val="0"/>
              <w:spacing w:before="6" w:line="200" w:lineRule="exact"/>
              <w:rPr>
                <w:color w:val="FFFFFF"/>
              </w:rPr>
            </w:pPr>
          </w:p>
          <w:p w14:paraId="12FF464A" w14:textId="77777777" w:rsidR="009828D6" w:rsidRPr="001258B4" w:rsidRDefault="009828D6" w:rsidP="005D4DA2">
            <w:pPr>
              <w:widowControl w:val="0"/>
              <w:rPr>
                <w:rFonts w:eastAsia="Calibri"/>
                <w:color w:val="FFFFFF"/>
              </w:rPr>
            </w:pPr>
            <w:r w:rsidRPr="001258B4">
              <w:rPr>
                <w:rFonts w:eastAsia="Calibri"/>
                <w:color w:val="FFFFFF"/>
              </w:rPr>
              <w:t>Copper</w:t>
            </w:r>
            <w:r>
              <w:rPr>
                <w:rFonts w:eastAsia="Calibri"/>
                <w:color w:val="FFFFFF"/>
              </w:rPr>
              <w:t xml:space="preserve"> network</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6638343C" w14:textId="77777777" w:rsidR="009828D6" w:rsidRPr="00150623" w:rsidRDefault="009828D6" w:rsidP="005D4DA2">
            <w:pPr>
              <w:pStyle w:val="BodyText"/>
              <w:rPr>
                <w:b w:val="0"/>
              </w:rPr>
            </w:pPr>
            <w:r w:rsidRPr="00150623">
              <w:rPr>
                <w:b w:val="0"/>
              </w:rPr>
              <w:t>The</w:t>
            </w:r>
            <w:r>
              <w:rPr>
                <w:b w:val="0"/>
              </w:rPr>
              <w:t xml:space="preserve"> Telstra</w:t>
            </w:r>
            <w:r w:rsidRPr="00150623">
              <w:rPr>
                <w:b w:val="0"/>
              </w:rPr>
              <w:t xml:space="preserve"> copper tele</w:t>
            </w:r>
            <w:r>
              <w:rPr>
                <w:b w:val="0"/>
              </w:rPr>
              <w:t>communications</w:t>
            </w:r>
            <w:r w:rsidRPr="00150623">
              <w:rPr>
                <w:b w:val="0"/>
              </w:rPr>
              <w:t xml:space="preserve"> </w:t>
            </w:r>
            <w:r>
              <w:rPr>
                <w:b w:val="0"/>
              </w:rPr>
              <w:t>network</w:t>
            </w:r>
            <w:r w:rsidRPr="00150623">
              <w:rPr>
                <w:b w:val="0"/>
              </w:rPr>
              <w:t xml:space="preserve"> which connect</w:t>
            </w:r>
            <w:r>
              <w:rPr>
                <w:b w:val="0"/>
              </w:rPr>
              <w:t>s</w:t>
            </w:r>
            <w:r w:rsidRPr="00150623">
              <w:rPr>
                <w:b w:val="0"/>
              </w:rPr>
              <w:t xml:space="preserve"> 99 per cent of Australian homes and businesses to the </w:t>
            </w:r>
            <w:r>
              <w:rPr>
                <w:b w:val="0"/>
              </w:rPr>
              <w:t xml:space="preserve">telecommunications network via a </w:t>
            </w:r>
            <w:r w:rsidRPr="00150623">
              <w:rPr>
                <w:b w:val="0"/>
              </w:rPr>
              <w:t xml:space="preserve">local exchange. Traditional telephone and </w:t>
            </w:r>
            <w:r>
              <w:rPr>
                <w:b w:val="0"/>
              </w:rPr>
              <w:t>A</w:t>
            </w:r>
            <w:r w:rsidRPr="00150623">
              <w:rPr>
                <w:b w:val="0"/>
              </w:rPr>
              <w:t>DSL services use the copper network.</w:t>
            </w:r>
          </w:p>
        </w:tc>
      </w:tr>
      <w:tr w:rsidR="009828D6" w:rsidRPr="00046545" w14:paraId="1FD91084" w14:textId="77777777" w:rsidTr="005D4D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117F91F" w14:textId="77777777" w:rsidR="009828D6" w:rsidRDefault="009828D6" w:rsidP="005D4DA2">
            <w:pPr>
              <w:widowControl w:val="0"/>
              <w:rPr>
                <w:color w:val="FFFFFF"/>
              </w:rPr>
            </w:pPr>
            <w:r>
              <w:rPr>
                <w:color w:val="FFFFFF"/>
              </w:rPr>
              <w:t>Customer Access Network</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4FBCFA3F" w14:textId="77777777" w:rsidR="009828D6" w:rsidRPr="00150623" w:rsidRDefault="009828D6" w:rsidP="005D4DA2">
            <w:pPr>
              <w:pStyle w:val="BodyText"/>
              <w:rPr>
                <w:b w:val="0"/>
              </w:rPr>
            </w:pPr>
            <w:r w:rsidRPr="00150623">
              <w:rPr>
                <w:b w:val="0"/>
              </w:rPr>
              <w:t xml:space="preserve">The ‘last mile’ of </w:t>
            </w:r>
            <w:r>
              <w:rPr>
                <w:b w:val="0"/>
              </w:rPr>
              <w:t>a</w:t>
            </w:r>
            <w:r w:rsidRPr="00150623">
              <w:rPr>
                <w:b w:val="0"/>
              </w:rPr>
              <w:t xml:space="preserve"> telecommunications network which connects homes and businesses to </w:t>
            </w:r>
            <w:r>
              <w:rPr>
                <w:b w:val="0"/>
              </w:rPr>
              <w:t xml:space="preserve">that network. </w:t>
            </w:r>
          </w:p>
        </w:tc>
      </w:tr>
      <w:tr w:rsidR="009828D6" w:rsidRPr="00046545" w14:paraId="5F930A2E" w14:textId="77777777" w:rsidTr="005D4DA2">
        <w:trPr>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55B5252" w14:textId="77777777" w:rsidR="009828D6" w:rsidRPr="001258B4" w:rsidRDefault="009828D6" w:rsidP="005D4DA2">
            <w:pPr>
              <w:widowControl w:val="0"/>
              <w:rPr>
                <w:color w:val="FFFFFF"/>
              </w:rPr>
            </w:pPr>
            <w:r>
              <w:rPr>
                <w:color w:val="FFFFFF"/>
              </w:rPr>
              <w:t>Distribution Area (DA)</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7B7200BB" w14:textId="77777777" w:rsidR="009828D6" w:rsidRPr="00150623" w:rsidRDefault="009828D6" w:rsidP="005D4DA2">
            <w:pPr>
              <w:pStyle w:val="BodyText"/>
              <w:rPr>
                <w:b w:val="0"/>
              </w:rPr>
            </w:pPr>
            <w:r w:rsidRPr="00150623">
              <w:rPr>
                <w:b w:val="0"/>
              </w:rPr>
              <w:t>A network component of a</w:t>
            </w:r>
            <w:r>
              <w:rPr>
                <w:b w:val="0"/>
              </w:rPr>
              <w:t xml:space="preserve"> Telstra</w:t>
            </w:r>
            <w:r w:rsidRPr="00150623">
              <w:rPr>
                <w:b w:val="0"/>
              </w:rPr>
              <w:t xml:space="preserve"> Exchange Service Area</w:t>
            </w:r>
            <w:r>
              <w:rPr>
                <w:b w:val="0"/>
              </w:rPr>
              <w:t xml:space="preserve"> that</w:t>
            </w:r>
            <w:r w:rsidRPr="00150623">
              <w:rPr>
                <w:b w:val="0"/>
              </w:rPr>
              <w:t xml:space="preserve"> typically comprises between 100-200 premises. DAs vary in geographical coverage, generally increasing in size as population or premises density decreases.</w:t>
            </w:r>
          </w:p>
        </w:tc>
      </w:tr>
      <w:tr w:rsidR="009828D6" w:rsidRPr="00046545" w14:paraId="55EE2479" w14:textId="77777777" w:rsidTr="005D4D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6FA777B" w14:textId="77777777" w:rsidR="009828D6" w:rsidRPr="001258B4" w:rsidRDefault="009828D6" w:rsidP="005D4DA2">
            <w:pPr>
              <w:widowControl w:val="0"/>
              <w:spacing w:before="2" w:line="130" w:lineRule="exact"/>
              <w:rPr>
                <w:color w:val="FFFFFF"/>
              </w:rPr>
            </w:pPr>
          </w:p>
          <w:p w14:paraId="71C66B51" w14:textId="77777777" w:rsidR="009828D6" w:rsidRPr="001258B4" w:rsidRDefault="009828D6" w:rsidP="005D4DA2">
            <w:pPr>
              <w:widowControl w:val="0"/>
              <w:rPr>
                <w:rFonts w:eastAsia="Calibri"/>
                <w:color w:val="FFFFFF"/>
              </w:rPr>
            </w:pPr>
            <w:r w:rsidRPr="001258B4">
              <w:rPr>
                <w:rFonts w:eastAsia="Calibri"/>
                <w:color w:val="FFFFFF"/>
                <w:spacing w:val="-1"/>
              </w:rPr>
              <w:t>Dat</w:t>
            </w:r>
            <w:r w:rsidRPr="001258B4">
              <w:rPr>
                <w:rFonts w:eastAsia="Calibri"/>
                <w:color w:val="FFFFFF"/>
              </w:rPr>
              <w:t>a</w:t>
            </w:r>
            <w:r w:rsidRPr="001258B4">
              <w:rPr>
                <w:rFonts w:eastAsia="Calibri"/>
                <w:color w:val="FFFFFF"/>
                <w:spacing w:val="-4"/>
              </w:rPr>
              <w:t xml:space="preserve"> </w:t>
            </w:r>
            <w:r>
              <w:rPr>
                <w:rFonts w:eastAsia="Calibri"/>
                <w:color w:val="FFFFFF"/>
                <w:spacing w:val="-4"/>
              </w:rPr>
              <w:t>r</w:t>
            </w:r>
            <w:r w:rsidRPr="001258B4">
              <w:rPr>
                <w:rFonts w:eastAsia="Calibri"/>
                <w:color w:val="FFFFFF"/>
                <w:spacing w:val="-1"/>
              </w:rPr>
              <w:t>ate</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6410071F" w14:textId="77777777" w:rsidR="009828D6" w:rsidRPr="00150623" w:rsidRDefault="009828D6" w:rsidP="005D4DA2">
            <w:pPr>
              <w:pStyle w:val="BodyText"/>
              <w:rPr>
                <w:b w:val="0"/>
              </w:rPr>
            </w:pPr>
            <w:r w:rsidRPr="00150623">
              <w:rPr>
                <w:b w:val="0"/>
              </w:rPr>
              <w:t>Also known as bandwidth</w:t>
            </w:r>
            <w:r>
              <w:rPr>
                <w:b w:val="0"/>
              </w:rPr>
              <w:t>.</w:t>
            </w:r>
            <w:r w:rsidRPr="00150623">
              <w:rPr>
                <w:b w:val="0"/>
              </w:rPr>
              <w:t xml:space="preserve"> </w:t>
            </w:r>
            <w:r>
              <w:rPr>
                <w:b w:val="0"/>
              </w:rPr>
              <w:t>I</w:t>
            </w:r>
            <w:r w:rsidRPr="00150623">
              <w:rPr>
                <w:b w:val="0"/>
              </w:rPr>
              <w:t>t is the amount of data transferred over a connection per second</w:t>
            </w:r>
            <w:r>
              <w:rPr>
                <w:b w:val="0"/>
              </w:rPr>
              <w:t>, measured in bits per second (bps)</w:t>
            </w:r>
            <w:r w:rsidRPr="00150623">
              <w:rPr>
                <w:b w:val="0"/>
              </w:rPr>
              <w:t xml:space="preserve">. It is often described as upload or download speed. </w:t>
            </w:r>
          </w:p>
        </w:tc>
      </w:tr>
      <w:tr w:rsidR="009828D6" w:rsidRPr="00046545" w14:paraId="6B2325CF" w14:textId="77777777" w:rsidTr="005D4DA2">
        <w:trPr>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BFA2B99" w14:textId="77777777" w:rsidR="009828D6" w:rsidRPr="001258B4" w:rsidRDefault="009828D6" w:rsidP="005D4DA2">
            <w:pPr>
              <w:widowControl w:val="0"/>
              <w:spacing w:before="8" w:line="120" w:lineRule="exact"/>
              <w:rPr>
                <w:color w:val="FFFFFF"/>
              </w:rPr>
            </w:pPr>
          </w:p>
          <w:p w14:paraId="376746CD" w14:textId="77777777" w:rsidR="009828D6" w:rsidRPr="001258B4" w:rsidRDefault="009828D6" w:rsidP="005D4DA2">
            <w:pPr>
              <w:widowControl w:val="0"/>
              <w:rPr>
                <w:rFonts w:eastAsia="Calibri"/>
                <w:color w:val="FFFFFF"/>
              </w:rPr>
            </w:pPr>
            <w:r w:rsidRPr="001258B4">
              <w:rPr>
                <w:rFonts w:eastAsia="Calibri"/>
                <w:color w:val="FFFFFF"/>
              </w:rPr>
              <w:t>DSLAM</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1014057C" w14:textId="77777777" w:rsidR="009828D6" w:rsidRPr="00150623" w:rsidRDefault="009828D6" w:rsidP="005D4DA2">
            <w:pPr>
              <w:pStyle w:val="BodyText"/>
              <w:rPr>
                <w:b w:val="0"/>
              </w:rPr>
            </w:pPr>
            <w:r>
              <w:rPr>
                <w:b w:val="0"/>
              </w:rPr>
              <w:t>A Digital Subscriber Line Access Multiplexer is network</w:t>
            </w:r>
            <w:r w:rsidRPr="00150623">
              <w:rPr>
                <w:b w:val="0"/>
              </w:rPr>
              <w:t xml:space="preserve"> equipment located in telephone exchanges that provides </w:t>
            </w:r>
            <w:r>
              <w:rPr>
                <w:b w:val="0"/>
              </w:rPr>
              <w:t>A</w:t>
            </w:r>
            <w:r w:rsidRPr="00150623">
              <w:rPr>
                <w:b w:val="0"/>
              </w:rPr>
              <w:t>DSL broadband</w:t>
            </w:r>
            <w:r>
              <w:rPr>
                <w:b w:val="0"/>
              </w:rPr>
              <w:t xml:space="preserve"> services</w:t>
            </w:r>
            <w:r w:rsidRPr="00150623">
              <w:rPr>
                <w:b w:val="0"/>
              </w:rPr>
              <w:t>.</w:t>
            </w:r>
          </w:p>
        </w:tc>
      </w:tr>
      <w:tr w:rsidR="009828D6" w:rsidRPr="00046545" w14:paraId="4822CC79" w14:textId="77777777" w:rsidTr="005D4D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E6E6624" w14:textId="77777777" w:rsidR="009828D6" w:rsidRDefault="009828D6" w:rsidP="005D4DA2">
            <w:pPr>
              <w:widowControl w:val="0"/>
              <w:spacing w:before="7" w:line="200" w:lineRule="exact"/>
              <w:rPr>
                <w:color w:val="FFFFFF"/>
              </w:rPr>
            </w:pPr>
            <w:r>
              <w:rPr>
                <w:color w:val="FFFFFF"/>
              </w:rPr>
              <w:t>Exchange</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2C515B28" w14:textId="77777777" w:rsidR="009828D6" w:rsidRPr="00150623" w:rsidRDefault="009828D6" w:rsidP="005D4DA2">
            <w:pPr>
              <w:pStyle w:val="BodyText"/>
              <w:rPr>
                <w:b w:val="0"/>
              </w:rPr>
            </w:pPr>
            <w:r>
              <w:rPr>
                <w:b w:val="0"/>
              </w:rPr>
              <w:t>A bu</w:t>
            </w:r>
            <w:r w:rsidRPr="00150623">
              <w:rPr>
                <w:b w:val="0"/>
              </w:rPr>
              <w:t xml:space="preserve">ilding </w:t>
            </w:r>
            <w:r>
              <w:rPr>
                <w:b w:val="0"/>
              </w:rPr>
              <w:t>which houses the equipment required to deliver telephone and broadband services to premises in a Telstra Exchange Service Area. There are approximately 5,000 Telstra exchanges across Australia.</w:t>
            </w:r>
          </w:p>
        </w:tc>
      </w:tr>
      <w:tr w:rsidR="009828D6" w:rsidRPr="00046545" w14:paraId="0AE67FAB" w14:textId="77777777" w:rsidTr="005D4DA2">
        <w:trPr>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A0B079C" w14:textId="77777777" w:rsidR="009828D6" w:rsidRPr="001258B4" w:rsidRDefault="009828D6" w:rsidP="005D4DA2">
            <w:pPr>
              <w:widowControl w:val="0"/>
              <w:spacing w:before="7" w:line="200" w:lineRule="exact"/>
              <w:rPr>
                <w:color w:val="FFFFFF"/>
              </w:rPr>
            </w:pPr>
            <w:r>
              <w:rPr>
                <w:color w:val="FFFFFF"/>
              </w:rPr>
              <w:t>Exchange Service Area (ESA)</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142FDAB8" w14:textId="77777777" w:rsidR="009828D6" w:rsidRPr="00150623" w:rsidRDefault="009828D6" w:rsidP="005D4DA2">
            <w:pPr>
              <w:pStyle w:val="BodyText"/>
              <w:rPr>
                <w:b w:val="0"/>
              </w:rPr>
            </w:pPr>
            <w:r w:rsidRPr="00150623">
              <w:rPr>
                <w:b w:val="0"/>
              </w:rPr>
              <w:t>Geographic area covered by a</w:t>
            </w:r>
            <w:r>
              <w:rPr>
                <w:b w:val="0"/>
              </w:rPr>
              <w:t xml:space="preserve"> Telstra</w:t>
            </w:r>
            <w:r w:rsidRPr="00150623">
              <w:rPr>
                <w:b w:val="0"/>
              </w:rPr>
              <w:t xml:space="preserve"> telephone exchange. </w:t>
            </w:r>
            <w:r>
              <w:rPr>
                <w:b w:val="0"/>
              </w:rPr>
              <w:t>Some ESAs contain more than one exchange.</w:t>
            </w:r>
          </w:p>
        </w:tc>
      </w:tr>
      <w:tr w:rsidR="009828D6" w:rsidRPr="00046545" w14:paraId="2DB7F9CE" w14:textId="77777777" w:rsidTr="005D4D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7BC66C9" w14:textId="77777777" w:rsidR="009828D6" w:rsidRPr="001258B4" w:rsidRDefault="009828D6" w:rsidP="005D4DA2">
            <w:pPr>
              <w:widowControl w:val="0"/>
              <w:spacing w:before="7" w:line="200" w:lineRule="exact"/>
              <w:rPr>
                <w:color w:val="FFFFFF"/>
              </w:rPr>
            </w:pPr>
          </w:p>
          <w:p w14:paraId="21C0188B" w14:textId="77777777" w:rsidR="009828D6" w:rsidRPr="001258B4" w:rsidRDefault="009828D6" w:rsidP="005D4DA2">
            <w:pPr>
              <w:widowControl w:val="0"/>
              <w:rPr>
                <w:rFonts w:eastAsia="Calibri"/>
                <w:color w:val="FFFFFF"/>
              </w:rPr>
            </w:pPr>
            <w:r w:rsidRPr="001258B4">
              <w:rPr>
                <w:rFonts w:eastAsia="Calibri"/>
                <w:color w:val="FFFFFF"/>
                <w:spacing w:val="-1"/>
              </w:rPr>
              <w:t>Fibre</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617A5912" w14:textId="77777777" w:rsidR="009828D6" w:rsidRPr="00150623" w:rsidRDefault="009828D6" w:rsidP="005D4DA2">
            <w:pPr>
              <w:pStyle w:val="BodyText"/>
              <w:rPr>
                <w:b w:val="0"/>
              </w:rPr>
            </w:pPr>
            <w:r w:rsidRPr="00150623">
              <w:rPr>
                <w:b w:val="0"/>
              </w:rPr>
              <w:t xml:space="preserve">Fibre optic cable, a tube </w:t>
            </w:r>
            <w:r>
              <w:rPr>
                <w:b w:val="0"/>
              </w:rPr>
              <w:t>containing</w:t>
            </w:r>
            <w:r w:rsidRPr="00150623">
              <w:rPr>
                <w:b w:val="0"/>
              </w:rPr>
              <w:t xml:space="preserve"> tiny strands of glass that transmit data in the form of light. Fibr</w:t>
            </w:r>
            <w:r>
              <w:rPr>
                <w:b w:val="0"/>
              </w:rPr>
              <w:t xml:space="preserve">e enables data </w:t>
            </w:r>
            <w:r w:rsidRPr="00150623">
              <w:rPr>
                <w:b w:val="0"/>
              </w:rPr>
              <w:t>transmission</w:t>
            </w:r>
            <w:r>
              <w:rPr>
                <w:b w:val="0"/>
              </w:rPr>
              <w:t xml:space="preserve"> at</w:t>
            </w:r>
            <w:r w:rsidRPr="00150623">
              <w:rPr>
                <w:b w:val="0"/>
              </w:rPr>
              <w:t xml:space="preserve"> higher rates than copper.</w:t>
            </w:r>
          </w:p>
        </w:tc>
      </w:tr>
      <w:tr w:rsidR="009828D6" w:rsidRPr="00046545" w14:paraId="64F98C98" w14:textId="77777777" w:rsidTr="005D4DA2">
        <w:trPr>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5F72DC1" w14:textId="77777777" w:rsidR="009828D6" w:rsidRPr="001258B4" w:rsidRDefault="009828D6" w:rsidP="005D4DA2">
            <w:pPr>
              <w:widowControl w:val="0"/>
              <w:rPr>
                <w:rFonts w:eastAsia="Calibri"/>
                <w:color w:val="FFFFFF"/>
              </w:rPr>
            </w:pPr>
            <w:r>
              <w:rPr>
                <w:rFonts w:eastAsia="Calibri"/>
                <w:color w:val="FFFFFF"/>
                <w:spacing w:val="-1"/>
              </w:rPr>
              <w:t>Fibre to the Node (FT</w:t>
            </w:r>
            <w:r w:rsidRPr="001258B4">
              <w:rPr>
                <w:rFonts w:eastAsia="Calibri"/>
                <w:color w:val="FFFFFF"/>
                <w:spacing w:val="-1"/>
              </w:rPr>
              <w:t>TN</w:t>
            </w:r>
            <w:r>
              <w:rPr>
                <w:rFonts w:eastAsia="Calibri"/>
                <w:color w:val="FFFFFF"/>
                <w:spacing w:val="-1"/>
              </w:rPr>
              <w:t>)</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76A2F763" w14:textId="77777777" w:rsidR="009828D6" w:rsidRPr="00150623" w:rsidRDefault="009828D6" w:rsidP="005D4DA2">
            <w:pPr>
              <w:pStyle w:val="BodyText"/>
              <w:rPr>
                <w:b w:val="0"/>
              </w:rPr>
            </w:pPr>
            <w:r>
              <w:rPr>
                <w:b w:val="0"/>
              </w:rPr>
              <w:t>A</w:t>
            </w:r>
            <w:r w:rsidRPr="00150623">
              <w:rPr>
                <w:b w:val="0"/>
              </w:rPr>
              <w:t xml:space="preserve"> </w:t>
            </w:r>
            <w:r>
              <w:rPr>
                <w:b w:val="0"/>
              </w:rPr>
              <w:t xml:space="preserve">network </w:t>
            </w:r>
            <w:r w:rsidRPr="00150623">
              <w:rPr>
                <w:b w:val="0"/>
              </w:rPr>
              <w:t>where fibre extends beyond</w:t>
            </w:r>
            <w:r>
              <w:rPr>
                <w:b w:val="0"/>
              </w:rPr>
              <w:t xml:space="preserve"> the</w:t>
            </w:r>
            <w:r w:rsidRPr="00150623">
              <w:rPr>
                <w:b w:val="0"/>
              </w:rPr>
              <w:t xml:space="preserve"> exchange to street cabinets</w:t>
            </w:r>
            <w:r>
              <w:rPr>
                <w:b w:val="0"/>
              </w:rPr>
              <w:t xml:space="preserve"> (nodes)</w:t>
            </w:r>
            <w:r w:rsidRPr="00150623">
              <w:rPr>
                <w:b w:val="0"/>
              </w:rPr>
              <w:t xml:space="preserve"> which are closer to </w:t>
            </w:r>
            <w:r>
              <w:rPr>
                <w:b w:val="0"/>
              </w:rPr>
              <w:t>end users.</w:t>
            </w:r>
            <w:r w:rsidRPr="00150623">
              <w:rPr>
                <w:b w:val="0"/>
              </w:rPr>
              <w:t xml:space="preserve"> </w:t>
            </w:r>
            <w:r>
              <w:rPr>
                <w:b w:val="0"/>
              </w:rPr>
              <w:t>C</w:t>
            </w:r>
            <w:r w:rsidRPr="00150623">
              <w:rPr>
                <w:b w:val="0"/>
              </w:rPr>
              <w:t xml:space="preserve">opper lines </w:t>
            </w:r>
            <w:r>
              <w:rPr>
                <w:b w:val="0"/>
              </w:rPr>
              <w:t xml:space="preserve">then </w:t>
            </w:r>
            <w:r w:rsidRPr="00150623">
              <w:rPr>
                <w:b w:val="0"/>
              </w:rPr>
              <w:t xml:space="preserve">carry signals from the node to </w:t>
            </w:r>
            <w:r>
              <w:rPr>
                <w:b w:val="0"/>
              </w:rPr>
              <w:t xml:space="preserve">the </w:t>
            </w:r>
            <w:r w:rsidRPr="00150623">
              <w:rPr>
                <w:b w:val="0"/>
              </w:rPr>
              <w:t>premises.</w:t>
            </w:r>
          </w:p>
        </w:tc>
      </w:tr>
      <w:tr w:rsidR="009828D6" w:rsidRPr="00046545" w14:paraId="29B88D13" w14:textId="77777777" w:rsidTr="005D4D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493982E" w14:textId="77777777" w:rsidR="009828D6" w:rsidRPr="001258B4" w:rsidRDefault="009828D6" w:rsidP="005D4DA2">
            <w:pPr>
              <w:widowControl w:val="0"/>
              <w:rPr>
                <w:rFonts w:eastAsia="Calibri"/>
                <w:color w:val="FFFFFF"/>
              </w:rPr>
            </w:pPr>
            <w:r>
              <w:rPr>
                <w:rFonts w:eastAsia="Calibri"/>
                <w:color w:val="FFFFFF"/>
                <w:spacing w:val="-1"/>
              </w:rPr>
              <w:t>Fibre to the Premises  (FTTP)</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3D420B4E" w14:textId="77777777" w:rsidR="009828D6" w:rsidRPr="00150623" w:rsidRDefault="009828D6" w:rsidP="005D4DA2">
            <w:pPr>
              <w:pStyle w:val="BodyText"/>
              <w:rPr>
                <w:b w:val="0"/>
              </w:rPr>
            </w:pPr>
            <w:r>
              <w:rPr>
                <w:b w:val="0"/>
              </w:rPr>
              <w:t>A</w:t>
            </w:r>
            <w:r w:rsidRPr="00150623">
              <w:rPr>
                <w:b w:val="0"/>
              </w:rPr>
              <w:t xml:space="preserve"> network where fibre </w:t>
            </w:r>
            <w:r>
              <w:rPr>
                <w:b w:val="0"/>
              </w:rPr>
              <w:t xml:space="preserve">is deployed from the exchange to individual </w:t>
            </w:r>
            <w:r w:rsidRPr="00150623">
              <w:rPr>
                <w:b w:val="0"/>
              </w:rPr>
              <w:t>premises.</w:t>
            </w:r>
            <w:r>
              <w:rPr>
                <w:b w:val="0"/>
              </w:rPr>
              <w:t xml:space="preserve"> It is also </w:t>
            </w:r>
            <w:r w:rsidRPr="00150623">
              <w:rPr>
                <w:b w:val="0"/>
              </w:rPr>
              <w:t>called Fibre to the Home</w:t>
            </w:r>
            <w:r>
              <w:rPr>
                <w:b w:val="0"/>
              </w:rPr>
              <w:t xml:space="preserve"> (FTTH</w:t>
            </w:r>
            <w:r w:rsidRPr="00150623">
              <w:rPr>
                <w:b w:val="0"/>
              </w:rPr>
              <w:t>)</w:t>
            </w:r>
            <w:r>
              <w:rPr>
                <w:b w:val="0"/>
              </w:rPr>
              <w:t>.</w:t>
            </w:r>
          </w:p>
        </w:tc>
      </w:tr>
      <w:tr w:rsidR="009828D6" w:rsidRPr="00046545" w14:paraId="298A5C06" w14:textId="77777777" w:rsidTr="005D4DA2">
        <w:trPr>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808CE4C" w14:textId="77777777" w:rsidR="009828D6" w:rsidRPr="001258B4" w:rsidRDefault="009828D6" w:rsidP="005D4DA2">
            <w:pPr>
              <w:widowControl w:val="0"/>
              <w:spacing w:line="200" w:lineRule="exact"/>
              <w:rPr>
                <w:color w:val="FFFFFF"/>
              </w:rPr>
            </w:pPr>
            <w:r>
              <w:rPr>
                <w:color w:val="FFFFFF"/>
              </w:rPr>
              <w:t>Fixed Wireless</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74DEFC84" w14:textId="77777777" w:rsidR="009828D6" w:rsidRPr="006E12EF" w:rsidRDefault="009828D6" w:rsidP="005D4DA2">
            <w:pPr>
              <w:pStyle w:val="BodyText"/>
              <w:rPr>
                <w:b w:val="0"/>
              </w:rPr>
            </w:pPr>
            <w:r w:rsidRPr="006E12EF">
              <w:rPr>
                <w:b w:val="0"/>
              </w:rPr>
              <w:t>A high speed wireless network capable of supporting speeds of up to 25 Mbps downstream and 5 Mbps upstream, similar to good quality ADSL2+.</w:t>
            </w:r>
            <w:r>
              <w:rPr>
                <w:b w:val="0"/>
              </w:rPr>
              <w:t xml:space="preserve"> The equipment used to access the network is ‘fixed’ to the customer’s premises.</w:t>
            </w:r>
          </w:p>
        </w:tc>
      </w:tr>
      <w:tr w:rsidR="009828D6" w:rsidRPr="00046545" w14:paraId="4EE505AC" w14:textId="77777777" w:rsidTr="005D4D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BF926A0" w14:textId="77777777" w:rsidR="009828D6" w:rsidRPr="001258B4" w:rsidRDefault="009828D6" w:rsidP="005D4DA2">
            <w:pPr>
              <w:widowControl w:val="0"/>
              <w:spacing w:before="6" w:line="200" w:lineRule="exact"/>
              <w:rPr>
                <w:color w:val="FFFFFF"/>
              </w:rPr>
            </w:pPr>
            <w:r>
              <w:rPr>
                <w:color w:val="FFFFFF"/>
              </w:rPr>
              <w:t>Gbps</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604B96CC" w14:textId="77777777" w:rsidR="009828D6" w:rsidRPr="00150623" w:rsidRDefault="009828D6" w:rsidP="005D4DA2">
            <w:pPr>
              <w:pStyle w:val="BodyText"/>
              <w:rPr>
                <w:b w:val="0"/>
              </w:rPr>
            </w:pPr>
            <w:r w:rsidRPr="00150623">
              <w:rPr>
                <w:b w:val="0"/>
              </w:rPr>
              <w:t>Gig</w:t>
            </w:r>
            <w:r>
              <w:rPr>
                <w:b w:val="0"/>
              </w:rPr>
              <w:t>a</w:t>
            </w:r>
            <w:r w:rsidRPr="00150623">
              <w:rPr>
                <w:b w:val="0"/>
              </w:rPr>
              <w:t xml:space="preserve">bits per second, </w:t>
            </w:r>
            <w:r>
              <w:rPr>
                <w:b w:val="0"/>
              </w:rPr>
              <w:t xml:space="preserve">which is </w:t>
            </w:r>
            <w:r w:rsidRPr="00150623">
              <w:rPr>
                <w:b w:val="0"/>
              </w:rPr>
              <w:t>a rate of data transfer. 1 Gbps = 1000 Mbps.</w:t>
            </w:r>
          </w:p>
        </w:tc>
      </w:tr>
      <w:tr w:rsidR="009828D6" w:rsidRPr="00046545" w14:paraId="3300905F" w14:textId="77777777" w:rsidTr="005D4DA2">
        <w:trPr>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3177119" w14:textId="77777777" w:rsidR="009828D6" w:rsidRPr="001258B4" w:rsidRDefault="009828D6" w:rsidP="005D4DA2">
            <w:pPr>
              <w:widowControl w:val="0"/>
              <w:spacing w:before="6" w:line="200" w:lineRule="exact"/>
              <w:rPr>
                <w:color w:val="FFFFFF"/>
              </w:rPr>
            </w:pPr>
            <w:r>
              <w:rPr>
                <w:color w:val="FFFFFF"/>
              </w:rPr>
              <w:t>Hybrid Fibre-Coaxial (</w:t>
            </w:r>
            <w:r w:rsidRPr="001258B4">
              <w:rPr>
                <w:color w:val="FFFFFF"/>
              </w:rPr>
              <w:t>HFC</w:t>
            </w:r>
            <w:r>
              <w:rPr>
                <w:color w:val="FFFFFF"/>
              </w:rPr>
              <w:t>)</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755AAF36" w14:textId="77777777" w:rsidR="009828D6" w:rsidRPr="00150623" w:rsidRDefault="009828D6" w:rsidP="005D4DA2">
            <w:pPr>
              <w:pStyle w:val="BodyText"/>
              <w:rPr>
                <w:b w:val="0"/>
              </w:rPr>
            </w:pPr>
            <w:r>
              <w:rPr>
                <w:b w:val="0"/>
              </w:rPr>
              <w:t>C</w:t>
            </w:r>
            <w:r w:rsidRPr="00150623">
              <w:rPr>
                <w:b w:val="0"/>
              </w:rPr>
              <w:t>able</w:t>
            </w:r>
            <w:r>
              <w:rPr>
                <w:b w:val="0"/>
              </w:rPr>
              <w:t xml:space="preserve"> networks</w:t>
            </w:r>
            <w:r w:rsidRPr="00150623">
              <w:rPr>
                <w:b w:val="0"/>
              </w:rPr>
              <w:t xml:space="preserve"> used by Optus and Telstra</w:t>
            </w:r>
            <w:r>
              <w:rPr>
                <w:b w:val="0"/>
              </w:rPr>
              <w:t xml:space="preserve"> to</w:t>
            </w:r>
            <w:r w:rsidRPr="00150623">
              <w:rPr>
                <w:b w:val="0"/>
              </w:rPr>
              <w:t xml:space="preserve"> deliver</w:t>
            </w:r>
            <w:r>
              <w:rPr>
                <w:b w:val="0"/>
              </w:rPr>
              <w:t xml:space="preserve"> high speed broadband and pay TV.  HFC is in some respects similar to FTTN in that there are nodes or similar closer to end users. </w:t>
            </w:r>
          </w:p>
        </w:tc>
      </w:tr>
      <w:tr w:rsidR="009828D6" w:rsidRPr="00046545" w14:paraId="71800A1F" w14:textId="77777777" w:rsidTr="005D4D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7AF599D" w14:textId="77777777" w:rsidR="009828D6" w:rsidRPr="001258B4" w:rsidRDefault="009828D6" w:rsidP="005D4DA2">
            <w:pPr>
              <w:widowControl w:val="0"/>
              <w:spacing w:before="6" w:line="200" w:lineRule="exact"/>
              <w:rPr>
                <w:color w:val="FFFFFF"/>
              </w:rPr>
            </w:pPr>
            <w:r>
              <w:rPr>
                <w:color w:val="FFFFFF"/>
              </w:rPr>
              <w:t>k</w:t>
            </w:r>
            <w:r w:rsidRPr="001258B4">
              <w:rPr>
                <w:color w:val="FFFFFF"/>
              </w:rPr>
              <w:t>bps</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5D0DB25A" w14:textId="77777777" w:rsidR="009828D6" w:rsidRPr="00150623" w:rsidRDefault="009828D6" w:rsidP="005D4DA2">
            <w:pPr>
              <w:pStyle w:val="BodyText"/>
              <w:rPr>
                <w:b w:val="0"/>
              </w:rPr>
            </w:pPr>
            <w:r w:rsidRPr="00150623">
              <w:rPr>
                <w:b w:val="0"/>
              </w:rPr>
              <w:t xml:space="preserve">Kilobits per second, a rate of data transfer. </w:t>
            </w:r>
            <w:r>
              <w:rPr>
                <w:b w:val="0"/>
              </w:rPr>
              <w:t>1 kbps = 1000 bps.</w:t>
            </w:r>
          </w:p>
        </w:tc>
      </w:tr>
      <w:tr w:rsidR="009828D6" w:rsidRPr="00046545" w14:paraId="112B603C" w14:textId="77777777" w:rsidTr="005D4DA2">
        <w:trPr>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81148E3" w14:textId="77777777" w:rsidR="009828D6" w:rsidRPr="001258B4" w:rsidRDefault="009828D6" w:rsidP="005D4DA2">
            <w:pPr>
              <w:widowControl w:val="0"/>
              <w:spacing w:before="6" w:line="200" w:lineRule="exact"/>
              <w:rPr>
                <w:color w:val="FFFFFF"/>
              </w:rPr>
            </w:pPr>
            <w:r w:rsidRPr="001258B4">
              <w:rPr>
                <w:color w:val="FFFFFF"/>
              </w:rPr>
              <w:t>Mbps</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2A260F72" w14:textId="77777777" w:rsidR="009828D6" w:rsidRPr="00150623" w:rsidRDefault="009828D6" w:rsidP="005D4DA2">
            <w:pPr>
              <w:pStyle w:val="BodyText"/>
              <w:rPr>
                <w:b w:val="0"/>
              </w:rPr>
            </w:pPr>
            <w:r w:rsidRPr="00150623">
              <w:rPr>
                <w:b w:val="0"/>
              </w:rPr>
              <w:t xml:space="preserve">Megabits per second, a rate of data transfer. 1 Mbps = 1000 Kbps.  </w:t>
            </w:r>
          </w:p>
        </w:tc>
      </w:tr>
      <w:tr w:rsidR="009828D6" w:rsidRPr="00046545" w14:paraId="3F4F7965" w14:textId="77777777" w:rsidTr="005D4D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8178CC7" w14:textId="77777777" w:rsidR="009828D6" w:rsidRDefault="009828D6" w:rsidP="005D4DA2">
            <w:pPr>
              <w:widowControl w:val="0"/>
              <w:spacing w:before="6" w:line="200" w:lineRule="exact"/>
              <w:rPr>
                <w:color w:val="FFFFFF"/>
              </w:rPr>
            </w:pPr>
            <w:r>
              <w:rPr>
                <w:color w:val="FFFFFF"/>
              </w:rPr>
              <w:t>Mobile broadband</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4A8083DC" w14:textId="77777777" w:rsidR="009828D6" w:rsidRPr="00150623" w:rsidRDefault="009828D6" w:rsidP="005D4DA2">
            <w:pPr>
              <w:pStyle w:val="BodyText"/>
              <w:rPr>
                <w:b w:val="0"/>
              </w:rPr>
            </w:pPr>
            <w:r w:rsidRPr="00150623">
              <w:rPr>
                <w:b w:val="0"/>
              </w:rPr>
              <w:t>Data services provided over the mobile telephony network. Available in 3G</w:t>
            </w:r>
            <w:r>
              <w:rPr>
                <w:b w:val="0"/>
              </w:rPr>
              <w:t xml:space="preserve"> which offers download speeds between 1-20 Mbps</w:t>
            </w:r>
            <w:r w:rsidRPr="00150623">
              <w:rPr>
                <w:b w:val="0"/>
              </w:rPr>
              <w:t xml:space="preserve"> or 4G</w:t>
            </w:r>
            <w:r>
              <w:rPr>
                <w:b w:val="0"/>
              </w:rPr>
              <w:t>, which offers download speeds between 2-50 Mbps.</w:t>
            </w:r>
          </w:p>
        </w:tc>
        <w:bookmarkStart w:id="200" w:name="_GoBack"/>
        <w:bookmarkEnd w:id="200"/>
      </w:tr>
      <w:tr w:rsidR="009828D6" w:rsidRPr="00046545" w14:paraId="44AA0ED0" w14:textId="77777777" w:rsidTr="005D4DA2">
        <w:trPr>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6F0F5CD" w14:textId="77777777" w:rsidR="009828D6" w:rsidRPr="001258B4" w:rsidRDefault="009828D6" w:rsidP="005D4DA2">
            <w:pPr>
              <w:widowControl w:val="0"/>
              <w:spacing w:before="6" w:line="200" w:lineRule="exact"/>
              <w:rPr>
                <w:color w:val="FFFFFF"/>
              </w:rPr>
            </w:pPr>
          </w:p>
          <w:p w14:paraId="451298B5" w14:textId="77777777" w:rsidR="009828D6" w:rsidRPr="001258B4" w:rsidRDefault="009828D6" w:rsidP="005D4DA2">
            <w:pPr>
              <w:widowControl w:val="0"/>
              <w:spacing w:before="6" w:line="200" w:lineRule="exact"/>
              <w:rPr>
                <w:color w:val="FFFFFF"/>
              </w:rPr>
            </w:pPr>
            <w:r>
              <w:rPr>
                <w:color w:val="FFFFFF"/>
              </w:rPr>
              <w:t>Multi Dwelling Unit (MDU)</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75792C6C" w14:textId="77777777" w:rsidR="009828D6" w:rsidRPr="00150623" w:rsidRDefault="009828D6" w:rsidP="005D4DA2">
            <w:pPr>
              <w:pStyle w:val="BodyText"/>
              <w:rPr>
                <w:b w:val="0"/>
              </w:rPr>
            </w:pPr>
            <w:r w:rsidRPr="00150623">
              <w:rPr>
                <w:b w:val="0"/>
              </w:rPr>
              <w:t xml:space="preserve">A site that includes more than one residential or business premises, such as a block of apartments, cluster of townhouses or office building. About one in three </w:t>
            </w:r>
            <w:r>
              <w:rPr>
                <w:b w:val="0"/>
              </w:rPr>
              <w:t xml:space="preserve">Australian </w:t>
            </w:r>
            <w:r w:rsidRPr="00150623">
              <w:rPr>
                <w:b w:val="0"/>
              </w:rPr>
              <w:t>residences is</w:t>
            </w:r>
            <w:r>
              <w:rPr>
                <w:b w:val="0"/>
              </w:rPr>
              <w:t xml:space="preserve"> located</w:t>
            </w:r>
            <w:r w:rsidRPr="00150623">
              <w:rPr>
                <w:b w:val="0"/>
              </w:rPr>
              <w:t xml:space="preserve"> in an MDU. </w:t>
            </w:r>
          </w:p>
        </w:tc>
      </w:tr>
      <w:tr w:rsidR="009828D6" w:rsidRPr="00046545" w14:paraId="2F265139" w14:textId="77777777" w:rsidTr="005D4D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B072AD6" w14:textId="77777777" w:rsidR="009828D6" w:rsidRPr="001258B4" w:rsidRDefault="009828D6" w:rsidP="005D4DA2">
            <w:pPr>
              <w:widowControl w:val="0"/>
              <w:spacing w:before="6" w:line="200" w:lineRule="exact"/>
              <w:rPr>
                <w:color w:val="FFFFFF"/>
              </w:rPr>
            </w:pPr>
            <w:r>
              <w:rPr>
                <w:color w:val="FFFFFF"/>
              </w:rPr>
              <w:t>Pair gain system</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6D033572" w14:textId="77777777" w:rsidR="009828D6" w:rsidRPr="00150623" w:rsidRDefault="009828D6" w:rsidP="005D4DA2">
            <w:pPr>
              <w:pStyle w:val="BodyText"/>
              <w:rPr>
                <w:b w:val="0"/>
              </w:rPr>
            </w:pPr>
            <w:r w:rsidRPr="00150623">
              <w:rPr>
                <w:rFonts w:eastAsia="MS Mincho"/>
                <w:b w:val="0"/>
              </w:rPr>
              <w:t xml:space="preserve">Equipment deployed to </w:t>
            </w:r>
            <w:r>
              <w:rPr>
                <w:rFonts w:eastAsia="MS Mincho"/>
                <w:b w:val="0"/>
              </w:rPr>
              <w:t>increase the number of telephone lines available in an area that may limit access to ADSL broadband services.</w:t>
            </w:r>
          </w:p>
        </w:tc>
      </w:tr>
      <w:tr w:rsidR="009828D6" w:rsidRPr="00046545" w14:paraId="02A237FB" w14:textId="77777777" w:rsidTr="005D4DA2">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C06C674" w14:textId="77777777" w:rsidR="009828D6" w:rsidRPr="001258B4" w:rsidRDefault="009828D6" w:rsidP="005D4DA2">
            <w:pPr>
              <w:widowControl w:val="0"/>
              <w:spacing w:before="6" w:line="200" w:lineRule="exact"/>
              <w:rPr>
                <w:color w:val="FFFFFF"/>
              </w:rPr>
            </w:pPr>
            <w:r w:rsidRPr="001258B4">
              <w:rPr>
                <w:color w:val="FFFFFF"/>
              </w:rPr>
              <w:t>Premises</w:t>
            </w:r>
          </w:p>
        </w:tc>
        <w:tc>
          <w:tcPr>
            <w:cnfStyle w:val="000100000000" w:firstRow="0" w:lastRow="0" w:firstColumn="0" w:lastColumn="1" w:oddVBand="0" w:evenVBand="0" w:oddHBand="0" w:evenHBand="0" w:firstRowFirstColumn="0" w:firstRowLastColumn="0" w:lastRowFirstColumn="0" w:lastRowLastColumn="0"/>
            <w:tcW w:w="7655" w:type="dxa"/>
            <w:shd w:val="clear" w:color="auto" w:fill="B8CCE4" w:themeFill="accent1" w:themeFillTint="66"/>
          </w:tcPr>
          <w:p w14:paraId="5AF84CAC" w14:textId="77777777" w:rsidR="009828D6" w:rsidRPr="00150623" w:rsidRDefault="009828D6" w:rsidP="005D4DA2">
            <w:pPr>
              <w:pStyle w:val="BodyText"/>
              <w:rPr>
                <w:b w:val="0"/>
              </w:rPr>
            </w:pPr>
            <w:r w:rsidRPr="00150623">
              <w:rPr>
                <w:b w:val="0"/>
              </w:rPr>
              <w:t>A residence such as a house or apartment, or a commercial site such as an office, store or factory.</w:t>
            </w:r>
          </w:p>
        </w:tc>
      </w:tr>
    </w:tbl>
    <w:p w14:paraId="244A5554" w14:textId="77777777" w:rsidR="009828D6" w:rsidRDefault="009828D6" w:rsidP="009828D6">
      <w:pPr>
        <w:rPr>
          <w:rFonts w:eastAsia="MS Mincho"/>
        </w:rPr>
      </w:pPr>
    </w:p>
    <w:p w14:paraId="6841E75F" w14:textId="77777777" w:rsidR="005B762B" w:rsidRDefault="005B762B" w:rsidP="005B762B"/>
    <w:sectPr w:rsidR="005B762B" w:rsidSect="00BD6783">
      <w:headerReference w:type="first" r:id="rId68"/>
      <w:pgSz w:w="11900" w:h="16840" w:code="9"/>
      <w:pgMar w:top="1560" w:right="1440" w:bottom="1258" w:left="1440" w:header="709" w:footer="6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CC9FB" w14:textId="77777777" w:rsidR="00906DE9" w:rsidRDefault="00906DE9" w:rsidP="00BC0C65">
      <w:r>
        <w:separator/>
      </w:r>
    </w:p>
  </w:endnote>
  <w:endnote w:type="continuationSeparator" w:id="0">
    <w:p w14:paraId="4A790B3D" w14:textId="77777777" w:rsidR="00906DE9" w:rsidRDefault="00906DE9" w:rsidP="00BC0C65">
      <w:r>
        <w:continuationSeparator/>
      </w:r>
    </w:p>
  </w:endnote>
  <w:endnote w:type="continuationNotice" w:id="1">
    <w:p w14:paraId="428A67CA" w14:textId="77777777" w:rsidR="00906DE9" w:rsidRDefault="00906D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BCD1A" w14:textId="77777777" w:rsidR="00906DE9" w:rsidRPr="00181362" w:rsidRDefault="009701C6" w:rsidP="005F3F00">
    <w:pPr>
      <w:pStyle w:val="Footer"/>
      <w:tabs>
        <w:tab w:val="clear" w:pos="4320"/>
        <w:tab w:val="clear" w:pos="8640"/>
        <w:tab w:val="left" w:pos="4335"/>
      </w:tabs>
      <w:rPr>
        <w:b/>
        <w:noProof/>
        <w:color w:val="FFFFFF" w:themeColor="background1"/>
      </w:rPr>
    </w:pPr>
    <w:r>
      <w:rPr>
        <w:noProof/>
        <w:lang w:val="en-AU" w:eastAsia="en-AU"/>
      </w:rPr>
      <w:drawing>
        <wp:anchor distT="0" distB="0" distL="114300" distR="114300" simplePos="0" relativeHeight="251662339" behindDoc="1" locked="0" layoutInCell="1" allowOverlap="1" wp14:anchorId="6A63DB39" wp14:editId="13DDFF76">
          <wp:simplePos x="0" y="0"/>
          <wp:positionH relativeFrom="page">
            <wp:posOffset>-33020</wp:posOffset>
          </wp:positionH>
          <wp:positionV relativeFrom="page">
            <wp:posOffset>9809589</wp:posOffset>
          </wp:positionV>
          <wp:extent cx="7566145" cy="75935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mms_footer.png"/>
                  <pic:cNvPicPr/>
                </pic:nvPicPr>
                <pic:blipFill>
                  <a:blip r:embed="rId1">
                    <a:extLst>
                      <a:ext uri="{28A0092B-C50C-407E-A947-70E740481C1C}">
                        <a14:useLocalDpi xmlns:a14="http://schemas.microsoft.com/office/drawing/2010/main" val="0"/>
                      </a:ext>
                    </a:extLst>
                  </a:blip>
                  <a:stretch>
                    <a:fillRect/>
                  </a:stretch>
                </pic:blipFill>
                <pic:spPr>
                  <a:xfrm>
                    <a:off x="0" y="0"/>
                    <a:ext cx="7566145" cy="75935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sdt>
      <w:sdtPr>
        <w:id w:val="196736675"/>
        <w:docPartObj>
          <w:docPartGallery w:val="Page Numbers (Bottom of Page)"/>
          <w:docPartUnique/>
        </w:docPartObj>
      </w:sdtPr>
      <w:sdtEndPr>
        <w:rPr>
          <w:b/>
          <w:noProof/>
          <w:color w:val="FFFFFF" w:themeColor="background1"/>
        </w:rPr>
      </w:sdtEndPr>
      <w:sdtContent>
        <w:r w:rsidR="00906DE9" w:rsidRPr="00C31FCC">
          <w:rPr>
            <w:b/>
            <w:color w:val="FFFFFF" w:themeColor="background1"/>
          </w:rPr>
          <w:fldChar w:fldCharType="begin"/>
        </w:r>
        <w:r w:rsidR="00906DE9" w:rsidRPr="00C31FCC">
          <w:rPr>
            <w:b/>
            <w:color w:val="FFFFFF" w:themeColor="background1"/>
          </w:rPr>
          <w:instrText xml:space="preserve"> PAGE   \* MERGEFORMAT </w:instrText>
        </w:r>
        <w:r w:rsidR="00906DE9" w:rsidRPr="00C31FCC">
          <w:rPr>
            <w:b/>
            <w:color w:val="FFFFFF" w:themeColor="background1"/>
          </w:rPr>
          <w:fldChar w:fldCharType="separate"/>
        </w:r>
        <w:r w:rsidR="009828D6">
          <w:rPr>
            <w:b/>
            <w:noProof/>
            <w:color w:val="FFFFFF" w:themeColor="background1"/>
          </w:rPr>
          <w:t>54</w:t>
        </w:r>
        <w:r w:rsidR="00906DE9" w:rsidRPr="00C31FCC">
          <w:rPr>
            <w:b/>
            <w:noProof/>
            <w:color w:val="FFFFFF" w:themeColor="background1"/>
          </w:rPr>
          <w:fldChar w:fldCharType="end"/>
        </w:r>
      </w:sdtContent>
    </w:sdt>
    <w:r w:rsidR="00906DE9">
      <w:rPr>
        <w:b/>
        <w:noProof/>
        <w:color w:val="FFFFFF" w:themeColor="background1"/>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129368"/>
      <w:docPartObj>
        <w:docPartGallery w:val="Page Numbers (Bottom of Page)"/>
        <w:docPartUnique/>
      </w:docPartObj>
    </w:sdtPr>
    <w:sdtEndPr>
      <w:rPr>
        <w:b/>
        <w:noProof/>
        <w:color w:val="FFFFFF" w:themeColor="background1"/>
      </w:rPr>
    </w:sdtEndPr>
    <w:sdtContent>
      <w:p w14:paraId="6CB5706A" w14:textId="77777777" w:rsidR="00906DE9" w:rsidRPr="0083479B" w:rsidRDefault="009701C6" w:rsidP="0083479B">
        <w:pPr>
          <w:pStyle w:val="Footer"/>
          <w:rPr>
            <w:b/>
            <w:color w:val="FFFFFF" w:themeColor="background1"/>
          </w:rPr>
        </w:pPr>
        <w:r w:rsidRPr="004F72A5">
          <w:rPr>
            <w:b/>
            <w:noProof/>
            <w:color w:val="FFFFFF" w:themeColor="background1"/>
            <w:lang w:val="en-AU" w:eastAsia="en-AU"/>
          </w:rPr>
          <w:drawing>
            <wp:anchor distT="0" distB="0" distL="114300" distR="114300" simplePos="0" relativeHeight="251666435" behindDoc="1" locked="0" layoutInCell="1" allowOverlap="1" wp14:anchorId="78922D92" wp14:editId="1AEB3BAB">
              <wp:simplePos x="0" y="0"/>
              <wp:positionH relativeFrom="page">
                <wp:posOffset>146685</wp:posOffset>
              </wp:positionH>
              <wp:positionV relativeFrom="page">
                <wp:posOffset>9803656</wp:posOffset>
              </wp:positionV>
              <wp:extent cx="7566025" cy="75882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mms_footer.png"/>
                      <pic:cNvPicPr/>
                    </pic:nvPicPr>
                    <pic:blipFill>
                      <a:blip r:embed="rId1">
                        <a:extLst>
                          <a:ext uri="{28A0092B-C50C-407E-A947-70E740481C1C}">
                            <a14:useLocalDpi xmlns:a14="http://schemas.microsoft.com/office/drawing/2010/main" val="0"/>
                          </a:ext>
                        </a:extLst>
                      </a:blip>
                      <a:stretch>
                        <a:fillRect/>
                      </a:stretch>
                    </pic:blipFill>
                    <pic:spPr>
                      <a:xfrm>
                        <a:off x="0" y="0"/>
                        <a:ext cx="7566025" cy="75882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4E16F" w14:textId="77777777" w:rsidR="00906DE9" w:rsidRDefault="00906DE9" w:rsidP="00BC0C65">
      <w:r>
        <w:separator/>
      </w:r>
    </w:p>
  </w:footnote>
  <w:footnote w:type="continuationSeparator" w:id="0">
    <w:p w14:paraId="539F8015" w14:textId="77777777" w:rsidR="00906DE9" w:rsidRDefault="00906DE9" w:rsidP="00BC0C65">
      <w:r>
        <w:continuationSeparator/>
      </w:r>
    </w:p>
  </w:footnote>
  <w:footnote w:type="continuationNotice" w:id="1">
    <w:p w14:paraId="3A756567" w14:textId="77777777" w:rsidR="00906DE9" w:rsidRDefault="00906DE9"/>
  </w:footnote>
  <w:footnote w:id="2">
    <w:p w14:paraId="09BB6311" w14:textId="77777777" w:rsidR="00906DE9" w:rsidRDefault="00906DE9" w:rsidP="005B762B">
      <w:pPr>
        <w:pStyle w:val="FootnoteText"/>
      </w:pPr>
      <w:r>
        <w:rPr>
          <w:rStyle w:val="FootnoteReference"/>
        </w:rPr>
        <w:footnoteRef/>
      </w:r>
      <w:r>
        <w:t xml:space="preserve"> </w:t>
      </w:r>
      <w:r w:rsidRPr="000B781F">
        <w:rPr>
          <w:rFonts w:ascii="Calibri" w:eastAsia="MS Mincho" w:hAnsi="Calibri"/>
          <w:sz w:val="18"/>
          <w:lang w:val="en-GB"/>
        </w:rPr>
        <w:t>The total of this section exceeds 100 per cent because the majority of premises have access to multiple broadband technologies.</w:t>
      </w:r>
      <w:r w:rsidRPr="000B781F">
        <w:rPr>
          <w:sz w:val="18"/>
        </w:rPr>
        <w:t xml:space="preserve"> </w:t>
      </w:r>
    </w:p>
  </w:footnote>
  <w:footnote w:id="3">
    <w:p w14:paraId="74D431B4" w14:textId="77777777" w:rsidR="00906DE9" w:rsidRPr="000C5B53" w:rsidRDefault="00906DE9" w:rsidP="000C5B53">
      <w:pPr>
        <w:pStyle w:val="BodyText"/>
        <w:spacing w:after="0"/>
        <w:rPr>
          <w:sz w:val="18"/>
        </w:rPr>
      </w:pPr>
      <w:r w:rsidRPr="00C83BD2">
        <w:rPr>
          <w:rStyle w:val="FootnoteReference"/>
          <w:rFonts w:asciiTheme="majorHAnsi" w:hAnsiTheme="majorHAnsi"/>
          <w:sz w:val="18"/>
        </w:rPr>
        <w:footnoteRef/>
      </w:r>
      <w:r w:rsidRPr="000C5B53">
        <w:rPr>
          <w:sz w:val="18"/>
        </w:rPr>
        <w:t xml:space="preserve"> Australian Demographic Statistics 2012, Australian Bureau of Statistics</w:t>
      </w:r>
    </w:p>
  </w:footnote>
  <w:footnote w:id="4">
    <w:p w14:paraId="0B83BEE1" w14:textId="77777777" w:rsidR="00906DE9" w:rsidRDefault="00906DE9" w:rsidP="000C5B53">
      <w:pPr>
        <w:pStyle w:val="BodyText"/>
        <w:spacing w:after="0"/>
      </w:pPr>
      <w:r w:rsidRPr="00C83BD2">
        <w:rPr>
          <w:rStyle w:val="FootnoteReference"/>
          <w:rFonts w:asciiTheme="majorHAnsi" w:hAnsiTheme="majorHAnsi"/>
          <w:sz w:val="18"/>
        </w:rPr>
        <w:footnoteRef/>
      </w:r>
      <w:r w:rsidRPr="000C5B53">
        <w:rPr>
          <w:sz w:val="18"/>
        </w:rPr>
        <w:t xml:space="preserve"> As indicated by the percentage of population found within ‘Major Cities’, Regional Population Growth, 2012, Australian Bureau of Statistics</w:t>
      </w:r>
    </w:p>
  </w:footnote>
  <w:footnote w:id="5">
    <w:p w14:paraId="60B76783" w14:textId="5DCBAF94" w:rsidR="00906DE9" w:rsidRPr="000C5B53" w:rsidRDefault="00906DE9" w:rsidP="000C5B53">
      <w:pPr>
        <w:pStyle w:val="BodyText"/>
        <w:spacing w:after="0"/>
        <w:rPr>
          <w:sz w:val="18"/>
        </w:rPr>
      </w:pPr>
      <w:r w:rsidRPr="000C5B53">
        <w:rPr>
          <w:rStyle w:val="FootnoteReference"/>
          <w:rFonts w:asciiTheme="majorHAnsi" w:hAnsiTheme="majorHAnsi"/>
          <w:sz w:val="18"/>
        </w:rPr>
        <w:footnoteRef/>
      </w:r>
      <w:r w:rsidRPr="000C5B53">
        <w:rPr>
          <w:sz w:val="18"/>
        </w:rPr>
        <w:t xml:space="preserve"> Coverage (premises) numbers have been rounded.</w:t>
      </w:r>
    </w:p>
  </w:footnote>
  <w:footnote w:id="6">
    <w:p w14:paraId="583E7436" w14:textId="6C3060F3" w:rsidR="00906DE9" w:rsidRPr="000C5B53" w:rsidRDefault="00906DE9" w:rsidP="000C5B53">
      <w:pPr>
        <w:pStyle w:val="BodyText"/>
        <w:spacing w:after="0"/>
        <w:rPr>
          <w:sz w:val="18"/>
        </w:rPr>
      </w:pPr>
      <w:r w:rsidRPr="002F307A">
        <w:rPr>
          <w:rStyle w:val="FootnoteReference"/>
          <w:rFonts w:asciiTheme="majorHAnsi" w:hAnsiTheme="majorHAnsi" w:cstheme="majorHAnsi"/>
          <w:sz w:val="18"/>
        </w:rPr>
        <w:footnoteRef/>
      </w:r>
      <w:r w:rsidRPr="000C5B53">
        <w:rPr>
          <w:sz w:val="18"/>
        </w:rPr>
        <w:t xml:space="preserve"> It is recognised that rural areas are often serviced with heavier gauge cable that is capable of supporting ADSL services as far as 8.6 kilometres for 0.9mm cable. </w:t>
      </w:r>
    </w:p>
  </w:footnote>
  <w:footnote w:id="7">
    <w:p w14:paraId="6EFD177A" w14:textId="77777777" w:rsidR="00906DE9" w:rsidRPr="00C83BD2" w:rsidRDefault="00906DE9" w:rsidP="005B762B">
      <w:pPr>
        <w:pStyle w:val="FootnoteText"/>
        <w:rPr>
          <w:sz w:val="18"/>
        </w:rPr>
      </w:pPr>
      <w:r w:rsidRPr="00C83BD2">
        <w:rPr>
          <w:rStyle w:val="FootnoteReference"/>
          <w:sz w:val="18"/>
        </w:rPr>
        <w:footnoteRef/>
      </w:r>
      <w:r w:rsidRPr="00C83BD2">
        <w:rPr>
          <w:sz w:val="18"/>
        </w:rPr>
        <w:t xml:space="preserve"> </w:t>
      </w:r>
      <w:r w:rsidRPr="00655AAF">
        <w:rPr>
          <w:rFonts w:asciiTheme="majorHAnsi" w:hAnsiTheme="majorHAnsi" w:cstheme="majorHAnsi"/>
          <w:sz w:val="18"/>
          <w:szCs w:val="16"/>
        </w:rPr>
        <w:t xml:space="preserve">Based on the </w:t>
      </w:r>
      <w:r w:rsidRPr="00655AAF">
        <w:rPr>
          <w:rFonts w:asciiTheme="majorHAnsi" w:hAnsiTheme="majorHAnsi" w:cstheme="majorHAnsi"/>
          <w:sz w:val="18"/>
          <w:szCs w:val="16"/>
          <w:lang w:val="en-US"/>
        </w:rPr>
        <w:t>Australian Bureau of Statistics Internet Activity Survey 2013, and the number of services in operation in each exchange service area as at 30 June 2013.</w:t>
      </w:r>
    </w:p>
  </w:footnote>
  <w:footnote w:id="8">
    <w:p w14:paraId="7E7A97AE" w14:textId="15F2D8C0" w:rsidR="00906DE9" w:rsidRDefault="00906DE9" w:rsidP="005B762B">
      <w:pPr>
        <w:pStyle w:val="FootnoteText"/>
      </w:pPr>
      <w:r w:rsidRPr="00C03446">
        <w:rPr>
          <w:rStyle w:val="FootnoteReference"/>
          <w:sz w:val="22"/>
        </w:rPr>
        <w:footnoteRef/>
      </w:r>
      <w:r w:rsidRPr="00C03446">
        <w:rPr>
          <w:sz w:val="22"/>
        </w:rPr>
        <w:t xml:space="preserve"> </w:t>
      </w:r>
      <w:r w:rsidRPr="00C03446">
        <w:rPr>
          <w:rFonts w:asciiTheme="majorHAnsi" w:hAnsiTheme="majorHAnsi" w:cstheme="majorHAnsi"/>
          <w:sz w:val="18"/>
        </w:rPr>
        <w:t xml:space="preserve">Telstra has advised that many small and medium pair gains systems can be remediated upon receipt of an </w:t>
      </w:r>
      <w:r>
        <w:rPr>
          <w:rFonts w:asciiTheme="majorHAnsi" w:hAnsiTheme="majorHAnsi" w:cstheme="majorHAnsi"/>
          <w:sz w:val="18"/>
        </w:rPr>
        <w:t>ADSL</w:t>
      </w:r>
      <w:r w:rsidRPr="00C03446">
        <w:rPr>
          <w:rFonts w:asciiTheme="majorHAnsi" w:hAnsiTheme="majorHAnsi" w:cstheme="majorHAnsi"/>
          <w:sz w:val="18"/>
        </w:rPr>
        <w:t xml:space="preserve"> service request from a fixed line voice customer.</w:t>
      </w:r>
    </w:p>
  </w:footnote>
  <w:footnote w:id="9">
    <w:p w14:paraId="4019F1DC" w14:textId="1DCB9161" w:rsidR="00906DE9" w:rsidRPr="00341842" w:rsidRDefault="00906DE9" w:rsidP="00341842">
      <w:pPr>
        <w:pStyle w:val="BodyText"/>
        <w:rPr>
          <w:sz w:val="18"/>
        </w:rPr>
      </w:pPr>
      <w:r w:rsidRPr="0024343A">
        <w:rPr>
          <w:rStyle w:val="FootnoteReference"/>
          <w:rFonts w:asciiTheme="majorHAnsi" w:hAnsiTheme="majorHAnsi" w:cstheme="majorHAnsi"/>
          <w:sz w:val="18"/>
          <w:szCs w:val="18"/>
        </w:rPr>
        <w:footnoteRef/>
      </w:r>
      <w:r w:rsidRPr="00341842">
        <w:rPr>
          <w:sz w:val="18"/>
        </w:rPr>
        <w:t xml:space="preserve"> ABS Remoteness Structure (2011): </w:t>
      </w:r>
      <w:hyperlink r:id="rId1" w:history="1">
        <w:r w:rsidRPr="00C93030">
          <w:rPr>
            <w:rStyle w:val="Hyperlink"/>
            <w:rFonts w:asciiTheme="majorHAnsi" w:hAnsiTheme="majorHAnsi" w:cstheme="majorHAnsi"/>
            <w:color w:val="000000" w:themeColor="text1"/>
            <w:sz w:val="18"/>
            <w:szCs w:val="18"/>
          </w:rPr>
          <w:t>www.abs.gov.au/websitedbs/d3310114.nsf/home/remoteness+structure</w:t>
        </w:r>
      </w:hyperlink>
      <w:r w:rsidRPr="00341842">
        <w:rPr>
          <w:color w:val="000000" w:themeColor="text1"/>
          <w:sz w:val="18"/>
          <w:u w:val="single"/>
        </w:rPr>
        <w:t xml:space="preserve"> </w:t>
      </w:r>
    </w:p>
  </w:footnote>
  <w:footnote w:id="10">
    <w:p w14:paraId="3E60644E" w14:textId="77777777" w:rsidR="00906DE9" w:rsidRPr="00341842" w:rsidRDefault="00906DE9" w:rsidP="00341842">
      <w:pPr>
        <w:pStyle w:val="BodyText"/>
        <w:spacing w:after="0"/>
        <w:rPr>
          <w:sz w:val="18"/>
        </w:rPr>
      </w:pPr>
      <w:r w:rsidRPr="00341842">
        <w:rPr>
          <w:rStyle w:val="FootnoteReference"/>
          <w:sz w:val="18"/>
        </w:rPr>
        <w:footnoteRef/>
      </w:r>
      <w:r w:rsidRPr="00341842">
        <w:rPr>
          <w:sz w:val="18"/>
        </w:rPr>
        <w:t xml:space="preserve"> Although access to multiple platforms at an individual premises offers no advantage as only the highest quality network available at each premises is used to form the aggregate fixed broadband rating at the DA level.</w:t>
      </w:r>
    </w:p>
  </w:footnote>
  <w:footnote w:id="11">
    <w:p w14:paraId="12F4E6F2" w14:textId="60D36149" w:rsidR="00906DE9" w:rsidRPr="00E15380" w:rsidRDefault="00906DE9" w:rsidP="00E15380">
      <w:pPr>
        <w:pStyle w:val="BodyText"/>
        <w:spacing w:after="0"/>
        <w:rPr>
          <w:color w:val="000000" w:themeColor="text1"/>
          <w:sz w:val="18"/>
        </w:rPr>
      </w:pPr>
      <w:r w:rsidRPr="00C83BD2">
        <w:rPr>
          <w:rStyle w:val="FootnoteReference"/>
          <w:sz w:val="18"/>
        </w:rPr>
        <w:footnoteRef/>
      </w:r>
      <w:r w:rsidRPr="00C83BD2">
        <w:rPr>
          <w:sz w:val="18"/>
        </w:rPr>
        <w:t xml:space="preserve"> </w:t>
      </w:r>
      <w:r w:rsidRPr="00E15380">
        <w:rPr>
          <w:sz w:val="18"/>
        </w:rPr>
        <w:t xml:space="preserve">Telstra’s website, </w:t>
      </w:r>
      <w:hyperlink r:id="rId2" w:history="1">
        <w:r w:rsidRPr="00E15380">
          <w:rPr>
            <w:rStyle w:val="Hyperlink"/>
            <w:rFonts w:asciiTheme="majorHAnsi" w:hAnsiTheme="majorHAnsi"/>
            <w:color w:val="auto"/>
            <w:sz w:val="18"/>
          </w:rPr>
          <w:t>www.telstra.com.au/mobile-phones/coverage-networks/networks</w:t>
        </w:r>
      </w:hyperlink>
      <w:r w:rsidRPr="00E15380">
        <w:rPr>
          <w:sz w:val="18"/>
        </w:rPr>
        <w:t>, notes that 66 per cent of the population can typically a</w:t>
      </w:r>
      <w:r>
        <w:rPr>
          <w:sz w:val="18"/>
        </w:rPr>
        <w:t>ccess 4G download speeds of 2</w:t>
      </w:r>
      <w:r>
        <w:rPr>
          <w:sz w:val="18"/>
          <w:szCs w:val="18"/>
        </w:rPr>
        <w:t>-50 Mbps</w:t>
      </w:r>
      <w:r>
        <w:rPr>
          <w:sz w:val="18"/>
        </w:rPr>
        <w:t xml:space="preserve"> in the download and 1</w:t>
      </w:r>
      <w:r>
        <w:rPr>
          <w:sz w:val="18"/>
          <w:szCs w:val="18"/>
        </w:rPr>
        <w:t>-</w:t>
      </w:r>
      <w:r w:rsidRPr="00E15380">
        <w:rPr>
          <w:sz w:val="18"/>
        </w:rPr>
        <w:t>10Mbps upload. Outside 4G coverage areas, Telstra's fastest av</w:t>
      </w:r>
      <w:r>
        <w:rPr>
          <w:sz w:val="18"/>
        </w:rPr>
        <w:t>ailable 3G speeds include 1.1</w:t>
      </w:r>
      <w:r>
        <w:rPr>
          <w:sz w:val="18"/>
          <w:szCs w:val="18"/>
        </w:rPr>
        <w:t>-</w:t>
      </w:r>
      <w:r w:rsidRPr="00E15380">
        <w:rPr>
          <w:sz w:val="18"/>
          <w:szCs w:val="18"/>
        </w:rPr>
        <w:t>20</w:t>
      </w:r>
      <w:r>
        <w:rPr>
          <w:sz w:val="18"/>
          <w:szCs w:val="18"/>
        </w:rPr>
        <w:t xml:space="preserve"> </w:t>
      </w:r>
      <w:r w:rsidRPr="00E15380">
        <w:rPr>
          <w:sz w:val="18"/>
          <w:szCs w:val="18"/>
        </w:rPr>
        <w:t>Mbp</w:t>
      </w:r>
      <w:r>
        <w:rPr>
          <w:sz w:val="18"/>
          <w:szCs w:val="18"/>
        </w:rPr>
        <w:t>s</w:t>
      </w:r>
      <w:r>
        <w:rPr>
          <w:sz w:val="18"/>
        </w:rPr>
        <w:t xml:space="preserve"> in the download and </w:t>
      </w:r>
      <w:r>
        <w:rPr>
          <w:sz w:val="18"/>
          <w:szCs w:val="18"/>
        </w:rPr>
        <w:t>550 kbps-</w:t>
      </w:r>
      <w:r w:rsidRPr="00E15380">
        <w:rPr>
          <w:sz w:val="18"/>
          <w:szCs w:val="18"/>
        </w:rPr>
        <w:t>3</w:t>
      </w:r>
      <w:r>
        <w:rPr>
          <w:sz w:val="18"/>
          <w:szCs w:val="18"/>
        </w:rPr>
        <w:t xml:space="preserve"> </w:t>
      </w:r>
      <w:r w:rsidRPr="00E15380">
        <w:rPr>
          <w:sz w:val="18"/>
          <w:szCs w:val="18"/>
        </w:rPr>
        <w:t>Mbps</w:t>
      </w:r>
      <w:r w:rsidRPr="00E15380">
        <w:rPr>
          <w:sz w:val="18"/>
        </w:rPr>
        <w:t xml:space="preserve"> in the upload across 80 percent of the population. In remaining coverage areas speeds are lower. Telstra has subsequently announced the extension of its 4G network coverage to 85 per cent of the population, see </w:t>
      </w:r>
      <w:hyperlink r:id="rId3" w:history="1">
        <w:r w:rsidRPr="00E15380">
          <w:rPr>
            <w:rStyle w:val="Hyperlink"/>
            <w:rFonts w:asciiTheme="majorHAnsi" w:hAnsiTheme="majorHAnsi"/>
            <w:color w:val="auto"/>
            <w:sz w:val="18"/>
          </w:rPr>
          <w:t>http://www.telstra.com.au/aboutus/media/media-releases</w:t>
        </w:r>
      </w:hyperlink>
      <w:r w:rsidRPr="00E15380">
        <w:rPr>
          <w:sz w:val="18"/>
        </w:rPr>
        <w:t>.</w:t>
      </w:r>
    </w:p>
  </w:footnote>
  <w:footnote w:id="12">
    <w:p w14:paraId="584C86E3" w14:textId="77777777" w:rsidR="00906DE9" w:rsidRPr="001552B7" w:rsidRDefault="00906DE9" w:rsidP="005B762B">
      <w:pPr>
        <w:pStyle w:val="FootnoteText"/>
        <w:rPr>
          <w:sz w:val="18"/>
          <w:szCs w:val="18"/>
        </w:rPr>
      </w:pPr>
      <w:r w:rsidRPr="001552B7">
        <w:rPr>
          <w:rStyle w:val="FootnoteReference"/>
          <w:sz w:val="18"/>
          <w:szCs w:val="18"/>
        </w:rPr>
        <w:footnoteRef/>
      </w:r>
      <w:r w:rsidRPr="001552B7">
        <w:rPr>
          <w:sz w:val="18"/>
          <w:szCs w:val="18"/>
        </w:rPr>
        <w:t xml:space="preserve"> </w:t>
      </w:r>
      <w:r w:rsidRPr="001552B7">
        <w:rPr>
          <w:rFonts w:asciiTheme="majorHAnsi" w:eastAsiaTheme="minorEastAsia" w:hAnsiTheme="majorHAnsi" w:cstheme="majorHAnsi"/>
          <w:sz w:val="18"/>
          <w:szCs w:val="18"/>
        </w:rPr>
        <w:t>Including ‘</w:t>
      </w:r>
      <w:r w:rsidRPr="001552B7">
        <w:rPr>
          <w:rFonts w:asciiTheme="majorHAnsi" w:hAnsiTheme="majorHAnsi"/>
          <w:sz w:val="18"/>
          <w:szCs w:val="18"/>
        </w:rPr>
        <w:t>Measurement and Assessment of Broadband Availability’, Lehr and Smith-Grieco 2009</w:t>
      </w:r>
    </w:p>
  </w:footnote>
  <w:footnote w:id="13">
    <w:p w14:paraId="0ADF9C6B" w14:textId="77777777" w:rsidR="00906DE9" w:rsidRDefault="00906DE9" w:rsidP="005B762B">
      <w:pPr>
        <w:pStyle w:val="FootnoteText"/>
      </w:pPr>
      <w:r>
        <w:rPr>
          <w:rStyle w:val="FootnoteReference"/>
        </w:rPr>
        <w:footnoteRef/>
      </w:r>
      <w:r>
        <w:t xml:space="preserve"> </w:t>
      </w:r>
      <w:r w:rsidRPr="00E15380">
        <w:rPr>
          <w:rStyle w:val="BodyTextChar"/>
          <w:sz w:val="18"/>
        </w:rPr>
        <w:t xml:space="preserve">Australian Bureau of Statistics Internet Activity Survey 2013 suggests that demand for connections is increasing approximately 2 per cent per annum. This rate of increase was applied to the number of services in operation in each ESA to determine the number of ports theoretically required to support demand for one year. </w:t>
      </w:r>
    </w:p>
  </w:footnote>
  <w:footnote w:id="14">
    <w:p w14:paraId="3F806234" w14:textId="77777777" w:rsidR="00906DE9" w:rsidRPr="00C83BD2" w:rsidRDefault="00906DE9" w:rsidP="005B762B">
      <w:pPr>
        <w:pStyle w:val="FootnoteText"/>
        <w:rPr>
          <w:sz w:val="18"/>
        </w:rPr>
      </w:pPr>
      <w:r w:rsidRPr="00C83BD2">
        <w:rPr>
          <w:rStyle w:val="FootnoteReference"/>
          <w:sz w:val="18"/>
        </w:rPr>
        <w:footnoteRef/>
      </w:r>
      <w:r w:rsidRPr="00C83BD2">
        <w:rPr>
          <w:sz w:val="18"/>
        </w:rPr>
        <w:t xml:space="preserve"> </w:t>
      </w:r>
      <w:r w:rsidRPr="00FF669A">
        <w:rPr>
          <w:rStyle w:val="BodyTextChar"/>
          <w:sz w:val="18"/>
        </w:rPr>
        <w:t>This figure excludes large exchange services areas where individual exchanges are more than 12 km apart.</w:t>
      </w:r>
    </w:p>
  </w:footnote>
  <w:footnote w:id="15">
    <w:p w14:paraId="3B443A9C" w14:textId="77777777" w:rsidR="00906DE9" w:rsidRDefault="00906DE9" w:rsidP="005B762B">
      <w:pPr>
        <w:pStyle w:val="FootnoteText"/>
      </w:pPr>
      <w:r>
        <w:rPr>
          <w:rStyle w:val="FootnoteReference"/>
        </w:rPr>
        <w:footnoteRef/>
      </w:r>
      <w:r>
        <w:t xml:space="preserve"> </w:t>
      </w:r>
      <w:r w:rsidRPr="001552B7">
        <w:rPr>
          <w:rFonts w:ascii="Calibri" w:eastAsia="MS Mincho" w:hAnsi="Calibri"/>
          <w:color w:val="3B3C3B"/>
          <w:sz w:val="18"/>
          <w:lang w:val="en-GB"/>
        </w:rPr>
        <w:t>Investment in the mobile market is resulting in expanding coverage, particularly in 4G coverage. Telstra announced on 18 December 2013 its 4G network coverage had expanded to reach 85 per cent of the population.</w:t>
      </w:r>
      <w:r w:rsidRPr="001552B7">
        <w:rPr>
          <w:sz w:val="18"/>
        </w:rPr>
        <w:t xml:space="preserve"> </w:t>
      </w:r>
      <w:r w:rsidRPr="001552B7">
        <w:rPr>
          <w:rFonts w:ascii="Calibri" w:eastAsia="MS Mincho" w:hAnsi="Calibri"/>
          <w:color w:val="3B3C3B"/>
          <w:sz w:val="18"/>
          <w:lang w:val="en-GB"/>
        </w:rPr>
        <w:t>Optus has dual 4G networks and aims to expand its 4G coverage to over 70 per cent of the population in metropolitan areas by April 2014.</w:t>
      </w:r>
    </w:p>
  </w:footnote>
  <w:footnote w:id="16">
    <w:p w14:paraId="4C69E8A0" w14:textId="77777777" w:rsidR="009828D6" w:rsidRPr="00417E0A" w:rsidRDefault="009828D6" w:rsidP="009828D6">
      <w:pPr>
        <w:pStyle w:val="BodyText"/>
        <w:spacing w:after="0"/>
        <w:rPr>
          <w:sz w:val="18"/>
          <w:u w:val="single"/>
        </w:rPr>
      </w:pPr>
      <w:r w:rsidRPr="00417E0A">
        <w:rPr>
          <w:rStyle w:val="FootnoteReference"/>
          <w:sz w:val="18"/>
        </w:rPr>
        <w:footnoteRef/>
      </w:r>
      <w:r w:rsidRPr="00417E0A">
        <w:rPr>
          <w:rFonts w:cstheme="minorHAnsi"/>
          <w:sz w:val="18"/>
          <w:szCs w:val="18"/>
        </w:rPr>
        <w:t xml:space="preserve"> </w:t>
      </w:r>
      <w:r w:rsidRPr="00417E0A">
        <w:rPr>
          <w:rFonts w:cstheme="minorHAnsi"/>
          <w:sz w:val="18"/>
          <w:szCs w:val="18"/>
          <w:u w:val="single"/>
        </w:rPr>
        <w:t>http://maps.ofcom.org.uk/broadband</w:t>
      </w:r>
    </w:p>
  </w:footnote>
  <w:footnote w:id="17">
    <w:p w14:paraId="160E2D0D" w14:textId="77777777" w:rsidR="009828D6" w:rsidRPr="006912CB" w:rsidRDefault="009828D6" w:rsidP="009828D6">
      <w:pPr>
        <w:pStyle w:val="BodyText"/>
        <w:spacing w:after="0"/>
        <w:rPr>
          <w:color w:val="000000" w:themeColor="text1"/>
        </w:rPr>
      </w:pPr>
      <w:r w:rsidRPr="00417E0A">
        <w:rPr>
          <w:rStyle w:val="FootnoteReference"/>
          <w:color w:val="000000" w:themeColor="text1"/>
          <w:sz w:val="18"/>
        </w:rPr>
        <w:footnoteRef/>
      </w:r>
      <w:r w:rsidRPr="00417E0A">
        <w:rPr>
          <w:rFonts w:cstheme="minorHAnsi"/>
          <w:color w:val="000000" w:themeColor="text1"/>
          <w:sz w:val="18"/>
          <w:szCs w:val="18"/>
        </w:rPr>
        <w:t xml:space="preserve"> </w:t>
      </w:r>
      <w:r w:rsidRPr="00417E0A">
        <w:rPr>
          <w:rFonts w:cstheme="minorHAnsi"/>
          <w:sz w:val="18"/>
          <w:szCs w:val="18"/>
          <w:u w:val="single"/>
        </w:rPr>
        <w:t>http://www.broadbandmap.gov/rank</w:t>
      </w:r>
    </w:p>
  </w:footnote>
  <w:footnote w:id="18">
    <w:p w14:paraId="38E306EB" w14:textId="77777777" w:rsidR="009828D6" w:rsidRPr="00DA03B7" w:rsidRDefault="009828D6" w:rsidP="009828D6">
      <w:pPr>
        <w:pStyle w:val="FootnoteText"/>
        <w:rPr>
          <w:sz w:val="18"/>
        </w:rPr>
      </w:pPr>
      <w:r w:rsidRPr="006912CB">
        <w:rPr>
          <w:rStyle w:val="FootnoteReference"/>
          <w:rFonts w:cstheme="minorHAnsi"/>
          <w:color w:val="000000" w:themeColor="text1"/>
          <w:sz w:val="18"/>
        </w:rPr>
        <w:footnoteRef/>
      </w:r>
      <w:r w:rsidRPr="006912CB">
        <w:rPr>
          <w:rFonts w:cstheme="minorHAnsi"/>
          <w:color w:val="000000" w:themeColor="text1"/>
          <w:sz w:val="18"/>
        </w:rPr>
        <w:t xml:space="preserve"> </w:t>
      </w:r>
      <w:hyperlink r:id="rId4" w:history="1">
        <w:r w:rsidRPr="00A45FB8">
          <w:rPr>
            <w:rStyle w:val="BodyTextChar"/>
            <w:sz w:val="18"/>
            <w:u w:val="single"/>
          </w:rPr>
          <w:t>http://www.ic.gc.ca/app/sitt/bbmap/hm.html?lng=eng</w:t>
        </w:r>
      </w:hyperlink>
      <w:r w:rsidRPr="006912CB">
        <w:rPr>
          <w:rFonts w:cstheme="minorHAnsi"/>
          <w:color w:val="000000" w:themeColor="text1"/>
          <w:sz w:val="18"/>
        </w:rPr>
        <w:t xml:space="preserve"> </w:t>
      </w:r>
    </w:p>
  </w:footnote>
  <w:footnote w:id="19">
    <w:p w14:paraId="788D2BE0" w14:textId="77777777" w:rsidR="009828D6" w:rsidRPr="002170CD" w:rsidRDefault="009828D6" w:rsidP="009828D6">
      <w:pPr>
        <w:pStyle w:val="BodyText"/>
        <w:spacing w:after="0"/>
        <w:rPr>
          <w:rFonts w:cstheme="minorHAnsi"/>
          <w:sz w:val="18"/>
        </w:rPr>
      </w:pPr>
      <w:r w:rsidRPr="002170CD">
        <w:rPr>
          <w:rStyle w:val="FootnoteReference"/>
          <w:rFonts w:cstheme="minorHAnsi"/>
          <w:sz w:val="18"/>
        </w:rPr>
        <w:footnoteRef/>
      </w:r>
      <w:r w:rsidRPr="002170CD">
        <w:rPr>
          <w:rFonts w:cstheme="minorHAnsi"/>
          <w:sz w:val="18"/>
        </w:rPr>
        <w:t xml:space="preserve"> </w:t>
      </w:r>
      <w:hyperlink r:id="rId5" w:history="1">
        <w:r w:rsidRPr="002170CD">
          <w:rPr>
            <w:rStyle w:val="Hyperlink"/>
            <w:rFonts w:cstheme="minorHAnsi"/>
            <w:color w:val="auto"/>
            <w:sz w:val="18"/>
          </w:rPr>
          <w:t>http://www.zukunft-breitband.de/DE/Breitbandatlas/breitband-vor-ort.html</w:t>
        </w:r>
      </w:hyperlink>
    </w:p>
  </w:footnote>
  <w:footnote w:id="20">
    <w:p w14:paraId="5AD92DA7" w14:textId="77777777" w:rsidR="009828D6" w:rsidRDefault="009828D6" w:rsidP="009828D6">
      <w:pPr>
        <w:pStyle w:val="BodyText"/>
        <w:spacing w:after="0"/>
      </w:pPr>
      <w:r w:rsidRPr="002170CD">
        <w:rPr>
          <w:rStyle w:val="FootnoteReference"/>
          <w:rFonts w:cstheme="minorHAnsi"/>
          <w:sz w:val="18"/>
        </w:rPr>
        <w:footnoteRef/>
      </w:r>
      <w:r w:rsidRPr="002170CD">
        <w:rPr>
          <w:rFonts w:cstheme="minorHAnsi"/>
          <w:sz w:val="18"/>
        </w:rPr>
        <w:t xml:space="preserve"> </w:t>
      </w:r>
      <w:hyperlink r:id="rId6" w:history="1">
        <w:r w:rsidRPr="002170CD">
          <w:rPr>
            <w:rStyle w:val="Hyperlink"/>
            <w:rFonts w:cstheme="minorHAnsi"/>
            <w:color w:val="000000" w:themeColor="text1"/>
            <w:sz w:val="18"/>
          </w:rPr>
          <w:t>http://point-topic.com/free-analysis/mapping-broadband-coverage-europe-2012</w:t>
        </w:r>
      </w:hyperlink>
      <w:r w:rsidRPr="00DA03B7">
        <w:rPr>
          <w:rFonts w:asciiTheme="majorHAnsi" w:hAnsiTheme="majorHAnsi"/>
          <w:color w:val="000000" w:themeColor="text1"/>
          <w:sz w:val="18"/>
        </w:rPr>
        <w:t xml:space="preserve"> </w:t>
      </w:r>
    </w:p>
  </w:footnote>
  <w:footnote w:id="21">
    <w:p w14:paraId="58B9547B" w14:textId="77777777" w:rsidR="009828D6" w:rsidRPr="004A045E" w:rsidRDefault="009828D6" w:rsidP="009828D6">
      <w:pPr>
        <w:pStyle w:val="BodyText"/>
        <w:spacing w:after="0"/>
        <w:rPr>
          <w:sz w:val="18"/>
        </w:rPr>
      </w:pPr>
      <w:r w:rsidRPr="004A045E">
        <w:rPr>
          <w:rStyle w:val="FootnoteReference"/>
          <w:rFonts w:asciiTheme="minorHAnsi" w:hAnsiTheme="minorHAnsi"/>
          <w:sz w:val="18"/>
        </w:rPr>
        <w:footnoteRef/>
      </w:r>
      <w:r w:rsidRPr="004A045E">
        <w:rPr>
          <w:sz w:val="18"/>
        </w:rPr>
        <w:t xml:space="preserve"> Based on the Australian Bureau of Statistics Internet Activity Survey 2013, and the number of services in operation in each exchange service area as at 30 June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00FD6" w14:textId="0C909A63" w:rsidR="00906DE9" w:rsidRDefault="009701C6" w:rsidP="004566AB">
    <w:pPr>
      <w:pStyle w:val="Header"/>
      <w:tabs>
        <w:tab w:val="clear" w:pos="4320"/>
        <w:tab w:val="clear" w:pos="8640"/>
        <w:tab w:val="center" w:pos="4150"/>
      </w:tabs>
    </w:pPr>
    <w:r>
      <w:rPr>
        <w:noProof/>
        <w:lang w:val="en-AU" w:eastAsia="en-AU"/>
      </w:rPr>
      <w:drawing>
        <wp:anchor distT="0" distB="0" distL="114300" distR="114300" simplePos="0" relativeHeight="251660291" behindDoc="1" locked="0" layoutInCell="1" allowOverlap="1" wp14:anchorId="621B9717" wp14:editId="578026F8">
          <wp:simplePos x="0" y="0"/>
          <wp:positionH relativeFrom="page">
            <wp:posOffset>180340</wp:posOffset>
          </wp:positionH>
          <wp:positionV relativeFrom="page">
            <wp:posOffset>180340</wp:posOffset>
          </wp:positionV>
          <wp:extent cx="7204992" cy="725724"/>
          <wp:effectExtent l="0" t="0" r="0" b="1143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mms_header.png"/>
                  <pic:cNvPicPr/>
                </pic:nvPicPr>
                <pic:blipFill>
                  <a:blip r:embed="rId1">
                    <a:extLst>
                      <a:ext uri="{28A0092B-C50C-407E-A947-70E740481C1C}">
                        <a14:useLocalDpi xmlns:a14="http://schemas.microsoft.com/office/drawing/2010/main" val="0"/>
                      </a:ext>
                    </a:extLst>
                  </a:blip>
                  <a:stretch>
                    <a:fillRect/>
                  </a:stretch>
                </pic:blipFill>
                <pic:spPr>
                  <a:xfrm>
                    <a:off x="0" y="0"/>
                    <a:ext cx="7204992" cy="725724"/>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06DE9">
      <w:tab/>
    </w:r>
  </w:p>
  <w:p w14:paraId="732C6732" w14:textId="77777777" w:rsidR="00906DE9" w:rsidRDefault="00906DE9" w:rsidP="004566AB">
    <w:pPr>
      <w:pStyle w:val="Header"/>
      <w:tabs>
        <w:tab w:val="clear" w:pos="4320"/>
        <w:tab w:val="clear" w:pos="8640"/>
        <w:tab w:val="center" w:pos="4150"/>
      </w:tabs>
    </w:pPr>
  </w:p>
  <w:p w14:paraId="097FE865" w14:textId="77777777" w:rsidR="00906DE9" w:rsidRDefault="00906DE9" w:rsidP="003C2481">
    <w:pPr>
      <w:pStyle w:val="Header"/>
      <w:tabs>
        <w:tab w:val="clear" w:pos="4320"/>
        <w:tab w:val="clear" w:pos="8640"/>
        <w:tab w:val="left" w:pos="832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BB6A5" w14:textId="0A96D142" w:rsidR="00906DE9" w:rsidRDefault="009701C6">
    <w:pPr>
      <w:pStyle w:val="Header"/>
    </w:pPr>
    <w:r>
      <w:rPr>
        <w:noProof/>
        <w:lang w:val="en-AU" w:eastAsia="en-AU"/>
      </w:rPr>
      <w:drawing>
        <wp:anchor distT="0" distB="0" distL="114300" distR="114300" simplePos="0" relativeHeight="251664387" behindDoc="1" locked="0" layoutInCell="1" allowOverlap="1" wp14:anchorId="469E1EF8" wp14:editId="3B16E669">
          <wp:simplePos x="0" y="0"/>
          <wp:positionH relativeFrom="page">
            <wp:posOffset>180340</wp:posOffset>
          </wp:positionH>
          <wp:positionV relativeFrom="page">
            <wp:posOffset>180340</wp:posOffset>
          </wp:positionV>
          <wp:extent cx="7204992" cy="1798200"/>
          <wp:effectExtent l="0" t="0" r="8890" b="571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mms_header_2.png"/>
                  <pic:cNvPicPr/>
                </pic:nvPicPr>
                <pic:blipFill>
                  <a:blip r:embed="rId1">
                    <a:extLst>
                      <a:ext uri="{28A0092B-C50C-407E-A947-70E740481C1C}">
                        <a14:useLocalDpi xmlns:a14="http://schemas.microsoft.com/office/drawing/2010/main" val="0"/>
                      </a:ext>
                    </a:extLst>
                  </a:blip>
                  <a:stretch>
                    <a:fillRect/>
                  </a:stretch>
                </pic:blipFill>
                <pic:spPr>
                  <a:xfrm>
                    <a:off x="0" y="0"/>
                    <a:ext cx="7204992" cy="1798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A2D3F" w14:textId="77777777" w:rsidR="00906DE9" w:rsidRDefault="00906DE9">
    <w:pPr>
      <w:pStyle w:val="Header"/>
    </w:pPr>
  </w:p>
  <w:p w14:paraId="6D869543" w14:textId="77777777" w:rsidR="00906DE9" w:rsidRDefault="00906DE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298BE" w14:textId="49989791" w:rsidR="00906DE9" w:rsidRDefault="00906DE9">
    <w:pPr>
      <w:pStyle w:val="Header"/>
    </w:pPr>
  </w:p>
  <w:p w14:paraId="009440D5" w14:textId="77777777" w:rsidR="00906DE9" w:rsidRDefault="00906D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2220DA2"/>
    <w:lvl w:ilvl="0">
      <w:start w:val="1"/>
      <w:numFmt w:val="decimal"/>
      <w:lvlText w:val="%1."/>
      <w:lvlJc w:val="left"/>
      <w:pPr>
        <w:tabs>
          <w:tab w:val="num" w:pos="0"/>
        </w:tabs>
        <w:ind w:left="360" w:hanging="360"/>
      </w:pPr>
      <w:rPr>
        <w:rFonts w:hint="default"/>
      </w:rPr>
    </w:lvl>
  </w:abstractNum>
  <w:abstractNum w:abstractNumId="1">
    <w:nsid w:val="02EE2368"/>
    <w:multiLevelType w:val="hybridMultilevel"/>
    <w:tmpl w:val="245C488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08F02317"/>
    <w:multiLevelType w:val="hybridMultilevel"/>
    <w:tmpl w:val="3B160746"/>
    <w:lvl w:ilvl="0" w:tplc="6612179C">
      <w:start w:val="1"/>
      <w:numFmt w:val="bullet"/>
      <w:lvlText w:val=""/>
      <w:lvlJc w:val="left"/>
      <w:pPr>
        <w:ind w:left="117" w:hanging="37"/>
      </w:pPr>
      <w:rPr>
        <w:rFonts w:ascii="Symbol" w:hAnsi="Symbol" w:hint="default"/>
      </w:rPr>
    </w:lvl>
    <w:lvl w:ilvl="1" w:tplc="D6484A86">
      <w:start w:val="1"/>
      <w:numFmt w:val="bullet"/>
      <w:lvlText w:val="-"/>
      <w:lvlJc w:val="left"/>
      <w:pPr>
        <w:ind w:left="1520" w:hanging="360"/>
      </w:pPr>
      <w:rPr>
        <w:rFonts w:ascii="Courier New" w:hAnsi="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3">
    <w:nsid w:val="0C5D7450"/>
    <w:multiLevelType w:val="hybridMultilevel"/>
    <w:tmpl w:val="D6E81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E311371"/>
    <w:multiLevelType w:val="hybridMultilevel"/>
    <w:tmpl w:val="1B3C1B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E533DB9"/>
    <w:multiLevelType w:val="hybridMultilevel"/>
    <w:tmpl w:val="D4A0C0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43E4AC4"/>
    <w:multiLevelType w:val="hybridMultilevel"/>
    <w:tmpl w:val="FEC6AE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5935D62"/>
    <w:multiLevelType w:val="hybridMultilevel"/>
    <w:tmpl w:val="A6A6DA00"/>
    <w:lvl w:ilvl="0" w:tplc="9BD812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05819CE"/>
    <w:multiLevelType w:val="hybridMultilevel"/>
    <w:tmpl w:val="3DB0E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342716"/>
    <w:multiLevelType w:val="multilevel"/>
    <w:tmpl w:val="3C1C6F86"/>
    <w:lvl w:ilvl="0">
      <w:start w:val="1"/>
      <w:numFmt w:val="bullet"/>
      <w:lvlText w:val="&gt;"/>
      <w:lvlJc w:val="left"/>
      <w:pPr>
        <w:tabs>
          <w:tab w:val="num" w:pos="0"/>
        </w:tabs>
        <w:ind w:left="360" w:hanging="360"/>
      </w:pPr>
      <w:rPr>
        <w:rFonts w:ascii="Calibri" w:hAnsi="Calibri" w:hint="default"/>
        <w:color w:val="00647E"/>
      </w:rPr>
    </w:lvl>
    <w:lvl w:ilvl="1">
      <w:start w:val="1"/>
      <w:numFmt w:val="bullet"/>
      <w:lvlText w:val="o"/>
      <w:lvlJc w:val="left"/>
      <w:pPr>
        <w:tabs>
          <w:tab w:val="num" w:pos="0"/>
        </w:tabs>
        <w:ind w:left="720" w:hanging="360"/>
      </w:pPr>
      <w:rPr>
        <w:rFonts w:ascii="Courier New" w:hAnsi="Courier New" w:cs="Courier New"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0">
    <w:nsid w:val="2D317FAF"/>
    <w:multiLevelType w:val="multilevel"/>
    <w:tmpl w:val="AE580FCE"/>
    <w:numStyleLink w:val="Bulletlist"/>
  </w:abstractNum>
  <w:abstractNum w:abstractNumId="11">
    <w:nsid w:val="2E3C7F1E"/>
    <w:multiLevelType w:val="hybridMultilevel"/>
    <w:tmpl w:val="DF94C306"/>
    <w:lvl w:ilvl="0" w:tplc="59BE6184">
      <w:start w:val="1"/>
      <w:numFmt w:val="bullet"/>
      <w:lvlText w:val="•"/>
      <w:lvlJc w:val="left"/>
      <w:pPr>
        <w:tabs>
          <w:tab w:val="num" w:pos="720"/>
        </w:tabs>
        <w:ind w:left="720" w:hanging="360"/>
      </w:pPr>
      <w:rPr>
        <w:rFonts w:ascii="Times New Roman" w:hAnsi="Times New Roman" w:hint="default"/>
      </w:rPr>
    </w:lvl>
    <w:lvl w:ilvl="1" w:tplc="A1581412">
      <w:start w:val="5645"/>
      <w:numFmt w:val="bullet"/>
      <w:lvlText w:val="•"/>
      <w:lvlJc w:val="left"/>
      <w:pPr>
        <w:tabs>
          <w:tab w:val="num" w:pos="1440"/>
        </w:tabs>
        <w:ind w:left="1440" w:hanging="360"/>
      </w:pPr>
      <w:rPr>
        <w:rFonts w:ascii="Times New Roman" w:hAnsi="Times New Roman" w:hint="default"/>
      </w:rPr>
    </w:lvl>
    <w:lvl w:ilvl="2" w:tplc="7D7C7F10">
      <w:start w:val="5645"/>
      <w:numFmt w:val="bullet"/>
      <w:lvlText w:val="•"/>
      <w:lvlJc w:val="left"/>
      <w:pPr>
        <w:tabs>
          <w:tab w:val="num" w:pos="2160"/>
        </w:tabs>
        <w:ind w:left="2160" w:hanging="360"/>
      </w:pPr>
      <w:rPr>
        <w:rFonts w:ascii="Times New Roman" w:hAnsi="Times New Roman" w:hint="default"/>
      </w:rPr>
    </w:lvl>
    <w:lvl w:ilvl="3" w:tplc="119E3B54" w:tentative="1">
      <w:start w:val="1"/>
      <w:numFmt w:val="bullet"/>
      <w:lvlText w:val="•"/>
      <w:lvlJc w:val="left"/>
      <w:pPr>
        <w:tabs>
          <w:tab w:val="num" w:pos="2880"/>
        </w:tabs>
        <w:ind w:left="2880" w:hanging="360"/>
      </w:pPr>
      <w:rPr>
        <w:rFonts w:ascii="Times New Roman" w:hAnsi="Times New Roman" w:hint="default"/>
      </w:rPr>
    </w:lvl>
    <w:lvl w:ilvl="4" w:tplc="7626ED64" w:tentative="1">
      <w:start w:val="1"/>
      <w:numFmt w:val="bullet"/>
      <w:lvlText w:val="•"/>
      <w:lvlJc w:val="left"/>
      <w:pPr>
        <w:tabs>
          <w:tab w:val="num" w:pos="3600"/>
        </w:tabs>
        <w:ind w:left="3600" w:hanging="360"/>
      </w:pPr>
      <w:rPr>
        <w:rFonts w:ascii="Times New Roman" w:hAnsi="Times New Roman" w:hint="default"/>
      </w:rPr>
    </w:lvl>
    <w:lvl w:ilvl="5" w:tplc="D6DE9290" w:tentative="1">
      <w:start w:val="1"/>
      <w:numFmt w:val="bullet"/>
      <w:lvlText w:val="•"/>
      <w:lvlJc w:val="left"/>
      <w:pPr>
        <w:tabs>
          <w:tab w:val="num" w:pos="4320"/>
        </w:tabs>
        <w:ind w:left="4320" w:hanging="360"/>
      </w:pPr>
      <w:rPr>
        <w:rFonts w:ascii="Times New Roman" w:hAnsi="Times New Roman" w:hint="default"/>
      </w:rPr>
    </w:lvl>
    <w:lvl w:ilvl="6" w:tplc="234EB42A" w:tentative="1">
      <w:start w:val="1"/>
      <w:numFmt w:val="bullet"/>
      <w:lvlText w:val="•"/>
      <w:lvlJc w:val="left"/>
      <w:pPr>
        <w:tabs>
          <w:tab w:val="num" w:pos="5040"/>
        </w:tabs>
        <w:ind w:left="5040" w:hanging="360"/>
      </w:pPr>
      <w:rPr>
        <w:rFonts w:ascii="Times New Roman" w:hAnsi="Times New Roman" w:hint="default"/>
      </w:rPr>
    </w:lvl>
    <w:lvl w:ilvl="7" w:tplc="3224F274" w:tentative="1">
      <w:start w:val="1"/>
      <w:numFmt w:val="bullet"/>
      <w:lvlText w:val="•"/>
      <w:lvlJc w:val="left"/>
      <w:pPr>
        <w:tabs>
          <w:tab w:val="num" w:pos="5760"/>
        </w:tabs>
        <w:ind w:left="5760" w:hanging="360"/>
      </w:pPr>
      <w:rPr>
        <w:rFonts w:ascii="Times New Roman" w:hAnsi="Times New Roman" w:hint="default"/>
      </w:rPr>
    </w:lvl>
    <w:lvl w:ilvl="8" w:tplc="E3142C3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0D04B45"/>
    <w:multiLevelType w:val="hybridMultilevel"/>
    <w:tmpl w:val="5F8287E8"/>
    <w:lvl w:ilvl="0" w:tplc="8DB28D5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25118E0"/>
    <w:multiLevelType w:val="hybridMultilevel"/>
    <w:tmpl w:val="F738E458"/>
    <w:lvl w:ilvl="0" w:tplc="8FB0B97A">
      <w:start w:val="1"/>
      <w:numFmt w:val="bullet"/>
      <w:lvlText w:val="•"/>
      <w:lvlJc w:val="left"/>
      <w:pPr>
        <w:tabs>
          <w:tab w:val="num" w:pos="720"/>
        </w:tabs>
        <w:ind w:left="720" w:hanging="360"/>
      </w:pPr>
      <w:rPr>
        <w:rFonts w:ascii="Times New Roman" w:hAnsi="Times New Roman" w:hint="default"/>
      </w:rPr>
    </w:lvl>
    <w:lvl w:ilvl="1" w:tplc="2D76603A">
      <w:start w:val="5747"/>
      <w:numFmt w:val="bullet"/>
      <w:lvlText w:val="•"/>
      <w:lvlJc w:val="left"/>
      <w:pPr>
        <w:tabs>
          <w:tab w:val="num" w:pos="1440"/>
        </w:tabs>
        <w:ind w:left="1440" w:hanging="360"/>
      </w:pPr>
      <w:rPr>
        <w:rFonts w:ascii="Times New Roman" w:hAnsi="Times New Roman" w:hint="default"/>
      </w:rPr>
    </w:lvl>
    <w:lvl w:ilvl="2" w:tplc="E94000CA">
      <w:start w:val="5747"/>
      <w:numFmt w:val="bullet"/>
      <w:lvlText w:val="•"/>
      <w:lvlJc w:val="left"/>
      <w:pPr>
        <w:tabs>
          <w:tab w:val="num" w:pos="2160"/>
        </w:tabs>
        <w:ind w:left="2160" w:hanging="360"/>
      </w:pPr>
      <w:rPr>
        <w:rFonts w:ascii="Times New Roman" w:hAnsi="Times New Roman" w:hint="default"/>
      </w:rPr>
    </w:lvl>
    <w:lvl w:ilvl="3" w:tplc="B4688EB4" w:tentative="1">
      <w:start w:val="1"/>
      <w:numFmt w:val="bullet"/>
      <w:lvlText w:val="•"/>
      <w:lvlJc w:val="left"/>
      <w:pPr>
        <w:tabs>
          <w:tab w:val="num" w:pos="2880"/>
        </w:tabs>
        <w:ind w:left="2880" w:hanging="360"/>
      </w:pPr>
      <w:rPr>
        <w:rFonts w:ascii="Times New Roman" w:hAnsi="Times New Roman" w:hint="default"/>
      </w:rPr>
    </w:lvl>
    <w:lvl w:ilvl="4" w:tplc="F5A8DB72" w:tentative="1">
      <w:start w:val="1"/>
      <w:numFmt w:val="bullet"/>
      <w:lvlText w:val="•"/>
      <w:lvlJc w:val="left"/>
      <w:pPr>
        <w:tabs>
          <w:tab w:val="num" w:pos="3600"/>
        </w:tabs>
        <w:ind w:left="3600" w:hanging="360"/>
      </w:pPr>
      <w:rPr>
        <w:rFonts w:ascii="Times New Roman" w:hAnsi="Times New Roman" w:hint="default"/>
      </w:rPr>
    </w:lvl>
    <w:lvl w:ilvl="5" w:tplc="5A746D7A" w:tentative="1">
      <w:start w:val="1"/>
      <w:numFmt w:val="bullet"/>
      <w:lvlText w:val="•"/>
      <w:lvlJc w:val="left"/>
      <w:pPr>
        <w:tabs>
          <w:tab w:val="num" w:pos="4320"/>
        </w:tabs>
        <w:ind w:left="4320" w:hanging="360"/>
      </w:pPr>
      <w:rPr>
        <w:rFonts w:ascii="Times New Roman" w:hAnsi="Times New Roman" w:hint="default"/>
      </w:rPr>
    </w:lvl>
    <w:lvl w:ilvl="6" w:tplc="7144C868" w:tentative="1">
      <w:start w:val="1"/>
      <w:numFmt w:val="bullet"/>
      <w:lvlText w:val="•"/>
      <w:lvlJc w:val="left"/>
      <w:pPr>
        <w:tabs>
          <w:tab w:val="num" w:pos="5040"/>
        </w:tabs>
        <w:ind w:left="5040" w:hanging="360"/>
      </w:pPr>
      <w:rPr>
        <w:rFonts w:ascii="Times New Roman" w:hAnsi="Times New Roman" w:hint="default"/>
      </w:rPr>
    </w:lvl>
    <w:lvl w:ilvl="7" w:tplc="CB38C09C" w:tentative="1">
      <w:start w:val="1"/>
      <w:numFmt w:val="bullet"/>
      <w:lvlText w:val="•"/>
      <w:lvlJc w:val="left"/>
      <w:pPr>
        <w:tabs>
          <w:tab w:val="num" w:pos="5760"/>
        </w:tabs>
        <w:ind w:left="5760" w:hanging="360"/>
      </w:pPr>
      <w:rPr>
        <w:rFonts w:ascii="Times New Roman" w:hAnsi="Times New Roman" w:hint="default"/>
      </w:rPr>
    </w:lvl>
    <w:lvl w:ilvl="8" w:tplc="CB064CC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67C7D7E"/>
    <w:multiLevelType w:val="hybridMultilevel"/>
    <w:tmpl w:val="33F24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6C73645"/>
    <w:multiLevelType w:val="hybridMultilevel"/>
    <w:tmpl w:val="476C9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CE30FD"/>
    <w:multiLevelType w:val="hybridMultilevel"/>
    <w:tmpl w:val="35242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D6053F1"/>
    <w:multiLevelType w:val="hybridMultilevel"/>
    <w:tmpl w:val="1068E192"/>
    <w:lvl w:ilvl="0" w:tplc="4D36944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03A365D"/>
    <w:multiLevelType w:val="hybridMultilevel"/>
    <w:tmpl w:val="82BE4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0B642B9"/>
    <w:multiLevelType w:val="hybridMultilevel"/>
    <w:tmpl w:val="CB2AA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2A2729A"/>
    <w:multiLevelType w:val="hybridMultilevel"/>
    <w:tmpl w:val="B0649FE8"/>
    <w:lvl w:ilvl="0" w:tplc="A1AE1D2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5C13BB2"/>
    <w:multiLevelType w:val="hybridMultilevel"/>
    <w:tmpl w:val="61DA7186"/>
    <w:lvl w:ilvl="0" w:tplc="AE82218A">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74904C5"/>
    <w:multiLevelType w:val="hybridMultilevel"/>
    <w:tmpl w:val="A77E3180"/>
    <w:lvl w:ilvl="0" w:tplc="10FA97B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7E85B54"/>
    <w:multiLevelType w:val="hybridMultilevel"/>
    <w:tmpl w:val="F8662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8D83D78"/>
    <w:multiLevelType w:val="hybridMultilevel"/>
    <w:tmpl w:val="CF9C4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F786473"/>
    <w:multiLevelType w:val="hybridMultilevel"/>
    <w:tmpl w:val="CFE04C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5A309B7"/>
    <w:multiLevelType w:val="hybridMultilevel"/>
    <w:tmpl w:val="E6284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714650E"/>
    <w:multiLevelType w:val="multilevel"/>
    <w:tmpl w:val="AE580FCE"/>
    <w:styleLink w:val="Bulletlist"/>
    <w:lvl w:ilvl="0">
      <w:start w:val="1"/>
      <w:numFmt w:val="bullet"/>
      <w:lvlText w:val="&gt;"/>
      <w:lvlJc w:val="left"/>
      <w:pPr>
        <w:tabs>
          <w:tab w:val="num" w:pos="0"/>
        </w:tabs>
        <w:ind w:left="360" w:hanging="360"/>
      </w:pPr>
      <w:rPr>
        <w:rFonts w:ascii="Calibri" w:hAnsi="Calibri" w:hint="default"/>
        <w:color w:val="00647E"/>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8">
    <w:nsid w:val="59DB6F68"/>
    <w:multiLevelType w:val="hybridMultilevel"/>
    <w:tmpl w:val="1870CE40"/>
    <w:lvl w:ilvl="0" w:tplc="065C34F0">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9EE549E"/>
    <w:multiLevelType w:val="hybridMultilevel"/>
    <w:tmpl w:val="07B0393A"/>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0">
    <w:nsid w:val="5D351589"/>
    <w:multiLevelType w:val="multilevel"/>
    <w:tmpl w:val="C08A10EE"/>
    <w:lvl w:ilvl="0">
      <w:start w:val="1"/>
      <w:numFmt w:val="bullet"/>
      <w:lvlText w:val="&gt;"/>
      <w:lvlJc w:val="left"/>
      <w:pPr>
        <w:tabs>
          <w:tab w:val="num" w:pos="0"/>
        </w:tabs>
        <w:ind w:left="360" w:hanging="360"/>
      </w:pPr>
      <w:rPr>
        <w:rFonts w:ascii="Calibri" w:hAnsi="Calibri" w:hint="default"/>
        <w:color w:val="00647E"/>
      </w:rPr>
    </w:lvl>
    <w:lvl w:ilvl="1">
      <w:start w:val="1"/>
      <w:numFmt w:val="bullet"/>
      <w:lvlText w:val=""/>
      <w:lvlJc w:val="left"/>
      <w:pPr>
        <w:tabs>
          <w:tab w:val="num" w:pos="0"/>
        </w:tabs>
        <w:ind w:left="720" w:hanging="360"/>
      </w:pPr>
      <w:rPr>
        <w:rFonts w:ascii="Symbol" w:hAnsi="Symbol"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1">
    <w:nsid w:val="5DC47205"/>
    <w:multiLevelType w:val="hybridMultilevel"/>
    <w:tmpl w:val="D9F2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6A74CF"/>
    <w:multiLevelType w:val="hybridMultilevel"/>
    <w:tmpl w:val="1AB84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AF20D23"/>
    <w:multiLevelType w:val="hybridMultilevel"/>
    <w:tmpl w:val="5DEA431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6CFB1686"/>
    <w:multiLevelType w:val="hybridMultilevel"/>
    <w:tmpl w:val="6B04E4EA"/>
    <w:lvl w:ilvl="0" w:tplc="19704E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37825A7"/>
    <w:multiLevelType w:val="hybridMultilevel"/>
    <w:tmpl w:val="4B960CE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73CB0F7F"/>
    <w:multiLevelType w:val="hybridMultilevel"/>
    <w:tmpl w:val="5A365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4536701"/>
    <w:multiLevelType w:val="multilevel"/>
    <w:tmpl w:val="DADCC732"/>
    <w:lvl w:ilvl="0">
      <w:start w:val="1"/>
      <w:numFmt w:val="decimal"/>
      <w:lvlText w:val="%1."/>
      <w:lvlJc w:val="left"/>
      <w:pPr>
        <w:ind w:left="540" w:hanging="540"/>
      </w:pPr>
      <w:rPr>
        <w:rFonts w:cs="Times New Roman" w:hint="default"/>
        <w:b w:val="0"/>
        <w:color w:val="1A7399"/>
        <w:sz w:val="36"/>
      </w:rPr>
    </w:lvl>
    <w:lvl w:ilvl="1">
      <w:start w:val="1"/>
      <w:numFmt w:val="decimal"/>
      <w:lvlText w:val="%1.%2."/>
      <w:lvlJc w:val="left"/>
      <w:pPr>
        <w:ind w:left="720" w:hanging="720"/>
      </w:pPr>
      <w:rPr>
        <w:rFonts w:cs="Times New Roman" w:hint="default"/>
        <w:b w:val="0"/>
        <w:color w:val="1A7399"/>
        <w:sz w:val="36"/>
      </w:rPr>
    </w:lvl>
    <w:lvl w:ilvl="2">
      <w:start w:val="1"/>
      <w:numFmt w:val="decimal"/>
      <w:lvlText w:val="%1.%2.%3."/>
      <w:lvlJc w:val="left"/>
      <w:pPr>
        <w:ind w:left="720" w:hanging="720"/>
      </w:pPr>
      <w:rPr>
        <w:rFonts w:cs="Times New Roman" w:hint="default"/>
        <w:b w:val="0"/>
        <w:color w:val="1A7399"/>
        <w:sz w:val="36"/>
      </w:rPr>
    </w:lvl>
    <w:lvl w:ilvl="3">
      <w:start w:val="1"/>
      <w:numFmt w:val="decimal"/>
      <w:lvlText w:val="%1.%2.%3.%4."/>
      <w:lvlJc w:val="left"/>
      <w:pPr>
        <w:ind w:left="1080" w:hanging="1080"/>
      </w:pPr>
      <w:rPr>
        <w:rFonts w:cs="Times New Roman" w:hint="default"/>
        <w:b w:val="0"/>
        <w:color w:val="1A7399"/>
        <w:sz w:val="36"/>
      </w:rPr>
    </w:lvl>
    <w:lvl w:ilvl="4">
      <w:start w:val="1"/>
      <w:numFmt w:val="decimal"/>
      <w:lvlText w:val="%1.%2.%3.%4.%5."/>
      <w:lvlJc w:val="left"/>
      <w:pPr>
        <w:ind w:left="1080" w:hanging="1080"/>
      </w:pPr>
      <w:rPr>
        <w:rFonts w:cs="Times New Roman" w:hint="default"/>
        <w:b w:val="0"/>
        <w:color w:val="1A7399"/>
        <w:sz w:val="36"/>
      </w:rPr>
    </w:lvl>
    <w:lvl w:ilvl="5">
      <w:start w:val="1"/>
      <w:numFmt w:val="decimal"/>
      <w:lvlText w:val="%1.%2.%3.%4.%5.%6."/>
      <w:lvlJc w:val="left"/>
      <w:pPr>
        <w:ind w:left="1440" w:hanging="1440"/>
      </w:pPr>
      <w:rPr>
        <w:rFonts w:cs="Times New Roman" w:hint="default"/>
        <w:b w:val="0"/>
        <w:color w:val="1A7399"/>
        <w:sz w:val="36"/>
      </w:rPr>
    </w:lvl>
    <w:lvl w:ilvl="6">
      <w:start w:val="1"/>
      <w:numFmt w:val="decimal"/>
      <w:lvlText w:val="%1.%2.%3.%4.%5.%6.%7."/>
      <w:lvlJc w:val="left"/>
      <w:pPr>
        <w:ind w:left="1440" w:hanging="1440"/>
      </w:pPr>
      <w:rPr>
        <w:rFonts w:cs="Times New Roman" w:hint="default"/>
        <w:b w:val="0"/>
        <w:color w:val="1A7399"/>
        <w:sz w:val="36"/>
      </w:rPr>
    </w:lvl>
    <w:lvl w:ilvl="7">
      <w:start w:val="1"/>
      <w:numFmt w:val="decimal"/>
      <w:lvlText w:val="%1.%2.%3.%4.%5.%6.%7.%8."/>
      <w:lvlJc w:val="left"/>
      <w:pPr>
        <w:ind w:left="1800" w:hanging="1800"/>
      </w:pPr>
      <w:rPr>
        <w:rFonts w:cs="Times New Roman" w:hint="default"/>
        <w:b w:val="0"/>
        <w:color w:val="1A7399"/>
        <w:sz w:val="36"/>
      </w:rPr>
    </w:lvl>
    <w:lvl w:ilvl="8">
      <w:start w:val="1"/>
      <w:numFmt w:val="decimal"/>
      <w:lvlText w:val="%1.%2.%3.%4.%5.%6.%7.%8.%9."/>
      <w:lvlJc w:val="left"/>
      <w:pPr>
        <w:ind w:left="1800" w:hanging="1800"/>
      </w:pPr>
      <w:rPr>
        <w:rFonts w:cs="Times New Roman" w:hint="default"/>
        <w:b w:val="0"/>
        <w:color w:val="1A7399"/>
        <w:sz w:val="36"/>
      </w:rPr>
    </w:lvl>
  </w:abstractNum>
  <w:abstractNum w:abstractNumId="38">
    <w:nsid w:val="7D6E3053"/>
    <w:multiLevelType w:val="hybridMultilevel"/>
    <w:tmpl w:val="1E529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F3E4BDD"/>
    <w:multiLevelType w:val="hybridMultilevel"/>
    <w:tmpl w:val="3266E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7"/>
  </w:num>
  <w:num w:numId="2">
    <w:abstractNumId w:val="0"/>
  </w:num>
  <w:num w:numId="3">
    <w:abstractNumId w:val="10"/>
  </w:num>
  <w:num w:numId="4">
    <w:abstractNumId w:val="6"/>
  </w:num>
  <w:num w:numId="5">
    <w:abstractNumId w:val="24"/>
  </w:num>
  <w:num w:numId="6">
    <w:abstractNumId w:val="31"/>
  </w:num>
  <w:num w:numId="7">
    <w:abstractNumId w:val="15"/>
  </w:num>
  <w:num w:numId="8">
    <w:abstractNumId w:val="3"/>
  </w:num>
  <w:num w:numId="9">
    <w:abstractNumId w:val="2"/>
  </w:num>
  <w:num w:numId="10">
    <w:abstractNumId w:val="38"/>
  </w:num>
  <w:num w:numId="11">
    <w:abstractNumId w:val="8"/>
  </w:num>
  <w:num w:numId="12">
    <w:abstractNumId w:val="14"/>
  </w:num>
  <w:num w:numId="13">
    <w:abstractNumId w:val="19"/>
  </w:num>
  <w:num w:numId="14">
    <w:abstractNumId w:val="23"/>
  </w:num>
  <w:num w:numId="15">
    <w:abstractNumId w:val="26"/>
  </w:num>
  <w:num w:numId="16">
    <w:abstractNumId w:val="39"/>
  </w:num>
  <w:num w:numId="17">
    <w:abstractNumId w:val="4"/>
  </w:num>
  <w:num w:numId="18">
    <w:abstractNumId w:val="18"/>
  </w:num>
  <w:num w:numId="19">
    <w:abstractNumId w:val="36"/>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
  </w:num>
  <w:num w:numId="24">
    <w:abstractNumId w:val="9"/>
  </w:num>
  <w:num w:numId="25">
    <w:abstractNumId w:val="16"/>
  </w:num>
  <w:num w:numId="26">
    <w:abstractNumId w:val="32"/>
  </w:num>
  <w:num w:numId="27">
    <w:abstractNumId w:val="37"/>
  </w:num>
  <w:num w:numId="28">
    <w:abstractNumId w:val="11"/>
  </w:num>
  <w:num w:numId="29">
    <w:abstractNumId w:val="13"/>
  </w:num>
  <w:num w:numId="30">
    <w:abstractNumId w:val="28"/>
  </w:num>
  <w:num w:numId="31">
    <w:abstractNumId w:val="12"/>
  </w:num>
  <w:num w:numId="32">
    <w:abstractNumId w:val="7"/>
  </w:num>
  <w:num w:numId="33">
    <w:abstractNumId w:val="34"/>
  </w:num>
  <w:num w:numId="34">
    <w:abstractNumId w:val="20"/>
  </w:num>
  <w:num w:numId="35">
    <w:abstractNumId w:val="22"/>
  </w:num>
  <w:num w:numId="36">
    <w:abstractNumId w:val="21"/>
  </w:num>
  <w:num w:numId="37">
    <w:abstractNumId w:val="17"/>
  </w:num>
  <w:num w:numId="38">
    <w:abstractNumId w:val="5"/>
  </w:num>
  <w:num w:numId="39">
    <w:abstractNumId w:val="33"/>
  </w:num>
  <w:num w:numId="40">
    <w:abstractNumId w:val="25"/>
  </w:num>
  <w:num w:numId="41">
    <w:abstractNumId w:val="35"/>
  </w:num>
  <w:num w:numId="42">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C65"/>
    <w:rsid w:val="000004BC"/>
    <w:rsid w:val="00000B91"/>
    <w:rsid w:val="00001891"/>
    <w:rsid w:val="00003726"/>
    <w:rsid w:val="000055DF"/>
    <w:rsid w:val="00005CAA"/>
    <w:rsid w:val="00006829"/>
    <w:rsid w:val="000100D2"/>
    <w:rsid w:val="000105A8"/>
    <w:rsid w:val="000114BE"/>
    <w:rsid w:val="000121CD"/>
    <w:rsid w:val="00014FB9"/>
    <w:rsid w:val="0001509A"/>
    <w:rsid w:val="00015FA3"/>
    <w:rsid w:val="00020612"/>
    <w:rsid w:val="00020BCE"/>
    <w:rsid w:val="00023EE8"/>
    <w:rsid w:val="00026528"/>
    <w:rsid w:val="0002794C"/>
    <w:rsid w:val="0003100F"/>
    <w:rsid w:val="000353B7"/>
    <w:rsid w:val="000378DF"/>
    <w:rsid w:val="00044BE5"/>
    <w:rsid w:val="00045B0C"/>
    <w:rsid w:val="00051595"/>
    <w:rsid w:val="00052CAA"/>
    <w:rsid w:val="00054405"/>
    <w:rsid w:val="00055D42"/>
    <w:rsid w:val="000568FD"/>
    <w:rsid w:val="00057286"/>
    <w:rsid w:val="00057B5B"/>
    <w:rsid w:val="00061AE6"/>
    <w:rsid w:val="000627EA"/>
    <w:rsid w:val="00063C16"/>
    <w:rsid w:val="0006509A"/>
    <w:rsid w:val="000679B8"/>
    <w:rsid w:val="00070C48"/>
    <w:rsid w:val="000716E2"/>
    <w:rsid w:val="000718D0"/>
    <w:rsid w:val="00072A39"/>
    <w:rsid w:val="000733DE"/>
    <w:rsid w:val="00073F96"/>
    <w:rsid w:val="00074480"/>
    <w:rsid w:val="000747CA"/>
    <w:rsid w:val="0007712F"/>
    <w:rsid w:val="00077289"/>
    <w:rsid w:val="00081C0C"/>
    <w:rsid w:val="000825CC"/>
    <w:rsid w:val="0008357F"/>
    <w:rsid w:val="0008468B"/>
    <w:rsid w:val="000870E1"/>
    <w:rsid w:val="00087CBB"/>
    <w:rsid w:val="00087ED4"/>
    <w:rsid w:val="00090BBB"/>
    <w:rsid w:val="000929D6"/>
    <w:rsid w:val="00094444"/>
    <w:rsid w:val="000947DE"/>
    <w:rsid w:val="00096553"/>
    <w:rsid w:val="000A0075"/>
    <w:rsid w:val="000A3738"/>
    <w:rsid w:val="000A5055"/>
    <w:rsid w:val="000A6BD0"/>
    <w:rsid w:val="000A7A42"/>
    <w:rsid w:val="000A7B14"/>
    <w:rsid w:val="000B30FC"/>
    <w:rsid w:val="000B4AE9"/>
    <w:rsid w:val="000B5F18"/>
    <w:rsid w:val="000B6AFC"/>
    <w:rsid w:val="000B6D45"/>
    <w:rsid w:val="000B781F"/>
    <w:rsid w:val="000B7DE7"/>
    <w:rsid w:val="000C0CF7"/>
    <w:rsid w:val="000C120B"/>
    <w:rsid w:val="000C2EBB"/>
    <w:rsid w:val="000C4B5C"/>
    <w:rsid w:val="000C5B53"/>
    <w:rsid w:val="000C7492"/>
    <w:rsid w:val="000C79E8"/>
    <w:rsid w:val="000C7EFA"/>
    <w:rsid w:val="000D0C40"/>
    <w:rsid w:val="000D195F"/>
    <w:rsid w:val="000D2493"/>
    <w:rsid w:val="000D2A00"/>
    <w:rsid w:val="000D37FF"/>
    <w:rsid w:val="000D381B"/>
    <w:rsid w:val="000D466F"/>
    <w:rsid w:val="000D56B1"/>
    <w:rsid w:val="000E1C48"/>
    <w:rsid w:val="000E2F37"/>
    <w:rsid w:val="000E33BE"/>
    <w:rsid w:val="000E4B6C"/>
    <w:rsid w:val="000E50F0"/>
    <w:rsid w:val="000E6037"/>
    <w:rsid w:val="000E7502"/>
    <w:rsid w:val="000F2857"/>
    <w:rsid w:val="000F68D6"/>
    <w:rsid w:val="000F7471"/>
    <w:rsid w:val="00100606"/>
    <w:rsid w:val="00100D59"/>
    <w:rsid w:val="001011F7"/>
    <w:rsid w:val="00101B9B"/>
    <w:rsid w:val="00102A91"/>
    <w:rsid w:val="00103A21"/>
    <w:rsid w:val="00105A01"/>
    <w:rsid w:val="00106969"/>
    <w:rsid w:val="001072CC"/>
    <w:rsid w:val="00110A6D"/>
    <w:rsid w:val="00110F6E"/>
    <w:rsid w:val="00111F4E"/>
    <w:rsid w:val="001129BC"/>
    <w:rsid w:val="0011399F"/>
    <w:rsid w:val="00114602"/>
    <w:rsid w:val="0011538B"/>
    <w:rsid w:val="00115EC2"/>
    <w:rsid w:val="00120C58"/>
    <w:rsid w:val="00121ADB"/>
    <w:rsid w:val="00122C9F"/>
    <w:rsid w:val="0012542A"/>
    <w:rsid w:val="00125A98"/>
    <w:rsid w:val="001269EA"/>
    <w:rsid w:val="00126AAA"/>
    <w:rsid w:val="00133C33"/>
    <w:rsid w:val="0013486C"/>
    <w:rsid w:val="00140350"/>
    <w:rsid w:val="00140BCE"/>
    <w:rsid w:val="00140F65"/>
    <w:rsid w:val="00143544"/>
    <w:rsid w:val="00143F08"/>
    <w:rsid w:val="00145C24"/>
    <w:rsid w:val="00147DEE"/>
    <w:rsid w:val="0015094C"/>
    <w:rsid w:val="00150E12"/>
    <w:rsid w:val="00151312"/>
    <w:rsid w:val="00151CA4"/>
    <w:rsid w:val="0015333D"/>
    <w:rsid w:val="00154499"/>
    <w:rsid w:val="00154A11"/>
    <w:rsid w:val="001552B7"/>
    <w:rsid w:val="00155FEF"/>
    <w:rsid w:val="00156104"/>
    <w:rsid w:val="00157BDA"/>
    <w:rsid w:val="00161774"/>
    <w:rsid w:val="00161F1C"/>
    <w:rsid w:val="00162988"/>
    <w:rsid w:val="00163351"/>
    <w:rsid w:val="0016445B"/>
    <w:rsid w:val="00164B75"/>
    <w:rsid w:val="00165614"/>
    <w:rsid w:val="001656E4"/>
    <w:rsid w:val="00167D17"/>
    <w:rsid w:val="00171522"/>
    <w:rsid w:val="0017329B"/>
    <w:rsid w:val="001758B8"/>
    <w:rsid w:val="00175E9F"/>
    <w:rsid w:val="0017632E"/>
    <w:rsid w:val="001770A4"/>
    <w:rsid w:val="0018130B"/>
    <w:rsid w:val="00181362"/>
    <w:rsid w:val="001813FE"/>
    <w:rsid w:val="00182591"/>
    <w:rsid w:val="00183699"/>
    <w:rsid w:val="0018548A"/>
    <w:rsid w:val="00185F90"/>
    <w:rsid w:val="00194B36"/>
    <w:rsid w:val="00195509"/>
    <w:rsid w:val="001955AA"/>
    <w:rsid w:val="00196325"/>
    <w:rsid w:val="0019632E"/>
    <w:rsid w:val="00197857"/>
    <w:rsid w:val="001A175B"/>
    <w:rsid w:val="001A264C"/>
    <w:rsid w:val="001A52E2"/>
    <w:rsid w:val="001A5AA4"/>
    <w:rsid w:val="001B19CC"/>
    <w:rsid w:val="001B4654"/>
    <w:rsid w:val="001B54FF"/>
    <w:rsid w:val="001B6A1C"/>
    <w:rsid w:val="001B76D6"/>
    <w:rsid w:val="001C1EF1"/>
    <w:rsid w:val="001C214D"/>
    <w:rsid w:val="001C3D0C"/>
    <w:rsid w:val="001C46CB"/>
    <w:rsid w:val="001C67E4"/>
    <w:rsid w:val="001C6A8B"/>
    <w:rsid w:val="001C7124"/>
    <w:rsid w:val="001D0D38"/>
    <w:rsid w:val="001D1C8F"/>
    <w:rsid w:val="001D1F98"/>
    <w:rsid w:val="001D20A8"/>
    <w:rsid w:val="001D248E"/>
    <w:rsid w:val="001D33C1"/>
    <w:rsid w:val="001D553B"/>
    <w:rsid w:val="001D5A94"/>
    <w:rsid w:val="001D63CD"/>
    <w:rsid w:val="001D7712"/>
    <w:rsid w:val="001D7909"/>
    <w:rsid w:val="001E08D0"/>
    <w:rsid w:val="001E2BAF"/>
    <w:rsid w:val="001E4235"/>
    <w:rsid w:val="001E7208"/>
    <w:rsid w:val="001E7481"/>
    <w:rsid w:val="001F25AF"/>
    <w:rsid w:val="001F339B"/>
    <w:rsid w:val="001F457C"/>
    <w:rsid w:val="001F578F"/>
    <w:rsid w:val="001F6560"/>
    <w:rsid w:val="001F6A25"/>
    <w:rsid w:val="001F73C8"/>
    <w:rsid w:val="002029AD"/>
    <w:rsid w:val="00202CE7"/>
    <w:rsid w:val="002034F1"/>
    <w:rsid w:val="00203B48"/>
    <w:rsid w:val="002041A0"/>
    <w:rsid w:val="00204ED6"/>
    <w:rsid w:val="0020560C"/>
    <w:rsid w:val="00205BDA"/>
    <w:rsid w:val="00205F05"/>
    <w:rsid w:val="00207325"/>
    <w:rsid w:val="00217220"/>
    <w:rsid w:val="00220C9A"/>
    <w:rsid w:val="002214AF"/>
    <w:rsid w:val="00223256"/>
    <w:rsid w:val="00223843"/>
    <w:rsid w:val="002251BA"/>
    <w:rsid w:val="00225B17"/>
    <w:rsid w:val="00226AF2"/>
    <w:rsid w:val="00226FE3"/>
    <w:rsid w:val="00227CE2"/>
    <w:rsid w:val="00230A80"/>
    <w:rsid w:val="002333AB"/>
    <w:rsid w:val="002358E0"/>
    <w:rsid w:val="00235CDC"/>
    <w:rsid w:val="00235DE8"/>
    <w:rsid w:val="002416D9"/>
    <w:rsid w:val="00241D1C"/>
    <w:rsid w:val="00242580"/>
    <w:rsid w:val="0024343A"/>
    <w:rsid w:val="00243707"/>
    <w:rsid w:val="00246867"/>
    <w:rsid w:val="00247B8D"/>
    <w:rsid w:val="002516A0"/>
    <w:rsid w:val="00252C4F"/>
    <w:rsid w:val="00254034"/>
    <w:rsid w:val="00254A89"/>
    <w:rsid w:val="002551BE"/>
    <w:rsid w:val="002552D3"/>
    <w:rsid w:val="00255ABD"/>
    <w:rsid w:val="00255E58"/>
    <w:rsid w:val="002574B3"/>
    <w:rsid w:val="00263CE4"/>
    <w:rsid w:val="002664C3"/>
    <w:rsid w:val="00267097"/>
    <w:rsid w:val="0027011D"/>
    <w:rsid w:val="002726AE"/>
    <w:rsid w:val="00274974"/>
    <w:rsid w:val="00274A3B"/>
    <w:rsid w:val="00275E83"/>
    <w:rsid w:val="0027605F"/>
    <w:rsid w:val="002760A4"/>
    <w:rsid w:val="002765B2"/>
    <w:rsid w:val="002771CF"/>
    <w:rsid w:val="00280C55"/>
    <w:rsid w:val="002811CE"/>
    <w:rsid w:val="002815C3"/>
    <w:rsid w:val="002822BC"/>
    <w:rsid w:val="002833FE"/>
    <w:rsid w:val="00283F56"/>
    <w:rsid w:val="00284BB8"/>
    <w:rsid w:val="00284C52"/>
    <w:rsid w:val="00285E38"/>
    <w:rsid w:val="00285F0E"/>
    <w:rsid w:val="00286D10"/>
    <w:rsid w:val="0028786E"/>
    <w:rsid w:val="00287A51"/>
    <w:rsid w:val="002903A7"/>
    <w:rsid w:val="00291196"/>
    <w:rsid w:val="0029136E"/>
    <w:rsid w:val="00291A8A"/>
    <w:rsid w:val="00291C44"/>
    <w:rsid w:val="00291D33"/>
    <w:rsid w:val="00291E9E"/>
    <w:rsid w:val="00292CE5"/>
    <w:rsid w:val="00292ED8"/>
    <w:rsid w:val="002931D4"/>
    <w:rsid w:val="00293E83"/>
    <w:rsid w:val="00294559"/>
    <w:rsid w:val="00295AD3"/>
    <w:rsid w:val="002A0323"/>
    <w:rsid w:val="002A1A92"/>
    <w:rsid w:val="002A263E"/>
    <w:rsid w:val="002A3B3E"/>
    <w:rsid w:val="002B04E6"/>
    <w:rsid w:val="002B0BE4"/>
    <w:rsid w:val="002B1CD4"/>
    <w:rsid w:val="002B7197"/>
    <w:rsid w:val="002B73E9"/>
    <w:rsid w:val="002B7F81"/>
    <w:rsid w:val="002C022C"/>
    <w:rsid w:val="002C050E"/>
    <w:rsid w:val="002C1559"/>
    <w:rsid w:val="002C1F0A"/>
    <w:rsid w:val="002C24A0"/>
    <w:rsid w:val="002C392F"/>
    <w:rsid w:val="002C7818"/>
    <w:rsid w:val="002D07FC"/>
    <w:rsid w:val="002D0E49"/>
    <w:rsid w:val="002D0FE6"/>
    <w:rsid w:val="002D16F4"/>
    <w:rsid w:val="002D170F"/>
    <w:rsid w:val="002D2AB6"/>
    <w:rsid w:val="002D2F62"/>
    <w:rsid w:val="002D3A55"/>
    <w:rsid w:val="002D5C3A"/>
    <w:rsid w:val="002D67A5"/>
    <w:rsid w:val="002D69BB"/>
    <w:rsid w:val="002D7DE7"/>
    <w:rsid w:val="002D7F05"/>
    <w:rsid w:val="002E0FF4"/>
    <w:rsid w:val="002E2DDE"/>
    <w:rsid w:val="002E4728"/>
    <w:rsid w:val="002E512A"/>
    <w:rsid w:val="002E52F4"/>
    <w:rsid w:val="002E5DE3"/>
    <w:rsid w:val="002F1C97"/>
    <w:rsid w:val="002F264B"/>
    <w:rsid w:val="002F307A"/>
    <w:rsid w:val="002F40D1"/>
    <w:rsid w:val="002F618B"/>
    <w:rsid w:val="00300567"/>
    <w:rsid w:val="00301888"/>
    <w:rsid w:val="0030226B"/>
    <w:rsid w:val="003039EF"/>
    <w:rsid w:val="0030547A"/>
    <w:rsid w:val="003060F7"/>
    <w:rsid w:val="00306938"/>
    <w:rsid w:val="00307B81"/>
    <w:rsid w:val="0031229A"/>
    <w:rsid w:val="003133C2"/>
    <w:rsid w:val="00313CBA"/>
    <w:rsid w:val="00314345"/>
    <w:rsid w:val="003158EB"/>
    <w:rsid w:val="003162E7"/>
    <w:rsid w:val="00320A0A"/>
    <w:rsid w:val="0032304A"/>
    <w:rsid w:val="003251A2"/>
    <w:rsid w:val="0032552C"/>
    <w:rsid w:val="0032568D"/>
    <w:rsid w:val="00327877"/>
    <w:rsid w:val="00327B35"/>
    <w:rsid w:val="00327E6F"/>
    <w:rsid w:val="003319FC"/>
    <w:rsid w:val="00333980"/>
    <w:rsid w:val="003356B6"/>
    <w:rsid w:val="0033575C"/>
    <w:rsid w:val="003366C1"/>
    <w:rsid w:val="003369A8"/>
    <w:rsid w:val="00337E1E"/>
    <w:rsid w:val="00337E3C"/>
    <w:rsid w:val="00341842"/>
    <w:rsid w:val="00342AA4"/>
    <w:rsid w:val="003432DD"/>
    <w:rsid w:val="003444BF"/>
    <w:rsid w:val="00344A26"/>
    <w:rsid w:val="00344BD2"/>
    <w:rsid w:val="00345A07"/>
    <w:rsid w:val="00351486"/>
    <w:rsid w:val="00351D82"/>
    <w:rsid w:val="00355D93"/>
    <w:rsid w:val="00355EA2"/>
    <w:rsid w:val="00363C6E"/>
    <w:rsid w:val="00365D95"/>
    <w:rsid w:val="0036717F"/>
    <w:rsid w:val="00367479"/>
    <w:rsid w:val="00371249"/>
    <w:rsid w:val="00373C99"/>
    <w:rsid w:val="00374347"/>
    <w:rsid w:val="00374739"/>
    <w:rsid w:val="00374D3F"/>
    <w:rsid w:val="00375100"/>
    <w:rsid w:val="00375A76"/>
    <w:rsid w:val="003766F8"/>
    <w:rsid w:val="00376B0C"/>
    <w:rsid w:val="003805FB"/>
    <w:rsid w:val="00380E2E"/>
    <w:rsid w:val="003830A1"/>
    <w:rsid w:val="00384579"/>
    <w:rsid w:val="0038471A"/>
    <w:rsid w:val="003849A9"/>
    <w:rsid w:val="00385325"/>
    <w:rsid w:val="003859E0"/>
    <w:rsid w:val="00387A75"/>
    <w:rsid w:val="0039006E"/>
    <w:rsid w:val="003924BD"/>
    <w:rsid w:val="00393ECE"/>
    <w:rsid w:val="00394233"/>
    <w:rsid w:val="00394A95"/>
    <w:rsid w:val="003953E4"/>
    <w:rsid w:val="00395706"/>
    <w:rsid w:val="00396F11"/>
    <w:rsid w:val="003A0D9A"/>
    <w:rsid w:val="003A22EC"/>
    <w:rsid w:val="003A31EE"/>
    <w:rsid w:val="003A521C"/>
    <w:rsid w:val="003B151E"/>
    <w:rsid w:val="003B1753"/>
    <w:rsid w:val="003B294B"/>
    <w:rsid w:val="003B3C33"/>
    <w:rsid w:val="003B52E4"/>
    <w:rsid w:val="003B5D12"/>
    <w:rsid w:val="003B60FA"/>
    <w:rsid w:val="003B6DDD"/>
    <w:rsid w:val="003C2481"/>
    <w:rsid w:val="003C42A7"/>
    <w:rsid w:val="003D1A46"/>
    <w:rsid w:val="003D6C66"/>
    <w:rsid w:val="003D7F37"/>
    <w:rsid w:val="003E1DD4"/>
    <w:rsid w:val="003E1EDE"/>
    <w:rsid w:val="003E2A3E"/>
    <w:rsid w:val="003E4D32"/>
    <w:rsid w:val="003E66FD"/>
    <w:rsid w:val="003E7874"/>
    <w:rsid w:val="003E7B2B"/>
    <w:rsid w:val="003E7EAE"/>
    <w:rsid w:val="003F006C"/>
    <w:rsid w:val="003F039E"/>
    <w:rsid w:val="003F0E5B"/>
    <w:rsid w:val="003F170F"/>
    <w:rsid w:val="003F18CE"/>
    <w:rsid w:val="003F47FF"/>
    <w:rsid w:val="003F5143"/>
    <w:rsid w:val="003F67E1"/>
    <w:rsid w:val="00401338"/>
    <w:rsid w:val="00402750"/>
    <w:rsid w:val="00402C36"/>
    <w:rsid w:val="00402D1F"/>
    <w:rsid w:val="00403AB0"/>
    <w:rsid w:val="00406D92"/>
    <w:rsid w:val="0040715D"/>
    <w:rsid w:val="00410606"/>
    <w:rsid w:val="00410A29"/>
    <w:rsid w:val="00410AF7"/>
    <w:rsid w:val="00410FEF"/>
    <w:rsid w:val="004114F9"/>
    <w:rsid w:val="0041297F"/>
    <w:rsid w:val="0041424B"/>
    <w:rsid w:val="004149B8"/>
    <w:rsid w:val="004159FB"/>
    <w:rsid w:val="00415EA5"/>
    <w:rsid w:val="004160AD"/>
    <w:rsid w:val="0042057E"/>
    <w:rsid w:val="00421137"/>
    <w:rsid w:val="004216FF"/>
    <w:rsid w:val="00422B09"/>
    <w:rsid w:val="00422FE9"/>
    <w:rsid w:val="00424EA9"/>
    <w:rsid w:val="00425912"/>
    <w:rsid w:val="00426FFF"/>
    <w:rsid w:val="00430773"/>
    <w:rsid w:val="00430907"/>
    <w:rsid w:val="00430E0D"/>
    <w:rsid w:val="00431856"/>
    <w:rsid w:val="00431CDD"/>
    <w:rsid w:val="004320C3"/>
    <w:rsid w:val="004332ED"/>
    <w:rsid w:val="00433A0D"/>
    <w:rsid w:val="00433F3B"/>
    <w:rsid w:val="004371A0"/>
    <w:rsid w:val="004406C2"/>
    <w:rsid w:val="004407C6"/>
    <w:rsid w:val="00442FFE"/>
    <w:rsid w:val="00443946"/>
    <w:rsid w:val="0044474C"/>
    <w:rsid w:val="004456E8"/>
    <w:rsid w:val="00446305"/>
    <w:rsid w:val="004465E3"/>
    <w:rsid w:val="00446C0A"/>
    <w:rsid w:val="0045118C"/>
    <w:rsid w:val="004515C5"/>
    <w:rsid w:val="004517DB"/>
    <w:rsid w:val="0045194F"/>
    <w:rsid w:val="00455B7D"/>
    <w:rsid w:val="00456326"/>
    <w:rsid w:val="004566AB"/>
    <w:rsid w:val="00463B1D"/>
    <w:rsid w:val="004642CD"/>
    <w:rsid w:val="00470D42"/>
    <w:rsid w:val="00471E34"/>
    <w:rsid w:val="00472DFC"/>
    <w:rsid w:val="0047674E"/>
    <w:rsid w:val="00476B79"/>
    <w:rsid w:val="00477C40"/>
    <w:rsid w:val="004832F1"/>
    <w:rsid w:val="0048400C"/>
    <w:rsid w:val="0048450F"/>
    <w:rsid w:val="004863B0"/>
    <w:rsid w:val="00486450"/>
    <w:rsid w:val="0048714B"/>
    <w:rsid w:val="004903C2"/>
    <w:rsid w:val="0049481B"/>
    <w:rsid w:val="00496381"/>
    <w:rsid w:val="004969D9"/>
    <w:rsid w:val="00497945"/>
    <w:rsid w:val="004A0806"/>
    <w:rsid w:val="004A2831"/>
    <w:rsid w:val="004A302D"/>
    <w:rsid w:val="004A7751"/>
    <w:rsid w:val="004A77F9"/>
    <w:rsid w:val="004B0EDB"/>
    <w:rsid w:val="004B2C57"/>
    <w:rsid w:val="004B3A4A"/>
    <w:rsid w:val="004B4EBB"/>
    <w:rsid w:val="004B530E"/>
    <w:rsid w:val="004B6DC2"/>
    <w:rsid w:val="004C137C"/>
    <w:rsid w:val="004C16DA"/>
    <w:rsid w:val="004C2E6F"/>
    <w:rsid w:val="004C50B6"/>
    <w:rsid w:val="004C51E0"/>
    <w:rsid w:val="004D110F"/>
    <w:rsid w:val="004D1EA5"/>
    <w:rsid w:val="004D2633"/>
    <w:rsid w:val="004D2F6A"/>
    <w:rsid w:val="004D3DA2"/>
    <w:rsid w:val="004D4514"/>
    <w:rsid w:val="004D5328"/>
    <w:rsid w:val="004D6E36"/>
    <w:rsid w:val="004E006C"/>
    <w:rsid w:val="004E033B"/>
    <w:rsid w:val="004E0D36"/>
    <w:rsid w:val="004E13FB"/>
    <w:rsid w:val="004E1E48"/>
    <w:rsid w:val="004E3DB0"/>
    <w:rsid w:val="004E41AB"/>
    <w:rsid w:val="004E5FB9"/>
    <w:rsid w:val="004E630F"/>
    <w:rsid w:val="004E6B97"/>
    <w:rsid w:val="004E6C99"/>
    <w:rsid w:val="004F0288"/>
    <w:rsid w:val="004F0401"/>
    <w:rsid w:val="004F25C7"/>
    <w:rsid w:val="004F3A90"/>
    <w:rsid w:val="004F490C"/>
    <w:rsid w:val="004F5C69"/>
    <w:rsid w:val="004F72A5"/>
    <w:rsid w:val="0050701B"/>
    <w:rsid w:val="0050707B"/>
    <w:rsid w:val="0050754B"/>
    <w:rsid w:val="00507B5E"/>
    <w:rsid w:val="00510853"/>
    <w:rsid w:val="00511155"/>
    <w:rsid w:val="0051236C"/>
    <w:rsid w:val="00522A4C"/>
    <w:rsid w:val="005256C9"/>
    <w:rsid w:val="00526529"/>
    <w:rsid w:val="005265AE"/>
    <w:rsid w:val="0052737C"/>
    <w:rsid w:val="00527CA0"/>
    <w:rsid w:val="005320AF"/>
    <w:rsid w:val="005349D3"/>
    <w:rsid w:val="005362B3"/>
    <w:rsid w:val="00536A46"/>
    <w:rsid w:val="00536E4E"/>
    <w:rsid w:val="00540754"/>
    <w:rsid w:val="00541166"/>
    <w:rsid w:val="00541A49"/>
    <w:rsid w:val="00541C03"/>
    <w:rsid w:val="00542831"/>
    <w:rsid w:val="005435DC"/>
    <w:rsid w:val="00544421"/>
    <w:rsid w:val="00545012"/>
    <w:rsid w:val="00545A69"/>
    <w:rsid w:val="005473FA"/>
    <w:rsid w:val="00547566"/>
    <w:rsid w:val="00551AA3"/>
    <w:rsid w:val="00551F57"/>
    <w:rsid w:val="00552746"/>
    <w:rsid w:val="00555243"/>
    <w:rsid w:val="00555628"/>
    <w:rsid w:val="005569DD"/>
    <w:rsid w:val="00556CF0"/>
    <w:rsid w:val="0056225A"/>
    <w:rsid w:val="00562A60"/>
    <w:rsid w:val="00562B1D"/>
    <w:rsid w:val="00563BC8"/>
    <w:rsid w:val="00564E7D"/>
    <w:rsid w:val="00566910"/>
    <w:rsid w:val="00566AEA"/>
    <w:rsid w:val="00572A3E"/>
    <w:rsid w:val="00576636"/>
    <w:rsid w:val="005771D0"/>
    <w:rsid w:val="00577EAE"/>
    <w:rsid w:val="005808DD"/>
    <w:rsid w:val="0058182A"/>
    <w:rsid w:val="00581FE2"/>
    <w:rsid w:val="00583ED4"/>
    <w:rsid w:val="00586A46"/>
    <w:rsid w:val="0058727F"/>
    <w:rsid w:val="00587614"/>
    <w:rsid w:val="00590455"/>
    <w:rsid w:val="0059158A"/>
    <w:rsid w:val="00594419"/>
    <w:rsid w:val="00595872"/>
    <w:rsid w:val="005975AD"/>
    <w:rsid w:val="00597CDC"/>
    <w:rsid w:val="005A2DBA"/>
    <w:rsid w:val="005A6A7F"/>
    <w:rsid w:val="005B5DCC"/>
    <w:rsid w:val="005B73D1"/>
    <w:rsid w:val="005B754A"/>
    <w:rsid w:val="005B762B"/>
    <w:rsid w:val="005C2307"/>
    <w:rsid w:val="005C292E"/>
    <w:rsid w:val="005C3BAE"/>
    <w:rsid w:val="005C4AFC"/>
    <w:rsid w:val="005D03DE"/>
    <w:rsid w:val="005D350E"/>
    <w:rsid w:val="005D3A52"/>
    <w:rsid w:val="005D42CC"/>
    <w:rsid w:val="005D5A3F"/>
    <w:rsid w:val="005D5DAB"/>
    <w:rsid w:val="005E02E0"/>
    <w:rsid w:val="005E0755"/>
    <w:rsid w:val="005E33B3"/>
    <w:rsid w:val="005E4BE2"/>
    <w:rsid w:val="005E595B"/>
    <w:rsid w:val="005F0ADE"/>
    <w:rsid w:val="005F2EED"/>
    <w:rsid w:val="005F32AC"/>
    <w:rsid w:val="005F348D"/>
    <w:rsid w:val="005F389B"/>
    <w:rsid w:val="005F3F00"/>
    <w:rsid w:val="006037B1"/>
    <w:rsid w:val="00603FB7"/>
    <w:rsid w:val="00604C4A"/>
    <w:rsid w:val="006059B0"/>
    <w:rsid w:val="00605FD7"/>
    <w:rsid w:val="00607256"/>
    <w:rsid w:val="00607DC2"/>
    <w:rsid w:val="00611D72"/>
    <w:rsid w:val="00611DED"/>
    <w:rsid w:val="006155F1"/>
    <w:rsid w:val="00617593"/>
    <w:rsid w:val="006207C6"/>
    <w:rsid w:val="006229FB"/>
    <w:rsid w:val="006238A6"/>
    <w:rsid w:val="00623D74"/>
    <w:rsid w:val="006241F3"/>
    <w:rsid w:val="00624845"/>
    <w:rsid w:val="00624867"/>
    <w:rsid w:val="006253E3"/>
    <w:rsid w:val="006279D5"/>
    <w:rsid w:val="00631AB5"/>
    <w:rsid w:val="00631F72"/>
    <w:rsid w:val="00632483"/>
    <w:rsid w:val="006329E8"/>
    <w:rsid w:val="00633BBB"/>
    <w:rsid w:val="0063567B"/>
    <w:rsid w:val="006377F0"/>
    <w:rsid w:val="00646465"/>
    <w:rsid w:val="00646A5F"/>
    <w:rsid w:val="00646BCD"/>
    <w:rsid w:val="00650F00"/>
    <w:rsid w:val="00652037"/>
    <w:rsid w:val="00652A35"/>
    <w:rsid w:val="0065569F"/>
    <w:rsid w:val="0065581A"/>
    <w:rsid w:val="00655AAF"/>
    <w:rsid w:val="0065624B"/>
    <w:rsid w:val="00656630"/>
    <w:rsid w:val="0066192B"/>
    <w:rsid w:val="00661EE3"/>
    <w:rsid w:val="006629FD"/>
    <w:rsid w:val="00662D02"/>
    <w:rsid w:val="006708AA"/>
    <w:rsid w:val="00672581"/>
    <w:rsid w:val="0067268A"/>
    <w:rsid w:val="00673625"/>
    <w:rsid w:val="00673C02"/>
    <w:rsid w:val="00677CC5"/>
    <w:rsid w:val="00680496"/>
    <w:rsid w:val="006810F3"/>
    <w:rsid w:val="00685BE9"/>
    <w:rsid w:val="00690BB6"/>
    <w:rsid w:val="00693F13"/>
    <w:rsid w:val="006962C7"/>
    <w:rsid w:val="00696670"/>
    <w:rsid w:val="00696B63"/>
    <w:rsid w:val="006A2DED"/>
    <w:rsid w:val="006A3AF0"/>
    <w:rsid w:val="006A5218"/>
    <w:rsid w:val="006A5E69"/>
    <w:rsid w:val="006A6C3A"/>
    <w:rsid w:val="006A7E16"/>
    <w:rsid w:val="006B0B80"/>
    <w:rsid w:val="006B491B"/>
    <w:rsid w:val="006B4CC5"/>
    <w:rsid w:val="006B52F8"/>
    <w:rsid w:val="006B5419"/>
    <w:rsid w:val="006B776D"/>
    <w:rsid w:val="006C29D2"/>
    <w:rsid w:val="006C390C"/>
    <w:rsid w:val="006C4489"/>
    <w:rsid w:val="006C4BEB"/>
    <w:rsid w:val="006C52F0"/>
    <w:rsid w:val="006C5383"/>
    <w:rsid w:val="006C58FD"/>
    <w:rsid w:val="006C7AF8"/>
    <w:rsid w:val="006D1989"/>
    <w:rsid w:val="006D428B"/>
    <w:rsid w:val="006D52DB"/>
    <w:rsid w:val="006D535C"/>
    <w:rsid w:val="006D6591"/>
    <w:rsid w:val="006E2223"/>
    <w:rsid w:val="006E314E"/>
    <w:rsid w:val="006E3169"/>
    <w:rsid w:val="006E4425"/>
    <w:rsid w:val="006E4933"/>
    <w:rsid w:val="006E5177"/>
    <w:rsid w:val="006E5C35"/>
    <w:rsid w:val="006E69A0"/>
    <w:rsid w:val="006F0991"/>
    <w:rsid w:val="006F1A7C"/>
    <w:rsid w:val="006F34C4"/>
    <w:rsid w:val="006F39EB"/>
    <w:rsid w:val="006F3CF0"/>
    <w:rsid w:val="006F428F"/>
    <w:rsid w:val="006F5219"/>
    <w:rsid w:val="006F6D1D"/>
    <w:rsid w:val="006F75FA"/>
    <w:rsid w:val="006F7F86"/>
    <w:rsid w:val="0070404B"/>
    <w:rsid w:val="00704466"/>
    <w:rsid w:val="007044F0"/>
    <w:rsid w:val="00706202"/>
    <w:rsid w:val="00710141"/>
    <w:rsid w:val="00710C76"/>
    <w:rsid w:val="00710F04"/>
    <w:rsid w:val="00713F36"/>
    <w:rsid w:val="007140FD"/>
    <w:rsid w:val="00714356"/>
    <w:rsid w:val="00714FCD"/>
    <w:rsid w:val="00716D21"/>
    <w:rsid w:val="00717F20"/>
    <w:rsid w:val="00720C54"/>
    <w:rsid w:val="00720E36"/>
    <w:rsid w:val="00721915"/>
    <w:rsid w:val="007233E6"/>
    <w:rsid w:val="0072551F"/>
    <w:rsid w:val="007256E3"/>
    <w:rsid w:val="00725C58"/>
    <w:rsid w:val="00727A33"/>
    <w:rsid w:val="00732EF4"/>
    <w:rsid w:val="00733B25"/>
    <w:rsid w:val="007340A4"/>
    <w:rsid w:val="007357C6"/>
    <w:rsid w:val="00735874"/>
    <w:rsid w:val="007404C3"/>
    <w:rsid w:val="007407DC"/>
    <w:rsid w:val="00743B75"/>
    <w:rsid w:val="00743E71"/>
    <w:rsid w:val="00746773"/>
    <w:rsid w:val="00747C8A"/>
    <w:rsid w:val="0075074B"/>
    <w:rsid w:val="00751B21"/>
    <w:rsid w:val="0075214E"/>
    <w:rsid w:val="00752214"/>
    <w:rsid w:val="00756BCD"/>
    <w:rsid w:val="0076002E"/>
    <w:rsid w:val="0076015C"/>
    <w:rsid w:val="007649B9"/>
    <w:rsid w:val="0076676F"/>
    <w:rsid w:val="007671C6"/>
    <w:rsid w:val="007678EB"/>
    <w:rsid w:val="007710E8"/>
    <w:rsid w:val="0077141F"/>
    <w:rsid w:val="00771E03"/>
    <w:rsid w:val="00772326"/>
    <w:rsid w:val="00774669"/>
    <w:rsid w:val="00774A5F"/>
    <w:rsid w:val="007751BA"/>
    <w:rsid w:val="007761D5"/>
    <w:rsid w:val="00776871"/>
    <w:rsid w:val="00776AB3"/>
    <w:rsid w:val="0078095D"/>
    <w:rsid w:val="007826FC"/>
    <w:rsid w:val="00784823"/>
    <w:rsid w:val="00784C16"/>
    <w:rsid w:val="00785495"/>
    <w:rsid w:val="007868CD"/>
    <w:rsid w:val="00786E38"/>
    <w:rsid w:val="0078733C"/>
    <w:rsid w:val="00790C51"/>
    <w:rsid w:val="0079355B"/>
    <w:rsid w:val="00793978"/>
    <w:rsid w:val="00795BEF"/>
    <w:rsid w:val="007961B3"/>
    <w:rsid w:val="00797AA8"/>
    <w:rsid w:val="007A0527"/>
    <w:rsid w:val="007A0722"/>
    <w:rsid w:val="007A0A9F"/>
    <w:rsid w:val="007A1DB9"/>
    <w:rsid w:val="007A42AB"/>
    <w:rsid w:val="007A4E8B"/>
    <w:rsid w:val="007A5AAF"/>
    <w:rsid w:val="007A6087"/>
    <w:rsid w:val="007A6B52"/>
    <w:rsid w:val="007B0AE8"/>
    <w:rsid w:val="007B5C3B"/>
    <w:rsid w:val="007C0949"/>
    <w:rsid w:val="007C2235"/>
    <w:rsid w:val="007C4AEF"/>
    <w:rsid w:val="007C6009"/>
    <w:rsid w:val="007C6659"/>
    <w:rsid w:val="007C700D"/>
    <w:rsid w:val="007D0B32"/>
    <w:rsid w:val="007D32E7"/>
    <w:rsid w:val="007D3ED2"/>
    <w:rsid w:val="007D3F92"/>
    <w:rsid w:val="007D4450"/>
    <w:rsid w:val="007D4D13"/>
    <w:rsid w:val="007D5180"/>
    <w:rsid w:val="007D55BB"/>
    <w:rsid w:val="007D5E70"/>
    <w:rsid w:val="007E0488"/>
    <w:rsid w:val="007E0615"/>
    <w:rsid w:val="007E0D8C"/>
    <w:rsid w:val="007E11CC"/>
    <w:rsid w:val="007E1424"/>
    <w:rsid w:val="007E37C0"/>
    <w:rsid w:val="007E38BA"/>
    <w:rsid w:val="007E4656"/>
    <w:rsid w:val="007E4D5A"/>
    <w:rsid w:val="007E54DE"/>
    <w:rsid w:val="007E5BD6"/>
    <w:rsid w:val="007E7CC5"/>
    <w:rsid w:val="007F00A6"/>
    <w:rsid w:val="007F076F"/>
    <w:rsid w:val="007F1F69"/>
    <w:rsid w:val="007F2AB4"/>
    <w:rsid w:val="007F4787"/>
    <w:rsid w:val="007F63B4"/>
    <w:rsid w:val="0080011C"/>
    <w:rsid w:val="00800FC6"/>
    <w:rsid w:val="00801EE8"/>
    <w:rsid w:val="00801F40"/>
    <w:rsid w:val="008032E1"/>
    <w:rsid w:val="00804019"/>
    <w:rsid w:val="008069A4"/>
    <w:rsid w:val="008071C3"/>
    <w:rsid w:val="00807219"/>
    <w:rsid w:val="00807372"/>
    <w:rsid w:val="00807BB0"/>
    <w:rsid w:val="008121D9"/>
    <w:rsid w:val="008142F6"/>
    <w:rsid w:val="008146ED"/>
    <w:rsid w:val="00815CA7"/>
    <w:rsid w:val="00817A6F"/>
    <w:rsid w:val="00822736"/>
    <w:rsid w:val="008228D5"/>
    <w:rsid w:val="00822D64"/>
    <w:rsid w:val="008231A8"/>
    <w:rsid w:val="00824FE0"/>
    <w:rsid w:val="00825D65"/>
    <w:rsid w:val="008271EB"/>
    <w:rsid w:val="008338C1"/>
    <w:rsid w:val="0083479B"/>
    <w:rsid w:val="00835D3E"/>
    <w:rsid w:val="008360F1"/>
    <w:rsid w:val="008371F8"/>
    <w:rsid w:val="008407A6"/>
    <w:rsid w:val="00840F2B"/>
    <w:rsid w:val="00841A78"/>
    <w:rsid w:val="00843DBD"/>
    <w:rsid w:val="008452A6"/>
    <w:rsid w:val="00845A6F"/>
    <w:rsid w:val="00846068"/>
    <w:rsid w:val="0084643C"/>
    <w:rsid w:val="00846564"/>
    <w:rsid w:val="00846743"/>
    <w:rsid w:val="00851994"/>
    <w:rsid w:val="00852C35"/>
    <w:rsid w:val="00852F09"/>
    <w:rsid w:val="00852FB9"/>
    <w:rsid w:val="00853342"/>
    <w:rsid w:val="008534BB"/>
    <w:rsid w:val="0085413B"/>
    <w:rsid w:val="00855BC9"/>
    <w:rsid w:val="008569E8"/>
    <w:rsid w:val="00860727"/>
    <w:rsid w:val="00860C4D"/>
    <w:rsid w:val="0086108C"/>
    <w:rsid w:val="008610C4"/>
    <w:rsid w:val="008660DA"/>
    <w:rsid w:val="00867B9F"/>
    <w:rsid w:val="008720D1"/>
    <w:rsid w:val="00872EAF"/>
    <w:rsid w:val="008739CA"/>
    <w:rsid w:val="00874730"/>
    <w:rsid w:val="00874AF3"/>
    <w:rsid w:val="0087556F"/>
    <w:rsid w:val="0087782A"/>
    <w:rsid w:val="00880A00"/>
    <w:rsid w:val="0088165B"/>
    <w:rsid w:val="00884D9A"/>
    <w:rsid w:val="00886BD8"/>
    <w:rsid w:val="00887A7C"/>
    <w:rsid w:val="00890B24"/>
    <w:rsid w:val="0089210A"/>
    <w:rsid w:val="00892A8D"/>
    <w:rsid w:val="00893E2F"/>
    <w:rsid w:val="0089416C"/>
    <w:rsid w:val="008941C7"/>
    <w:rsid w:val="00894483"/>
    <w:rsid w:val="00895433"/>
    <w:rsid w:val="00896370"/>
    <w:rsid w:val="00896A7F"/>
    <w:rsid w:val="008A1467"/>
    <w:rsid w:val="008A1778"/>
    <w:rsid w:val="008A1F8D"/>
    <w:rsid w:val="008A279E"/>
    <w:rsid w:val="008A2997"/>
    <w:rsid w:val="008A4AD4"/>
    <w:rsid w:val="008A669B"/>
    <w:rsid w:val="008B1471"/>
    <w:rsid w:val="008B1A10"/>
    <w:rsid w:val="008B1F33"/>
    <w:rsid w:val="008B3800"/>
    <w:rsid w:val="008B4323"/>
    <w:rsid w:val="008B58E0"/>
    <w:rsid w:val="008B6A06"/>
    <w:rsid w:val="008C0E8D"/>
    <w:rsid w:val="008C28BD"/>
    <w:rsid w:val="008C4AEB"/>
    <w:rsid w:val="008C54BD"/>
    <w:rsid w:val="008D043E"/>
    <w:rsid w:val="008D282B"/>
    <w:rsid w:val="008D399D"/>
    <w:rsid w:val="008D5093"/>
    <w:rsid w:val="008D67A9"/>
    <w:rsid w:val="008D734C"/>
    <w:rsid w:val="008D7C08"/>
    <w:rsid w:val="008E04E7"/>
    <w:rsid w:val="008E2182"/>
    <w:rsid w:val="008E2994"/>
    <w:rsid w:val="008E3BE4"/>
    <w:rsid w:val="008E48E4"/>
    <w:rsid w:val="008E7075"/>
    <w:rsid w:val="008E7099"/>
    <w:rsid w:val="008F064E"/>
    <w:rsid w:val="008F114A"/>
    <w:rsid w:val="008F14C4"/>
    <w:rsid w:val="008F1A23"/>
    <w:rsid w:val="008F2603"/>
    <w:rsid w:val="008F2CFC"/>
    <w:rsid w:val="008F2FA2"/>
    <w:rsid w:val="008F3A73"/>
    <w:rsid w:val="008F4426"/>
    <w:rsid w:val="008F60F4"/>
    <w:rsid w:val="008F7B39"/>
    <w:rsid w:val="00901684"/>
    <w:rsid w:val="009027EE"/>
    <w:rsid w:val="00903F1F"/>
    <w:rsid w:val="00904ED2"/>
    <w:rsid w:val="0090585E"/>
    <w:rsid w:val="009068EA"/>
    <w:rsid w:val="00906DE9"/>
    <w:rsid w:val="00907190"/>
    <w:rsid w:val="00907616"/>
    <w:rsid w:val="00911910"/>
    <w:rsid w:val="00912BEB"/>
    <w:rsid w:val="0091369C"/>
    <w:rsid w:val="00915EEB"/>
    <w:rsid w:val="0091783D"/>
    <w:rsid w:val="00921A3B"/>
    <w:rsid w:val="009222E0"/>
    <w:rsid w:val="00925A17"/>
    <w:rsid w:val="0092637A"/>
    <w:rsid w:val="00930C0F"/>
    <w:rsid w:val="0093205F"/>
    <w:rsid w:val="00932943"/>
    <w:rsid w:val="00933AF9"/>
    <w:rsid w:val="00934DC6"/>
    <w:rsid w:val="00935E86"/>
    <w:rsid w:val="00936D8D"/>
    <w:rsid w:val="00937879"/>
    <w:rsid w:val="00937F94"/>
    <w:rsid w:val="00940190"/>
    <w:rsid w:val="00941DF8"/>
    <w:rsid w:val="00941F65"/>
    <w:rsid w:val="00942612"/>
    <w:rsid w:val="0094265E"/>
    <w:rsid w:val="00942698"/>
    <w:rsid w:val="009432E1"/>
    <w:rsid w:val="00945F41"/>
    <w:rsid w:val="009470A8"/>
    <w:rsid w:val="00953BCB"/>
    <w:rsid w:val="00953FD9"/>
    <w:rsid w:val="0095490C"/>
    <w:rsid w:val="00956670"/>
    <w:rsid w:val="00957D0F"/>
    <w:rsid w:val="00960290"/>
    <w:rsid w:val="00960DFD"/>
    <w:rsid w:val="00962E33"/>
    <w:rsid w:val="00964E0B"/>
    <w:rsid w:val="00965D92"/>
    <w:rsid w:val="00967659"/>
    <w:rsid w:val="00970115"/>
    <w:rsid w:val="009701C6"/>
    <w:rsid w:val="009704B9"/>
    <w:rsid w:val="009707B3"/>
    <w:rsid w:val="00972C3D"/>
    <w:rsid w:val="00975688"/>
    <w:rsid w:val="00976081"/>
    <w:rsid w:val="009760D0"/>
    <w:rsid w:val="009769AE"/>
    <w:rsid w:val="0098040B"/>
    <w:rsid w:val="00980E62"/>
    <w:rsid w:val="00981423"/>
    <w:rsid w:val="009828D6"/>
    <w:rsid w:val="00983C57"/>
    <w:rsid w:val="009856E4"/>
    <w:rsid w:val="0098763E"/>
    <w:rsid w:val="00990580"/>
    <w:rsid w:val="00991153"/>
    <w:rsid w:val="009913C9"/>
    <w:rsid w:val="0099171D"/>
    <w:rsid w:val="009919A0"/>
    <w:rsid w:val="00991AAD"/>
    <w:rsid w:val="00991F36"/>
    <w:rsid w:val="00993551"/>
    <w:rsid w:val="00995CE4"/>
    <w:rsid w:val="00996051"/>
    <w:rsid w:val="00996C2A"/>
    <w:rsid w:val="009A2BE3"/>
    <w:rsid w:val="009A3412"/>
    <w:rsid w:val="009A4FA8"/>
    <w:rsid w:val="009A558E"/>
    <w:rsid w:val="009A70FD"/>
    <w:rsid w:val="009A71F1"/>
    <w:rsid w:val="009A7368"/>
    <w:rsid w:val="009A7878"/>
    <w:rsid w:val="009A7935"/>
    <w:rsid w:val="009B094B"/>
    <w:rsid w:val="009B3A38"/>
    <w:rsid w:val="009B3CDB"/>
    <w:rsid w:val="009B51C8"/>
    <w:rsid w:val="009B6B69"/>
    <w:rsid w:val="009B6F16"/>
    <w:rsid w:val="009C03C0"/>
    <w:rsid w:val="009C1FBB"/>
    <w:rsid w:val="009C31C5"/>
    <w:rsid w:val="009C7D3D"/>
    <w:rsid w:val="009D00DA"/>
    <w:rsid w:val="009D04B7"/>
    <w:rsid w:val="009D13E1"/>
    <w:rsid w:val="009D2D77"/>
    <w:rsid w:val="009D47C0"/>
    <w:rsid w:val="009D52BE"/>
    <w:rsid w:val="009D61D4"/>
    <w:rsid w:val="009E013E"/>
    <w:rsid w:val="009E0C2D"/>
    <w:rsid w:val="009E3FE8"/>
    <w:rsid w:val="009E4936"/>
    <w:rsid w:val="009F5694"/>
    <w:rsid w:val="009F7DBA"/>
    <w:rsid w:val="00A007B9"/>
    <w:rsid w:val="00A00841"/>
    <w:rsid w:val="00A024FF"/>
    <w:rsid w:val="00A055F0"/>
    <w:rsid w:val="00A109AC"/>
    <w:rsid w:val="00A10B0E"/>
    <w:rsid w:val="00A11495"/>
    <w:rsid w:val="00A11631"/>
    <w:rsid w:val="00A1218D"/>
    <w:rsid w:val="00A12583"/>
    <w:rsid w:val="00A13020"/>
    <w:rsid w:val="00A17C0E"/>
    <w:rsid w:val="00A20A29"/>
    <w:rsid w:val="00A21506"/>
    <w:rsid w:val="00A231B0"/>
    <w:rsid w:val="00A232DD"/>
    <w:rsid w:val="00A23F58"/>
    <w:rsid w:val="00A256CC"/>
    <w:rsid w:val="00A258B2"/>
    <w:rsid w:val="00A26C88"/>
    <w:rsid w:val="00A26C99"/>
    <w:rsid w:val="00A27277"/>
    <w:rsid w:val="00A27718"/>
    <w:rsid w:val="00A31528"/>
    <w:rsid w:val="00A3248B"/>
    <w:rsid w:val="00A33BBF"/>
    <w:rsid w:val="00A35BE4"/>
    <w:rsid w:val="00A41B7C"/>
    <w:rsid w:val="00A41D27"/>
    <w:rsid w:val="00A425E6"/>
    <w:rsid w:val="00A43418"/>
    <w:rsid w:val="00A43D0D"/>
    <w:rsid w:val="00A443E2"/>
    <w:rsid w:val="00A450D2"/>
    <w:rsid w:val="00A47096"/>
    <w:rsid w:val="00A478A1"/>
    <w:rsid w:val="00A50D44"/>
    <w:rsid w:val="00A510D1"/>
    <w:rsid w:val="00A512DC"/>
    <w:rsid w:val="00A51E41"/>
    <w:rsid w:val="00A52B90"/>
    <w:rsid w:val="00A53C44"/>
    <w:rsid w:val="00A53DAB"/>
    <w:rsid w:val="00A55376"/>
    <w:rsid w:val="00A56300"/>
    <w:rsid w:val="00A572A1"/>
    <w:rsid w:val="00A60AD1"/>
    <w:rsid w:val="00A62068"/>
    <w:rsid w:val="00A6215C"/>
    <w:rsid w:val="00A621B3"/>
    <w:rsid w:val="00A62F24"/>
    <w:rsid w:val="00A633DF"/>
    <w:rsid w:val="00A64884"/>
    <w:rsid w:val="00A658BD"/>
    <w:rsid w:val="00A6593E"/>
    <w:rsid w:val="00A66202"/>
    <w:rsid w:val="00A6682A"/>
    <w:rsid w:val="00A67E2F"/>
    <w:rsid w:val="00A70CBD"/>
    <w:rsid w:val="00A72596"/>
    <w:rsid w:val="00A7434A"/>
    <w:rsid w:val="00A745A9"/>
    <w:rsid w:val="00A80285"/>
    <w:rsid w:val="00A80376"/>
    <w:rsid w:val="00A803B5"/>
    <w:rsid w:val="00A8487F"/>
    <w:rsid w:val="00A8548B"/>
    <w:rsid w:val="00A90180"/>
    <w:rsid w:val="00A901FC"/>
    <w:rsid w:val="00A90259"/>
    <w:rsid w:val="00A91D30"/>
    <w:rsid w:val="00A94665"/>
    <w:rsid w:val="00A94E2A"/>
    <w:rsid w:val="00A94FCE"/>
    <w:rsid w:val="00A960CA"/>
    <w:rsid w:val="00A960F9"/>
    <w:rsid w:val="00A97318"/>
    <w:rsid w:val="00A97431"/>
    <w:rsid w:val="00A97483"/>
    <w:rsid w:val="00AA1598"/>
    <w:rsid w:val="00AA2628"/>
    <w:rsid w:val="00AA2631"/>
    <w:rsid w:val="00AA28F6"/>
    <w:rsid w:val="00AA32CE"/>
    <w:rsid w:val="00AA4829"/>
    <w:rsid w:val="00AA4FA2"/>
    <w:rsid w:val="00AA5BA3"/>
    <w:rsid w:val="00AA646F"/>
    <w:rsid w:val="00AA664E"/>
    <w:rsid w:val="00AA75D1"/>
    <w:rsid w:val="00AA7F90"/>
    <w:rsid w:val="00AB1596"/>
    <w:rsid w:val="00AB2764"/>
    <w:rsid w:val="00AB3A08"/>
    <w:rsid w:val="00AB4416"/>
    <w:rsid w:val="00AB4E9C"/>
    <w:rsid w:val="00AB7AAB"/>
    <w:rsid w:val="00AC06B1"/>
    <w:rsid w:val="00AC5308"/>
    <w:rsid w:val="00AD0FA4"/>
    <w:rsid w:val="00AD1D0E"/>
    <w:rsid w:val="00AD3C97"/>
    <w:rsid w:val="00AD508F"/>
    <w:rsid w:val="00AD5650"/>
    <w:rsid w:val="00AD606F"/>
    <w:rsid w:val="00AD7318"/>
    <w:rsid w:val="00AE005F"/>
    <w:rsid w:val="00AE0BDD"/>
    <w:rsid w:val="00AE10C8"/>
    <w:rsid w:val="00AE1501"/>
    <w:rsid w:val="00AE1C76"/>
    <w:rsid w:val="00AE20C6"/>
    <w:rsid w:val="00AE27BC"/>
    <w:rsid w:val="00AE2827"/>
    <w:rsid w:val="00AE2BE1"/>
    <w:rsid w:val="00AE7851"/>
    <w:rsid w:val="00AF093C"/>
    <w:rsid w:val="00AF18C2"/>
    <w:rsid w:val="00AF27D6"/>
    <w:rsid w:val="00AF518A"/>
    <w:rsid w:val="00AF6311"/>
    <w:rsid w:val="00AF6C0C"/>
    <w:rsid w:val="00AF7DEB"/>
    <w:rsid w:val="00B006EB"/>
    <w:rsid w:val="00B007F5"/>
    <w:rsid w:val="00B00B68"/>
    <w:rsid w:val="00B036B4"/>
    <w:rsid w:val="00B039E3"/>
    <w:rsid w:val="00B05639"/>
    <w:rsid w:val="00B0603E"/>
    <w:rsid w:val="00B06DCD"/>
    <w:rsid w:val="00B110BC"/>
    <w:rsid w:val="00B117A9"/>
    <w:rsid w:val="00B1215C"/>
    <w:rsid w:val="00B12D6A"/>
    <w:rsid w:val="00B168C0"/>
    <w:rsid w:val="00B22EDC"/>
    <w:rsid w:val="00B24B43"/>
    <w:rsid w:val="00B25537"/>
    <w:rsid w:val="00B25E10"/>
    <w:rsid w:val="00B26277"/>
    <w:rsid w:val="00B264F5"/>
    <w:rsid w:val="00B26C9B"/>
    <w:rsid w:val="00B270F3"/>
    <w:rsid w:val="00B30578"/>
    <w:rsid w:val="00B319A9"/>
    <w:rsid w:val="00B32EB6"/>
    <w:rsid w:val="00B33A36"/>
    <w:rsid w:val="00B35502"/>
    <w:rsid w:val="00B35812"/>
    <w:rsid w:val="00B35B5F"/>
    <w:rsid w:val="00B4124A"/>
    <w:rsid w:val="00B4605B"/>
    <w:rsid w:val="00B46676"/>
    <w:rsid w:val="00B47321"/>
    <w:rsid w:val="00B47C22"/>
    <w:rsid w:val="00B5273C"/>
    <w:rsid w:val="00B54C0E"/>
    <w:rsid w:val="00B54C3F"/>
    <w:rsid w:val="00B60137"/>
    <w:rsid w:val="00B64F07"/>
    <w:rsid w:val="00B67DDD"/>
    <w:rsid w:val="00B7043B"/>
    <w:rsid w:val="00B708A1"/>
    <w:rsid w:val="00B732CE"/>
    <w:rsid w:val="00B7345F"/>
    <w:rsid w:val="00B7460C"/>
    <w:rsid w:val="00B751EB"/>
    <w:rsid w:val="00B75215"/>
    <w:rsid w:val="00B76D0D"/>
    <w:rsid w:val="00B77B3E"/>
    <w:rsid w:val="00B77FF8"/>
    <w:rsid w:val="00B80972"/>
    <w:rsid w:val="00B82C47"/>
    <w:rsid w:val="00B841BC"/>
    <w:rsid w:val="00B84D18"/>
    <w:rsid w:val="00B8561F"/>
    <w:rsid w:val="00B874D4"/>
    <w:rsid w:val="00B87A11"/>
    <w:rsid w:val="00B87B62"/>
    <w:rsid w:val="00B87FCC"/>
    <w:rsid w:val="00B905C1"/>
    <w:rsid w:val="00B91EC1"/>
    <w:rsid w:val="00B94B3C"/>
    <w:rsid w:val="00BA18DA"/>
    <w:rsid w:val="00BA311F"/>
    <w:rsid w:val="00BA57C9"/>
    <w:rsid w:val="00BB0240"/>
    <w:rsid w:val="00BB35C2"/>
    <w:rsid w:val="00BB7363"/>
    <w:rsid w:val="00BC0C65"/>
    <w:rsid w:val="00BC30BB"/>
    <w:rsid w:val="00BC31A3"/>
    <w:rsid w:val="00BC37ED"/>
    <w:rsid w:val="00BC5713"/>
    <w:rsid w:val="00BC60C0"/>
    <w:rsid w:val="00BC70F4"/>
    <w:rsid w:val="00BD08F4"/>
    <w:rsid w:val="00BD2B5A"/>
    <w:rsid w:val="00BD4B55"/>
    <w:rsid w:val="00BD572A"/>
    <w:rsid w:val="00BD6783"/>
    <w:rsid w:val="00BD6E83"/>
    <w:rsid w:val="00BD740C"/>
    <w:rsid w:val="00BD7DC9"/>
    <w:rsid w:val="00BE4FFE"/>
    <w:rsid w:val="00BE5463"/>
    <w:rsid w:val="00BF06A2"/>
    <w:rsid w:val="00BF1618"/>
    <w:rsid w:val="00BF1AD4"/>
    <w:rsid w:val="00BF1CA5"/>
    <w:rsid w:val="00BF7ADD"/>
    <w:rsid w:val="00BF7CB8"/>
    <w:rsid w:val="00C010A8"/>
    <w:rsid w:val="00C011C8"/>
    <w:rsid w:val="00C01344"/>
    <w:rsid w:val="00C03446"/>
    <w:rsid w:val="00C046CF"/>
    <w:rsid w:val="00C071F1"/>
    <w:rsid w:val="00C10037"/>
    <w:rsid w:val="00C13238"/>
    <w:rsid w:val="00C1386D"/>
    <w:rsid w:val="00C13AD2"/>
    <w:rsid w:val="00C15297"/>
    <w:rsid w:val="00C17BCE"/>
    <w:rsid w:val="00C17D35"/>
    <w:rsid w:val="00C2205D"/>
    <w:rsid w:val="00C23971"/>
    <w:rsid w:val="00C260F8"/>
    <w:rsid w:val="00C26205"/>
    <w:rsid w:val="00C266C9"/>
    <w:rsid w:val="00C303E3"/>
    <w:rsid w:val="00C309AC"/>
    <w:rsid w:val="00C30FB1"/>
    <w:rsid w:val="00C31FCC"/>
    <w:rsid w:val="00C32962"/>
    <w:rsid w:val="00C32BFB"/>
    <w:rsid w:val="00C3420C"/>
    <w:rsid w:val="00C36F48"/>
    <w:rsid w:val="00C379D7"/>
    <w:rsid w:val="00C405FB"/>
    <w:rsid w:val="00C40E36"/>
    <w:rsid w:val="00C414A0"/>
    <w:rsid w:val="00C418DF"/>
    <w:rsid w:val="00C41AE7"/>
    <w:rsid w:val="00C41F1D"/>
    <w:rsid w:val="00C44230"/>
    <w:rsid w:val="00C44806"/>
    <w:rsid w:val="00C4483D"/>
    <w:rsid w:val="00C464ED"/>
    <w:rsid w:val="00C47306"/>
    <w:rsid w:val="00C47954"/>
    <w:rsid w:val="00C47A95"/>
    <w:rsid w:val="00C47CAA"/>
    <w:rsid w:val="00C53725"/>
    <w:rsid w:val="00C5479D"/>
    <w:rsid w:val="00C55802"/>
    <w:rsid w:val="00C615F8"/>
    <w:rsid w:val="00C617D6"/>
    <w:rsid w:val="00C63D9E"/>
    <w:rsid w:val="00C65993"/>
    <w:rsid w:val="00C6665F"/>
    <w:rsid w:val="00C708E5"/>
    <w:rsid w:val="00C7268D"/>
    <w:rsid w:val="00C73FBB"/>
    <w:rsid w:val="00C766BF"/>
    <w:rsid w:val="00C76763"/>
    <w:rsid w:val="00C76E6E"/>
    <w:rsid w:val="00C773EE"/>
    <w:rsid w:val="00C821C4"/>
    <w:rsid w:val="00C821EF"/>
    <w:rsid w:val="00C82B54"/>
    <w:rsid w:val="00C83BD2"/>
    <w:rsid w:val="00C8559A"/>
    <w:rsid w:val="00C86E40"/>
    <w:rsid w:val="00C87F15"/>
    <w:rsid w:val="00C91B34"/>
    <w:rsid w:val="00C93030"/>
    <w:rsid w:val="00C93172"/>
    <w:rsid w:val="00C9319A"/>
    <w:rsid w:val="00C94713"/>
    <w:rsid w:val="00C96893"/>
    <w:rsid w:val="00C971CC"/>
    <w:rsid w:val="00C97D33"/>
    <w:rsid w:val="00CA088E"/>
    <w:rsid w:val="00CA19DA"/>
    <w:rsid w:val="00CA4A89"/>
    <w:rsid w:val="00CA7D36"/>
    <w:rsid w:val="00CA7E4B"/>
    <w:rsid w:val="00CB03E5"/>
    <w:rsid w:val="00CB15B9"/>
    <w:rsid w:val="00CB24E8"/>
    <w:rsid w:val="00CB474C"/>
    <w:rsid w:val="00CB4B71"/>
    <w:rsid w:val="00CB4E00"/>
    <w:rsid w:val="00CB58BB"/>
    <w:rsid w:val="00CB6D94"/>
    <w:rsid w:val="00CC1654"/>
    <w:rsid w:val="00CC2C42"/>
    <w:rsid w:val="00CC3990"/>
    <w:rsid w:val="00CC7F84"/>
    <w:rsid w:val="00CD0566"/>
    <w:rsid w:val="00CD1DE6"/>
    <w:rsid w:val="00CD263D"/>
    <w:rsid w:val="00CD2C59"/>
    <w:rsid w:val="00CD2D29"/>
    <w:rsid w:val="00CD2DBC"/>
    <w:rsid w:val="00CD4D4A"/>
    <w:rsid w:val="00CD622E"/>
    <w:rsid w:val="00CD6402"/>
    <w:rsid w:val="00CD6953"/>
    <w:rsid w:val="00CE229F"/>
    <w:rsid w:val="00CE2D19"/>
    <w:rsid w:val="00CE5FB9"/>
    <w:rsid w:val="00CE72A1"/>
    <w:rsid w:val="00CE7B78"/>
    <w:rsid w:val="00CF07D7"/>
    <w:rsid w:val="00CF34F5"/>
    <w:rsid w:val="00CF4DC4"/>
    <w:rsid w:val="00CF68FA"/>
    <w:rsid w:val="00CF6E57"/>
    <w:rsid w:val="00CF7972"/>
    <w:rsid w:val="00CF7BD7"/>
    <w:rsid w:val="00CF7EE9"/>
    <w:rsid w:val="00D005ED"/>
    <w:rsid w:val="00D01D18"/>
    <w:rsid w:val="00D01D7C"/>
    <w:rsid w:val="00D05280"/>
    <w:rsid w:val="00D07B06"/>
    <w:rsid w:val="00D160FA"/>
    <w:rsid w:val="00D17B55"/>
    <w:rsid w:val="00D17B74"/>
    <w:rsid w:val="00D20229"/>
    <w:rsid w:val="00D213B9"/>
    <w:rsid w:val="00D21B24"/>
    <w:rsid w:val="00D21D59"/>
    <w:rsid w:val="00D2503B"/>
    <w:rsid w:val="00D260FC"/>
    <w:rsid w:val="00D31CEE"/>
    <w:rsid w:val="00D34692"/>
    <w:rsid w:val="00D34DD5"/>
    <w:rsid w:val="00D363DE"/>
    <w:rsid w:val="00D37A3C"/>
    <w:rsid w:val="00D402AC"/>
    <w:rsid w:val="00D40CCE"/>
    <w:rsid w:val="00D416C6"/>
    <w:rsid w:val="00D41F66"/>
    <w:rsid w:val="00D42C44"/>
    <w:rsid w:val="00D43327"/>
    <w:rsid w:val="00D4381E"/>
    <w:rsid w:val="00D465F2"/>
    <w:rsid w:val="00D469E5"/>
    <w:rsid w:val="00D518AD"/>
    <w:rsid w:val="00D52131"/>
    <w:rsid w:val="00D5403F"/>
    <w:rsid w:val="00D5462A"/>
    <w:rsid w:val="00D60A25"/>
    <w:rsid w:val="00D60C34"/>
    <w:rsid w:val="00D63EBF"/>
    <w:rsid w:val="00D67217"/>
    <w:rsid w:val="00D7048B"/>
    <w:rsid w:val="00D706F0"/>
    <w:rsid w:val="00D707EB"/>
    <w:rsid w:val="00D71025"/>
    <w:rsid w:val="00D72F3D"/>
    <w:rsid w:val="00D73893"/>
    <w:rsid w:val="00D741FA"/>
    <w:rsid w:val="00D7495F"/>
    <w:rsid w:val="00D7609C"/>
    <w:rsid w:val="00D80659"/>
    <w:rsid w:val="00D81C90"/>
    <w:rsid w:val="00D81E81"/>
    <w:rsid w:val="00D833F5"/>
    <w:rsid w:val="00D83850"/>
    <w:rsid w:val="00D83FA3"/>
    <w:rsid w:val="00D84EA4"/>
    <w:rsid w:val="00D84F82"/>
    <w:rsid w:val="00D85E95"/>
    <w:rsid w:val="00D867CB"/>
    <w:rsid w:val="00D94F6A"/>
    <w:rsid w:val="00D96A10"/>
    <w:rsid w:val="00DA03B7"/>
    <w:rsid w:val="00DA104E"/>
    <w:rsid w:val="00DA5744"/>
    <w:rsid w:val="00DA703A"/>
    <w:rsid w:val="00DA7347"/>
    <w:rsid w:val="00DA7542"/>
    <w:rsid w:val="00DB0E08"/>
    <w:rsid w:val="00DB3BF7"/>
    <w:rsid w:val="00DB5A1A"/>
    <w:rsid w:val="00DB5F27"/>
    <w:rsid w:val="00DB73F3"/>
    <w:rsid w:val="00DB7873"/>
    <w:rsid w:val="00DC08AC"/>
    <w:rsid w:val="00DC0903"/>
    <w:rsid w:val="00DC1E69"/>
    <w:rsid w:val="00DC2C82"/>
    <w:rsid w:val="00DC2CA3"/>
    <w:rsid w:val="00DC3CC0"/>
    <w:rsid w:val="00DC5CDD"/>
    <w:rsid w:val="00DC5E50"/>
    <w:rsid w:val="00DC7A9C"/>
    <w:rsid w:val="00DC7CF0"/>
    <w:rsid w:val="00DD027B"/>
    <w:rsid w:val="00DD1DA6"/>
    <w:rsid w:val="00DD3C67"/>
    <w:rsid w:val="00DD46F2"/>
    <w:rsid w:val="00DD4C7E"/>
    <w:rsid w:val="00DD576B"/>
    <w:rsid w:val="00DD57EC"/>
    <w:rsid w:val="00DE1F4D"/>
    <w:rsid w:val="00DE65F1"/>
    <w:rsid w:val="00DE6A82"/>
    <w:rsid w:val="00DE7179"/>
    <w:rsid w:val="00DE79B4"/>
    <w:rsid w:val="00DF0E7F"/>
    <w:rsid w:val="00DF2178"/>
    <w:rsid w:val="00DF2F2C"/>
    <w:rsid w:val="00DF3467"/>
    <w:rsid w:val="00DF5647"/>
    <w:rsid w:val="00DF70BD"/>
    <w:rsid w:val="00DF7531"/>
    <w:rsid w:val="00DF7733"/>
    <w:rsid w:val="00E02C1F"/>
    <w:rsid w:val="00E047BE"/>
    <w:rsid w:val="00E052DD"/>
    <w:rsid w:val="00E06112"/>
    <w:rsid w:val="00E06DEC"/>
    <w:rsid w:val="00E10951"/>
    <w:rsid w:val="00E12301"/>
    <w:rsid w:val="00E1391B"/>
    <w:rsid w:val="00E13FAE"/>
    <w:rsid w:val="00E15380"/>
    <w:rsid w:val="00E15DED"/>
    <w:rsid w:val="00E162F6"/>
    <w:rsid w:val="00E16DCD"/>
    <w:rsid w:val="00E17A31"/>
    <w:rsid w:val="00E17AF6"/>
    <w:rsid w:val="00E2066E"/>
    <w:rsid w:val="00E207A1"/>
    <w:rsid w:val="00E233E6"/>
    <w:rsid w:val="00E23FC8"/>
    <w:rsid w:val="00E27C7B"/>
    <w:rsid w:val="00E30761"/>
    <w:rsid w:val="00E35A3A"/>
    <w:rsid w:val="00E369C0"/>
    <w:rsid w:val="00E36CF0"/>
    <w:rsid w:val="00E36EE7"/>
    <w:rsid w:val="00E40274"/>
    <w:rsid w:val="00E40760"/>
    <w:rsid w:val="00E42C48"/>
    <w:rsid w:val="00E43815"/>
    <w:rsid w:val="00E45D06"/>
    <w:rsid w:val="00E50519"/>
    <w:rsid w:val="00E5152C"/>
    <w:rsid w:val="00E529B3"/>
    <w:rsid w:val="00E53ACA"/>
    <w:rsid w:val="00E54E5C"/>
    <w:rsid w:val="00E555AE"/>
    <w:rsid w:val="00E562A9"/>
    <w:rsid w:val="00E5662D"/>
    <w:rsid w:val="00E6187A"/>
    <w:rsid w:val="00E62DF7"/>
    <w:rsid w:val="00E63819"/>
    <w:rsid w:val="00E63B16"/>
    <w:rsid w:val="00E70571"/>
    <w:rsid w:val="00E7397A"/>
    <w:rsid w:val="00E740D5"/>
    <w:rsid w:val="00E743AA"/>
    <w:rsid w:val="00E74987"/>
    <w:rsid w:val="00E74E41"/>
    <w:rsid w:val="00E763B2"/>
    <w:rsid w:val="00E774D3"/>
    <w:rsid w:val="00E80262"/>
    <w:rsid w:val="00E815EC"/>
    <w:rsid w:val="00E834FF"/>
    <w:rsid w:val="00E83F65"/>
    <w:rsid w:val="00E84849"/>
    <w:rsid w:val="00E871CD"/>
    <w:rsid w:val="00E9260E"/>
    <w:rsid w:val="00E97BF1"/>
    <w:rsid w:val="00E97DD1"/>
    <w:rsid w:val="00EA1212"/>
    <w:rsid w:val="00EA2470"/>
    <w:rsid w:val="00EA3B9F"/>
    <w:rsid w:val="00EA41DE"/>
    <w:rsid w:val="00EA7112"/>
    <w:rsid w:val="00EB20FF"/>
    <w:rsid w:val="00EB27BD"/>
    <w:rsid w:val="00EB2878"/>
    <w:rsid w:val="00EB2AE1"/>
    <w:rsid w:val="00EC02F1"/>
    <w:rsid w:val="00EC0C1D"/>
    <w:rsid w:val="00EC1808"/>
    <w:rsid w:val="00EC323C"/>
    <w:rsid w:val="00EC4B1F"/>
    <w:rsid w:val="00EC60BA"/>
    <w:rsid w:val="00EC63E9"/>
    <w:rsid w:val="00ED11B4"/>
    <w:rsid w:val="00ED13D8"/>
    <w:rsid w:val="00ED2372"/>
    <w:rsid w:val="00ED257E"/>
    <w:rsid w:val="00ED311B"/>
    <w:rsid w:val="00ED4322"/>
    <w:rsid w:val="00ED55F4"/>
    <w:rsid w:val="00ED5727"/>
    <w:rsid w:val="00ED7AD6"/>
    <w:rsid w:val="00EE180C"/>
    <w:rsid w:val="00EE32AD"/>
    <w:rsid w:val="00EE5FF0"/>
    <w:rsid w:val="00EF095C"/>
    <w:rsid w:val="00EF2B79"/>
    <w:rsid w:val="00EF6796"/>
    <w:rsid w:val="00F01F83"/>
    <w:rsid w:val="00F02576"/>
    <w:rsid w:val="00F02986"/>
    <w:rsid w:val="00F02E77"/>
    <w:rsid w:val="00F0366A"/>
    <w:rsid w:val="00F036AD"/>
    <w:rsid w:val="00F057A4"/>
    <w:rsid w:val="00F06304"/>
    <w:rsid w:val="00F06E49"/>
    <w:rsid w:val="00F100EF"/>
    <w:rsid w:val="00F111AD"/>
    <w:rsid w:val="00F13494"/>
    <w:rsid w:val="00F146F0"/>
    <w:rsid w:val="00F170FA"/>
    <w:rsid w:val="00F171EE"/>
    <w:rsid w:val="00F2001B"/>
    <w:rsid w:val="00F217CB"/>
    <w:rsid w:val="00F21C88"/>
    <w:rsid w:val="00F23429"/>
    <w:rsid w:val="00F23925"/>
    <w:rsid w:val="00F23C67"/>
    <w:rsid w:val="00F26A68"/>
    <w:rsid w:val="00F30034"/>
    <w:rsid w:val="00F3251A"/>
    <w:rsid w:val="00F342BC"/>
    <w:rsid w:val="00F3492D"/>
    <w:rsid w:val="00F34A50"/>
    <w:rsid w:val="00F34D22"/>
    <w:rsid w:val="00F35107"/>
    <w:rsid w:val="00F35427"/>
    <w:rsid w:val="00F36053"/>
    <w:rsid w:val="00F3620E"/>
    <w:rsid w:val="00F36445"/>
    <w:rsid w:val="00F376D3"/>
    <w:rsid w:val="00F40BAD"/>
    <w:rsid w:val="00F43634"/>
    <w:rsid w:val="00F44936"/>
    <w:rsid w:val="00F451A4"/>
    <w:rsid w:val="00F45DB3"/>
    <w:rsid w:val="00F47861"/>
    <w:rsid w:val="00F47F77"/>
    <w:rsid w:val="00F509C2"/>
    <w:rsid w:val="00F50CC2"/>
    <w:rsid w:val="00F513A2"/>
    <w:rsid w:val="00F53376"/>
    <w:rsid w:val="00F55215"/>
    <w:rsid w:val="00F57A07"/>
    <w:rsid w:val="00F60861"/>
    <w:rsid w:val="00F6249E"/>
    <w:rsid w:val="00F62B21"/>
    <w:rsid w:val="00F6307E"/>
    <w:rsid w:val="00F6334D"/>
    <w:rsid w:val="00F6425F"/>
    <w:rsid w:val="00F66A06"/>
    <w:rsid w:val="00F6797F"/>
    <w:rsid w:val="00F70360"/>
    <w:rsid w:val="00F7064B"/>
    <w:rsid w:val="00F73A81"/>
    <w:rsid w:val="00F74D44"/>
    <w:rsid w:val="00F7522E"/>
    <w:rsid w:val="00F755C6"/>
    <w:rsid w:val="00F759B0"/>
    <w:rsid w:val="00F76088"/>
    <w:rsid w:val="00F7790C"/>
    <w:rsid w:val="00F8020A"/>
    <w:rsid w:val="00F812A1"/>
    <w:rsid w:val="00F828A1"/>
    <w:rsid w:val="00F84103"/>
    <w:rsid w:val="00F8774C"/>
    <w:rsid w:val="00F901EE"/>
    <w:rsid w:val="00F901F7"/>
    <w:rsid w:val="00F92318"/>
    <w:rsid w:val="00F92ABD"/>
    <w:rsid w:val="00F931DE"/>
    <w:rsid w:val="00F94415"/>
    <w:rsid w:val="00F9712F"/>
    <w:rsid w:val="00FA0487"/>
    <w:rsid w:val="00FA19BE"/>
    <w:rsid w:val="00FA734E"/>
    <w:rsid w:val="00FB020B"/>
    <w:rsid w:val="00FB52E7"/>
    <w:rsid w:val="00FB66A9"/>
    <w:rsid w:val="00FC0CBD"/>
    <w:rsid w:val="00FC185D"/>
    <w:rsid w:val="00FC4126"/>
    <w:rsid w:val="00FC435C"/>
    <w:rsid w:val="00FC5F3A"/>
    <w:rsid w:val="00FC74E5"/>
    <w:rsid w:val="00FD01D3"/>
    <w:rsid w:val="00FD2AD7"/>
    <w:rsid w:val="00FD4F07"/>
    <w:rsid w:val="00FD5004"/>
    <w:rsid w:val="00FD518B"/>
    <w:rsid w:val="00FD76EE"/>
    <w:rsid w:val="00FE0E01"/>
    <w:rsid w:val="00FE2082"/>
    <w:rsid w:val="00FE20F2"/>
    <w:rsid w:val="00FE4553"/>
    <w:rsid w:val="00FF1B56"/>
    <w:rsid w:val="00FF1D5E"/>
    <w:rsid w:val="00FF2AB5"/>
    <w:rsid w:val="00FF669A"/>
    <w:rsid w:val="00FF6A39"/>
    <w:rsid w:val="00FF6C5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29D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C65"/>
    <w:rPr>
      <w:rFonts w:ascii="Calibri" w:eastAsia="Cambria" w:hAnsi="Calibri" w:cs="Times New Roman"/>
      <w:color w:val="3B3C3B"/>
      <w:lang w:val="en-GB"/>
    </w:rPr>
  </w:style>
  <w:style w:type="paragraph" w:styleId="Heading1">
    <w:name w:val="heading 1"/>
    <w:basedOn w:val="Normal"/>
    <w:next w:val="Normal"/>
    <w:link w:val="Heading1Char"/>
    <w:uiPriority w:val="1"/>
    <w:qFormat/>
    <w:rsid w:val="00BC0C65"/>
    <w:pPr>
      <w:keepNext/>
      <w:keepLines/>
      <w:spacing w:before="480"/>
      <w:outlineLvl w:val="0"/>
    </w:pPr>
    <w:rPr>
      <w:rFonts w:eastAsia="Times New Roman"/>
      <w:b/>
      <w:bCs/>
      <w:color w:val="1A7399"/>
      <w:sz w:val="44"/>
      <w:szCs w:val="32"/>
    </w:rPr>
  </w:style>
  <w:style w:type="paragraph" w:styleId="Heading2">
    <w:name w:val="heading 2"/>
    <w:basedOn w:val="Normal"/>
    <w:next w:val="Normal"/>
    <w:link w:val="Heading2Char"/>
    <w:uiPriority w:val="1"/>
    <w:qFormat/>
    <w:rsid w:val="00BC0C65"/>
    <w:pPr>
      <w:keepNext/>
      <w:keepLines/>
      <w:spacing w:before="200"/>
      <w:outlineLvl w:val="1"/>
    </w:pPr>
    <w:rPr>
      <w:rFonts w:eastAsia="Times New Roman"/>
      <w:bCs/>
      <w:color w:val="1A7399"/>
      <w:sz w:val="36"/>
      <w:szCs w:val="26"/>
    </w:rPr>
  </w:style>
  <w:style w:type="paragraph" w:styleId="Heading3">
    <w:name w:val="heading 3"/>
    <w:basedOn w:val="Normal"/>
    <w:next w:val="BodyText"/>
    <w:link w:val="Heading3Char"/>
    <w:uiPriority w:val="1"/>
    <w:qFormat/>
    <w:rsid w:val="00BC0C65"/>
    <w:pPr>
      <w:keepNext/>
      <w:keepLines/>
      <w:spacing w:before="200"/>
      <w:outlineLvl w:val="2"/>
    </w:pPr>
    <w:rPr>
      <w:rFonts w:eastAsia="Times New Roman"/>
      <w:bCs/>
      <w:color w:val="1A7399"/>
      <w:sz w:val="28"/>
    </w:rPr>
  </w:style>
  <w:style w:type="paragraph" w:styleId="Heading4">
    <w:name w:val="heading 4"/>
    <w:basedOn w:val="Normal"/>
    <w:next w:val="Normal"/>
    <w:link w:val="Heading4Char"/>
    <w:uiPriority w:val="9"/>
    <w:unhideWhenUsed/>
    <w:qFormat/>
    <w:rsid w:val="002238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C65"/>
    <w:pPr>
      <w:tabs>
        <w:tab w:val="center" w:pos="4320"/>
        <w:tab w:val="right" w:pos="8640"/>
      </w:tabs>
    </w:pPr>
  </w:style>
  <w:style w:type="character" w:customStyle="1" w:styleId="HeaderChar">
    <w:name w:val="Header Char"/>
    <w:basedOn w:val="DefaultParagraphFont"/>
    <w:link w:val="Header"/>
    <w:uiPriority w:val="99"/>
    <w:rsid w:val="00BC0C65"/>
  </w:style>
  <w:style w:type="paragraph" w:styleId="Footer">
    <w:name w:val="footer"/>
    <w:basedOn w:val="Normal"/>
    <w:link w:val="FooterChar"/>
    <w:uiPriority w:val="99"/>
    <w:unhideWhenUsed/>
    <w:rsid w:val="00BC0C65"/>
    <w:pPr>
      <w:tabs>
        <w:tab w:val="center" w:pos="4320"/>
        <w:tab w:val="right" w:pos="8640"/>
      </w:tabs>
    </w:pPr>
  </w:style>
  <w:style w:type="character" w:customStyle="1" w:styleId="FooterChar">
    <w:name w:val="Footer Char"/>
    <w:basedOn w:val="DefaultParagraphFont"/>
    <w:link w:val="Footer"/>
    <w:uiPriority w:val="99"/>
    <w:rsid w:val="00BC0C65"/>
  </w:style>
  <w:style w:type="paragraph" w:styleId="BalloonText">
    <w:name w:val="Balloon Text"/>
    <w:basedOn w:val="Normal"/>
    <w:link w:val="BalloonTextChar"/>
    <w:uiPriority w:val="99"/>
    <w:unhideWhenUsed/>
    <w:rsid w:val="00BC0C6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BC0C65"/>
    <w:rPr>
      <w:rFonts w:ascii="Lucida Grande" w:hAnsi="Lucida Grande" w:cs="Lucida Grande"/>
      <w:sz w:val="18"/>
      <w:szCs w:val="18"/>
    </w:rPr>
  </w:style>
  <w:style w:type="character" w:customStyle="1" w:styleId="Heading1Char">
    <w:name w:val="Heading 1 Char"/>
    <w:basedOn w:val="DefaultParagraphFont"/>
    <w:link w:val="Heading1"/>
    <w:uiPriority w:val="9"/>
    <w:rsid w:val="00BC0C65"/>
    <w:rPr>
      <w:rFonts w:ascii="Calibri" w:eastAsia="Times New Roman" w:hAnsi="Calibri" w:cs="Times New Roman"/>
      <w:b/>
      <w:bCs/>
      <w:color w:val="1A7399"/>
      <w:sz w:val="44"/>
      <w:szCs w:val="32"/>
      <w:lang w:val="en-US"/>
    </w:rPr>
  </w:style>
  <w:style w:type="character" w:customStyle="1" w:styleId="Heading2Char">
    <w:name w:val="Heading 2 Char"/>
    <w:basedOn w:val="DefaultParagraphFont"/>
    <w:link w:val="Heading2"/>
    <w:uiPriority w:val="1"/>
    <w:rsid w:val="00BC0C65"/>
    <w:rPr>
      <w:rFonts w:ascii="Calibri" w:eastAsia="Times New Roman" w:hAnsi="Calibri" w:cs="Times New Roman"/>
      <w:bCs/>
      <w:color w:val="1A7399"/>
      <w:sz w:val="36"/>
      <w:szCs w:val="26"/>
      <w:lang w:val="en-US"/>
    </w:rPr>
  </w:style>
  <w:style w:type="character" w:customStyle="1" w:styleId="Heading3Char">
    <w:name w:val="Heading 3 Char"/>
    <w:basedOn w:val="DefaultParagraphFont"/>
    <w:link w:val="Heading3"/>
    <w:uiPriority w:val="9"/>
    <w:rsid w:val="00BC0C65"/>
    <w:rPr>
      <w:rFonts w:ascii="Calibri" w:eastAsia="Times New Roman" w:hAnsi="Calibri" w:cs="Times New Roman"/>
      <w:bCs/>
      <w:color w:val="1A7399"/>
      <w:sz w:val="28"/>
      <w:lang w:val="en-US"/>
    </w:rPr>
  </w:style>
  <w:style w:type="numbering" w:customStyle="1" w:styleId="Bulletlist">
    <w:name w:val="Bullet list"/>
    <w:rsid w:val="00BC0C65"/>
    <w:pPr>
      <w:numPr>
        <w:numId w:val="1"/>
      </w:numPr>
    </w:pPr>
  </w:style>
  <w:style w:type="character" w:customStyle="1" w:styleId="BodyTextChar">
    <w:name w:val="Body Text Char"/>
    <w:basedOn w:val="DefaultParagraphFont"/>
    <w:link w:val="BodyText"/>
    <w:rsid w:val="00BC0C65"/>
    <w:rPr>
      <w:rFonts w:ascii="Calibri" w:hAnsi="Calibri"/>
      <w:color w:val="3B3C3B"/>
      <w:lang w:val="en-US"/>
    </w:rPr>
  </w:style>
  <w:style w:type="paragraph" w:styleId="BodyText">
    <w:name w:val="Body Text"/>
    <w:basedOn w:val="Normal"/>
    <w:link w:val="BodyTextChar"/>
    <w:qFormat/>
    <w:rsid w:val="00BC0C65"/>
    <w:pPr>
      <w:spacing w:after="120"/>
    </w:pPr>
    <w:rPr>
      <w:rFonts w:eastAsiaTheme="minorEastAsia" w:cstheme="minorBidi"/>
    </w:rPr>
  </w:style>
  <w:style w:type="character" w:customStyle="1" w:styleId="BodyTextChar1">
    <w:name w:val="Body Text Char1"/>
    <w:basedOn w:val="DefaultParagraphFont"/>
    <w:uiPriority w:val="99"/>
    <w:semiHidden/>
    <w:rsid w:val="00BC0C65"/>
    <w:rPr>
      <w:rFonts w:ascii="Calibri" w:eastAsia="Cambria" w:hAnsi="Calibri" w:cs="Times New Roman"/>
      <w:color w:val="3B3C3B"/>
      <w:lang w:val="en-US"/>
    </w:rPr>
  </w:style>
  <w:style w:type="paragraph" w:customStyle="1" w:styleId="Numberlist">
    <w:name w:val="Number list"/>
    <w:basedOn w:val="Normal"/>
    <w:next w:val="Normal"/>
    <w:qFormat/>
    <w:rsid w:val="00BC0C65"/>
    <w:pPr>
      <w:tabs>
        <w:tab w:val="num" w:pos="360"/>
      </w:tabs>
      <w:spacing w:after="120"/>
      <w:ind w:left="357" w:hanging="357"/>
    </w:pPr>
    <w:rPr>
      <w:color w:val="3C3C3B"/>
    </w:rPr>
  </w:style>
  <w:style w:type="character" w:styleId="FollowedHyperlink">
    <w:name w:val="FollowedHyperlink"/>
    <w:basedOn w:val="DefaultParagraphFont"/>
    <w:uiPriority w:val="99"/>
    <w:semiHidden/>
    <w:unhideWhenUsed/>
    <w:rsid w:val="00FD5004"/>
    <w:rPr>
      <w:color w:val="800080"/>
      <w:u w:val="single"/>
    </w:rPr>
  </w:style>
  <w:style w:type="character" w:styleId="Hyperlink">
    <w:name w:val="Hyperlink"/>
    <w:basedOn w:val="DefaultParagraphFont"/>
    <w:uiPriority w:val="99"/>
    <w:rsid w:val="00FD5004"/>
    <w:rPr>
      <w:color w:val="0000FF"/>
      <w:u w:val="single"/>
    </w:rPr>
  </w:style>
  <w:style w:type="paragraph" w:styleId="NoSpacing">
    <w:name w:val="No Spacing"/>
    <w:uiPriority w:val="1"/>
    <w:qFormat/>
    <w:rsid w:val="00FD5004"/>
    <w:rPr>
      <w:rFonts w:ascii="Calibri" w:eastAsia="Cambria" w:hAnsi="Calibri" w:cs="Times New Roman"/>
      <w:color w:val="3B3C3B"/>
      <w:lang w:val="en-US"/>
    </w:rPr>
  </w:style>
  <w:style w:type="paragraph" w:customStyle="1" w:styleId="3DCITA-HEADING01">
    <w:name w:val="3. DCITA - HEADING 01"/>
    <w:basedOn w:val="Normal"/>
    <w:rsid w:val="00FD5004"/>
    <w:pPr>
      <w:widowControl w:val="0"/>
      <w:autoSpaceDE w:val="0"/>
      <w:autoSpaceDN w:val="0"/>
      <w:adjustRightInd w:val="0"/>
      <w:spacing w:after="100" w:line="288" w:lineRule="auto"/>
      <w:textAlignment w:val="center"/>
    </w:pPr>
    <w:rPr>
      <w:rFonts w:ascii="Arial Narrow" w:eastAsia="Times New Roman" w:hAnsi="Arial Narrow"/>
      <w:b/>
      <w:color w:val="000000"/>
      <w:sz w:val="32"/>
      <w:szCs w:val="20"/>
    </w:rPr>
  </w:style>
  <w:style w:type="paragraph" w:styleId="TOCHeading">
    <w:name w:val="TOC Heading"/>
    <w:basedOn w:val="Heading1"/>
    <w:next w:val="Normal"/>
    <w:uiPriority w:val="39"/>
    <w:unhideWhenUsed/>
    <w:qFormat/>
    <w:rsid w:val="00FD5004"/>
    <w:pPr>
      <w:spacing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qFormat/>
    <w:rsid w:val="000378DF"/>
    <w:pPr>
      <w:tabs>
        <w:tab w:val="right" w:leader="dot" w:pos="8364"/>
      </w:tabs>
      <w:spacing w:after="100"/>
    </w:pPr>
  </w:style>
  <w:style w:type="paragraph" w:styleId="TOC2">
    <w:name w:val="toc 2"/>
    <w:basedOn w:val="Normal"/>
    <w:next w:val="Normal"/>
    <w:autoRedefine/>
    <w:uiPriority w:val="39"/>
    <w:qFormat/>
    <w:rsid w:val="000378DF"/>
    <w:pPr>
      <w:tabs>
        <w:tab w:val="right" w:leader="dot" w:pos="8364"/>
      </w:tabs>
      <w:spacing w:after="100"/>
      <w:ind w:left="240"/>
    </w:pPr>
  </w:style>
  <w:style w:type="paragraph" w:styleId="TOC3">
    <w:name w:val="toc 3"/>
    <w:basedOn w:val="Normal"/>
    <w:next w:val="Normal"/>
    <w:autoRedefine/>
    <w:uiPriority w:val="39"/>
    <w:rsid w:val="000378DF"/>
    <w:pPr>
      <w:tabs>
        <w:tab w:val="right" w:leader="dot" w:pos="8364"/>
      </w:tabs>
      <w:spacing w:after="100"/>
      <w:ind w:left="240"/>
    </w:pPr>
  </w:style>
  <w:style w:type="paragraph" w:styleId="ListParagraph">
    <w:name w:val="List Paragraph"/>
    <w:basedOn w:val="Normal"/>
    <w:uiPriority w:val="34"/>
    <w:qFormat/>
    <w:rsid w:val="00FD5004"/>
    <w:pPr>
      <w:spacing w:after="200" w:line="276" w:lineRule="auto"/>
      <w:ind w:left="720"/>
      <w:contextualSpacing/>
    </w:pPr>
    <w:rPr>
      <w:rFonts w:asciiTheme="minorHAnsi" w:eastAsiaTheme="minorHAnsi" w:hAnsiTheme="minorHAnsi" w:cstheme="minorBidi"/>
      <w:color w:val="auto"/>
      <w:sz w:val="22"/>
      <w:szCs w:val="22"/>
      <w:lang w:val="en-AU"/>
    </w:rPr>
  </w:style>
  <w:style w:type="character" w:customStyle="1" w:styleId="nowrap1">
    <w:name w:val="nowrap1"/>
    <w:basedOn w:val="DefaultParagraphFont"/>
    <w:rsid w:val="00FD5004"/>
  </w:style>
  <w:style w:type="paragraph" w:styleId="NormalWeb">
    <w:name w:val="Normal (Web)"/>
    <w:basedOn w:val="Normal"/>
    <w:uiPriority w:val="99"/>
    <w:unhideWhenUsed/>
    <w:rsid w:val="00FD5004"/>
    <w:pPr>
      <w:spacing w:before="100" w:beforeAutospacing="1" w:after="100" w:afterAutospacing="1"/>
    </w:pPr>
    <w:rPr>
      <w:rFonts w:ascii="Times New Roman" w:eastAsiaTheme="minorHAnsi" w:hAnsi="Times New Roman"/>
      <w:color w:val="auto"/>
      <w:lang w:val="en-AU" w:eastAsia="en-AU"/>
    </w:rPr>
  </w:style>
  <w:style w:type="character" w:styleId="CommentReference">
    <w:name w:val="annotation reference"/>
    <w:basedOn w:val="DefaultParagraphFont"/>
    <w:uiPriority w:val="99"/>
    <w:unhideWhenUsed/>
    <w:rsid w:val="00FD5004"/>
    <w:rPr>
      <w:sz w:val="16"/>
      <w:szCs w:val="16"/>
    </w:rPr>
  </w:style>
  <w:style w:type="paragraph" w:styleId="CommentText">
    <w:name w:val="annotation text"/>
    <w:basedOn w:val="Normal"/>
    <w:link w:val="CommentTextChar"/>
    <w:uiPriority w:val="99"/>
    <w:unhideWhenUsed/>
    <w:rsid w:val="00FD5004"/>
    <w:pPr>
      <w:spacing w:after="200"/>
    </w:pPr>
    <w:rPr>
      <w:rFonts w:asciiTheme="minorHAnsi" w:eastAsia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rsid w:val="00FD5004"/>
    <w:rPr>
      <w:rFonts w:eastAsiaTheme="minorHAnsi"/>
      <w:sz w:val="20"/>
      <w:szCs w:val="20"/>
    </w:rPr>
  </w:style>
  <w:style w:type="paragraph" w:styleId="FootnoteText">
    <w:name w:val="footnote text"/>
    <w:basedOn w:val="Normal"/>
    <w:link w:val="FootnoteTextChar"/>
    <w:uiPriority w:val="99"/>
    <w:unhideWhenUsed/>
    <w:rsid w:val="00FD5004"/>
    <w:rPr>
      <w:rFonts w:asciiTheme="minorHAnsi" w:eastAsiaTheme="minorHAnsi" w:hAnsiTheme="minorHAnsi" w:cstheme="minorBidi"/>
      <w:color w:val="auto"/>
      <w:sz w:val="20"/>
      <w:szCs w:val="20"/>
      <w:lang w:val="en-AU"/>
    </w:rPr>
  </w:style>
  <w:style w:type="character" w:customStyle="1" w:styleId="FootnoteTextChar">
    <w:name w:val="Footnote Text Char"/>
    <w:basedOn w:val="DefaultParagraphFont"/>
    <w:link w:val="FootnoteText"/>
    <w:uiPriority w:val="99"/>
    <w:rsid w:val="00FD5004"/>
    <w:rPr>
      <w:rFonts w:eastAsiaTheme="minorHAnsi"/>
      <w:sz w:val="20"/>
      <w:szCs w:val="20"/>
    </w:rPr>
  </w:style>
  <w:style w:type="character" w:styleId="FootnoteReference">
    <w:name w:val="footnote reference"/>
    <w:basedOn w:val="DefaultParagraphFont"/>
    <w:uiPriority w:val="99"/>
    <w:unhideWhenUsed/>
    <w:rsid w:val="00FD5004"/>
    <w:rPr>
      <w:vertAlign w:val="superscript"/>
    </w:rPr>
  </w:style>
  <w:style w:type="paragraph" w:customStyle="1" w:styleId="Default">
    <w:name w:val="Default"/>
    <w:rsid w:val="00FD5004"/>
    <w:pPr>
      <w:autoSpaceDE w:val="0"/>
      <w:autoSpaceDN w:val="0"/>
      <w:adjustRightInd w:val="0"/>
    </w:pPr>
    <w:rPr>
      <w:rFonts w:ascii="Arial" w:eastAsia="Cambria" w:hAnsi="Arial" w:cs="Arial"/>
      <w:color w:val="000000"/>
      <w:lang w:eastAsia="en-AU"/>
    </w:rPr>
  </w:style>
  <w:style w:type="paragraph" w:customStyle="1" w:styleId="TableParagraph">
    <w:name w:val="Table Paragraph"/>
    <w:basedOn w:val="Normal"/>
    <w:uiPriority w:val="1"/>
    <w:qFormat/>
    <w:rsid w:val="00FD5004"/>
    <w:pPr>
      <w:widowControl w:val="0"/>
    </w:pPr>
    <w:rPr>
      <w:rFonts w:asciiTheme="minorHAnsi" w:eastAsiaTheme="minorHAnsi" w:hAnsiTheme="minorHAnsi" w:cstheme="minorBidi"/>
      <w:color w:val="auto"/>
      <w:sz w:val="22"/>
      <w:szCs w:val="22"/>
    </w:rPr>
  </w:style>
  <w:style w:type="character" w:customStyle="1" w:styleId="contentChar">
    <w:name w:val="content Char"/>
    <w:basedOn w:val="DefaultParagraphFont"/>
    <w:link w:val="content"/>
    <w:locked/>
    <w:rsid w:val="00FD5004"/>
    <w:rPr>
      <w:rFonts w:ascii="MS Mincho" w:eastAsia="MS Mincho" w:hAnsi="MS Mincho"/>
    </w:rPr>
  </w:style>
  <w:style w:type="paragraph" w:customStyle="1" w:styleId="content">
    <w:name w:val="content"/>
    <w:basedOn w:val="Normal"/>
    <w:link w:val="contentChar"/>
    <w:rsid w:val="00FD5004"/>
    <w:pPr>
      <w:spacing w:after="240"/>
    </w:pPr>
    <w:rPr>
      <w:rFonts w:ascii="MS Mincho" w:eastAsia="MS Mincho" w:hAnsi="MS Mincho" w:cstheme="minorBidi"/>
      <w:color w:val="auto"/>
      <w:lang w:val="en-AU"/>
    </w:rPr>
  </w:style>
  <w:style w:type="paragraph" w:styleId="Subtitle">
    <w:name w:val="Subtitle"/>
    <w:basedOn w:val="Normal"/>
    <w:next w:val="Normal"/>
    <w:link w:val="SubtitleChar"/>
    <w:qFormat/>
    <w:rsid w:val="00FD50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D5004"/>
    <w:rPr>
      <w:rFonts w:asciiTheme="majorHAnsi" w:eastAsiaTheme="majorEastAsia" w:hAnsiTheme="majorHAnsi" w:cstheme="majorBidi"/>
      <w:i/>
      <w:iCs/>
      <w:color w:val="4F81BD" w:themeColor="accent1"/>
      <w:spacing w:val="15"/>
      <w:lang w:val="en-US"/>
    </w:rPr>
  </w:style>
  <w:style w:type="paragraph" w:customStyle="1" w:styleId="Content0">
    <w:name w:val="Content"/>
    <w:link w:val="ContentChar0"/>
    <w:rsid w:val="00274A3B"/>
    <w:pPr>
      <w:spacing w:before="240" w:after="240"/>
      <w:jc w:val="both"/>
    </w:pPr>
    <w:rPr>
      <w:rFonts w:ascii="Times New Roman" w:eastAsia="Times New Roman" w:hAnsi="Times New Roman" w:cs="Times New Roman"/>
      <w:lang w:eastAsia="en-AU"/>
    </w:rPr>
  </w:style>
  <w:style w:type="character" w:customStyle="1" w:styleId="ContentChar0">
    <w:name w:val="Content Char"/>
    <w:basedOn w:val="DefaultParagraphFont"/>
    <w:link w:val="Content0"/>
    <w:rsid w:val="00274A3B"/>
    <w:rPr>
      <w:rFonts w:ascii="Times New Roman" w:eastAsia="Times New Roman" w:hAnsi="Times New Roman" w:cs="Times New Roman"/>
      <w:lang w:eastAsia="en-AU"/>
    </w:rPr>
  </w:style>
  <w:style w:type="character" w:styleId="Emphasis">
    <w:name w:val="Emphasis"/>
    <w:basedOn w:val="DefaultParagraphFont"/>
    <w:uiPriority w:val="20"/>
    <w:qFormat/>
    <w:rsid w:val="00F62B21"/>
    <w:rPr>
      <w:i/>
      <w:iCs/>
    </w:rPr>
  </w:style>
  <w:style w:type="character" w:styleId="Strong">
    <w:name w:val="Strong"/>
    <w:basedOn w:val="DefaultParagraphFont"/>
    <w:uiPriority w:val="22"/>
    <w:qFormat/>
    <w:rsid w:val="00F62B21"/>
    <w:rPr>
      <w:b/>
      <w:bCs/>
    </w:rPr>
  </w:style>
  <w:style w:type="character" w:styleId="BookTitle">
    <w:name w:val="Book Title"/>
    <w:basedOn w:val="DefaultParagraphFont"/>
    <w:uiPriority w:val="33"/>
    <w:qFormat/>
    <w:rsid w:val="00F62B21"/>
    <w:rPr>
      <w:b/>
      <w:bCs/>
      <w:smallCaps/>
      <w:spacing w:val="5"/>
    </w:rPr>
  </w:style>
  <w:style w:type="character" w:customStyle="1" w:styleId="Text-Normal">
    <w:name w:val="Text - Normal"/>
    <w:uiPriority w:val="1"/>
    <w:unhideWhenUsed/>
    <w:qFormat/>
    <w:rsid w:val="00F376D3"/>
    <w:rPr>
      <w:color w:val="000000"/>
      <w:sz w:val="24"/>
      <w:szCs w:val="24"/>
    </w:rPr>
  </w:style>
  <w:style w:type="paragraph" w:customStyle="1" w:styleId="MinSubbodytext">
    <w:name w:val="Min Sub body text"/>
    <w:uiPriority w:val="3"/>
    <w:rsid w:val="00F376D3"/>
    <w:pPr>
      <w:tabs>
        <w:tab w:val="right" w:pos="9923"/>
      </w:tabs>
      <w:ind w:left="-142"/>
    </w:pPr>
    <w:rPr>
      <w:rFonts w:ascii="Times New Roman" w:eastAsia="Calibri" w:hAnsi="Times New Roman" w:cs="Times New Roman"/>
      <w:lang w:eastAsia="en-AU"/>
    </w:rPr>
  </w:style>
  <w:style w:type="table" w:styleId="TableGrid">
    <w:name w:val="Table Grid"/>
    <w:basedOn w:val="TableNormal"/>
    <w:uiPriority w:val="59"/>
    <w:rsid w:val="00BC3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BC37E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BC37E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BC37E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BC37E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xl63">
    <w:name w:val="xl63"/>
    <w:basedOn w:val="Normal"/>
    <w:rsid w:val="00706202"/>
    <w:pPr>
      <w:pBdr>
        <w:top w:val="single" w:sz="4" w:space="0" w:color="7292CC"/>
        <w:left w:val="single" w:sz="4" w:space="0" w:color="7292CC"/>
        <w:bottom w:val="single" w:sz="4" w:space="0" w:color="7292CC"/>
        <w:right w:val="single" w:sz="4" w:space="0" w:color="7292CC"/>
      </w:pBdr>
      <w:shd w:val="clear" w:color="000000" w:fill="4C68A2"/>
      <w:spacing w:before="100" w:beforeAutospacing="1" w:after="100" w:afterAutospacing="1"/>
      <w:jc w:val="center"/>
      <w:textAlignment w:val="center"/>
    </w:pPr>
    <w:rPr>
      <w:rFonts w:ascii="Tahoma" w:eastAsia="Times New Roman" w:hAnsi="Tahoma" w:cs="Tahoma"/>
      <w:b/>
      <w:bCs/>
      <w:color w:val="FFFFFF"/>
      <w:sz w:val="22"/>
      <w:szCs w:val="22"/>
      <w:lang w:val="en-AU" w:eastAsia="en-AU"/>
    </w:rPr>
  </w:style>
  <w:style w:type="paragraph" w:customStyle="1" w:styleId="xl64">
    <w:name w:val="xl64"/>
    <w:basedOn w:val="Normal"/>
    <w:rsid w:val="00706202"/>
    <w:pPr>
      <w:pBdr>
        <w:top w:val="single" w:sz="4" w:space="0" w:color="E5E5E5"/>
        <w:left w:val="single" w:sz="4" w:space="0" w:color="E5E5E5"/>
        <w:bottom w:val="single" w:sz="4" w:space="0" w:color="E5E5E5"/>
        <w:right w:val="single" w:sz="4" w:space="0" w:color="E5E5E5"/>
      </w:pBdr>
      <w:spacing w:before="100" w:beforeAutospacing="1" w:after="100" w:afterAutospacing="1"/>
      <w:jc w:val="center"/>
      <w:textAlignment w:val="center"/>
    </w:pPr>
    <w:rPr>
      <w:rFonts w:ascii="Tahoma" w:eastAsia="Times New Roman" w:hAnsi="Tahoma" w:cs="Tahoma"/>
      <w:color w:val="4D4D4D"/>
      <w:lang w:val="en-AU" w:eastAsia="en-AU"/>
    </w:rPr>
  </w:style>
  <w:style w:type="paragraph" w:customStyle="1" w:styleId="xl65">
    <w:name w:val="xl65"/>
    <w:basedOn w:val="Normal"/>
    <w:rsid w:val="00706202"/>
    <w:pPr>
      <w:spacing w:before="100" w:beforeAutospacing="1" w:after="100" w:afterAutospacing="1"/>
      <w:jc w:val="center"/>
      <w:textAlignment w:val="center"/>
    </w:pPr>
    <w:rPr>
      <w:rFonts w:ascii="Times New Roman" w:eastAsia="Times New Roman" w:hAnsi="Times New Roman"/>
      <w:color w:val="auto"/>
      <w:lang w:val="en-AU" w:eastAsia="en-AU"/>
    </w:rPr>
  </w:style>
  <w:style w:type="paragraph" w:customStyle="1" w:styleId="xl66">
    <w:name w:val="xl66"/>
    <w:basedOn w:val="Normal"/>
    <w:rsid w:val="00706202"/>
    <w:pPr>
      <w:pBdr>
        <w:top w:val="single" w:sz="4" w:space="0" w:color="7292CC"/>
        <w:left w:val="single" w:sz="4" w:space="0" w:color="7292CC"/>
        <w:bottom w:val="single" w:sz="4" w:space="0" w:color="7292CC"/>
        <w:right w:val="single" w:sz="4" w:space="0" w:color="7292CC"/>
      </w:pBdr>
      <w:shd w:val="clear" w:color="000000" w:fill="4C68A2"/>
      <w:spacing w:before="100" w:beforeAutospacing="1" w:after="100" w:afterAutospacing="1"/>
      <w:jc w:val="center"/>
      <w:textAlignment w:val="top"/>
    </w:pPr>
    <w:rPr>
      <w:rFonts w:ascii="Tahoma" w:eastAsia="Times New Roman" w:hAnsi="Tahoma" w:cs="Tahoma"/>
      <w:b/>
      <w:bCs/>
      <w:color w:val="FFFFFF"/>
      <w:sz w:val="22"/>
      <w:szCs w:val="22"/>
      <w:lang w:val="en-AU" w:eastAsia="en-AU"/>
    </w:rPr>
  </w:style>
  <w:style w:type="paragraph" w:customStyle="1" w:styleId="xl67">
    <w:name w:val="xl67"/>
    <w:basedOn w:val="Normal"/>
    <w:rsid w:val="00706202"/>
    <w:pPr>
      <w:pBdr>
        <w:top w:val="single" w:sz="4" w:space="0" w:color="E5E5E5"/>
        <w:left w:val="single" w:sz="4" w:space="0" w:color="E5E5E5"/>
        <w:bottom w:val="single" w:sz="4" w:space="0" w:color="E5E5E5"/>
        <w:right w:val="single" w:sz="4" w:space="0" w:color="E5E5E5"/>
      </w:pBdr>
      <w:spacing w:before="100" w:beforeAutospacing="1" w:after="100" w:afterAutospacing="1"/>
      <w:jc w:val="center"/>
      <w:textAlignment w:val="top"/>
    </w:pPr>
    <w:rPr>
      <w:rFonts w:ascii="Tahoma" w:eastAsia="Times New Roman" w:hAnsi="Tahoma" w:cs="Tahoma"/>
      <w:color w:val="4D4D4D"/>
      <w:lang w:val="en-AU" w:eastAsia="en-AU"/>
    </w:rPr>
  </w:style>
  <w:style w:type="paragraph" w:customStyle="1" w:styleId="xl68">
    <w:name w:val="xl68"/>
    <w:basedOn w:val="Normal"/>
    <w:rsid w:val="00706202"/>
    <w:pPr>
      <w:spacing w:before="100" w:beforeAutospacing="1" w:after="100" w:afterAutospacing="1"/>
      <w:jc w:val="center"/>
    </w:pPr>
    <w:rPr>
      <w:rFonts w:ascii="Times New Roman" w:eastAsia="Times New Roman" w:hAnsi="Times New Roman"/>
      <w:color w:val="auto"/>
      <w:lang w:val="en-AU" w:eastAsia="en-AU"/>
    </w:rPr>
  </w:style>
  <w:style w:type="paragraph" w:customStyle="1" w:styleId="xl69">
    <w:name w:val="xl69"/>
    <w:basedOn w:val="Normal"/>
    <w:rsid w:val="00706202"/>
    <w:pPr>
      <w:pBdr>
        <w:top w:val="single" w:sz="4" w:space="0" w:color="7292CC"/>
        <w:left w:val="single" w:sz="4" w:space="0" w:color="7292CC"/>
        <w:bottom w:val="single" w:sz="4" w:space="0" w:color="7292CC"/>
        <w:right w:val="single" w:sz="4" w:space="0" w:color="7292CC"/>
      </w:pBdr>
      <w:shd w:val="clear" w:color="000000" w:fill="4C68A2"/>
      <w:spacing w:before="100" w:beforeAutospacing="1" w:after="100" w:afterAutospacing="1"/>
      <w:jc w:val="center"/>
      <w:textAlignment w:val="center"/>
    </w:pPr>
    <w:rPr>
      <w:rFonts w:ascii="Tahoma" w:eastAsia="Times New Roman" w:hAnsi="Tahoma" w:cs="Tahoma"/>
      <w:b/>
      <w:bCs/>
      <w:color w:val="FFFFFF"/>
      <w:sz w:val="22"/>
      <w:szCs w:val="22"/>
      <w:lang w:val="en-AU" w:eastAsia="en-AU"/>
    </w:rPr>
  </w:style>
  <w:style w:type="paragraph" w:customStyle="1" w:styleId="xl70">
    <w:name w:val="xl70"/>
    <w:basedOn w:val="Normal"/>
    <w:rsid w:val="00706202"/>
    <w:pPr>
      <w:pBdr>
        <w:top w:val="single" w:sz="4" w:space="0" w:color="E5E5E5"/>
        <w:left w:val="single" w:sz="4" w:space="0" w:color="E5E5E5"/>
        <w:bottom w:val="single" w:sz="4" w:space="0" w:color="E5E5E5"/>
        <w:right w:val="single" w:sz="4" w:space="0" w:color="E5E5E5"/>
      </w:pBdr>
      <w:spacing w:before="100" w:beforeAutospacing="1" w:after="100" w:afterAutospacing="1"/>
      <w:jc w:val="center"/>
      <w:textAlignment w:val="center"/>
    </w:pPr>
    <w:rPr>
      <w:rFonts w:ascii="Tahoma" w:eastAsia="Times New Roman" w:hAnsi="Tahoma" w:cs="Tahoma"/>
      <w:color w:val="4D4D4D"/>
      <w:lang w:val="en-AU" w:eastAsia="en-AU"/>
    </w:rPr>
  </w:style>
  <w:style w:type="paragraph" w:customStyle="1" w:styleId="xl71">
    <w:name w:val="xl71"/>
    <w:basedOn w:val="Normal"/>
    <w:rsid w:val="00706202"/>
    <w:pPr>
      <w:spacing w:before="100" w:beforeAutospacing="1" w:after="100" w:afterAutospacing="1"/>
      <w:jc w:val="center"/>
      <w:textAlignment w:val="center"/>
    </w:pPr>
    <w:rPr>
      <w:rFonts w:ascii="Times New Roman" w:eastAsia="Times New Roman" w:hAnsi="Times New Roman"/>
      <w:color w:val="auto"/>
      <w:lang w:val="en-AU" w:eastAsia="en-AU"/>
    </w:rPr>
  </w:style>
  <w:style w:type="paragraph" w:customStyle="1" w:styleId="xl72">
    <w:name w:val="xl72"/>
    <w:basedOn w:val="Normal"/>
    <w:rsid w:val="00706202"/>
    <w:pPr>
      <w:pBdr>
        <w:top w:val="single" w:sz="4" w:space="0" w:color="E5E5E5"/>
        <w:left w:val="single" w:sz="4" w:space="0" w:color="E5E5E5"/>
        <w:right w:val="single" w:sz="4" w:space="0" w:color="E5E5E5"/>
      </w:pBdr>
      <w:spacing w:before="100" w:beforeAutospacing="1" w:after="100" w:afterAutospacing="1"/>
      <w:jc w:val="center"/>
      <w:textAlignment w:val="top"/>
    </w:pPr>
    <w:rPr>
      <w:rFonts w:ascii="Tahoma" w:eastAsia="Times New Roman" w:hAnsi="Tahoma" w:cs="Tahoma"/>
      <w:color w:val="4D4D4D"/>
      <w:lang w:val="en-AU" w:eastAsia="en-AU"/>
    </w:rPr>
  </w:style>
  <w:style w:type="paragraph" w:customStyle="1" w:styleId="xl73">
    <w:name w:val="xl73"/>
    <w:basedOn w:val="Normal"/>
    <w:rsid w:val="00706202"/>
    <w:pPr>
      <w:pBdr>
        <w:bottom w:val="single" w:sz="4" w:space="0" w:color="7292CC"/>
      </w:pBdr>
      <w:spacing w:before="100" w:beforeAutospacing="1" w:after="100" w:afterAutospacing="1"/>
      <w:textAlignment w:val="top"/>
    </w:pPr>
    <w:rPr>
      <w:rFonts w:ascii="Verdana" w:eastAsia="Times New Roman" w:hAnsi="Verdana"/>
      <w:color w:val="000000"/>
      <w:sz w:val="40"/>
      <w:szCs w:val="40"/>
      <w:lang w:val="en-AU" w:eastAsia="en-AU"/>
    </w:rPr>
  </w:style>
  <w:style w:type="table" w:styleId="ColorfulGrid-Accent1">
    <w:name w:val="Colorful Grid Accent 1"/>
    <w:basedOn w:val="TableNormal"/>
    <w:uiPriority w:val="73"/>
    <w:rsid w:val="00DF753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5">
    <w:name w:val="Medium Grid 3 Accent 5"/>
    <w:basedOn w:val="TableNormal"/>
    <w:uiPriority w:val="69"/>
    <w:rsid w:val="00C266C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2-Accent1">
    <w:name w:val="Medium Grid 2 Accent 1"/>
    <w:basedOn w:val="TableNormal"/>
    <w:uiPriority w:val="68"/>
    <w:rsid w:val="00C266C9"/>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C266C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
    <w:name w:val="Colorful Grid"/>
    <w:basedOn w:val="TableNormal"/>
    <w:uiPriority w:val="73"/>
    <w:rsid w:val="00C266C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CommentSubject">
    <w:name w:val="annotation subject"/>
    <w:basedOn w:val="CommentText"/>
    <w:next w:val="CommentText"/>
    <w:link w:val="CommentSubjectChar"/>
    <w:uiPriority w:val="99"/>
    <w:semiHidden/>
    <w:unhideWhenUsed/>
    <w:rsid w:val="007E54DE"/>
    <w:pPr>
      <w:spacing w:after="0"/>
    </w:pPr>
    <w:rPr>
      <w:rFonts w:ascii="Calibri" w:eastAsia="Cambria" w:hAnsi="Calibri" w:cs="Times New Roman"/>
      <w:b/>
      <w:bCs/>
      <w:color w:val="3B3C3B"/>
      <w:lang w:val="en-GB"/>
    </w:rPr>
  </w:style>
  <w:style w:type="character" w:customStyle="1" w:styleId="CommentSubjectChar">
    <w:name w:val="Comment Subject Char"/>
    <w:basedOn w:val="CommentTextChar"/>
    <w:link w:val="CommentSubject"/>
    <w:uiPriority w:val="99"/>
    <w:semiHidden/>
    <w:rsid w:val="007E54DE"/>
    <w:rPr>
      <w:rFonts w:ascii="Calibri" w:eastAsia="Cambria" w:hAnsi="Calibri" w:cs="Times New Roman"/>
      <w:b/>
      <w:bCs/>
      <w:color w:val="3B3C3B"/>
      <w:sz w:val="20"/>
      <w:szCs w:val="20"/>
      <w:lang w:val="en-GB"/>
    </w:rPr>
  </w:style>
  <w:style w:type="character" w:customStyle="1" w:styleId="Heading4Char">
    <w:name w:val="Heading 4 Char"/>
    <w:basedOn w:val="DefaultParagraphFont"/>
    <w:link w:val="Heading4"/>
    <w:uiPriority w:val="9"/>
    <w:rsid w:val="00223843"/>
    <w:rPr>
      <w:rFonts w:asciiTheme="majorHAnsi" w:eastAsiaTheme="majorEastAsia" w:hAnsiTheme="majorHAnsi" w:cstheme="majorBidi"/>
      <w:b/>
      <w:bCs/>
      <w:i/>
      <w:iCs/>
      <w:color w:val="4F81BD" w:themeColor="accent1"/>
      <w:lang w:val="en-GB"/>
    </w:rPr>
  </w:style>
  <w:style w:type="table" w:customStyle="1" w:styleId="MediumGrid3-Accent11">
    <w:name w:val="Medium Grid 3 - Accent 11"/>
    <w:basedOn w:val="TableNormal"/>
    <w:next w:val="MediumGrid3-Accent1"/>
    <w:uiPriority w:val="69"/>
    <w:rsid w:val="00BA311F"/>
    <w:rPr>
      <w:rFonts w:eastAsia="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EndnoteText">
    <w:name w:val="endnote text"/>
    <w:basedOn w:val="Normal"/>
    <w:link w:val="EndnoteTextChar"/>
    <w:uiPriority w:val="99"/>
    <w:semiHidden/>
    <w:unhideWhenUsed/>
    <w:rsid w:val="0024343A"/>
    <w:rPr>
      <w:sz w:val="20"/>
      <w:szCs w:val="20"/>
    </w:rPr>
  </w:style>
  <w:style w:type="character" w:customStyle="1" w:styleId="EndnoteTextChar">
    <w:name w:val="Endnote Text Char"/>
    <w:basedOn w:val="DefaultParagraphFont"/>
    <w:link w:val="EndnoteText"/>
    <w:uiPriority w:val="99"/>
    <w:semiHidden/>
    <w:rsid w:val="0024343A"/>
    <w:rPr>
      <w:rFonts w:ascii="Calibri" w:eastAsia="Cambria" w:hAnsi="Calibri" w:cs="Times New Roman"/>
      <w:color w:val="3B3C3B"/>
      <w:sz w:val="20"/>
      <w:szCs w:val="20"/>
      <w:lang w:val="en-GB"/>
    </w:rPr>
  </w:style>
  <w:style w:type="character" w:styleId="EndnoteReference">
    <w:name w:val="endnote reference"/>
    <w:basedOn w:val="DefaultParagraphFont"/>
    <w:uiPriority w:val="99"/>
    <w:semiHidden/>
    <w:unhideWhenUsed/>
    <w:rsid w:val="0024343A"/>
    <w:rPr>
      <w:vertAlign w:val="superscript"/>
    </w:rPr>
  </w:style>
  <w:style w:type="paragraph" w:styleId="Revision">
    <w:name w:val="Revision"/>
    <w:hidden/>
    <w:uiPriority w:val="99"/>
    <w:semiHidden/>
    <w:rsid w:val="00F100EF"/>
    <w:rPr>
      <w:rFonts w:ascii="Calibri" w:eastAsia="Cambria" w:hAnsi="Calibri" w:cs="Times New Roman"/>
      <w:color w:val="3B3C3B"/>
      <w:lang w:val="en-GB"/>
    </w:rPr>
  </w:style>
  <w:style w:type="numbering" w:customStyle="1" w:styleId="NoList1">
    <w:name w:val="No List1"/>
    <w:next w:val="NoList"/>
    <w:uiPriority w:val="99"/>
    <w:semiHidden/>
    <w:unhideWhenUsed/>
    <w:rsid w:val="005B762B"/>
  </w:style>
  <w:style w:type="table" w:customStyle="1" w:styleId="TableGrid1">
    <w:name w:val="Table Grid1"/>
    <w:basedOn w:val="TableNormal"/>
    <w:next w:val="TableGrid"/>
    <w:uiPriority w:val="59"/>
    <w:rsid w:val="005B762B"/>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5B762B"/>
    <w:rPr>
      <w:rFonts w:eastAsia="MS Mincho"/>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next w:val="LightList-Accent1"/>
    <w:uiPriority w:val="61"/>
    <w:rsid w:val="005B762B"/>
    <w:rPr>
      <w:rFonts w:eastAsia="MS Minch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5B762B"/>
    <w:rPr>
      <w:rFonts w:eastAsia="MS Minch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11">
    <w:name w:val="Colorful Grid - Accent 11"/>
    <w:basedOn w:val="TableNormal"/>
    <w:next w:val="ColorfulGrid-Accent1"/>
    <w:uiPriority w:val="73"/>
    <w:rsid w:val="005B762B"/>
    <w:rPr>
      <w:rFonts w:eastAsia="MS Mincho"/>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Grid3-Accent51">
    <w:name w:val="Medium Grid 3 - Accent 51"/>
    <w:basedOn w:val="TableNormal"/>
    <w:next w:val="MediumGrid3-Accent5"/>
    <w:uiPriority w:val="69"/>
    <w:rsid w:val="005B762B"/>
    <w:rPr>
      <w:rFonts w:eastAsia="MS Mincho"/>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2-Accent11">
    <w:name w:val="Medium Grid 2 - Accent 11"/>
    <w:basedOn w:val="TableNormal"/>
    <w:next w:val="MediumGrid2-Accent1"/>
    <w:uiPriority w:val="68"/>
    <w:rsid w:val="005B762B"/>
    <w:rPr>
      <w:rFonts w:ascii="Calibri" w:eastAsia="MS Gothic" w:hAnsi="Calibri"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olorfulGrid-Accent51">
    <w:name w:val="Colorful Grid - Accent 51"/>
    <w:basedOn w:val="TableNormal"/>
    <w:next w:val="ColorfulGrid-Accent5"/>
    <w:uiPriority w:val="73"/>
    <w:rsid w:val="005B762B"/>
    <w:rPr>
      <w:rFonts w:eastAsia="MS Mincho"/>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next w:val="ColorfulGrid"/>
    <w:uiPriority w:val="73"/>
    <w:rsid w:val="005B762B"/>
    <w:rPr>
      <w:rFonts w:eastAsia="MS Mincho"/>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C65"/>
    <w:rPr>
      <w:rFonts w:ascii="Calibri" w:eastAsia="Cambria" w:hAnsi="Calibri" w:cs="Times New Roman"/>
      <w:color w:val="3B3C3B"/>
      <w:lang w:val="en-GB"/>
    </w:rPr>
  </w:style>
  <w:style w:type="paragraph" w:styleId="Heading1">
    <w:name w:val="heading 1"/>
    <w:basedOn w:val="Normal"/>
    <w:next w:val="Normal"/>
    <w:link w:val="Heading1Char"/>
    <w:uiPriority w:val="1"/>
    <w:qFormat/>
    <w:rsid w:val="00BC0C65"/>
    <w:pPr>
      <w:keepNext/>
      <w:keepLines/>
      <w:spacing w:before="480"/>
      <w:outlineLvl w:val="0"/>
    </w:pPr>
    <w:rPr>
      <w:rFonts w:eastAsia="Times New Roman"/>
      <w:b/>
      <w:bCs/>
      <w:color w:val="1A7399"/>
      <w:sz w:val="44"/>
      <w:szCs w:val="32"/>
    </w:rPr>
  </w:style>
  <w:style w:type="paragraph" w:styleId="Heading2">
    <w:name w:val="heading 2"/>
    <w:basedOn w:val="Normal"/>
    <w:next w:val="Normal"/>
    <w:link w:val="Heading2Char"/>
    <w:uiPriority w:val="1"/>
    <w:qFormat/>
    <w:rsid w:val="00BC0C65"/>
    <w:pPr>
      <w:keepNext/>
      <w:keepLines/>
      <w:spacing w:before="200"/>
      <w:outlineLvl w:val="1"/>
    </w:pPr>
    <w:rPr>
      <w:rFonts w:eastAsia="Times New Roman"/>
      <w:bCs/>
      <w:color w:val="1A7399"/>
      <w:sz w:val="36"/>
      <w:szCs w:val="26"/>
    </w:rPr>
  </w:style>
  <w:style w:type="paragraph" w:styleId="Heading3">
    <w:name w:val="heading 3"/>
    <w:basedOn w:val="Normal"/>
    <w:next w:val="BodyText"/>
    <w:link w:val="Heading3Char"/>
    <w:uiPriority w:val="1"/>
    <w:qFormat/>
    <w:rsid w:val="00BC0C65"/>
    <w:pPr>
      <w:keepNext/>
      <w:keepLines/>
      <w:spacing w:before="200"/>
      <w:outlineLvl w:val="2"/>
    </w:pPr>
    <w:rPr>
      <w:rFonts w:eastAsia="Times New Roman"/>
      <w:bCs/>
      <w:color w:val="1A7399"/>
      <w:sz w:val="28"/>
    </w:rPr>
  </w:style>
  <w:style w:type="paragraph" w:styleId="Heading4">
    <w:name w:val="heading 4"/>
    <w:basedOn w:val="Normal"/>
    <w:next w:val="Normal"/>
    <w:link w:val="Heading4Char"/>
    <w:uiPriority w:val="9"/>
    <w:unhideWhenUsed/>
    <w:qFormat/>
    <w:rsid w:val="002238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C65"/>
    <w:pPr>
      <w:tabs>
        <w:tab w:val="center" w:pos="4320"/>
        <w:tab w:val="right" w:pos="8640"/>
      </w:tabs>
    </w:pPr>
  </w:style>
  <w:style w:type="character" w:customStyle="1" w:styleId="HeaderChar">
    <w:name w:val="Header Char"/>
    <w:basedOn w:val="DefaultParagraphFont"/>
    <w:link w:val="Header"/>
    <w:uiPriority w:val="99"/>
    <w:rsid w:val="00BC0C65"/>
  </w:style>
  <w:style w:type="paragraph" w:styleId="Footer">
    <w:name w:val="footer"/>
    <w:basedOn w:val="Normal"/>
    <w:link w:val="FooterChar"/>
    <w:uiPriority w:val="99"/>
    <w:unhideWhenUsed/>
    <w:rsid w:val="00BC0C65"/>
    <w:pPr>
      <w:tabs>
        <w:tab w:val="center" w:pos="4320"/>
        <w:tab w:val="right" w:pos="8640"/>
      </w:tabs>
    </w:pPr>
  </w:style>
  <w:style w:type="character" w:customStyle="1" w:styleId="FooterChar">
    <w:name w:val="Footer Char"/>
    <w:basedOn w:val="DefaultParagraphFont"/>
    <w:link w:val="Footer"/>
    <w:uiPriority w:val="99"/>
    <w:rsid w:val="00BC0C65"/>
  </w:style>
  <w:style w:type="paragraph" w:styleId="BalloonText">
    <w:name w:val="Balloon Text"/>
    <w:basedOn w:val="Normal"/>
    <w:link w:val="BalloonTextChar"/>
    <w:uiPriority w:val="99"/>
    <w:unhideWhenUsed/>
    <w:rsid w:val="00BC0C6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BC0C65"/>
    <w:rPr>
      <w:rFonts w:ascii="Lucida Grande" w:hAnsi="Lucida Grande" w:cs="Lucida Grande"/>
      <w:sz w:val="18"/>
      <w:szCs w:val="18"/>
    </w:rPr>
  </w:style>
  <w:style w:type="character" w:customStyle="1" w:styleId="Heading1Char">
    <w:name w:val="Heading 1 Char"/>
    <w:basedOn w:val="DefaultParagraphFont"/>
    <w:link w:val="Heading1"/>
    <w:uiPriority w:val="9"/>
    <w:rsid w:val="00BC0C65"/>
    <w:rPr>
      <w:rFonts w:ascii="Calibri" w:eastAsia="Times New Roman" w:hAnsi="Calibri" w:cs="Times New Roman"/>
      <w:b/>
      <w:bCs/>
      <w:color w:val="1A7399"/>
      <w:sz w:val="44"/>
      <w:szCs w:val="32"/>
      <w:lang w:val="en-US"/>
    </w:rPr>
  </w:style>
  <w:style w:type="character" w:customStyle="1" w:styleId="Heading2Char">
    <w:name w:val="Heading 2 Char"/>
    <w:basedOn w:val="DefaultParagraphFont"/>
    <w:link w:val="Heading2"/>
    <w:uiPriority w:val="1"/>
    <w:rsid w:val="00BC0C65"/>
    <w:rPr>
      <w:rFonts w:ascii="Calibri" w:eastAsia="Times New Roman" w:hAnsi="Calibri" w:cs="Times New Roman"/>
      <w:bCs/>
      <w:color w:val="1A7399"/>
      <w:sz w:val="36"/>
      <w:szCs w:val="26"/>
      <w:lang w:val="en-US"/>
    </w:rPr>
  </w:style>
  <w:style w:type="character" w:customStyle="1" w:styleId="Heading3Char">
    <w:name w:val="Heading 3 Char"/>
    <w:basedOn w:val="DefaultParagraphFont"/>
    <w:link w:val="Heading3"/>
    <w:uiPriority w:val="9"/>
    <w:rsid w:val="00BC0C65"/>
    <w:rPr>
      <w:rFonts w:ascii="Calibri" w:eastAsia="Times New Roman" w:hAnsi="Calibri" w:cs="Times New Roman"/>
      <w:bCs/>
      <w:color w:val="1A7399"/>
      <w:sz w:val="28"/>
      <w:lang w:val="en-US"/>
    </w:rPr>
  </w:style>
  <w:style w:type="numbering" w:customStyle="1" w:styleId="Bulletlist">
    <w:name w:val="Bullet list"/>
    <w:rsid w:val="00BC0C65"/>
    <w:pPr>
      <w:numPr>
        <w:numId w:val="1"/>
      </w:numPr>
    </w:pPr>
  </w:style>
  <w:style w:type="character" w:customStyle="1" w:styleId="BodyTextChar">
    <w:name w:val="Body Text Char"/>
    <w:basedOn w:val="DefaultParagraphFont"/>
    <w:link w:val="BodyText"/>
    <w:rsid w:val="00BC0C65"/>
    <w:rPr>
      <w:rFonts w:ascii="Calibri" w:hAnsi="Calibri"/>
      <w:color w:val="3B3C3B"/>
      <w:lang w:val="en-US"/>
    </w:rPr>
  </w:style>
  <w:style w:type="paragraph" w:styleId="BodyText">
    <w:name w:val="Body Text"/>
    <w:basedOn w:val="Normal"/>
    <w:link w:val="BodyTextChar"/>
    <w:qFormat/>
    <w:rsid w:val="00BC0C65"/>
    <w:pPr>
      <w:spacing w:after="120"/>
    </w:pPr>
    <w:rPr>
      <w:rFonts w:eastAsiaTheme="minorEastAsia" w:cstheme="minorBidi"/>
    </w:rPr>
  </w:style>
  <w:style w:type="character" w:customStyle="1" w:styleId="BodyTextChar1">
    <w:name w:val="Body Text Char1"/>
    <w:basedOn w:val="DefaultParagraphFont"/>
    <w:uiPriority w:val="99"/>
    <w:semiHidden/>
    <w:rsid w:val="00BC0C65"/>
    <w:rPr>
      <w:rFonts w:ascii="Calibri" w:eastAsia="Cambria" w:hAnsi="Calibri" w:cs="Times New Roman"/>
      <w:color w:val="3B3C3B"/>
      <w:lang w:val="en-US"/>
    </w:rPr>
  </w:style>
  <w:style w:type="paragraph" w:customStyle="1" w:styleId="Numberlist">
    <w:name w:val="Number list"/>
    <w:basedOn w:val="Normal"/>
    <w:next w:val="Normal"/>
    <w:qFormat/>
    <w:rsid w:val="00BC0C65"/>
    <w:pPr>
      <w:tabs>
        <w:tab w:val="num" w:pos="360"/>
      </w:tabs>
      <w:spacing w:after="120"/>
      <w:ind w:left="357" w:hanging="357"/>
    </w:pPr>
    <w:rPr>
      <w:color w:val="3C3C3B"/>
    </w:rPr>
  </w:style>
  <w:style w:type="character" w:styleId="FollowedHyperlink">
    <w:name w:val="FollowedHyperlink"/>
    <w:basedOn w:val="DefaultParagraphFont"/>
    <w:uiPriority w:val="99"/>
    <w:semiHidden/>
    <w:unhideWhenUsed/>
    <w:rsid w:val="00FD5004"/>
    <w:rPr>
      <w:color w:val="800080"/>
      <w:u w:val="single"/>
    </w:rPr>
  </w:style>
  <w:style w:type="character" w:styleId="Hyperlink">
    <w:name w:val="Hyperlink"/>
    <w:basedOn w:val="DefaultParagraphFont"/>
    <w:uiPriority w:val="99"/>
    <w:rsid w:val="00FD5004"/>
    <w:rPr>
      <w:color w:val="0000FF"/>
      <w:u w:val="single"/>
    </w:rPr>
  </w:style>
  <w:style w:type="paragraph" w:styleId="NoSpacing">
    <w:name w:val="No Spacing"/>
    <w:uiPriority w:val="1"/>
    <w:qFormat/>
    <w:rsid w:val="00FD5004"/>
    <w:rPr>
      <w:rFonts w:ascii="Calibri" w:eastAsia="Cambria" w:hAnsi="Calibri" w:cs="Times New Roman"/>
      <w:color w:val="3B3C3B"/>
      <w:lang w:val="en-US"/>
    </w:rPr>
  </w:style>
  <w:style w:type="paragraph" w:customStyle="1" w:styleId="3DCITA-HEADING01">
    <w:name w:val="3. DCITA - HEADING 01"/>
    <w:basedOn w:val="Normal"/>
    <w:rsid w:val="00FD5004"/>
    <w:pPr>
      <w:widowControl w:val="0"/>
      <w:autoSpaceDE w:val="0"/>
      <w:autoSpaceDN w:val="0"/>
      <w:adjustRightInd w:val="0"/>
      <w:spacing w:after="100" w:line="288" w:lineRule="auto"/>
      <w:textAlignment w:val="center"/>
    </w:pPr>
    <w:rPr>
      <w:rFonts w:ascii="Arial Narrow" w:eastAsia="Times New Roman" w:hAnsi="Arial Narrow"/>
      <w:b/>
      <w:color w:val="000000"/>
      <w:sz w:val="32"/>
      <w:szCs w:val="20"/>
    </w:rPr>
  </w:style>
  <w:style w:type="paragraph" w:styleId="TOCHeading">
    <w:name w:val="TOC Heading"/>
    <w:basedOn w:val="Heading1"/>
    <w:next w:val="Normal"/>
    <w:uiPriority w:val="39"/>
    <w:unhideWhenUsed/>
    <w:qFormat/>
    <w:rsid w:val="00FD5004"/>
    <w:pPr>
      <w:spacing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qFormat/>
    <w:rsid w:val="000378DF"/>
    <w:pPr>
      <w:tabs>
        <w:tab w:val="right" w:leader="dot" w:pos="8364"/>
      </w:tabs>
      <w:spacing w:after="100"/>
    </w:pPr>
  </w:style>
  <w:style w:type="paragraph" w:styleId="TOC2">
    <w:name w:val="toc 2"/>
    <w:basedOn w:val="Normal"/>
    <w:next w:val="Normal"/>
    <w:autoRedefine/>
    <w:uiPriority w:val="39"/>
    <w:qFormat/>
    <w:rsid w:val="000378DF"/>
    <w:pPr>
      <w:tabs>
        <w:tab w:val="right" w:leader="dot" w:pos="8364"/>
      </w:tabs>
      <w:spacing w:after="100"/>
      <w:ind w:left="240"/>
    </w:pPr>
  </w:style>
  <w:style w:type="paragraph" w:styleId="TOC3">
    <w:name w:val="toc 3"/>
    <w:basedOn w:val="Normal"/>
    <w:next w:val="Normal"/>
    <w:autoRedefine/>
    <w:uiPriority w:val="39"/>
    <w:rsid w:val="000378DF"/>
    <w:pPr>
      <w:tabs>
        <w:tab w:val="right" w:leader="dot" w:pos="8364"/>
      </w:tabs>
      <w:spacing w:after="100"/>
      <w:ind w:left="240"/>
    </w:pPr>
  </w:style>
  <w:style w:type="paragraph" w:styleId="ListParagraph">
    <w:name w:val="List Paragraph"/>
    <w:basedOn w:val="Normal"/>
    <w:uiPriority w:val="34"/>
    <w:qFormat/>
    <w:rsid w:val="00FD5004"/>
    <w:pPr>
      <w:spacing w:after="200" w:line="276" w:lineRule="auto"/>
      <w:ind w:left="720"/>
      <w:contextualSpacing/>
    </w:pPr>
    <w:rPr>
      <w:rFonts w:asciiTheme="minorHAnsi" w:eastAsiaTheme="minorHAnsi" w:hAnsiTheme="minorHAnsi" w:cstheme="minorBidi"/>
      <w:color w:val="auto"/>
      <w:sz w:val="22"/>
      <w:szCs w:val="22"/>
      <w:lang w:val="en-AU"/>
    </w:rPr>
  </w:style>
  <w:style w:type="character" w:customStyle="1" w:styleId="nowrap1">
    <w:name w:val="nowrap1"/>
    <w:basedOn w:val="DefaultParagraphFont"/>
    <w:rsid w:val="00FD5004"/>
  </w:style>
  <w:style w:type="paragraph" w:styleId="NormalWeb">
    <w:name w:val="Normal (Web)"/>
    <w:basedOn w:val="Normal"/>
    <w:uiPriority w:val="99"/>
    <w:unhideWhenUsed/>
    <w:rsid w:val="00FD5004"/>
    <w:pPr>
      <w:spacing w:before="100" w:beforeAutospacing="1" w:after="100" w:afterAutospacing="1"/>
    </w:pPr>
    <w:rPr>
      <w:rFonts w:ascii="Times New Roman" w:eastAsiaTheme="minorHAnsi" w:hAnsi="Times New Roman"/>
      <w:color w:val="auto"/>
      <w:lang w:val="en-AU" w:eastAsia="en-AU"/>
    </w:rPr>
  </w:style>
  <w:style w:type="character" w:styleId="CommentReference">
    <w:name w:val="annotation reference"/>
    <w:basedOn w:val="DefaultParagraphFont"/>
    <w:uiPriority w:val="99"/>
    <w:unhideWhenUsed/>
    <w:rsid w:val="00FD5004"/>
    <w:rPr>
      <w:sz w:val="16"/>
      <w:szCs w:val="16"/>
    </w:rPr>
  </w:style>
  <w:style w:type="paragraph" w:styleId="CommentText">
    <w:name w:val="annotation text"/>
    <w:basedOn w:val="Normal"/>
    <w:link w:val="CommentTextChar"/>
    <w:uiPriority w:val="99"/>
    <w:unhideWhenUsed/>
    <w:rsid w:val="00FD5004"/>
    <w:pPr>
      <w:spacing w:after="200"/>
    </w:pPr>
    <w:rPr>
      <w:rFonts w:asciiTheme="minorHAnsi" w:eastAsia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rsid w:val="00FD5004"/>
    <w:rPr>
      <w:rFonts w:eastAsiaTheme="minorHAnsi"/>
      <w:sz w:val="20"/>
      <w:szCs w:val="20"/>
    </w:rPr>
  </w:style>
  <w:style w:type="paragraph" w:styleId="FootnoteText">
    <w:name w:val="footnote text"/>
    <w:basedOn w:val="Normal"/>
    <w:link w:val="FootnoteTextChar"/>
    <w:uiPriority w:val="99"/>
    <w:unhideWhenUsed/>
    <w:rsid w:val="00FD5004"/>
    <w:rPr>
      <w:rFonts w:asciiTheme="minorHAnsi" w:eastAsiaTheme="minorHAnsi" w:hAnsiTheme="minorHAnsi" w:cstheme="minorBidi"/>
      <w:color w:val="auto"/>
      <w:sz w:val="20"/>
      <w:szCs w:val="20"/>
      <w:lang w:val="en-AU"/>
    </w:rPr>
  </w:style>
  <w:style w:type="character" w:customStyle="1" w:styleId="FootnoteTextChar">
    <w:name w:val="Footnote Text Char"/>
    <w:basedOn w:val="DefaultParagraphFont"/>
    <w:link w:val="FootnoteText"/>
    <w:uiPriority w:val="99"/>
    <w:rsid w:val="00FD5004"/>
    <w:rPr>
      <w:rFonts w:eastAsiaTheme="minorHAnsi"/>
      <w:sz w:val="20"/>
      <w:szCs w:val="20"/>
    </w:rPr>
  </w:style>
  <w:style w:type="character" w:styleId="FootnoteReference">
    <w:name w:val="footnote reference"/>
    <w:basedOn w:val="DefaultParagraphFont"/>
    <w:uiPriority w:val="99"/>
    <w:unhideWhenUsed/>
    <w:rsid w:val="00FD5004"/>
    <w:rPr>
      <w:vertAlign w:val="superscript"/>
    </w:rPr>
  </w:style>
  <w:style w:type="paragraph" w:customStyle="1" w:styleId="Default">
    <w:name w:val="Default"/>
    <w:rsid w:val="00FD5004"/>
    <w:pPr>
      <w:autoSpaceDE w:val="0"/>
      <w:autoSpaceDN w:val="0"/>
      <w:adjustRightInd w:val="0"/>
    </w:pPr>
    <w:rPr>
      <w:rFonts w:ascii="Arial" w:eastAsia="Cambria" w:hAnsi="Arial" w:cs="Arial"/>
      <w:color w:val="000000"/>
      <w:lang w:eastAsia="en-AU"/>
    </w:rPr>
  </w:style>
  <w:style w:type="paragraph" w:customStyle="1" w:styleId="TableParagraph">
    <w:name w:val="Table Paragraph"/>
    <w:basedOn w:val="Normal"/>
    <w:uiPriority w:val="1"/>
    <w:qFormat/>
    <w:rsid w:val="00FD5004"/>
    <w:pPr>
      <w:widowControl w:val="0"/>
    </w:pPr>
    <w:rPr>
      <w:rFonts w:asciiTheme="minorHAnsi" w:eastAsiaTheme="minorHAnsi" w:hAnsiTheme="minorHAnsi" w:cstheme="minorBidi"/>
      <w:color w:val="auto"/>
      <w:sz w:val="22"/>
      <w:szCs w:val="22"/>
    </w:rPr>
  </w:style>
  <w:style w:type="character" w:customStyle="1" w:styleId="contentChar">
    <w:name w:val="content Char"/>
    <w:basedOn w:val="DefaultParagraphFont"/>
    <w:link w:val="content"/>
    <w:locked/>
    <w:rsid w:val="00FD5004"/>
    <w:rPr>
      <w:rFonts w:ascii="MS Mincho" w:eastAsia="MS Mincho" w:hAnsi="MS Mincho"/>
    </w:rPr>
  </w:style>
  <w:style w:type="paragraph" w:customStyle="1" w:styleId="content">
    <w:name w:val="content"/>
    <w:basedOn w:val="Normal"/>
    <w:link w:val="contentChar"/>
    <w:rsid w:val="00FD5004"/>
    <w:pPr>
      <w:spacing w:after="240"/>
    </w:pPr>
    <w:rPr>
      <w:rFonts w:ascii="MS Mincho" w:eastAsia="MS Mincho" w:hAnsi="MS Mincho" w:cstheme="minorBidi"/>
      <w:color w:val="auto"/>
      <w:lang w:val="en-AU"/>
    </w:rPr>
  </w:style>
  <w:style w:type="paragraph" w:styleId="Subtitle">
    <w:name w:val="Subtitle"/>
    <w:basedOn w:val="Normal"/>
    <w:next w:val="Normal"/>
    <w:link w:val="SubtitleChar"/>
    <w:qFormat/>
    <w:rsid w:val="00FD50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FD5004"/>
    <w:rPr>
      <w:rFonts w:asciiTheme="majorHAnsi" w:eastAsiaTheme="majorEastAsia" w:hAnsiTheme="majorHAnsi" w:cstheme="majorBidi"/>
      <w:i/>
      <w:iCs/>
      <w:color w:val="4F81BD" w:themeColor="accent1"/>
      <w:spacing w:val="15"/>
      <w:lang w:val="en-US"/>
    </w:rPr>
  </w:style>
  <w:style w:type="paragraph" w:customStyle="1" w:styleId="Content0">
    <w:name w:val="Content"/>
    <w:link w:val="ContentChar0"/>
    <w:rsid w:val="00274A3B"/>
    <w:pPr>
      <w:spacing w:before="240" w:after="240"/>
      <w:jc w:val="both"/>
    </w:pPr>
    <w:rPr>
      <w:rFonts w:ascii="Times New Roman" w:eastAsia="Times New Roman" w:hAnsi="Times New Roman" w:cs="Times New Roman"/>
      <w:lang w:eastAsia="en-AU"/>
    </w:rPr>
  </w:style>
  <w:style w:type="character" w:customStyle="1" w:styleId="ContentChar0">
    <w:name w:val="Content Char"/>
    <w:basedOn w:val="DefaultParagraphFont"/>
    <w:link w:val="Content0"/>
    <w:rsid w:val="00274A3B"/>
    <w:rPr>
      <w:rFonts w:ascii="Times New Roman" w:eastAsia="Times New Roman" w:hAnsi="Times New Roman" w:cs="Times New Roman"/>
      <w:lang w:eastAsia="en-AU"/>
    </w:rPr>
  </w:style>
  <w:style w:type="character" w:styleId="Emphasis">
    <w:name w:val="Emphasis"/>
    <w:basedOn w:val="DefaultParagraphFont"/>
    <w:uiPriority w:val="20"/>
    <w:qFormat/>
    <w:rsid w:val="00F62B21"/>
    <w:rPr>
      <w:i/>
      <w:iCs/>
    </w:rPr>
  </w:style>
  <w:style w:type="character" w:styleId="Strong">
    <w:name w:val="Strong"/>
    <w:basedOn w:val="DefaultParagraphFont"/>
    <w:uiPriority w:val="22"/>
    <w:qFormat/>
    <w:rsid w:val="00F62B21"/>
    <w:rPr>
      <w:b/>
      <w:bCs/>
    </w:rPr>
  </w:style>
  <w:style w:type="character" w:styleId="BookTitle">
    <w:name w:val="Book Title"/>
    <w:basedOn w:val="DefaultParagraphFont"/>
    <w:uiPriority w:val="33"/>
    <w:qFormat/>
    <w:rsid w:val="00F62B21"/>
    <w:rPr>
      <w:b/>
      <w:bCs/>
      <w:smallCaps/>
      <w:spacing w:val="5"/>
    </w:rPr>
  </w:style>
  <w:style w:type="character" w:customStyle="1" w:styleId="Text-Normal">
    <w:name w:val="Text - Normal"/>
    <w:uiPriority w:val="1"/>
    <w:unhideWhenUsed/>
    <w:qFormat/>
    <w:rsid w:val="00F376D3"/>
    <w:rPr>
      <w:color w:val="000000"/>
      <w:sz w:val="24"/>
      <w:szCs w:val="24"/>
    </w:rPr>
  </w:style>
  <w:style w:type="paragraph" w:customStyle="1" w:styleId="MinSubbodytext">
    <w:name w:val="Min Sub body text"/>
    <w:uiPriority w:val="3"/>
    <w:rsid w:val="00F376D3"/>
    <w:pPr>
      <w:tabs>
        <w:tab w:val="right" w:pos="9923"/>
      </w:tabs>
      <w:ind w:left="-142"/>
    </w:pPr>
    <w:rPr>
      <w:rFonts w:ascii="Times New Roman" w:eastAsia="Calibri" w:hAnsi="Times New Roman" w:cs="Times New Roman"/>
      <w:lang w:eastAsia="en-AU"/>
    </w:rPr>
  </w:style>
  <w:style w:type="table" w:styleId="TableGrid">
    <w:name w:val="Table Grid"/>
    <w:basedOn w:val="TableNormal"/>
    <w:uiPriority w:val="59"/>
    <w:rsid w:val="00BC37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BC37E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BC37E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BC37E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BC37E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xl63">
    <w:name w:val="xl63"/>
    <w:basedOn w:val="Normal"/>
    <w:rsid w:val="00706202"/>
    <w:pPr>
      <w:pBdr>
        <w:top w:val="single" w:sz="4" w:space="0" w:color="7292CC"/>
        <w:left w:val="single" w:sz="4" w:space="0" w:color="7292CC"/>
        <w:bottom w:val="single" w:sz="4" w:space="0" w:color="7292CC"/>
        <w:right w:val="single" w:sz="4" w:space="0" w:color="7292CC"/>
      </w:pBdr>
      <w:shd w:val="clear" w:color="000000" w:fill="4C68A2"/>
      <w:spacing w:before="100" w:beforeAutospacing="1" w:after="100" w:afterAutospacing="1"/>
      <w:jc w:val="center"/>
      <w:textAlignment w:val="center"/>
    </w:pPr>
    <w:rPr>
      <w:rFonts w:ascii="Tahoma" w:eastAsia="Times New Roman" w:hAnsi="Tahoma" w:cs="Tahoma"/>
      <w:b/>
      <w:bCs/>
      <w:color w:val="FFFFFF"/>
      <w:sz w:val="22"/>
      <w:szCs w:val="22"/>
      <w:lang w:val="en-AU" w:eastAsia="en-AU"/>
    </w:rPr>
  </w:style>
  <w:style w:type="paragraph" w:customStyle="1" w:styleId="xl64">
    <w:name w:val="xl64"/>
    <w:basedOn w:val="Normal"/>
    <w:rsid w:val="00706202"/>
    <w:pPr>
      <w:pBdr>
        <w:top w:val="single" w:sz="4" w:space="0" w:color="E5E5E5"/>
        <w:left w:val="single" w:sz="4" w:space="0" w:color="E5E5E5"/>
        <w:bottom w:val="single" w:sz="4" w:space="0" w:color="E5E5E5"/>
        <w:right w:val="single" w:sz="4" w:space="0" w:color="E5E5E5"/>
      </w:pBdr>
      <w:spacing w:before="100" w:beforeAutospacing="1" w:after="100" w:afterAutospacing="1"/>
      <w:jc w:val="center"/>
      <w:textAlignment w:val="center"/>
    </w:pPr>
    <w:rPr>
      <w:rFonts w:ascii="Tahoma" w:eastAsia="Times New Roman" w:hAnsi="Tahoma" w:cs="Tahoma"/>
      <w:color w:val="4D4D4D"/>
      <w:lang w:val="en-AU" w:eastAsia="en-AU"/>
    </w:rPr>
  </w:style>
  <w:style w:type="paragraph" w:customStyle="1" w:styleId="xl65">
    <w:name w:val="xl65"/>
    <w:basedOn w:val="Normal"/>
    <w:rsid w:val="00706202"/>
    <w:pPr>
      <w:spacing w:before="100" w:beforeAutospacing="1" w:after="100" w:afterAutospacing="1"/>
      <w:jc w:val="center"/>
      <w:textAlignment w:val="center"/>
    </w:pPr>
    <w:rPr>
      <w:rFonts w:ascii="Times New Roman" w:eastAsia="Times New Roman" w:hAnsi="Times New Roman"/>
      <w:color w:val="auto"/>
      <w:lang w:val="en-AU" w:eastAsia="en-AU"/>
    </w:rPr>
  </w:style>
  <w:style w:type="paragraph" w:customStyle="1" w:styleId="xl66">
    <w:name w:val="xl66"/>
    <w:basedOn w:val="Normal"/>
    <w:rsid w:val="00706202"/>
    <w:pPr>
      <w:pBdr>
        <w:top w:val="single" w:sz="4" w:space="0" w:color="7292CC"/>
        <w:left w:val="single" w:sz="4" w:space="0" w:color="7292CC"/>
        <w:bottom w:val="single" w:sz="4" w:space="0" w:color="7292CC"/>
        <w:right w:val="single" w:sz="4" w:space="0" w:color="7292CC"/>
      </w:pBdr>
      <w:shd w:val="clear" w:color="000000" w:fill="4C68A2"/>
      <w:spacing w:before="100" w:beforeAutospacing="1" w:after="100" w:afterAutospacing="1"/>
      <w:jc w:val="center"/>
      <w:textAlignment w:val="top"/>
    </w:pPr>
    <w:rPr>
      <w:rFonts w:ascii="Tahoma" w:eastAsia="Times New Roman" w:hAnsi="Tahoma" w:cs="Tahoma"/>
      <w:b/>
      <w:bCs/>
      <w:color w:val="FFFFFF"/>
      <w:sz w:val="22"/>
      <w:szCs w:val="22"/>
      <w:lang w:val="en-AU" w:eastAsia="en-AU"/>
    </w:rPr>
  </w:style>
  <w:style w:type="paragraph" w:customStyle="1" w:styleId="xl67">
    <w:name w:val="xl67"/>
    <w:basedOn w:val="Normal"/>
    <w:rsid w:val="00706202"/>
    <w:pPr>
      <w:pBdr>
        <w:top w:val="single" w:sz="4" w:space="0" w:color="E5E5E5"/>
        <w:left w:val="single" w:sz="4" w:space="0" w:color="E5E5E5"/>
        <w:bottom w:val="single" w:sz="4" w:space="0" w:color="E5E5E5"/>
        <w:right w:val="single" w:sz="4" w:space="0" w:color="E5E5E5"/>
      </w:pBdr>
      <w:spacing w:before="100" w:beforeAutospacing="1" w:after="100" w:afterAutospacing="1"/>
      <w:jc w:val="center"/>
      <w:textAlignment w:val="top"/>
    </w:pPr>
    <w:rPr>
      <w:rFonts w:ascii="Tahoma" w:eastAsia="Times New Roman" w:hAnsi="Tahoma" w:cs="Tahoma"/>
      <w:color w:val="4D4D4D"/>
      <w:lang w:val="en-AU" w:eastAsia="en-AU"/>
    </w:rPr>
  </w:style>
  <w:style w:type="paragraph" w:customStyle="1" w:styleId="xl68">
    <w:name w:val="xl68"/>
    <w:basedOn w:val="Normal"/>
    <w:rsid w:val="00706202"/>
    <w:pPr>
      <w:spacing w:before="100" w:beforeAutospacing="1" w:after="100" w:afterAutospacing="1"/>
      <w:jc w:val="center"/>
    </w:pPr>
    <w:rPr>
      <w:rFonts w:ascii="Times New Roman" w:eastAsia="Times New Roman" w:hAnsi="Times New Roman"/>
      <w:color w:val="auto"/>
      <w:lang w:val="en-AU" w:eastAsia="en-AU"/>
    </w:rPr>
  </w:style>
  <w:style w:type="paragraph" w:customStyle="1" w:styleId="xl69">
    <w:name w:val="xl69"/>
    <w:basedOn w:val="Normal"/>
    <w:rsid w:val="00706202"/>
    <w:pPr>
      <w:pBdr>
        <w:top w:val="single" w:sz="4" w:space="0" w:color="7292CC"/>
        <w:left w:val="single" w:sz="4" w:space="0" w:color="7292CC"/>
        <w:bottom w:val="single" w:sz="4" w:space="0" w:color="7292CC"/>
        <w:right w:val="single" w:sz="4" w:space="0" w:color="7292CC"/>
      </w:pBdr>
      <w:shd w:val="clear" w:color="000000" w:fill="4C68A2"/>
      <w:spacing w:before="100" w:beforeAutospacing="1" w:after="100" w:afterAutospacing="1"/>
      <w:jc w:val="center"/>
      <w:textAlignment w:val="center"/>
    </w:pPr>
    <w:rPr>
      <w:rFonts w:ascii="Tahoma" w:eastAsia="Times New Roman" w:hAnsi="Tahoma" w:cs="Tahoma"/>
      <w:b/>
      <w:bCs/>
      <w:color w:val="FFFFFF"/>
      <w:sz w:val="22"/>
      <w:szCs w:val="22"/>
      <w:lang w:val="en-AU" w:eastAsia="en-AU"/>
    </w:rPr>
  </w:style>
  <w:style w:type="paragraph" w:customStyle="1" w:styleId="xl70">
    <w:name w:val="xl70"/>
    <w:basedOn w:val="Normal"/>
    <w:rsid w:val="00706202"/>
    <w:pPr>
      <w:pBdr>
        <w:top w:val="single" w:sz="4" w:space="0" w:color="E5E5E5"/>
        <w:left w:val="single" w:sz="4" w:space="0" w:color="E5E5E5"/>
        <w:bottom w:val="single" w:sz="4" w:space="0" w:color="E5E5E5"/>
        <w:right w:val="single" w:sz="4" w:space="0" w:color="E5E5E5"/>
      </w:pBdr>
      <w:spacing w:before="100" w:beforeAutospacing="1" w:after="100" w:afterAutospacing="1"/>
      <w:jc w:val="center"/>
      <w:textAlignment w:val="center"/>
    </w:pPr>
    <w:rPr>
      <w:rFonts w:ascii="Tahoma" w:eastAsia="Times New Roman" w:hAnsi="Tahoma" w:cs="Tahoma"/>
      <w:color w:val="4D4D4D"/>
      <w:lang w:val="en-AU" w:eastAsia="en-AU"/>
    </w:rPr>
  </w:style>
  <w:style w:type="paragraph" w:customStyle="1" w:styleId="xl71">
    <w:name w:val="xl71"/>
    <w:basedOn w:val="Normal"/>
    <w:rsid w:val="00706202"/>
    <w:pPr>
      <w:spacing w:before="100" w:beforeAutospacing="1" w:after="100" w:afterAutospacing="1"/>
      <w:jc w:val="center"/>
      <w:textAlignment w:val="center"/>
    </w:pPr>
    <w:rPr>
      <w:rFonts w:ascii="Times New Roman" w:eastAsia="Times New Roman" w:hAnsi="Times New Roman"/>
      <w:color w:val="auto"/>
      <w:lang w:val="en-AU" w:eastAsia="en-AU"/>
    </w:rPr>
  </w:style>
  <w:style w:type="paragraph" w:customStyle="1" w:styleId="xl72">
    <w:name w:val="xl72"/>
    <w:basedOn w:val="Normal"/>
    <w:rsid w:val="00706202"/>
    <w:pPr>
      <w:pBdr>
        <w:top w:val="single" w:sz="4" w:space="0" w:color="E5E5E5"/>
        <w:left w:val="single" w:sz="4" w:space="0" w:color="E5E5E5"/>
        <w:right w:val="single" w:sz="4" w:space="0" w:color="E5E5E5"/>
      </w:pBdr>
      <w:spacing w:before="100" w:beforeAutospacing="1" w:after="100" w:afterAutospacing="1"/>
      <w:jc w:val="center"/>
      <w:textAlignment w:val="top"/>
    </w:pPr>
    <w:rPr>
      <w:rFonts w:ascii="Tahoma" w:eastAsia="Times New Roman" w:hAnsi="Tahoma" w:cs="Tahoma"/>
      <w:color w:val="4D4D4D"/>
      <w:lang w:val="en-AU" w:eastAsia="en-AU"/>
    </w:rPr>
  </w:style>
  <w:style w:type="paragraph" w:customStyle="1" w:styleId="xl73">
    <w:name w:val="xl73"/>
    <w:basedOn w:val="Normal"/>
    <w:rsid w:val="00706202"/>
    <w:pPr>
      <w:pBdr>
        <w:bottom w:val="single" w:sz="4" w:space="0" w:color="7292CC"/>
      </w:pBdr>
      <w:spacing w:before="100" w:beforeAutospacing="1" w:after="100" w:afterAutospacing="1"/>
      <w:textAlignment w:val="top"/>
    </w:pPr>
    <w:rPr>
      <w:rFonts w:ascii="Verdana" w:eastAsia="Times New Roman" w:hAnsi="Verdana"/>
      <w:color w:val="000000"/>
      <w:sz w:val="40"/>
      <w:szCs w:val="40"/>
      <w:lang w:val="en-AU" w:eastAsia="en-AU"/>
    </w:rPr>
  </w:style>
  <w:style w:type="table" w:styleId="ColorfulGrid-Accent1">
    <w:name w:val="Colorful Grid Accent 1"/>
    <w:basedOn w:val="TableNormal"/>
    <w:uiPriority w:val="73"/>
    <w:rsid w:val="00DF753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5">
    <w:name w:val="Medium Grid 3 Accent 5"/>
    <w:basedOn w:val="TableNormal"/>
    <w:uiPriority w:val="69"/>
    <w:rsid w:val="00C266C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2-Accent1">
    <w:name w:val="Medium Grid 2 Accent 1"/>
    <w:basedOn w:val="TableNormal"/>
    <w:uiPriority w:val="68"/>
    <w:rsid w:val="00C266C9"/>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olorfulGrid-Accent5">
    <w:name w:val="Colorful Grid Accent 5"/>
    <w:basedOn w:val="TableNormal"/>
    <w:uiPriority w:val="73"/>
    <w:rsid w:val="00C266C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
    <w:name w:val="Colorful Grid"/>
    <w:basedOn w:val="TableNormal"/>
    <w:uiPriority w:val="73"/>
    <w:rsid w:val="00C266C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CommentSubject">
    <w:name w:val="annotation subject"/>
    <w:basedOn w:val="CommentText"/>
    <w:next w:val="CommentText"/>
    <w:link w:val="CommentSubjectChar"/>
    <w:uiPriority w:val="99"/>
    <w:semiHidden/>
    <w:unhideWhenUsed/>
    <w:rsid w:val="007E54DE"/>
    <w:pPr>
      <w:spacing w:after="0"/>
    </w:pPr>
    <w:rPr>
      <w:rFonts w:ascii="Calibri" w:eastAsia="Cambria" w:hAnsi="Calibri" w:cs="Times New Roman"/>
      <w:b/>
      <w:bCs/>
      <w:color w:val="3B3C3B"/>
      <w:lang w:val="en-GB"/>
    </w:rPr>
  </w:style>
  <w:style w:type="character" w:customStyle="1" w:styleId="CommentSubjectChar">
    <w:name w:val="Comment Subject Char"/>
    <w:basedOn w:val="CommentTextChar"/>
    <w:link w:val="CommentSubject"/>
    <w:uiPriority w:val="99"/>
    <w:semiHidden/>
    <w:rsid w:val="007E54DE"/>
    <w:rPr>
      <w:rFonts w:ascii="Calibri" w:eastAsia="Cambria" w:hAnsi="Calibri" w:cs="Times New Roman"/>
      <w:b/>
      <w:bCs/>
      <w:color w:val="3B3C3B"/>
      <w:sz w:val="20"/>
      <w:szCs w:val="20"/>
      <w:lang w:val="en-GB"/>
    </w:rPr>
  </w:style>
  <w:style w:type="character" w:customStyle="1" w:styleId="Heading4Char">
    <w:name w:val="Heading 4 Char"/>
    <w:basedOn w:val="DefaultParagraphFont"/>
    <w:link w:val="Heading4"/>
    <w:uiPriority w:val="9"/>
    <w:rsid w:val="00223843"/>
    <w:rPr>
      <w:rFonts w:asciiTheme="majorHAnsi" w:eastAsiaTheme="majorEastAsia" w:hAnsiTheme="majorHAnsi" w:cstheme="majorBidi"/>
      <w:b/>
      <w:bCs/>
      <w:i/>
      <w:iCs/>
      <w:color w:val="4F81BD" w:themeColor="accent1"/>
      <w:lang w:val="en-GB"/>
    </w:rPr>
  </w:style>
  <w:style w:type="table" w:customStyle="1" w:styleId="MediumGrid3-Accent11">
    <w:name w:val="Medium Grid 3 - Accent 11"/>
    <w:basedOn w:val="TableNormal"/>
    <w:next w:val="MediumGrid3-Accent1"/>
    <w:uiPriority w:val="69"/>
    <w:rsid w:val="00BA311F"/>
    <w:rPr>
      <w:rFonts w:eastAsia="Calibri"/>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EndnoteText">
    <w:name w:val="endnote text"/>
    <w:basedOn w:val="Normal"/>
    <w:link w:val="EndnoteTextChar"/>
    <w:uiPriority w:val="99"/>
    <w:semiHidden/>
    <w:unhideWhenUsed/>
    <w:rsid w:val="0024343A"/>
    <w:rPr>
      <w:sz w:val="20"/>
      <w:szCs w:val="20"/>
    </w:rPr>
  </w:style>
  <w:style w:type="character" w:customStyle="1" w:styleId="EndnoteTextChar">
    <w:name w:val="Endnote Text Char"/>
    <w:basedOn w:val="DefaultParagraphFont"/>
    <w:link w:val="EndnoteText"/>
    <w:uiPriority w:val="99"/>
    <w:semiHidden/>
    <w:rsid w:val="0024343A"/>
    <w:rPr>
      <w:rFonts w:ascii="Calibri" w:eastAsia="Cambria" w:hAnsi="Calibri" w:cs="Times New Roman"/>
      <w:color w:val="3B3C3B"/>
      <w:sz w:val="20"/>
      <w:szCs w:val="20"/>
      <w:lang w:val="en-GB"/>
    </w:rPr>
  </w:style>
  <w:style w:type="character" w:styleId="EndnoteReference">
    <w:name w:val="endnote reference"/>
    <w:basedOn w:val="DefaultParagraphFont"/>
    <w:uiPriority w:val="99"/>
    <w:semiHidden/>
    <w:unhideWhenUsed/>
    <w:rsid w:val="0024343A"/>
    <w:rPr>
      <w:vertAlign w:val="superscript"/>
    </w:rPr>
  </w:style>
  <w:style w:type="paragraph" w:styleId="Revision">
    <w:name w:val="Revision"/>
    <w:hidden/>
    <w:uiPriority w:val="99"/>
    <w:semiHidden/>
    <w:rsid w:val="00F100EF"/>
    <w:rPr>
      <w:rFonts w:ascii="Calibri" w:eastAsia="Cambria" w:hAnsi="Calibri" w:cs="Times New Roman"/>
      <w:color w:val="3B3C3B"/>
      <w:lang w:val="en-GB"/>
    </w:rPr>
  </w:style>
  <w:style w:type="numbering" w:customStyle="1" w:styleId="NoList1">
    <w:name w:val="No List1"/>
    <w:next w:val="NoList"/>
    <w:uiPriority w:val="99"/>
    <w:semiHidden/>
    <w:unhideWhenUsed/>
    <w:rsid w:val="005B762B"/>
  </w:style>
  <w:style w:type="table" w:customStyle="1" w:styleId="TableGrid1">
    <w:name w:val="Table Grid1"/>
    <w:basedOn w:val="TableNormal"/>
    <w:next w:val="TableGrid"/>
    <w:uiPriority w:val="59"/>
    <w:rsid w:val="005B762B"/>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5B762B"/>
    <w:rPr>
      <w:rFonts w:eastAsia="MS Mincho"/>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next w:val="LightList-Accent1"/>
    <w:uiPriority w:val="61"/>
    <w:rsid w:val="005B762B"/>
    <w:rPr>
      <w:rFonts w:eastAsia="MS Minch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5B762B"/>
    <w:rPr>
      <w:rFonts w:eastAsia="MS Minch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11">
    <w:name w:val="Colorful Grid - Accent 11"/>
    <w:basedOn w:val="TableNormal"/>
    <w:next w:val="ColorfulGrid-Accent1"/>
    <w:uiPriority w:val="73"/>
    <w:rsid w:val="005B762B"/>
    <w:rPr>
      <w:rFonts w:eastAsia="MS Mincho"/>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Grid3-Accent51">
    <w:name w:val="Medium Grid 3 - Accent 51"/>
    <w:basedOn w:val="TableNormal"/>
    <w:next w:val="MediumGrid3-Accent5"/>
    <w:uiPriority w:val="69"/>
    <w:rsid w:val="005B762B"/>
    <w:rPr>
      <w:rFonts w:eastAsia="MS Mincho"/>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2-Accent11">
    <w:name w:val="Medium Grid 2 - Accent 11"/>
    <w:basedOn w:val="TableNormal"/>
    <w:next w:val="MediumGrid2-Accent1"/>
    <w:uiPriority w:val="68"/>
    <w:rsid w:val="005B762B"/>
    <w:rPr>
      <w:rFonts w:ascii="Calibri" w:eastAsia="MS Gothic" w:hAnsi="Calibri"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olorfulGrid-Accent51">
    <w:name w:val="Colorful Grid - Accent 51"/>
    <w:basedOn w:val="TableNormal"/>
    <w:next w:val="ColorfulGrid-Accent5"/>
    <w:uiPriority w:val="73"/>
    <w:rsid w:val="005B762B"/>
    <w:rPr>
      <w:rFonts w:eastAsia="MS Mincho"/>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next w:val="ColorfulGrid"/>
    <w:uiPriority w:val="73"/>
    <w:rsid w:val="005B762B"/>
    <w:rPr>
      <w:rFonts w:eastAsia="MS Mincho"/>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56131">
      <w:bodyDiv w:val="1"/>
      <w:marLeft w:val="0"/>
      <w:marRight w:val="0"/>
      <w:marTop w:val="0"/>
      <w:marBottom w:val="0"/>
      <w:divBdr>
        <w:top w:val="none" w:sz="0" w:space="0" w:color="auto"/>
        <w:left w:val="none" w:sz="0" w:space="0" w:color="auto"/>
        <w:bottom w:val="none" w:sz="0" w:space="0" w:color="auto"/>
        <w:right w:val="none" w:sz="0" w:space="0" w:color="auto"/>
      </w:divBdr>
    </w:div>
    <w:div w:id="461384748">
      <w:bodyDiv w:val="1"/>
      <w:marLeft w:val="0"/>
      <w:marRight w:val="0"/>
      <w:marTop w:val="0"/>
      <w:marBottom w:val="0"/>
      <w:divBdr>
        <w:top w:val="none" w:sz="0" w:space="0" w:color="auto"/>
        <w:left w:val="none" w:sz="0" w:space="0" w:color="auto"/>
        <w:bottom w:val="none" w:sz="0" w:space="0" w:color="auto"/>
        <w:right w:val="none" w:sz="0" w:space="0" w:color="auto"/>
      </w:divBdr>
    </w:div>
    <w:div w:id="629871144">
      <w:bodyDiv w:val="1"/>
      <w:marLeft w:val="0"/>
      <w:marRight w:val="0"/>
      <w:marTop w:val="0"/>
      <w:marBottom w:val="0"/>
      <w:divBdr>
        <w:top w:val="none" w:sz="0" w:space="0" w:color="auto"/>
        <w:left w:val="none" w:sz="0" w:space="0" w:color="auto"/>
        <w:bottom w:val="none" w:sz="0" w:space="0" w:color="auto"/>
        <w:right w:val="none" w:sz="0" w:space="0" w:color="auto"/>
      </w:divBdr>
    </w:div>
    <w:div w:id="641889123">
      <w:bodyDiv w:val="1"/>
      <w:marLeft w:val="0"/>
      <w:marRight w:val="0"/>
      <w:marTop w:val="0"/>
      <w:marBottom w:val="0"/>
      <w:divBdr>
        <w:top w:val="none" w:sz="0" w:space="0" w:color="auto"/>
        <w:left w:val="none" w:sz="0" w:space="0" w:color="auto"/>
        <w:bottom w:val="none" w:sz="0" w:space="0" w:color="auto"/>
        <w:right w:val="none" w:sz="0" w:space="0" w:color="auto"/>
      </w:divBdr>
    </w:div>
    <w:div w:id="855577602">
      <w:bodyDiv w:val="1"/>
      <w:marLeft w:val="0"/>
      <w:marRight w:val="0"/>
      <w:marTop w:val="0"/>
      <w:marBottom w:val="0"/>
      <w:divBdr>
        <w:top w:val="none" w:sz="0" w:space="0" w:color="auto"/>
        <w:left w:val="none" w:sz="0" w:space="0" w:color="auto"/>
        <w:bottom w:val="none" w:sz="0" w:space="0" w:color="auto"/>
        <w:right w:val="none" w:sz="0" w:space="0" w:color="auto"/>
      </w:divBdr>
    </w:div>
    <w:div w:id="1137914233">
      <w:bodyDiv w:val="1"/>
      <w:marLeft w:val="0"/>
      <w:marRight w:val="0"/>
      <w:marTop w:val="0"/>
      <w:marBottom w:val="0"/>
      <w:divBdr>
        <w:top w:val="none" w:sz="0" w:space="0" w:color="auto"/>
        <w:left w:val="none" w:sz="0" w:space="0" w:color="auto"/>
        <w:bottom w:val="none" w:sz="0" w:space="0" w:color="auto"/>
        <w:right w:val="none" w:sz="0" w:space="0" w:color="auto"/>
      </w:divBdr>
    </w:div>
    <w:div w:id="1226185170">
      <w:bodyDiv w:val="1"/>
      <w:marLeft w:val="0"/>
      <w:marRight w:val="0"/>
      <w:marTop w:val="0"/>
      <w:marBottom w:val="0"/>
      <w:divBdr>
        <w:top w:val="none" w:sz="0" w:space="0" w:color="auto"/>
        <w:left w:val="none" w:sz="0" w:space="0" w:color="auto"/>
        <w:bottom w:val="none" w:sz="0" w:space="0" w:color="auto"/>
        <w:right w:val="none" w:sz="0" w:space="0" w:color="auto"/>
      </w:divBdr>
    </w:div>
    <w:div w:id="1266769200">
      <w:bodyDiv w:val="1"/>
      <w:marLeft w:val="0"/>
      <w:marRight w:val="0"/>
      <w:marTop w:val="0"/>
      <w:marBottom w:val="0"/>
      <w:divBdr>
        <w:top w:val="none" w:sz="0" w:space="0" w:color="auto"/>
        <w:left w:val="none" w:sz="0" w:space="0" w:color="auto"/>
        <w:bottom w:val="none" w:sz="0" w:space="0" w:color="auto"/>
        <w:right w:val="none" w:sz="0" w:space="0" w:color="auto"/>
      </w:divBdr>
    </w:div>
    <w:div w:id="1316951134">
      <w:bodyDiv w:val="1"/>
      <w:marLeft w:val="0"/>
      <w:marRight w:val="0"/>
      <w:marTop w:val="0"/>
      <w:marBottom w:val="0"/>
      <w:divBdr>
        <w:top w:val="none" w:sz="0" w:space="0" w:color="auto"/>
        <w:left w:val="none" w:sz="0" w:space="0" w:color="auto"/>
        <w:bottom w:val="none" w:sz="0" w:space="0" w:color="auto"/>
        <w:right w:val="none" w:sz="0" w:space="0" w:color="auto"/>
      </w:divBdr>
    </w:div>
    <w:div w:id="1360861665">
      <w:bodyDiv w:val="1"/>
      <w:marLeft w:val="0"/>
      <w:marRight w:val="0"/>
      <w:marTop w:val="0"/>
      <w:marBottom w:val="0"/>
      <w:divBdr>
        <w:top w:val="none" w:sz="0" w:space="0" w:color="auto"/>
        <w:left w:val="none" w:sz="0" w:space="0" w:color="auto"/>
        <w:bottom w:val="none" w:sz="0" w:space="0" w:color="auto"/>
        <w:right w:val="none" w:sz="0" w:space="0" w:color="auto"/>
      </w:divBdr>
    </w:div>
    <w:div w:id="1379236640">
      <w:bodyDiv w:val="1"/>
      <w:marLeft w:val="0"/>
      <w:marRight w:val="0"/>
      <w:marTop w:val="0"/>
      <w:marBottom w:val="0"/>
      <w:divBdr>
        <w:top w:val="none" w:sz="0" w:space="0" w:color="auto"/>
        <w:left w:val="none" w:sz="0" w:space="0" w:color="auto"/>
        <w:bottom w:val="none" w:sz="0" w:space="0" w:color="auto"/>
        <w:right w:val="none" w:sz="0" w:space="0" w:color="auto"/>
      </w:divBdr>
    </w:div>
    <w:div w:id="1400519924">
      <w:bodyDiv w:val="1"/>
      <w:marLeft w:val="0"/>
      <w:marRight w:val="0"/>
      <w:marTop w:val="0"/>
      <w:marBottom w:val="0"/>
      <w:divBdr>
        <w:top w:val="none" w:sz="0" w:space="0" w:color="auto"/>
        <w:left w:val="none" w:sz="0" w:space="0" w:color="auto"/>
        <w:bottom w:val="none" w:sz="0" w:space="0" w:color="auto"/>
        <w:right w:val="none" w:sz="0" w:space="0" w:color="auto"/>
      </w:divBdr>
    </w:div>
    <w:div w:id="1415738716">
      <w:bodyDiv w:val="1"/>
      <w:marLeft w:val="0"/>
      <w:marRight w:val="0"/>
      <w:marTop w:val="0"/>
      <w:marBottom w:val="0"/>
      <w:divBdr>
        <w:top w:val="none" w:sz="0" w:space="0" w:color="auto"/>
        <w:left w:val="none" w:sz="0" w:space="0" w:color="auto"/>
        <w:bottom w:val="none" w:sz="0" w:space="0" w:color="auto"/>
        <w:right w:val="none" w:sz="0" w:space="0" w:color="auto"/>
      </w:divBdr>
    </w:div>
    <w:div w:id="1518808361">
      <w:bodyDiv w:val="1"/>
      <w:marLeft w:val="0"/>
      <w:marRight w:val="0"/>
      <w:marTop w:val="0"/>
      <w:marBottom w:val="0"/>
      <w:divBdr>
        <w:top w:val="none" w:sz="0" w:space="0" w:color="auto"/>
        <w:left w:val="none" w:sz="0" w:space="0" w:color="auto"/>
        <w:bottom w:val="none" w:sz="0" w:space="0" w:color="auto"/>
        <w:right w:val="none" w:sz="0" w:space="0" w:color="auto"/>
      </w:divBdr>
    </w:div>
    <w:div w:id="1548639193">
      <w:bodyDiv w:val="1"/>
      <w:marLeft w:val="0"/>
      <w:marRight w:val="0"/>
      <w:marTop w:val="0"/>
      <w:marBottom w:val="0"/>
      <w:divBdr>
        <w:top w:val="none" w:sz="0" w:space="0" w:color="auto"/>
        <w:left w:val="none" w:sz="0" w:space="0" w:color="auto"/>
        <w:bottom w:val="none" w:sz="0" w:space="0" w:color="auto"/>
        <w:right w:val="none" w:sz="0" w:space="0" w:color="auto"/>
      </w:divBdr>
    </w:div>
    <w:div w:id="1591506513">
      <w:bodyDiv w:val="1"/>
      <w:marLeft w:val="0"/>
      <w:marRight w:val="0"/>
      <w:marTop w:val="0"/>
      <w:marBottom w:val="0"/>
      <w:divBdr>
        <w:top w:val="none" w:sz="0" w:space="0" w:color="auto"/>
        <w:left w:val="none" w:sz="0" w:space="0" w:color="auto"/>
        <w:bottom w:val="none" w:sz="0" w:space="0" w:color="auto"/>
        <w:right w:val="none" w:sz="0" w:space="0" w:color="auto"/>
      </w:divBdr>
    </w:div>
    <w:div w:id="1659377679">
      <w:bodyDiv w:val="1"/>
      <w:marLeft w:val="0"/>
      <w:marRight w:val="0"/>
      <w:marTop w:val="0"/>
      <w:marBottom w:val="0"/>
      <w:divBdr>
        <w:top w:val="none" w:sz="0" w:space="0" w:color="auto"/>
        <w:left w:val="none" w:sz="0" w:space="0" w:color="auto"/>
        <w:bottom w:val="none" w:sz="0" w:space="0" w:color="auto"/>
        <w:right w:val="none" w:sz="0" w:space="0" w:color="auto"/>
      </w:divBdr>
    </w:div>
    <w:div w:id="1792477477">
      <w:bodyDiv w:val="1"/>
      <w:marLeft w:val="0"/>
      <w:marRight w:val="0"/>
      <w:marTop w:val="0"/>
      <w:marBottom w:val="0"/>
      <w:divBdr>
        <w:top w:val="none" w:sz="0" w:space="0" w:color="auto"/>
        <w:left w:val="none" w:sz="0" w:space="0" w:color="auto"/>
        <w:bottom w:val="none" w:sz="0" w:space="0" w:color="auto"/>
        <w:right w:val="none" w:sz="0" w:space="0" w:color="auto"/>
      </w:divBdr>
    </w:div>
    <w:div w:id="1813133257">
      <w:bodyDiv w:val="1"/>
      <w:marLeft w:val="0"/>
      <w:marRight w:val="0"/>
      <w:marTop w:val="0"/>
      <w:marBottom w:val="0"/>
      <w:divBdr>
        <w:top w:val="none" w:sz="0" w:space="0" w:color="auto"/>
        <w:left w:val="none" w:sz="0" w:space="0" w:color="auto"/>
        <w:bottom w:val="none" w:sz="0" w:space="0" w:color="auto"/>
        <w:right w:val="none" w:sz="0" w:space="0" w:color="auto"/>
      </w:divBdr>
    </w:div>
    <w:div w:id="1967613694">
      <w:bodyDiv w:val="1"/>
      <w:marLeft w:val="0"/>
      <w:marRight w:val="0"/>
      <w:marTop w:val="0"/>
      <w:marBottom w:val="0"/>
      <w:divBdr>
        <w:top w:val="none" w:sz="0" w:space="0" w:color="auto"/>
        <w:left w:val="none" w:sz="0" w:space="0" w:color="auto"/>
        <w:bottom w:val="none" w:sz="0" w:space="0" w:color="auto"/>
        <w:right w:val="none" w:sz="0" w:space="0" w:color="auto"/>
      </w:divBdr>
    </w:div>
    <w:div w:id="20394282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10.png"/><Relationship Id="rId39" Type="http://schemas.openxmlformats.org/officeDocument/2006/relationships/chart" Target="charts/chart11.xml"/><Relationship Id="rId21" Type="http://schemas.openxmlformats.org/officeDocument/2006/relationships/chart" Target="charts/chart3.xml"/><Relationship Id="rId34" Type="http://schemas.openxmlformats.org/officeDocument/2006/relationships/chart" Target="charts/chart7.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microsoft.com/office/2007/relationships/diagramDrawing" Target="diagrams/drawing1.xml"/><Relationship Id="rId63" Type="http://schemas.openxmlformats.org/officeDocument/2006/relationships/diagramData" Target="diagrams/data3.xml"/><Relationship Id="rId68" Type="http://schemas.openxmlformats.org/officeDocument/2006/relationships/header" Target="header4.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gif"/><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diagramQuickStyle" Target="diagrams/quickStyle1.xml"/><Relationship Id="rId58" Type="http://schemas.openxmlformats.org/officeDocument/2006/relationships/diagramData" Target="diagrams/data2.xml"/><Relationship Id="rId66" Type="http://schemas.openxmlformats.org/officeDocument/2006/relationships/diagramColors" Target="diagrams/colors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chart" Target="charts/chart21.xml"/><Relationship Id="rId57" Type="http://schemas.openxmlformats.org/officeDocument/2006/relationships/image" Target="media/image17.png"/><Relationship Id="rId61" Type="http://schemas.openxmlformats.org/officeDocument/2006/relationships/diagramColors" Target="diagrams/colors2.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chart" Target="charts/chart5.xml"/><Relationship Id="rId44" Type="http://schemas.openxmlformats.org/officeDocument/2006/relationships/chart" Target="charts/chart16.xml"/><Relationship Id="rId52" Type="http://schemas.openxmlformats.org/officeDocument/2006/relationships/diagramLayout" Target="diagrams/layout1.xml"/><Relationship Id="rId60" Type="http://schemas.openxmlformats.org/officeDocument/2006/relationships/diagramQuickStyle" Target="diagrams/quickStyle2.xml"/><Relationship Id="rId65"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image" Target="media/image16.png"/><Relationship Id="rId64" Type="http://schemas.openxmlformats.org/officeDocument/2006/relationships/diagramLayout" Target="diagrams/layout3.xm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diagramData" Target="diagrams/data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chart" Target="charts/chart6.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diagramLayout" Target="diagrams/layout2.xml"/><Relationship Id="rId67" Type="http://schemas.microsoft.com/office/2007/relationships/diagramDrawing" Target="diagrams/drawing3.xml"/><Relationship Id="rId20" Type="http://schemas.openxmlformats.org/officeDocument/2006/relationships/image" Target="media/image5.png"/><Relationship Id="rId41" Type="http://schemas.openxmlformats.org/officeDocument/2006/relationships/chart" Target="charts/chart13.xml"/><Relationship Id="rId54" Type="http://schemas.openxmlformats.org/officeDocument/2006/relationships/diagramColors" Target="diagrams/colors1.xml"/><Relationship Id="rId62" Type="http://schemas.microsoft.com/office/2007/relationships/diagramDrawing" Target="diagrams/drawing2.xm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telstra.com.au/aboutus/media/media-releases/Telstra&#8217;s%204G%20coverage%20races%20to%2019.5%20million%20Australians%20with%203500th%20base%20station%20switched%20on" TargetMode="External"/><Relationship Id="rId2" Type="http://schemas.openxmlformats.org/officeDocument/2006/relationships/hyperlink" Target="http://www.telstra.com.au/mobile-phones/coverage-networks/networks" TargetMode="External"/><Relationship Id="rId1" Type="http://schemas.openxmlformats.org/officeDocument/2006/relationships/hyperlink" Target="http://www.abs.gov.au/websitedbs/d3310114.nsf/home/remoteness+structure" TargetMode="External"/><Relationship Id="rId6" Type="http://schemas.openxmlformats.org/officeDocument/2006/relationships/hyperlink" Target="http://point-topic.com/free-analysis/mapping-broadband-coverage-europe-2012/" TargetMode="External"/><Relationship Id="rId5" Type="http://schemas.openxmlformats.org/officeDocument/2006/relationships/hyperlink" Target="http://www.zukunft-breitband.de/DE/Breitbandatlas/breitband-vor-ort.html" TargetMode="External"/><Relationship Id="rId4" Type="http://schemas.openxmlformats.org/officeDocument/2006/relationships/hyperlink" Target="http://www.ic.gc.ca/app/sitt/bbmap/hm.html?lng=e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dept.gov.au\DFS\Home\MBrann\3%20year%20rollout%20stuff\bqap%20data%20(zero%20mobile)%2016%20December.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ept.gov.au\DFS\Home\MBrann\BAQP%20data%20sets\BAQP%20analysis%20%20for%20long%20report%20-%20final%2011%20feb.xlsx"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dept.gov.au\DFS\Home\MBrann\BAQP%20data%20sets\BAQP%20analysis%20%20for%20long%20report%20-%20final%2011%20feb.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dept.gov.au\DFS\Home\MBrann\BAQP%20data%20sets\BAQP%20analysis%20%20for%20long%20report%20-%20final%2011%20feb.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dept.gov.au\DFS\Home\MBrann\BAQP%20data%20sets\BAQP%20analysis%20%20for%20long%20report%20-%20final%2011%20feb.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dept.gov.au\DFS\Home\MBrann\BAQP%20data%20sets\BAQP%20analysis%20%20for%20long%20report%20-%20final%2011%20feb.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dept.gov.au\DFS\Home\MBrann\BAQP%20data%20sets\BAQP%20analysis%20%20for%20long%20report%20-%20final%2011%20feb.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dept.gov.au\DFS\Home\MBrann\BAQP%20data%20sets\BAQP%20analysis%20%20for%20long%20report%20-%20final%2011%20feb.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dept.gov.au\DFS\Home\MBrann\BAQP%20data%20sets\BAQP%20analysis%20%20for%20long%20report%20-%20final%2011%20feb.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dept.gov.au\DFS\Home\MBrann\BAQP%20data%20sets\BAQP%20analysis%20%20for%20long%20report%20-%20final%2011%20feb.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dept.gov.au\DFS\Home\lbirchall\desktop\Dataset%2022%20Jan%20-%20Excel.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oleObject" Target="file:///\\dept.gov.au\DFS\Home\MBrann\BAQP%20data%20sets\BAQP%20analysis%20%20for%20long%20report%20-%20final%2011%20feb.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ept.gov.au\DFS\Home\CSimkus\desktop\12%20December%20-%20fixed%20line%20only\ALL%20states%20-%20analysis-12%20december-incl%20opticomm.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dept.gov.au\DFS\Home\CSimkus\desktop\11%20February%202014\ANALYSIS%20pgs%20correction%20plus%20state%20comparison%20analysis%20-%2029%20Jan%20-%20Copy.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dept.gov.au\DFS\Home\CSimkus\desktop\11%20February%202014\ANALYSIS%20pgs%20correction%20plus%20state%20comparison%20analysis%20-%2029%20Jan%20-%20Copy.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file:///\\dept.gov.au\DFS\Home\MBrann\BAQP%20data%20sets\final%20cut%20of%20data%2017%20Feb.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dept.gov.au\DFS\Home\lbirchall\desktop\dataset%20updat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pt.gov.au\DFS\Home\lbirchall\desktop\dataset%20updated.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ept.gov.au\DFS\Home\lbirchall\desktop\Dataset%2022%20Jan%20-%20Excel.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dept.gov.au\DFS\Home\lbirchall\desktop\Dataset%2022%20Jan%20-%20Excel.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dept.gov.au\DFS\Home\MBrann\BAQP%20data%20sets\BAQP%20analysis%20%20for%20long%20report%20-%20final%2011%20feb.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dept.gov.au\DFS\Home\CSimkus\desktop\11%20February%202014\ANALYSIS%20pgs%20correction%20plus%20state%20comparison%20analysis%20-%2029%20Jan%20-%20Copy.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mj-lt"/>
              </a:defRPr>
            </a:pPr>
            <a:r>
              <a:rPr lang="en-AU" sz="1200">
                <a:latin typeface="+mj-lt"/>
              </a:rPr>
              <a:t>Fixed broadband availability and quality</a:t>
            </a:r>
          </a:p>
        </c:rich>
      </c:tx>
      <c:overlay val="1"/>
    </c:title>
    <c:autoTitleDeleted val="0"/>
    <c:plotArea>
      <c:layout>
        <c:manualLayout>
          <c:layoutTarget val="inner"/>
          <c:xMode val="edge"/>
          <c:yMode val="edge"/>
          <c:x val="0.10938171986879922"/>
          <c:y val="0.13251814111471361"/>
          <c:w val="0.86072281497819014"/>
          <c:h val="0.70180769199515691"/>
        </c:manualLayout>
      </c:layout>
      <c:barChart>
        <c:barDir val="col"/>
        <c:grouping val="clustered"/>
        <c:varyColors val="0"/>
        <c:ser>
          <c:idx val="0"/>
          <c:order val="0"/>
          <c:tx>
            <c:strRef>
              <c:f>'Graphs &amp; calcs'!$Y$41</c:f>
              <c:strCache>
                <c:ptCount val="1"/>
                <c:pt idx="0">
                  <c:v>Availability</c:v>
                </c:pt>
              </c:strCache>
            </c:strRef>
          </c:tx>
          <c:invertIfNegative val="0"/>
          <c:cat>
            <c:strRef>
              <c:f>'Graphs &amp; calcs'!$X$42:$X$46</c:f>
              <c:strCache>
                <c:ptCount val="5"/>
                <c:pt idx="0">
                  <c:v>A (Highest)</c:v>
                </c:pt>
                <c:pt idx="1">
                  <c:v>B</c:v>
                </c:pt>
                <c:pt idx="2">
                  <c:v>C</c:v>
                </c:pt>
                <c:pt idx="3">
                  <c:v>D</c:v>
                </c:pt>
                <c:pt idx="4">
                  <c:v>E (Lowest)</c:v>
                </c:pt>
              </c:strCache>
            </c:strRef>
          </c:cat>
          <c:val>
            <c:numRef>
              <c:f>'Graphs &amp; calcs'!$Y$42:$Y$46</c:f>
              <c:numCache>
                <c:formatCode>0.00</c:formatCode>
                <c:ptCount val="5"/>
                <c:pt idx="0">
                  <c:v>83.814887113847391</c:v>
                </c:pt>
                <c:pt idx="1">
                  <c:v>1.7821147307288436</c:v>
                </c:pt>
                <c:pt idx="2">
                  <c:v>1.8469727449130473</c:v>
                </c:pt>
                <c:pt idx="3">
                  <c:v>8.133604085729699</c:v>
                </c:pt>
                <c:pt idx="4">
                  <c:v>4.4224213247810322</c:v>
                </c:pt>
              </c:numCache>
            </c:numRef>
          </c:val>
        </c:ser>
        <c:ser>
          <c:idx val="1"/>
          <c:order val="1"/>
          <c:tx>
            <c:strRef>
              <c:f>'Graphs &amp; calcs'!$Z$41</c:f>
              <c:strCache>
                <c:ptCount val="1"/>
                <c:pt idx="0">
                  <c:v>Quality</c:v>
                </c:pt>
              </c:strCache>
            </c:strRef>
          </c:tx>
          <c:invertIfNegative val="0"/>
          <c:cat>
            <c:strRef>
              <c:f>'Graphs &amp; calcs'!$X$42:$X$46</c:f>
              <c:strCache>
                <c:ptCount val="5"/>
                <c:pt idx="0">
                  <c:v>A (Highest)</c:v>
                </c:pt>
                <c:pt idx="1">
                  <c:v>B</c:v>
                </c:pt>
                <c:pt idx="2">
                  <c:v>C</c:v>
                </c:pt>
                <c:pt idx="3">
                  <c:v>D</c:v>
                </c:pt>
                <c:pt idx="4">
                  <c:v>E (Lowest)</c:v>
                </c:pt>
              </c:strCache>
            </c:strRef>
          </c:cat>
          <c:val>
            <c:numRef>
              <c:f>'Graphs &amp; calcs'!$Z$42:$Z$46</c:f>
              <c:numCache>
                <c:formatCode>#,##0.00</c:formatCode>
                <c:ptCount val="5"/>
                <c:pt idx="0">
                  <c:v>3.3897256278338075</c:v>
                </c:pt>
                <c:pt idx="1">
                  <c:v>32.622571205164348</c:v>
                </c:pt>
                <c:pt idx="2">
                  <c:v>3.1360450339541894</c:v>
                </c:pt>
                <c:pt idx="3">
                  <c:v>13.028201681892199</c:v>
                </c:pt>
                <c:pt idx="4">
                  <c:v>47.823456451155458</c:v>
                </c:pt>
              </c:numCache>
            </c:numRef>
          </c:val>
        </c:ser>
        <c:dLbls>
          <c:showLegendKey val="0"/>
          <c:showVal val="0"/>
          <c:showCatName val="0"/>
          <c:showSerName val="0"/>
          <c:showPercent val="0"/>
          <c:showBubbleSize val="0"/>
        </c:dLbls>
        <c:gapWidth val="150"/>
        <c:axId val="231786368"/>
        <c:axId val="231787904"/>
      </c:barChart>
      <c:catAx>
        <c:axId val="231786368"/>
        <c:scaling>
          <c:orientation val="minMax"/>
        </c:scaling>
        <c:delete val="0"/>
        <c:axPos val="b"/>
        <c:majorTickMark val="out"/>
        <c:minorTickMark val="none"/>
        <c:tickLblPos val="nextTo"/>
        <c:txPr>
          <a:bodyPr/>
          <a:lstStyle/>
          <a:p>
            <a:pPr>
              <a:defRPr>
                <a:latin typeface="+mj-lt"/>
              </a:defRPr>
            </a:pPr>
            <a:endParaRPr lang="en-US"/>
          </a:p>
        </c:txPr>
        <c:crossAx val="231787904"/>
        <c:crosses val="autoZero"/>
        <c:auto val="1"/>
        <c:lblAlgn val="ctr"/>
        <c:lblOffset val="100"/>
        <c:noMultiLvlLbl val="0"/>
      </c:catAx>
      <c:valAx>
        <c:axId val="231787904"/>
        <c:scaling>
          <c:orientation val="minMax"/>
          <c:max val="100"/>
        </c:scaling>
        <c:delete val="0"/>
        <c:axPos val="l"/>
        <c:majorGridlines/>
        <c:title>
          <c:tx>
            <c:rich>
              <a:bodyPr rot="-5400000" vert="horz"/>
              <a:lstStyle/>
              <a:p>
                <a:pPr>
                  <a:defRPr sz="900">
                    <a:latin typeface="+mj-lt"/>
                  </a:defRPr>
                </a:pPr>
                <a:r>
                  <a:rPr lang="en-AU" sz="900" b="1" baseline="0">
                    <a:latin typeface="+mj-lt"/>
                  </a:rPr>
                  <a:t>% </a:t>
                </a:r>
                <a:r>
                  <a:rPr lang="en-AU" sz="900" baseline="0">
                    <a:latin typeface="+mj-lt"/>
                  </a:rPr>
                  <a:t>of premises</a:t>
                </a:r>
                <a:endParaRPr lang="en-AU" sz="900">
                  <a:latin typeface="+mj-lt"/>
                </a:endParaRPr>
              </a:p>
            </c:rich>
          </c:tx>
          <c:layout>
            <c:manualLayout>
              <c:xMode val="edge"/>
              <c:yMode val="edge"/>
              <c:x val="2.0567546703071329E-2"/>
              <c:y val="0.36563288541634997"/>
            </c:manualLayout>
          </c:layout>
          <c:overlay val="0"/>
        </c:title>
        <c:numFmt formatCode="0" sourceLinked="0"/>
        <c:majorTickMark val="out"/>
        <c:minorTickMark val="none"/>
        <c:tickLblPos val="nextTo"/>
        <c:txPr>
          <a:bodyPr/>
          <a:lstStyle/>
          <a:p>
            <a:pPr>
              <a:defRPr>
                <a:latin typeface="+mj-lt"/>
              </a:defRPr>
            </a:pPr>
            <a:endParaRPr lang="en-US"/>
          </a:p>
        </c:txPr>
        <c:crossAx val="231786368"/>
        <c:crosses val="autoZero"/>
        <c:crossBetween val="between"/>
        <c:majorUnit val="20"/>
      </c:valAx>
      <c:spPr>
        <a:solidFill>
          <a:schemeClr val="bg1">
            <a:lumMod val="95000"/>
          </a:schemeClr>
        </a:solidFill>
      </c:spPr>
    </c:plotArea>
    <c:legend>
      <c:legendPos val="b"/>
      <c:layout>
        <c:manualLayout>
          <c:xMode val="edge"/>
          <c:yMode val="edge"/>
          <c:x val="0.36873184061868808"/>
          <c:y val="0.91065754256014442"/>
          <c:w val="0.26253631876262379"/>
          <c:h val="8.9342457439855597E-2"/>
        </c:manualLayout>
      </c:layout>
      <c:overlay val="0"/>
      <c:txPr>
        <a:bodyPr/>
        <a:lstStyle/>
        <a:p>
          <a:pPr>
            <a:defRPr>
              <a:latin typeface="+mj-lt"/>
            </a:defRPr>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100"/>
              <a:t>ACT</a:t>
            </a:r>
            <a:r>
              <a:rPr lang="en-AU" sz="1100" baseline="0"/>
              <a:t> availability and quality</a:t>
            </a:r>
            <a:endParaRPr lang="en-AU" sz="1100"/>
          </a:p>
        </c:rich>
      </c:tx>
      <c:overlay val="0"/>
    </c:title>
    <c:autoTitleDeleted val="0"/>
    <c:plotArea>
      <c:layout>
        <c:manualLayout>
          <c:layoutTarget val="inner"/>
          <c:xMode val="edge"/>
          <c:yMode val="edge"/>
          <c:x val="9.9584268131973283E-2"/>
          <c:y val="0.12283573928258967"/>
          <c:w val="0.86932841315627629"/>
          <c:h val="0.71450422863808694"/>
        </c:manualLayout>
      </c:layout>
      <c:barChart>
        <c:barDir val="col"/>
        <c:grouping val="clustered"/>
        <c:varyColors val="0"/>
        <c:ser>
          <c:idx val="0"/>
          <c:order val="0"/>
          <c:tx>
            <c:strRef>
              <c:f>'Quality bands manual'!$L$34</c:f>
              <c:strCache>
                <c:ptCount val="1"/>
                <c:pt idx="0">
                  <c:v>Availability</c:v>
                </c:pt>
              </c:strCache>
            </c:strRef>
          </c:tx>
          <c:invertIfNegative val="0"/>
          <c:cat>
            <c:strRef>
              <c:f>'Quality bands manual'!$K$35:$K$39</c:f>
              <c:strCache>
                <c:ptCount val="5"/>
                <c:pt idx="0">
                  <c:v>A</c:v>
                </c:pt>
                <c:pt idx="1">
                  <c:v>B</c:v>
                </c:pt>
                <c:pt idx="2">
                  <c:v>C</c:v>
                </c:pt>
                <c:pt idx="3">
                  <c:v>D</c:v>
                </c:pt>
                <c:pt idx="4">
                  <c:v>E</c:v>
                </c:pt>
              </c:strCache>
            </c:strRef>
          </c:cat>
          <c:val>
            <c:numRef>
              <c:f>'Quality bands manual'!$L$35:$L$39</c:f>
              <c:numCache>
                <c:formatCode>General</c:formatCode>
                <c:ptCount val="5"/>
                <c:pt idx="0">
                  <c:v>93.67</c:v>
                </c:pt>
                <c:pt idx="1">
                  <c:v>1.1499999999999999</c:v>
                </c:pt>
                <c:pt idx="2">
                  <c:v>2.36</c:v>
                </c:pt>
                <c:pt idx="3">
                  <c:v>2.09</c:v>
                </c:pt>
                <c:pt idx="4">
                  <c:v>0.74</c:v>
                </c:pt>
              </c:numCache>
            </c:numRef>
          </c:val>
        </c:ser>
        <c:ser>
          <c:idx val="1"/>
          <c:order val="1"/>
          <c:tx>
            <c:strRef>
              <c:f>'Quality bands manual'!$M$34</c:f>
              <c:strCache>
                <c:ptCount val="1"/>
                <c:pt idx="0">
                  <c:v>Quality</c:v>
                </c:pt>
              </c:strCache>
            </c:strRef>
          </c:tx>
          <c:invertIfNegative val="0"/>
          <c:cat>
            <c:strRef>
              <c:f>'Quality bands manual'!$K$35:$K$39</c:f>
              <c:strCache>
                <c:ptCount val="5"/>
                <c:pt idx="0">
                  <c:v>A</c:v>
                </c:pt>
                <c:pt idx="1">
                  <c:v>B</c:v>
                </c:pt>
                <c:pt idx="2">
                  <c:v>C</c:v>
                </c:pt>
                <c:pt idx="3">
                  <c:v>D</c:v>
                </c:pt>
                <c:pt idx="4">
                  <c:v>E</c:v>
                </c:pt>
              </c:strCache>
            </c:strRef>
          </c:cat>
          <c:val>
            <c:numRef>
              <c:f>'Quality bands manual'!$M$35:$M$39</c:f>
              <c:numCache>
                <c:formatCode>General</c:formatCode>
                <c:ptCount val="5"/>
                <c:pt idx="0">
                  <c:v>12.63</c:v>
                </c:pt>
                <c:pt idx="1">
                  <c:v>28.96</c:v>
                </c:pt>
                <c:pt idx="2">
                  <c:v>8.74</c:v>
                </c:pt>
                <c:pt idx="3">
                  <c:v>14.75</c:v>
                </c:pt>
                <c:pt idx="4">
                  <c:v>34.92</c:v>
                </c:pt>
              </c:numCache>
            </c:numRef>
          </c:val>
        </c:ser>
        <c:dLbls>
          <c:showLegendKey val="0"/>
          <c:showVal val="0"/>
          <c:showCatName val="0"/>
          <c:showSerName val="0"/>
          <c:showPercent val="0"/>
          <c:showBubbleSize val="0"/>
        </c:dLbls>
        <c:gapWidth val="150"/>
        <c:axId val="39900672"/>
        <c:axId val="39902208"/>
      </c:barChart>
      <c:catAx>
        <c:axId val="39900672"/>
        <c:scaling>
          <c:orientation val="minMax"/>
        </c:scaling>
        <c:delete val="0"/>
        <c:axPos val="b"/>
        <c:numFmt formatCode="General" sourceLinked="1"/>
        <c:majorTickMark val="out"/>
        <c:minorTickMark val="none"/>
        <c:tickLblPos val="nextTo"/>
        <c:crossAx val="39902208"/>
        <c:crosses val="autoZero"/>
        <c:auto val="1"/>
        <c:lblAlgn val="ctr"/>
        <c:lblOffset val="100"/>
        <c:noMultiLvlLbl val="0"/>
      </c:catAx>
      <c:valAx>
        <c:axId val="39902208"/>
        <c:scaling>
          <c:orientation val="minMax"/>
          <c:max val="100"/>
        </c:scaling>
        <c:delete val="0"/>
        <c:axPos val="l"/>
        <c:majorGridlines/>
        <c:title>
          <c:tx>
            <c:rich>
              <a:bodyPr rot="-5400000" vert="horz"/>
              <a:lstStyle/>
              <a:p>
                <a:pPr>
                  <a:defRPr/>
                </a:pPr>
                <a:r>
                  <a:rPr lang="en-AU"/>
                  <a:t>% of premises</a:t>
                </a:r>
              </a:p>
            </c:rich>
          </c:tx>
          <c:layout>
            <c:manualLayout>
              <c:xMode val="edge"/>
              <c:yMode val="edge"/>
              <c:x val="9.4797178130511459E-3"/>
              <c:y val="0.33214785651793521"/>
            </c:manualLayout>
          </c:layout>
          <c:overlay val="0"/>
        </c:title>
        <c:numFmt formatCode="General" sourceLinked="1"/>
        <c:majorTickMark val="out"/>
        <c:minorTickMark val="none"/>
        <c:tickLblPos val="nextTo"/>
        <c:crossAx val="39900672"/>
        <c:crosses val="autoZero"/>
        <c:crossBetween val="between"/>
        <c:majorUnit val="20"/>
      </c:valAx>
      <c:spPr>
        <a:solidFill>
          <a:sysClr val="window" lastClr="FFFFFF">
            <a:lumMod val="85000"/>
          </a:sysClr>
        </a:solidFill>
      </c:spPr>
    </c:plotArea>
    <c:legend>
      <c:legendPos val="b"/>
      <c:layout>
        <c:manualLayout>
          <c:xMode val="edge"/>
          <c:yMode val="edge"/>
          <c:x val="0.37359338157362365"/>
          <c:y val="0.91628280839895015"/>
          <c:w val="0.2528132368527527"/>
          <c:h val="8.3717191601049873E-2"/>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100"/>
              <a:t>New South Wales</a:t>
            </a:r>
            <a:r>
              <a:rPr lang="en-AU" sz="1100" baseline="0"/>
              <a:t> availability and quality </a:t>
            </a:r>
            <a:endParaRPr lang="en-AU" sz="1100"/>
          </a:p>
        </c:rich>
      </c:tx>
      <c:overlay val="0"/>
    </c:title>
    <c:autoTitleDeleted val="0"/>
    <c:plotArea>
      <c:layout>
        <c:manualLayout>
          <c:layoutTarget val="inner"/>
          <c:xMode val="edge"/>
          <c:yMode val="edge"/>
          <c:x val="0.1001604889347924"/>
          <c:y val="0.15524314668999709"/>
          <c:w val="0.8687525445457932"/>
          <c:h val="0.66357830271216101"/>
        </c:manualLayout>
      </c:layout>
      <c:barChart>
        <c:barDir val="col"/>
        <c:grouping val="clustered"/>
        <c:varyColors val="0"/>
        <c:ser>
          <c:idx val="0"/>
          <c:order val="0"/>
          <c:tx>
            <c:strRef>
              <c:f>'Quality bands manual'!$L$43</c:f>
              <c:strCache>
                <c:ptCount val="1"/>
                <c:pt idx="0">
                  <c:v>Availability</c:v>
                </c:pt>
              </c:strCache>
            </c:strRef>
          </c:tx>
          <c:invertIfNegative val="0"/>
          <c:cat>
            <c:strRef>
              <c:f>'Quality bands manual'!$K$44:$K$48</c:f>
              <c:strCache>
                <c:ptCount val="5"/>
                <c:pt idx="0">
                  <c:v>A</c:v>
                </c:pt>
                <c:pt idx="1">
                  <c:v>B</c:v>
                </c:pt>
                <c:pt idx="2">
                  <c:v>C</c:v>
                </c:pt>
                <c:pt idx="3">
                  <c:v>D</c:v>
                </c:pt>
                <c:pt idx="4">
                  <c:v>E</c:v>
                </c:pt>
              </c:strCache>
            </c:strRef>
          </c:cat>
          <c:val>
            <c:numRef>
              <c:f>'Quality bands manual'!$L$44:$L$48</c:f>
              <c:numCache>
                <c:formatCode>General</c:formatCode>
                <c:ptCount val="5"/>
                <c:pt idx="0">
                  <c:v>85.12</c:v>
                </c:pt>
                <c:pt idx="1">
                  <c:v>1.86</c:v>
                </c:pt>
                <c:pt idx="2">
                  <c:v>1.1200000000000001</c:v>
                </c:pt>
                <c:pt idx="3">
                  <c:v>8.5</c:v>
                </c:pt>
                <c:pt idx="4">
                  <c:v>3.4</c:v>
                </c:pt>
              </c:numCache>
            </c:numRef>
          </c:val>
        </c:ser>
        <c:ser>
          <c:idx val="1"/>
          <c:order val="1"/>
          <c:tx>
            <c:strRef>
              <c:f>'Quality bands manual'!$M$43</c:f>
              <c:strCache>
                <c:ptCount val="1"/>
                <c:pt idx="0">
                  <c:v>Quality</c:v>
                </c:pt>
              </c:strCache>
            </c:strRef>
          </c:tx>
          <c:invertIfNegative val="0"/>
          <c:cat>
            <c:strRef>
              <c:f>'Quality bands manual'!$K$44:$K$48</c:f>
              <c:strCache>
                <c:ptCount val="5"/>
                <c:pt idx="0">
                  <c:v>A</c:v>
                </c:pt>
                <c:pt idx="1">
                  <c:v>B</c:v>
                </c:pt>
                <c:pt idx="2">
                  <c:v>C</c:v>
                </c:pt>
                <c:pt idx="3">
                  <c:v>D</c:v>
                </c:pt>
                <c:pt idx="4">
                  <c:v>E</c:v>
                </c:pt>
              </c:strCache>
            </c:strRef>
          </c:cat>
          <c:val>
            <c:numRef>
              <c:f>'Quality bands manual'!$M$44:$M$48</c:f>
              <c:numCache>
                <c:formatCode>General</c:formatCode>
                <c:ptCount val="5"/>
                <c:pt idx="0">
                  <c:v>2.74</c:v>
                </c:pt>
                <c:pt idx="1">
                  <c:v>35.01</c:v>
                </c:pt>
                <c:pt idx="2">
                  <c:v>4.05</c:v>
                </c:pt>
                <c:pt idx="3">
                  <c:v>13.65</c:v>
                </c:pt>
                <c:pt idx="4">
                  <c:v>44.55</c:v>
                </c:pt>
              </c:numCache>
            </c:numRef>
          </c:val>
        </c:ser>
        <c:dLbls>
          <c:showLegendKey val="0"/>
          <c:showVal val="0"/>
          <c:showCatName val="0"/>
          <c:showSerName val="0"/>
          <c:showPercent val="0"/>
          <c:showBubbleSize val="0"/>
        </c:dLbls>
        <c:gapWidth val="150"/>
        <c:axId val="39936384"/>
        <c:axId val="39937920"/>
      </c:barChart>
      <c:catAx>
        <c:axId val="39936384"/>
        <c:scaling>
          <c:orientation val="minMax"/>
        </c:scaling>
        <c:delete val="0"/>
        <c:axPos val="b"/>
        <c:numFmt formatCode="General" sourceLinked="1"/>
        <c:majorTickMark val="out"/>
        <c:minorTickMark val="none"/>
        <c:tickLblPos val="nextTo"/>
        <c:crossAx val="39937920"/>
        <c:crosses val="autoZero"/>
        <c:auto val="1"/>
        <c:lblAlgn val="ctr"/>
        <c:lblOffset val="100"/>
        <c:noMultiLvlLbl val="0"/>
      </c:catAx>
      <c:valAx>
        <c:axId val="39937920"/>
        <c:scaling>
          <c:orientation val="minMax"/>
          <c:max val="100"/>
        </c:scaling>
        <c:delete val="0"/>
        <c:axPos val="l"/>
        <c:majorGridlines/>
        <c:title>
          <c:tx>
            <c:rich>
              <a:bodyPr rot="-5400000" vert="horz"/>
              <a:lstStyle/>
              <a:p>
                <a:pPr>
                  <a:defRPr/>
                </a:pPr>
                <a:r>
                  <a:rPr lang="en-AU"/>
                  <a:t>%</a:t>
                </a:r>
                <a:r>
                  <a:rPr lang="en-AU" baseline="0"/>
                  <a:t> of premises</a:t>
                </a:r>
                <a:endParaRPr lang="en-AU"/>
              </a:p>
            </c:rich>
          </c:tx>
          <c:layout>
            <c:manualLayout>
              <c:xMode val="edge"/>
              <c:yMode val="edge"/>
              <c:x val="1.1199294532627866E-2"/>
              <c:y val="0.33446267133275004"/>
            </c:manualLayout>
          </c:layout>
          <c:overlay val="0"/>
        </c:title>
        <c:numFmt formatCode="General" sourceLinked="1"/>
        <c:majorTickMark val="out"/>
        <c:minorTickMark val="none"/>
        <c:tickLblPos val="nextTo"/>
        <c:crossAx val="39936384"/>
        <c:crosses val="autoZero"/>
        <c:crossBetween val="between"/>
        <c:majorUnit val="20"/>
      </c:valAx>
      <c:spPr>
        <a:solidFill>
          <a:sysClr val="window" lastClr="FFFFFF">
            <a:lumMod val="85000"/>
          </a:sysClr>
        </a:solidFill>
      </c:spPr>
    </c:plotArea>
    <c:legend>
      <c:legendPos val="b"/>
      <c:layout>
        <c:manualLayout>
          <c:xMode val="edge"/>
          <c:yMode val="edge"/>
          <c:x val="0.33773143742127676"/>
          <c:y val="0.91628280839895015"/>
          <c:w val="0.31898162729658791"/>
          <c:h val="8.3717191601049873E-2"/>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100"/>
              <a:t>Northern</a:t>
            </a:r>
            <a:r>
              <a:rPr lang="en-AU" sz="1100" baseline="0"/>
              <a:t> Territory availability and quality</a:t>
            </a:r>
            <a:endParaRPr lang="en-AU" sz="1100"/>
          </a:p>
        </c:rich>
      </c:tx>
      <c:overlay val="0"/>
    </c:title>
    <c:autoTitleDeleted val="0"/>
    <c:plotArea>
      <c:layout>
        <c:manualLayout>
          <c:layoutTarget val="inner"/>
          <c:xMode val="edge"/>
          <c:yMode val="edge"/>
          <c:x val="9.2979571204353489E-2"/>
          <c:y val="0.15325240594925635"/>
          <c:w val="0.87592907322228286"/>
          <c:h val="0.66093941382327204"/>
        </c:manualLayout>
      </c:layout>
      <c:barChart>
        <c:barDir val="col"/>
        <c:grouping val="clustered"/>
        <c:varyColors val="0"/>
        <c:ser>
          <c:idx val="0"/>
          <c:order val="0"/>
          <c:tx>
            <c:strRef>
              <c:f>'Quality bands manual'!$L$52</c:f>
              <c:strCache>
                <c:ptCount val="1"/>
                <c:pt idx="0">
                  <c:v>Availability</c:v>
                </c:pt>
              </c:strCache>
            </c:strRef>
          </c:tx>
          <c:invertIfNegative val="0"/>
          <c:cat>
            <c:strRef>
              <c:f>'Quality bands manual'!$K$53:$K$57</c:f>
              <c:strCache>
                <c:ptCount val="5"/>
                <c:pt idx="0">
                  <c:v>A</c:v>
                </c:pt>
                <c:pt idx="1">
                  <c:v>B</c:v>
                </c:pt>
                <c:pt idx="2">
                  <c:v>C</c:v>
                </c:pt>
                <c:pt idx="3">
                  <c:v>D</c:v>
                </c:pt>
                <c:pt idx="4">
                  <c:v>E</c:v>
                </c:pt>
              </c:strCache>
            </c:strRef>
          </c:cat>
          <c:val>
            <c:numRef>
              <c:f>'Quality bands manual'!$L$53:$L$57</c:f>
              <c:numCache>
                <c:formatCode>General</c:formatCode>
                <c:ptCount val="5"/>
                <c:pt idx="0">
                  <c:v>59.97</c:v>
                </c:pt>
                <c:pt idx="1">
                  <c:v>2.0699999999999998</c:v>
                </c:pt>
                <c:pt idx="2">
                  <c:v>5.05</c:v>
                </c:pt>
                <c:pt idx="3">
                  <c:v>25.76</c:v>
                </c:pt>
                <c:pt idx="4">
                  <c:v>7.16</c:v>
                </c:pt>
              </c:numCache>
            </c:numRef>
          </c:val>
        </c:ser>
        <c:ser>
          <c:idx val="1"/>
          <c:order val="1"/>
          <c:tx>
            <c:strRef>
              <c:f>'Quality bands manual'!$M$52</c:f>
              <c:strCache>
                <c:ptCount val="1"/>
                <c:pt idx="0">
                  <c:v>Quality</c:v>
                </c:pt>
              </c:strCache>
            </c:strRef>
          </c:tx>
          <c:invertIfNegative val="0"/>
          <c:cat>
            <c:strRef>
              <c:f>'Quality bands manual'!$K$53:$K$57</c:f>
              <c:strCache>
                <c:ptCount val="5"/>
                <c:pt idx="0">
                  <c:v>A</c:v>
                </c:pt>
                <c:pt idx="1">
                  <c:v>B</c:v>
                </c:pt>
                <c:pt idx="2">
                  <c:v>C</c:v>
                </c:pt>
                <c:pt idx="3">
                  <c:v>D</c:v>
                </c:pt>
                <c:pt idx="4">
                  <c:v>E</c:v>
                </c:pt>
              </c:strCache>
            </c:strRef>
          </c:cat>
          <c:val>
            <c:numRef>
              <c:f>'Quality bands manual'!$M$53:$M$57</c:f>
              <c:numCache>
                <c:formatCode>General</c:formatCode>
                <c:ptCount val="5"/>
                <c:pt idx="0">
                  <c:v>2.96</c:v>
                </c:pt>
                <c:pt idx="1">
                  <c:v>0.14000000000000001</c:v>
                </c:pt>
                <c:pt idx="2">
                  <c:v>0.35</c:v>
                </c:pt>
                <c:pt idx="3">
                  <c:v>12.52</c:v>
                </c:pt>
                <c:pt idx="4">
                  <c:v>84.03</c:v>
                </c:pt>
              </c:numCache>
            </c:numRef>
          </c:val>
        </c:ser>
        <c:dLbls>
          <c:showLegendKey val="0"/>
          <c:showVal val="0"/>
          <c:showCatName val="0"/>
          <c:showSerName val="0"/>
          <c:showPercent val="0"/>
          <c:showBubbleSize val="0"/>
        </c:dLbls>
        <c:gapWidth val="150"/>
        <c:axId val="39951360"/>
        <c:axId val="39969536"/>
      </c:barChart>
      <c:catAx>
        <c:axId val="39951360"/>
        <c:scaling>
          <c:orientation val="minMax"/>
        </c:scaling>
        <c:delete val="0"/>
        <c:axPos val="b"/>
        <c:majorTickMark val="out"/>
        <c:minorTickMark val="none"/>
        <c:tickLblPos val="nextTo"/>
        <c:crossAx val="39969536"/>
        <c:crosses val="autoZero"/>
        <c:auto val="1"/>
        <c:lblAlgn val="ctr"/>
        <c:lblOffset val="100"/>
        <c:noMultiLvlLbl val="0"/>
      </c:catAx>
      <c:valAx>
        <c:axId val="39969536"/>
        <c:scaling>
          <c:orientation val="minMax"/>
          <c:max val="100"/>
        </c:scaling>
        <c:delete val="0"/>
        <c:axPos val="l"/>
        <c:majorGridlines/>
        <c:title>
          <c:tx>
            <c:rich>
              <a:bodyPr rot="-5400000" vert="horz"/>
              <a:lstStyle/>
              <a:p>
                <a:pPr>
                  <a:defRPr/>
                </a:pPr>
                <a:r>
                  <a:rPr lang="en-US"/>
                  <a:t>% of premises</a:t>
                </a:r>
              </a:p>
            </c:rich>
          </c:tx>
          <c:layout>
            <c:manualLayout>
              <c:xMode val="edge"/>
              <c:yMode val="edge"/>
              <c:x val="7.8483245149911802E-3"/>
              <c:y val="0.33305633843740007"/>
            </c:manualLayout>
          </c:layout>
          <c:overlay val="0"/>
        </c:title>
        <c:numFmt formatCode="General" sourceLinked="1"/>
        <c:majorTickMark val="out"/>
        <c:minorTickMark val="none"/>
        <c:tickLblPos val="nextTo"/>
        <c:crossAx val="39951360"/>
        <c:crosses val="autoZero"/>
        <c:crossBetween val="between"/>
        <c:majorUnit val="20"/>
      </c:valAx>
      <c:spPr>
        <a:solidFill>
          <a:schemeClr val="bg1">
            <a:lumMod val="85000"/>
          </a:schemeClr>
        </a:solidFill>
      </c:spPr>
    </c:plotArea>
    <c:legend>
      <c:legendPos val="b"/>
      <c:layout>
        <c:manualLayout>
          <c:xMode val="edge"/>
          <c:yMode val="edge"/>
          <c:x val="0.37359338157362365"/>
          <c:y val="0.91116483133335269"/>
          <c:w val="0.2528132368527527"/>
          <c:h val="8.8835257910934579E-2"/>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Queensland availability and quality</a:t>
            </a:r>
          </a:p>
        </c:rich>
      </c:tx>
      <c:overlay val="0"/>
    </c:title>
    <c:autoTitleDeleted val="0"/>
    <c:plotArea>
      <c:layout>
        <c:manualLayout>
          <c:layoutTarget val="inner"/>
          <c:xMode val="edge"/>
          <c:yMode val="edge"/>
          <c:x val="9.4308311413020304E-2"/>
          <c:y val="0.15524314668999709"/>
          <c:w val="0.87240577601067193"/>
          <c:h val="0.65894867308253136"/>
        </c:manualLayout>
      </c:layout>
      <c:barChart>
        <c:barDir val="col"/>
        <c:grouping val="clustered"/>
        <c:varyColors val="0"/>
        <c:ser>
          <c:idx val="0"/>
          <c:order val="0"/>
          <c:tx>
            <c:strRef>
              <c:f>'Quality bands manual'!$L$61</c:f>
              <c:strCache>
                <c:ptCount val="1"/>
                <c:pt idx="0">
                  <c:v>Availability</c:v>
                </c:pt>
              </c:strCache>
            </c:strRef>
          </c:tx>
          <c:invertIfNegative val="0"/>
          <c:cat>
            <c:strRef>
              <c:f>'Quality bands manual'!$K$62:$K$66</c:f>
              <c:strCache>
                <c:ptCount val="5"/>
                <c:pt idx="0">
                  <c:v>A</c:v>
                </c:pt>
                <c:pt idx="1">
                  <c:v>B</c:v>
                </c:pt>
                <c:pt idx="2">
                  <c:v>C</c:v>
                </c:pt>
                <c:pt idx="3">
                  <c:v>D</c:v>
                </c:pt>
                <c:pt idx="4">
                  <c:v>E</c:v>
                </c:pt>
              </c:strCache>
            </c:strRef>
          </c:cat>
          <c:val>
            <c:numRef>
              <c:f>'Quality bands manual'!$L$62:$L$66</c:f>
              <c:numCache>
                <c:formatCode>General</c:formatCode>
                <c:ptCount val="5"/>
                <c:pt idx="0">
                  <c:v>83.21</c:v>
                </c:pt>
                <c:pt idx="1">
                  <c:v>1.94</c:v>
                </c:pt>
                <c:pt idx="2">
                  <c:v>1.79</c:v>
                </c:pt>
                <c:pt idx="3">
                  <c:v>8.9700000000000006</c:v>
                </c:pt>
                <c:pt idx="4">
                  <c:v>4.0999999999999996</c:v>
                </c:pt>
              </c:numCache>
            </c:numRef>
          </c:val>
        </c:ser>
        <c:ser>
          <c:idx val="1"/>
          <c:order val="1"/>
          <c:tx>
            <c:strRef>
              <c:f>'Quality bands manual'!$M$61</c:f>
              <c:strCache>
                <c:ptCount val="1"/>
                <c:pt idx="0">
                  <c:v>Quality</c:v>
                </c:pt>
              </c:strCache>
            </c:strRef>
          </c:tx>
          <c:invertIfNegative val="0"/>
          <c:cat>
            <c:strRef>
              <c:f>'Quality bands manual'!$K$62:$K$66</c:f>
              <c:strCache>
                <c:ptCount val="5"/>
                <c:pt idx="0">
                  <c:v>A</c:v>
                </c:pt>
                <c:pt idx="1">
                  <c:v>B</c:v>
                </c:pt>
                <c:pt idx="2">
                  <c:v>C</c:v>
                </c:pt>
                <c:pt idx="3">
                  <c:v>D</c:v>
                </c:pt>
                <c:pt idx="4">
                  <c:v>E</c:v>
                </c:pt>
              </c:strCache>
            </c:strRef>
          </c:cat>
          <c:val>
            <c:numRef>
              <c:f>'Quality bands manual'!$M$62:$M$66</c:f>
              <c:numCache>
                <c:formatCode>General</c:formatCode>
                <c:ptCount val="5"/>
                <c:pt idx="0">
                  <c:v>3.91</c:v>
                </c:pt>
                <c:pt idx="1">
                  <c:v>33.6</c:v>
                </c:pt>
                <c:pt idx="2">
                  <c:v>2.84</c:v>
                </c:pt>
                <c:pt idx="3">
                  <c:v>12.87</c:v>
                </c:pt>
                <c:pt idx="4">
                  <c:v>46.78</c:v>
                </c:pt>
              </c:numCache>
            </c:numRef>
          </c:val>
        </c:ser>
        <c:dLbls>
          <c:showLegendKey val="0"/>
          <c:showVal val="0"/>
          <c:showCatName val="0"/>
          <c:showSerName val="0"/>
          <c:showPercent val="0"/>
          <c:showBubbleSize val="0"/>
        </c:dLbls>
        <c:gapWidth val="150"/>
        <c:axId val="39999360"/>
        <c:axId val="40000896"/>
      </c:barChart>
      <c:catAx>
        <c:axId val="39999360"/>
        <c:scaling>
          <c:orientation val="minMax"/>
        </c:scaling>
        <c:delete val="0"/>
        <c:axPos val="b"/>
        <c:majorTickMark val="out"/>
        <c:minorTickMark val="none"/>
        <c:tickLblPos val="nextTo"/>
        <c:crossAx val="40000896"/>
        <c:crosses val="autoZero"/>
        <c:auto val="1"/>
        <c:lblAlgn val="ctr"/>
        <c:lblOffset val="100"/>
        <c:noMultiLvlLbl val="0"/>
      </c:catAx>
      <c:valAx>
        <c:axId val="40000896"/>
        <c:scaling>
          <c:orientation val="minMax"/>
          <c:max val="100"/>
        </c:scaling>
        <c:delete val="0"/>
        <c:axPos val="l"/>
        <c:majorGridlines/>
        <c:title>
          <c:tx>
            <c:rich>
              <a:bodyPr rot="-5400000" vert="horz"/>
              <a:lstStyle/>
              <a:p>
                <a:pPr>
                  <a:defRPr/>
                </a:pPr>
                <a:r>
                  <a:rPr lang="en-US"/>
                  <a:t>% of premises</a:t>
                </a:r>
              </a:p>
            </c:rich>
          </c:tx>
          <c:layout>
            <c:manualLayout>
              <c:xMode val="edge"/>
              <c:yMode val="edge"/>
              <c:x val="1.0228612656540851E-2"/>
              <c:y val="0.32291967306368075"/>
            </c:manualLayout>
          </c:layout>
          <c:overlay val="0"/>
        </c:title>
        <c:numFmt formatCode="General" sourceLinked="1"/>
        <c:majorTickMark val="out"/>
        <c:minorTickMark val="none"/>
        <c:tickLblPos val="nextTo"/>
        <c:crossAx val="39999360"/>
        <c:crosses val="autoZero"/>
        <c:crossBetween val="between"/>
        <c:majorUnit val="20"/>
      </c:valAx>
      <c:spPr>
        <a:solidFill>
          <a:schemeClr val="bg1">
            <a:lumMod val="85000"/>
          </a:schemeClr>
        </a:solidFill>
      </c:spPr>
    </c:plotArea>
    <c:legend>
      <c:legendPos val="b"/>
      <c:layout>
        <c:manualLayout>
          <c:xMode val="edge"/>
          <c:yMode val="edge"/>
          <c:x val="0.37359338157362365"/>
          <c:y val="0.90836362184764929"/>
          <c:w val="0.2528132368527527"/>
          <c:h val="9.1636397589433607E-2"/>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100"/>
              <a:t>South Australia availability and quality</a:t>
            </a:r>
          </a:p>
        </c:rich>
      </c:tx>
      <c:overlay val="0"/>
    </c:title>
    <c:autoTitleDeleted val="0"/>
    <c:plotArea>
      <c:layout>
        <c:manualLayout>
          <c:layoutTarget val="inner"/>
          <c:xMode val="edge"/>
          <c:yMode val="edge"/>
          <c:x val="9.8228043276768623E-2"/>
          <c:y val="0.12547462817147856"/>
          <c:w val="0.87139784610257054"/>
          <c:h val="0.69797645086030913"/>
        </c:manualLayout>
      </c:layout>
      <c:barChart>
        <c:barDir val="col"/>
        <c:grouping val="clustered"/>
        <c:varyColors val="0"/>
        <c:ser>
          <c:idx val="0"/>
          <c:order val="0"/>
          <c:tx>
            <c:strRef>
              <c:f>'Quality bands manual'!$L$70</c:f>
              <c:strCache>
                <c:ptCount val="1"/>
                <c:pt idx="0">
                  <c:v>Availability</c:v>
                </c:pt>
              </c:strCache>
            </c:strRef>
          </c:tx>
          <c:invertIfNegative val="0"/>
          <c:cat>
            <c:strRef>
              <c:f>'Quality bands manual'!$K$71:$K$75</c:f>
              <c:strCache>
                <c:ptCount val="5"/>
                <c:pt idx="0">
                  <c:v>A</c:v>
                </c:pt>
                <c:pt idx="1">
                  <c:v>B</c:v>
                </c:pt>
                <c:pt idx="2">
                  <c:v>C</c:v>
                </c:pt>
                <c:pt idx="3">
                  <c:v>D</c:v>
                </c:pt>
                <c:pt idx="4">
                  <c:v>E</c:v>
                </c:pt>
              </c:strCache>
            </c:strRef>
          </c:cat>
          <c:val>
            <c:numRef>
              <c:f>'Quality bands manual'!$L$71:$L$75</c:f>
              <c:numCache>
                <c:formatCode>General</c:formatCode>
                <c:ptCount val="5"/>
                <c:pt idx="0">
                  <c:v>83.11</c:v>
                </c:pt>
                <c:pt idx="1">
                  <c:v>1.76</c:v>
                </c:pt>
                <c:pt idx="2">
                  <c:v>0.83</c:v>
                </c:pt>
                <c:pt idx="3">
                  <c:v>7.44</c:v>
                </c:pt>
                <c:pt idx="4">
                  <c:v>6.86</c:v>
                </c:pt>
              </c:numCache>
            </c:numRef>
          </c:val>
        </c:ser>
        <c:ser>
          <c:idx val="1"/>
          <c:order val="1"/>
          <c:tx>
            <c:strRef>
              <c:f>'Quality bands manual'!$M$70</c:f>
              <c:strCache>
                <c:ptCount val="1"/>
                <c:pt idx="0">
                  <c:v>Quality</c:v>
                </c:pt>
              </c:strCache>
            </c:strRef>
          </c:tx>
          <c:invertIfNegative val="0"/>
          <c:cat>
            <c:strRef>
              <c:f>'Quality bands manual'!$K$71:$K$75</c:f>
              <c:strCache>
                <c:ptCount val="5"/>
                <c:pt idx="0">
                  <c:v>A</c:v>
                </c:pt>
                <c:pt idx="1">
                  <c:v>B</c:v>
                </c:pt>
                <c:pt idx="2">
                  <c:v>C</c:v>
                </c:pt>
                <c:pt idx="3">
                  <c:v>D</c:v>
                </c:pt>
                <c:pt idx="4">
                  <c:v>E</c:v>
                </c:pt>
              </c:strCache>
            </c:strRef>
          </c:cat>
          <c:val>
            <c:numRef>
              <c:f>'Quality bands manual'!$M$71:$M$75</c:f>
              <c:numCache>
                <c:formatCode>General</c:formatCode>
                <c:ptCount val="5"/>
                <c:pt idx="0">
                  <c:v>0.83</c:v>
                </c:pt>
                <c:pt idx="1">
                  <c:v>31.41</c:v>
                </c:pt>
                <c:pt idx="2">
                  <c:v>1.0900000000000001</c:v>
                </c:pt>
                <c:pt idx="3">
                  <c:v>11.55</c:v>
                </c:pt>
                <c:pt idx="4">
                  <c:v>55.12</c:v>
                </c:pt>
              </c:numCache>
            </c:numRef>
          </c:val>
        </c:ser>
        <c:dLbls>
          <c:showLegendKey val="0"/>
          <c:showVal val="0"/>
          <c:showCatName val="0"/>
          <c:showSerName val="0"/>
          <c:showPercent val="0"/>
          <c:showBubbleSize val="0"/>
        </c:dLbls>
        <c:gapWidth val="150"/>
        <c:axId val="40043264"/>
        <c:axId val="40044800"/>
      </c:barChart>
      <c:catAx>
        <c:axId val="40043264"/>
        <c:scaling>
          <c:orientation val="minMax"/>
        </c:scaling>
        <c:delete val="0"/>
        <c:axPos val="b"/>
        <c:majorTickMark val="out"/>
        <c:minorTickMark val="none"/>
        <c:tickLblPos val="nextTo"/>
        <c:crossAx val="40044800"/>
        <c:crosses val="autoZero"/>
        <c:auto val="1"/>
        <c:lblAlgn val="ctr"/>
        <c:lblOffset val="100"/>
        <c:noMultiLvlLbl val="0"/>
      </c:catAx>
      <c:valAx>
        <c:axId val="40044800"/>
        <c:scaling>
          <c:orientation val="minMax"/>
          <c:max val="100"/>
        </c:scaling>
        <c:delete val="0"/>
        <c:axPos val="l"/>
        <c:majorGridlines/>
        <c:title>
          <c:tx>
            <c:rich>
              <a:bodyPr rot="-5400000" vert="horz"/>
              <a:lstStyle/>
              <a:p>
                <a:pPr>
                  <a:defRPr/>
                </a:pPr>
                <a:r>
                  <a:rPr lang="en-US"/>
                  <a:t>% of premises</a:t>
                </a:r>
              </a:p>
            </c:rich>
          </c:tx>
          <c:overlay val="0"/>
        </c:title>
        <c:numFmt formatCode="General" sourceLinked="1"/>
        <c:majorTickMark val="out"/>
        <c:minorTickMark val="none"/>
        <c:tickLblPos val="nextTo"/>
        <c:crossAx val="40043264"/>
        <c:crosses val="autoZero"/>
        <c:crossBetween val="between"/>
        <c:majorUnit val="20"/>
      </c:valAx>
      <c:spPr>
        <a:solidFill>
          <a:schemeClr val="bg1">
            <a:lumMod val="85000"/>
          </a:schemeClr>
        </a:solidFill>
      </c:spPr>
    </c:plotArea>
    <c:legend>
      <c:legendPos val="b"/>
      <c:layout>
        <c:manualLayout>
          <c:xMode val="edge"/>
          <c:yMode val="edge"/>
          <c:x val="0.37359338157362365"/>
          <c:y val="0.90836362184764929"/>
          <c:w val="0.2528132368527527"/>
          <c:h val="9.1636361024590066E-2"/>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Tasmania availability and quality</a:t>
            </a:r>
          </a:p>
        </c:rich>
      </c:tx>
      <c:overlay val="0"/>
    </c:title>
    <c:autoTitleDeleted val="0"/>
    <c:plotArea>
      <c:layout>
        <c:manualLayout>
          <c:layoutTarget val="inner"/>
          <c:xMode val="edge"/>
          <c:yMode val="edge"/>
          <c:x val="0.1086337430325648"/>
          <c:y val="0.15524314668999709"/>
          <c:w val="0.86191072650572143"/>
          <c:h val="0.64505978419364252"/>
        </c:manualLayout>
      </c:layout>
      <c:barChart>
        <c:barDir val="col"/>
        <c:grouping val="clustered"/>
        <c:varyColors val="0"/>
        <c:ser>
          <c:idx val="0"/>
          <c:order val="0"/>
          <c:tx>
            <c:strRef>
              <c:f>'Quality bands manual'!$L$79</c:f>
              <c:strCache>
                <c:ptCount val="1"/>
                <c:pt idx="0">
                  <c:v>Availability</c:v>
                </c:pt>
              </c:strCache>
            </c:strRef>
          </c:tx>
          <c:invertIfNegative val="0"/>
          <c:cat>
            <c:strRef>
              <c:f>'Quality bands manual'!$K$80:$K$84</c:f>
              <c:strCache>
                <c:ptCount val="5"/>
                <c:pt idx="0">
                  <c:v>A</c:v>
                </c:pt>
                <c:pt idx="1">
                  <c:v>B</c:v>
                </c:pt>
                <c:pt idx="2">
                  <c:v>C</c:v>
                </c:pt>
                <c:pt idx="3">
                  <c:v>D</c:v>
                </c:pt>
                <c:pt idx="4">
                  <c:v>E</c:v>
                </c:pt>
              </c:strCache>
            </c:strRef>
          </c:cat>
          <c:val>
            <c:numRef>
              <c:f>'Quality bands manual'!$L$80:$L$84</c:f>
              <c:numCache>
                <c:formatCode>General</c:formatCode>
                <c:ptCount val="5"/>
                <c:pt idx="0">
                  <c:v>74.36</c:v>
                </c:pt>
                <c:pt idx="1">
                  <c:v>2.85</c:v>
                </c:pt>
                <c:pt idx="2">
                  <c:v>2.77</c:v>
                </c:pt>
                <c:pt idx="3">
                  <c:v>11.76</c:v>
                </c:pt>
                <c:pt idx="4">
                  <c:v>8.26</c:v>
                </c:pt>
              </c:numCache>
            </c:numRef>
          </c:val>
        </c:ser>
        <c:ser>
          <c:idx val="1"/>
          <c:order val="1"/>
          <c:tx>
            <c:strRef>
              <c:f>'Quality bands manual'!$M$79</c:f>
              <c:strCache>
                <c:ptCount val="1"/>
                <c:pt idx="0">
                  <c:v>Quality</c:v>
                </c:pt>
              </c:strCache>
            </c:strRef>
          </c:tx>
          <c:invertIfNegative val="0"/>
          <c:cat>
            <c:strRef>
              <c:f>'Quality bands manual'!$K$80:$K$84</c:f>
              <c:strCache>
                <c:ptCount val="5"/>
                <c:pt idx="0">
                  <c:v>A</c:v>
                </c:pt>
                <c:pt idx="1">
                  <c:v>B</c:v>
                </c:pt>
                <c:pt idx="2">
                  <c:v>C</c:v>
                </c:pt>
                <c:pt idx="3">
                  <c:v>D</c:v>
                </c:pt>
                <c:pt idx="4">
                  <c:v>E</c:v>
                </c:pt>
              </c:strCache>
            </c:strRef>
          </c:cat>
          <c:val>
            <c:numRef>
              <c:f>'Quality bands manual'!$M$80:$M$84</c:f>
              <c:numCache>
                <c:formatCode>General</c:formatCode>
                <c:ptCount val="5"/>
                <c:pt idx="0">
                  <c:v>7.51</c:v>
                </c:pt>
                <c:pt idx="1">
                  <c:v>3.35</c:v>
                </c:pt>
                <c:pt idx="2">
                  <c:v>1.67</c:v>
                </c:pt>
                <c:pt idx="3">
                  <c:v>11.93</c:v>
                </c:pt>
                <c:pt idx="4">
                  <c:v>75.55</c:v>
                </c:pt>
              </c:numCache>
            </c:numRef>
          </c:val>
        </c:ser>
        <c:dLbls>
          <c:showLegendKey val="0"/>
          <c:showVal val="0"/>
          <c:showCatName val="0"/>
          <c:showSerName val="0"/>
          <c:showPercent val="0"/>
          <c:showBubbleSize val="0"/>
        </c:dLbls>
        <c:gapWidth val="150"/>
        <c:axId val="40078720"/>
        <c:axId val="40092800"/>
      </c:barChart>
      <c:catAx>
        <c:axId val="40078720"/>
        <c:scaling>
          <c:orientation val="minMax"/>
        </c:scaling>
        <c:delete val="0"/>
        <c:axPos val="b"/>
        <c:majorTickMark val="out"/>
        <c:minorTickMark val="none"/>
        <c:tickLblPos val="nextTo"/>
        <c:crossAx val="40092800"/>
        <c:crosses val="autoZero"/>
        <c:auto val="1"/>
        <c:lblAlgn val="ctr"/>
        <c:lblOffset val="100"/>
        <c:noMultiLvlLbl val="0"/>
      </c:catAx>
      <c:valAx>
        <c:axId val="40092800"/>
        <c:scaling>
          <c:orientation val="minMax"/>
          <c:max val="100"/>
        </c:scaling>
        <c:delete val="0"/>
        <c:axPos val="l"/>
        <c:majorGridlines/>
        <c:title>
          <c:tx>
            <c:rich>
              <a:bodyPr rot="-5400000" vert="horz"/>
              <a:lstStyle/>
              <a:p>
                <a:pPr>
                  <a:defRPr/>
                </a:pPr>
                <a:r>
                  <a:rPr lang="en-US"/>
                  <a:t>% of premises</a:t>
                </a:r>
              </a:p>
            </c:rich>
          </c:tx>
          <c:layout>
            <c:manualLayout>
              <c:xMode val="edge"/>
              <c:yMode val="edge"/>
              <c:x val="1.3376452943382078E-2"/>
              <c:y val="0.31902857867673601"/>
            </c:manualLayout>
          </c:layout>
          <c:overlay val="0"/>
        </c:title>
        <c:numFmt formatCode="General" sourceLinked="1"/>
        <c:majorTickMark val="out"/>
        <c:minorTickMark val="none"/>
        <c:tickLblPos val="nextTo"/>
        <c:crossAx val="40078720"/>
        <c:crosses val="autoZero"/>
        <c:crossBetween val="between"/>
        <c:majorUnit val="20"/>
      </c:valAx>
      <c:spPr>
        <a:solidFill>
          <a:schemeClr val="bg1">
            <a:lumMod val="85000"/>
          </a:schemeClr>
        </a:solidFill>
      </c:spPr>
    </c:plotArea>
    <c:legend>
      <c:legendPos val="b"/>
      <c:layout>
        <c:manualLayout>
          <c:xMode val="edge"/>
          <c:yMode val="edge"/>
          <c:x val="0.37359338157362365"/>
          <c:y val="0.91038218735669196"/>
          <c:w val="0.2528132368527527"/>
          <c:h val="8.9617955043709896E-2"/>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Victoria availability and quality</a:t>
            </a:r>
          </a:p>
        </c:rich>
      </c:tx>
      <c:overlay val="0"/>
    </c:title>
    <c:autoTitleDeleted val="0"/>
    <c:plotArea>
      <c:layout>
        <c:manualLayout>
          <c:layoutTarget val="inner"/>
          <c:xMode val="edge"/>
          <c:yMode val="edge"/>
          <c:x val="0.11351398998749625"/>
          <c:y val="0.15524314668999709"/>
          <c:w val="0.85593055366036885"/>
          <c:h val="0.67283756197142019"/>
        </c:manualLayout>
      </c:layout>
      <c:barChart>
        <c:barDir val="col"/>
        <c:grouping val="clustered"/>
        <c:varyColors val="0"/>
        <c:ser>
          <c:idx val="0"/>
          <c:order val="0"/>
          <c:tx>
            <c:strRef>
              <c:f>'Quality bands manual'!$L$88</c:f>
              <c:strCache>
                <c:ptCount val="1"/>
                <c:pt idx="0">
                  <c:v>Availability</c:v>
                </c:pt>
              </c:strCache>
            </c:strRef>
          </c:tx>
          <c:invertIfNegative val="0"/>
          <c:cat>
            <c:strRef>
              <c:f>'Quality bands manual'!$K$89:$K$93</c:f>
              <c:strCache>
                <c:ptCount val="5"/>
                <c:pt idx="0">
                  <c:v>A</c:v>
                </c:pt>
                <c:pt idx="1">
                  <c:v>B</c:v>
                </c:pt>
                <c:pt idx="2">
                  <c:v>C</c:v>
                </c:pt>
                <c:pt idx="3">
                  <c:v>D</c:v>
                </c:pt>
                <c:pt idx="4">
                  <c:v>E</c:v>
                </c:pt>
              </c:strCache>
            </c:strRef>
          </c:cat>
          <c:val>
            <c:numRef>
              <c:f>'Quality bands manual'!$L$89:$L$93</c:f>
              <c:numCache>
                <c:formatCode>General</c:formatCode>
                <c:ptCount val="5"/>
                <c:pt idx="0">
                  <c:v>86.09</c:v>
                </c:pt>
                <c:pt idx="1">
                  <c:v>2.35</c:v>
                </c:pt>
                <c:pt idx="2">
                  <c:v>1.45</c:v>
                </c:pt>
                <c:pt idx="3">
                  <c:v>6.72</c:v>
                </c:pt>
                <c:pt idx="4">
                  <c:v>3.39</c:v>
                </c:pt>
              </c:numCache>
            </c:numRef>
          </c:val>
        </c:ser>
        <c:ser>
          <c:idx val="1"/>
          <c:order val="1"/>
          <c:tx>
            <c:strRef>
              <c:f>'Quality bands manual'!$M$88</c:f>
              <c:strCache>
                <c:ptCount val="1"/>
                <c:pt idx="0">
                  <c:v>Quality</c:v>
                </c:pt>
              </c:strCache>
            </c:strRef>
          </c:tx>
          <c:invertIfNegative val="0"/>
          <c:cat>
            <c:strRef>
              <c:f>'Quality bands manual'!$K$89:$K$93</c:f>
              <c:strCache>
                <c:ptCount val="5"/>
                <c:pt idx="0">
                  <c:v>A</c:v>
                </c:pt>
                <c:pt idx="1">
                  <c:v>B</c:v>
                </c:pt>
                <c:pt idx="2">
                  <c:v>C</c:v>
                </c:pt>
                <c:pt idx="3">
                  <c:v>D</c:v>
                </c:pt>
                <c:pt idx="4">
                  <c:v>E</c:v>
                </c:pt>
              </c:strCache>
            </c:strRef>
          </c:cat>
          <c:val>
            <c:numRef>
              <c:f>'Quality bands manual'!$M$89:$M$93</c:f>
              <c:numCache>
                <c:formatCode>General</c:formatCode>
                <c:ptCount val="5"/>
                <c:pt idx="0">
                  <c:v>3.14</c:v>
                </c:pt>
                <c:pt idx="1">
                  <c:v>42.36</c:v>
                </c:pt>
                <c:pt idx="2">
                  <c:v>5</c:v>
                </c:pt>
                <c:pt idx="3">
                  <c:v>13.19</c:v>
                </c:pt>
                <c:pt idx="4">
                  <c:v>36.299999999999997</c:v>
                </c:pt>
              </c:numCache>
            </c:numRef>
          </c:val>
        </c:ser>
        <c:dLbls>
          <c:showLegendKey val="0"/>
          <c:showVal val="0"/>
          <c:showCatName val="0"/>
          <c:showSerName val="0"/>
          <c:showPercent val="0"/>
          <c:showBubbleSize val="0"/>
        </c:dLbls>
        <c:gapWidth val="150"/>
        <c:axId val="40262656"/>
        <c:axId val="40272640"/>
      </c:barChart>
      <c:catAx>
        <c:axId val="40262656"/>
        <c:scaling>
          <c:orientation val="minMax"/>
        </c:scaling>
        <c:delete val="0"/>
        <c:axPos val="b"/>
        <c:majorTickMark val="out"/>
        <c:minorTickMark val="none"/>
        <c:tickLblPos val="nextTo"/>
        <c:crossAx val="40272640"/>
        <c:crosses val="autoZero"/>
        <c:auto val="1"/>
        <c:lblAlgn val="ctr"/>
        <c:lblOffset val="100"/>
        <c:noMultiLvlLbl val="0"/>
      </c:catAx>
      <c:valAx>
        <c:axId val="40272640"/>
        <c:scaling>
          <c:orientation val="minMax"/>
          <c:max val="100"/>
        </c:scaling>
        <c:delete val="0"/>
        <c:axPos val="l"/>
        <c:majorGridlines/>
        <c:title>
          <c:tx>
            <c:rich>
              <a:bodyPr rot="-5400000" vert="horz"/>
              <a:lstStyle/>
              <a:p>
                <a:pPr>
                  <a:defRPr/>
                </a:pPr>
                <a:r>
                  <a:rPr lang="en-US"/>
                  <a:t>% of premises</a:t>
                </a:r>
              </a:p>
            </c:rich>
          </c:tx>
          <c:layout>
            <c:manualLayout>
              <c:xMode val="edge"/>
              <c:yMode val="edge"/>
              <c:x val="8.9789123581774516E-3"/>
              <c:y val="0.33748146445198002"/>
            </c:manualLayout>
          </c:layout>
          <c:overlay val="0"/>
        </c:title>
        <c:numFmt formatCode="General" sourceLinked="1"/>
        <c:majorTickMark val="out"/>
        <c:minorTickMark val="none"/>
        <c:tickLblPos val="nextTo"/>
        <c:crossAx val="40262656"/>
        <c:crosses val="autoZero"/>
        <c:crossBetween val="between"/>
        <c:majorUnit val="20"/>
      </c:valAx>
      <c:spPr>
        <a:solidFill>
          <a:schemeClr val="bg1">
            <a:lumMod val="85000"/>
          </a:schemeClr>
        </a:solidFill>
      </c:spPr>
    </c:plotArea>
    <c:legend>
      <c:legendPos val="b"/>
      <c:layout>
        <c:manualLayout>
          <c:xMode val="edge"/>
          <c:yMode val="edge"/>
          <c:x val="0.35471262096200989"/>
          <c:y val="0.91257717658001503"/>
          <c:w val="0.29581785673957189"/>
          <c:h val="8.3717191601049873E-2"/>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100"/>
              <a:t>Western</a:t>
            </a:r>
            <a:r>
              <a:rPr lang="en-AU" sz="1100" baseline="0"/>
              <a:t> Australia availability and quality</a:t>
            </a:r>
            <a:endParaRPr lang="en-AU" sz="1100"/>
          </a:p>
        </c:rich>
      </c:tx>
      <c:overlay val="0"/>
    </c:title>
    <c:autoTitleDeleted val="0"/>
    <c:plotArea>
      <c:layout>
        <c:manualLayout>
          <c:layoutTarget val="inner"/>
          <c:xMode val="edge"/>
          <c:yMode val="edge"/>
          <c:x val="0.10003465950159227"/>
          <c:y val="0.15524314668999709"/>
          <c:w val="0.86940985167930962"/>
          <c:h val="0.6820968212306795"/>
        </c:manualLayout>
      </c:layout>
      <c:barChart>
        <c:barDir val="col"/>
        <c:grouping val="clustered"/>
        <c:varyColors val="0"/>
        <c:ser>
          <c:idx val="0"/>
          <c:order val="0"/>
          <c:tx>
            <c:strRef>
              <c:f>'Quality bands manual'!$L$97</c:f>
              <c:strCache>
                <c:ptCount val="1"/>
                <c:pt idx="0">
                  <c:v>Availability</c:v>
                </c:pt>
              </c:strCache>
            </c:strRef>
          </c:tx>
          <c:invertIfNegative val="0"/>
          <c:cat>
            <c:strRef>
              <c:f>'Quality bands manual'!$K$98:$K$102</c:f>
              <c:strCache>
                <c:ptCount val="5"/>
                <c:pt idx="0">
                  <c:v>A</c:v>
                </c:pt>
                <c:pt idx="1">
                  <c:v>B</c:v>
                </c:pt>
                <c:pt idx="2">
                  <c:v>C</c:v>
                </c:pt>
                <c:pt idx="3">
                  <c:v>D</c:v>
                </c:pt>
                <c:pt idx="4">
                  <c:v>E</c:v>
                </c:pt>
              </c:strCache>
            </c:strRef>
          </c:cat>
          <c:val>
            <c:numRef>
              <c:f>'Quality bands manual'!$L$98:$L$102</c:f>
              <c:numCache>
                <c:formatCode>General</c:formatCode>
                <c:ptCount val="5"/>
                <c:pt idx="0">
                  <c:v>78.17</c:v>
                </c:pt>
                <c:pt idx="1">
                  <c:v>1.19</c:v>
                </c:pt>
                <c:pt idx="2">
                  <c:v>1.04</c:v>
                </c:pt>
                <c:pt idx="3">
                  <c:v>13.85</c:v>
                </c:pt>
                <c:pt idx="4">
                  <c:v>5.75</c:v>
                </c:pt>
              </c:numCache>
            </c:numRef>
          </c:val>
        </c:ser>
        <c:ser>
          <c:idx val="1"/>
          <c:order val="1"/>
          <c:tx>
            <c:strRef>
              <c:f>'Quality bands manual'!$M$97</c:f>
              <c:strCache>
                <c:ptCount val="1"/>
                <c:pt idx="0">
                  <c:v>Quality</c:v>
                </c:pt>
              </c:strCache>
            </c:strRef>
          </c:tx>
          <c:invertIfNegative val="0"/>
          <c:cat>
            <c:strRef>
              <c:f>'Quality bands manual'!$K$98:$K$102</c:f>
              <c:strCache>
                <c:ptCount val="5"/>
                <c:pt idx="0">
                  <c:v>A</c:v>
                </c:pt>
                <c:pt idx="1">
                  <c:v>B</c:v>
                </c:pt>
                <c:pt idx="2">
                  <c:v>C</c:v>
                </c:pt>
                <c:pt idx="3">
                  <c:v>D</c:v>
                </c:pt>
                <c:pt idx="4">
                  <c:v>E</c:v>
                </c:pt>
              </c:strCache>
            </c:strRef>
          </c:cat>
          <c:val>
            <c:numRef>
              <c:f>'Quality bands manual'!$M$98:$M$102</c:f>
              <c:numCache>
                <c:formatCode>General</c:formatCode>
                <c:ptCount val="5"/>
                <c:pt idx="0">
                  <c:v>1.98</c:v>
                </c:pt>
                <c:pt idx="1">
                  <c:v>11.52</c:v>
                </c:pt>
                <c:pt idx="2">
                  <c:v>0.8</c:v>
                </c:pt>
                <c:pt idx="3">
                  <c:v>14.18</c:v>
                </c:pt>
                <c:pt idx="4">
                  <c:v>71.53</c:v>
                </c:pt>
              </c:numCache>
            </c:numRef>
          </c:val>
        </c:ser>
        <c:dLbls>
          <c:showLegendKey val="0"/>
          <c:showVal val="0"/>
          <c:showCatName val="0"/>
          <c:showSerName val="0"/>
          <c:showPercent val="0"/>
          <c:showBubbleSize val="0"/>
        </c:dLbls>
        <c:gapWidth val="150"/>
        <c:axId val="40293888"/>
        <c:axId val="40295424"/>
      </c:barChart>
      <c:catAx>
        <c:axId val="40293888"/>
        <c:scaling>
          <c:orientation val="minMax"/>
        </c:scaling>
        <c:delete val="0"/>
        <c:axPos val="b"/>
        <c:majorTickMark val="out"/>
        <c:minorTickMark val="none"/>
        <c:tickLblPos val="nextTo"/>
        <c:crossAx val="40295424"/>
        <c:crosses val="autoZero"/>
        <c:auto val="1"/>
        <c:lblAlgn val="ctr"/>
        <c:lblOffset val="100"/>
        <c:noMultiLvlLbl val="0"/>
      </c:catAx>
      <c:valAx>
        <c:axId val="40295424"/>
        <c:scaling>
          <c:orientation val="minMax"/>
          <c:max val="100"/>
        </c:scaling>
        <c:delete val="0"/>
        <c:axPos val="l"/>
        <c:majorGridlines/>
        <c:title>
          <c:tx>
            <c:rich>
              <a:bodyPr rot="-5400000" vert="horz"/>
              <a:lstStyle/>
              <a:p>
                <a:pPr>
                  <a:defRPr/>
                </a:pPr>
                <a:r>
                  <a:rPr lang="en-US"/>
                  <a:t>% of premises</a:t>
                </a:r>
              </a:p>
            </c:rich>
          </c:tx>
          <c:layout>
            <c:manualLayout>
              <c:xMode val="edge"/>
              <c:yMode val="edge"/>
              <c:x val="7.8198558513519131E-3"/>
              <c:y val="0.33404344752108939"/>
            </c:manualLayout>
          </c:layout>
          <c:overlay val="0"/>
        </c:title>
        <c:numFmt formatCode="General" sourceLinked="1"/>
        <c:majorTickMark val="out"/>
        <c:minorTickMark val="none"/>
        <c:tickLblPos val="nextTo"/>
        <c:crossAx val="40293888"/>
        <c:crosses val="autoZero"/>
        <c:crossBetween val="between"/>
        <c:majorUnit val="20"/>
      </c:valAx>
      <c:spPr>
        <a:solidFill>
          <a:schemeClr val="bg1">
            <a:lumMod val="85000"/>
          </a:schemeClr>
        </a:solidFill>
      </c:spPr>
    </c:plotArea>
    <c:legend>
      <c:legendPos val="b"/>
      <c:layout>
        <c:manualLayout>
          <c:xMode val="edge"/>
          <c:yMode val="edge"/>
          <c:x val="0.36419425784620524"/>
          <c:y val="0.9116531787693205"/>
          <c:w val="0.27161129806631268"/>
          <c:h val="8.3717191601049873E-2"/>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AU" sz="1100"/>
              <a:t>Relative</a:t>
            </a:r>
            <a:r>
              <a:rPr lang="en-AU" sz="1100" baseline="0"/>
              <a:t> distribution of fixed broadband quality ratings by remoteness classification</a:t>
            </a:r>
            <a:endParaRPr lang="en-AU" sz="1100"/>
          </a:p>
        </c:rich>
      </c:tx>
      <c:overlay val="0"/>
    </c:title>
    <c:autoTitleDeleted val="0"/>
    <c:plotArea>
      <c:layout>
        <c:manualLayout>
          <c:layoutTarget val="inner"/>
          <c:xMode val="edge"/>
          <c:yMode val="edge"/>
          <c:x val="0.16966326430689163"/>
          <c:y val="0.18197469519939038"/>
          <c:w val="0.65735213330891773"/>
          <c:h val="0.65927698480614572"/>
        </c:manualLayout>
      </c:layout>
      <c:barChart>
        <c:barDir val="bar"/>
        <c:grouping val="percentStacked"/>
        <c:varyColors val="0"/>
        <c:ser>
          <c:idx val="0"/>
          <c:order val="0"/>
          <c:tx>
            <c:strRef>
              <c:f>'Quality bands manual'!$AF$11</c:f>
              <c:strCache>
                <c:ptCount val="1"/>
                <c:pt idx="0">
                  <c:v>A (highest)</c:v>
                </c:pt>
              </c:strCache>
            </c:strRef>
          </c:tx>
          <c:invertIfNegative val="0"/>
          <c:cat>
            <c:strRef>
              <c:f>'Quality bands manual'!$AG$10:$AK$10</c:f>
              <c:strCache>
                <c:ptCount val="5"/>
                <c:pt idx="0">
                  <c:v>Very Remote</c:v>
                </c:pt>
                <c:pt idx="1">
                  <c:v>Remote</c:v>
                </c:pt>
                <c:pt idx="2">
                  <c:v>Outer Regional</c:v>
                </c:pt>
                <c:pt idx="3">
                  <c:v>Inner Regional</c:v>
                </c:pt>
                <c:pt idx="4">
                  <c:v>Major Cities</c:v>
                </c:pt>
              </c:strCache>
            </c:strRef>
          </c:cat>
          <c:val>
            <c:numRef>
              <c:f>'Quality bands manual'!$AG$11:$AK$11</c:f>
              <c:numCache>
                <c:formatCode>_-* #,##0_-;\-* #,##0_-;_-* "-"??_-;_-@_-</c:formatCode>
                <c:ptCount val="5"/>
                <c:pt idx="0">
                  <c:v>0</c:v>
                </c:pt>
                <c:pt idx="1">
                  <c:v>1155.6199999999999</c:v>
                </c:pt>
                <c:pt idx="2" formatCode="#,##0">
                  <c:v>22764.720000000001</c:v>
                </c:pt>
                <c:pt idx="3" formatCode="#,##0">
                  <c:v>74327.540000000008</c:v>
                </c:pt>
                <c:pt idx="4" formatCode="#,##0">
                  <c:v>245233.57999999996</c:v>
                </c:pt>
              </c:numCache>
            </c:numRef>
          </c:val>
        </c:ser>
        <c:ser>
          <c:idx val="1"/>
          <c:order val="1"/>
          <c:tx>
            <c:strRef>
              <c:f>'Quality bands manual'!$AF$12</c:f>
              <c:strCache>
                <c:ptCount val="1"/>
                <c:pt idx="0">
                  <c:v>B</c:v>
                </c:pt>
              </c:strCache>
            </c:strRef>
          </c:tx>
          <c:spPr>
            <a:solidFill>
              <a:schemeClr val="accent6"/>
            </a:solidFill>
          </c:spPr>
          <c:invertIfNegative val="0"/>
          <c:cat>
            <c:strRef>
              <c:f>'Quality bands manual'!$AG$10:$AK$10</c:f>
              <c:strCache>
                <c:ptCount val="5"/>
                <c:pt idx="0">
                  <c:v>Very Remote</c:v>
                </c:pt>
                <c:pt idx="1">
                  <c:v>Remote</c:v>
                </c:pt>
                <c:pt idx="2">
                  <c:v>Outer Regional</c:v>
                </c:pt>
                <c:pt idx="3">
                  <c:v>Inner Regional</c:v>
                </c:pt>
                <c:pt idx="4">
                  <c:v>Major Cities</c:v>
                </c:pt>
              </c:strCache>
            </c:strRef>
          </c:cat>
          <c:val>
            <c:numRef>
              <c:f>'Quality bands manual'!$AG$12:$AK$12</c:f>
              <c:numCache>
                <c:formatCode>#,##0</c:formatCode>
                <c:ptCount val="5"/>
                <c:pt idx="0">
                  <c:v>374</c:v>
                </c:pt>
                <c:pt idx="1">
                  <c:v>505</c:v>
                </c:pt>
                <c:pt idx="2">
                  <c:v>14728.130000000001</c:v>
                </c:pt>
                <c:pt idx="3">
                  <c:v>57688.629999999976</c:v>
                </c:pt>
                <c:pt idx="4">
                  <c:v>3498555.739999997</c:v>
                </c:pt>
              </c:numCache>
            </c:numRef>
          </c:val>
        </c:ser>
        <c:ser>
          <c:idx val="2"/>
          <c:order val="2"/>
          <c:tx>
            <c:strRef>
              <c:f>'Quality bands manual'!$AF$13</c:f>
              <c:strCache>
                <c:ptCount val="1"/>
                <c:pt idx="0">
                  <c:v>C</c:v>
                </c:pt>
              </c:strCache>
            </c:strRef>
          </c:tx>
          <c:invertIfNegative val="0"/>
          <c:cat>
            <c:strRef>
              <c:f>'Quality bands manual'!$AG$10:$AK$10</c:f>
              <c:strCache>
                <c:ptCount val="5"/>
                <c:pt idx="0">
                  <c:v>Very Remote</c:v>
                </c:pt>
                <c:pt idx="1">
                  <c:v>Remote</c:v>
                </c:pt>
                <c:pt idx="2">
                  <c:v>Outer Regional</c:v>
                </c:pt>
                <c:pt idx="3">
                  <c:v>Inner Regional</c:v>
                </c:pt>
                <c:pt idx="4">
                  <c:v>Major Cities</c:v>
                </c:pt>
              </c:strCache>
            </c:strRef>
          </c:cat>
          <c:val>
            <c:numRef>
              <c:f>'Quality bands manual'!$AG$13:$AK$13</c:f>
              <c:numCache>
                <c:formatCode>_-* #,##0_-;\-* #,##0_-;_-* "-"??_-;_-@_-</c:formatCode>
                <c:ptCount val="5"/>
                <c:pt idx="0">
                  <c:v>45</c:v>
                </c:pt>
                <c:pt idx="1">
                  <c:v>44</c:v>
                </c:pt>
                <c:pt idx="2">
                  <c:v>8316.73</c:v>
                </c:pt>
                <c:pt idx="3">
                  <c:v>24589.85</c:v>
                </c:pt>
                <c:pt idx="4">
                  <c:v>346285.0400000001</c:v>
                </c:pt>
              </c:numCache>
            </c:numRef>
          </c:val>
        </c:ser>
        <c:ser>
          <c:idx val="3"/>
          <c:order val="3"/>
          <c:tx>
            <c:strRef>
              <c:f>'Quality bands manual'!$AF$14</c:f>
              <c:strCache>
                <c:ptCount val="1"/>
                <c:pt idx="0">
                  <c:v>D</c:v>
                </c:pt>
              </c:strCache>
            </c:strRef>
          </c:tx>
          <c:invertIfNegative val="0"/>
          <c:cat>
            <c:strRef>
              <c:f>'Quality bands manual'!$AG$10:$AK$10</c:f>
              <c:strCache>
                <c:ptCount val="5"/>
                <c:pt idx="0">
                  <c:v>Very Remote</c:v>
                </c:pt>
                <c:pt idx="1">
                  <c:v>Remote</c:v>
                </c:pt>
                <c:pt idx="2">
                  <c:v>Outer Regional</c:v>
                </c:pt>
                <c:pt idx="3">
                  <c:v>Inner Regional</c:v>
                </c:pt>
                <c:pt idx="4">
                  <c:v>Major Cities</c:v>
                </c:pt>
              </c:strCache>
            </c:strRef>
          </c:cat>
          <c:val>
            <c:numRef>
              <c:f>'Quality bands manual'!$AG$14:$AK$14</c:f>
              <c:numCache>
                <c:formatCode>_-* #,##0_-;\-* #,##0_-;_-* "-"??_-;_-@_-</c:formatCode>
                <c:ptCount val="5"/>
                <c:pt idx="0">
                  <c:v>8609.010000000002</c:v>
                </c:pt>
                <c:pt idx="1">
                  <c:v>25997.51</c:v>
                </c:pt>
                <c:pt idx="2">
                  <c:v>178114.02999999971</c:v>
                </c:pt>
                <c:pt idx="3">
                  <c:v>349060.8600000008</c:v>
                </c:pt>
                <c:pt idx="4">
                  <c:v>884752.28000000119</c:v>
                </c:pt>
              </c:numCache>
            </c:numRef>
          </c:val>
        </c:ser>
        <c:ser>
          <c:idx val="4"/>
          <c:order val="4"/>
          <c:tx>
            <c:strRef>
              <c:f>'Quality bands manual'!$AF$15</c:f>
              <c:strCache>
                <c:ptCount val="1"/>
                <c:pt idx="0">
                  <c:v>E (lowest)</c:v>
                </c:pt>
              </c:strCache>
            </c:strRef>
          </c:tx>
          <c:spPr>
            <a:solidFill>
              <a:schemeClr val="accent2"/>
            </a:solidFill>
          </c:spPr>
          <c:invertIfNegative val="0"/>
          <c:cat>
            <c:strRef>
              <c:f>'Quality bands manual'!$AG$10:$AK$10</c:f>
              <c:strCache>
                <c:ptCount val="5"/>
                <c:pt idx="0">
                  <c:v>Very Remote</c:v>
                </c:pt>
                <c:pt idx="1">
                  <c:v>Remote</c:v>
                </c:pt>
                <c:pt idx="2">
                  <c:v>Outer Regional</c:v>
                </c:pt>
                <c:pt idx="3">
                  <c:v>Inner Regional</c:v>
                </c:pt>
                <c:pt idx="4">
                  <c:v>Major Cities</c:v>
                </c:pt>
              </c:strCache>
            </c:strRef>
          </c:cat>
          <c:val>
            <c:numRef>
              <c:f>'Quality bands manual'!$AG$15:$AK$15</c:f>
              <c:numCache>
                <c:formatCode>#,##0</c:formatCode>
                <c:ptCount val="5"/>
                <c:pt idx="0">
                  <c:v>39150.210000000028</c:v>
                </c:pt>
                <c:pt idx="1">
                  <c:v>144382.38000000012</c:v>
                </c:pt>
                <c:pt idx="2">
                  <c:v>874586.64999999735</c:v>
                </c:pt>
                <c:pt idx="3">
                  <c:v>1778432.3699999959</c:v>
                </c:pt>
                <c:pt idx="4">
                  <c:v>2346237.910000002</c:v>
                </c:pt>
              </c:numCache>
            </c:numRef>
          </c:val>
        </c:ser>
        <c:dLbls>
          <c:showLegendKey val="0"/>
          <c:showVal val="0"/>
          <c:showCatName val="0"/>
          <c:showSerName val="0"/>
          <c:showPercent val="0"/>
          <c:showBubbleSize val="0"/>
        </c:dLbls>
        <c:gapWidth val="150"/>
        <c:overlap val="100"/>
        <c:axId val="40225408"/>
        <c:axId val="40235392"/>
      </c:barChart>
      <c:catAx>
        <c:axId val="40225408"/>
        <c:scaling>
          <c:orientation val="minMax"/>
        </c:scaling>
        <c:delete val="0"/>
        <c:axPos val="l"/>
        <c:majorTickMark val="out"/>
        <c:minorTickMark val="none"/>
        <c:tickLblPos val="nextTo"/>
        <c:crossAx val="40235392"/>
        <c:crosses val="autoZero"/>
        <c:auto val="1"/>
        <c:lblAlgn val="ctr"/>
        <c:lblOffset val="100"/>
        <c:noMultiLvlLbl val="0"/>
      </c:catAx>
      <c:valAx>
        <c:axId val="40235392"/>
        <c:scaling>
          <c:orientation val="minMax"/>
        </c:scaling>
        <c:delete val="0"/>
        <c:axPos val="b"/>
        <c:majorGridlines>
          <c:spPr>
            <a:ln>
              <a:noFill/>
            </a:ln>
          </c:spPr>
        </c:majorGridlines>
        <c:title>
          <c:tx>
            <c:rich>
              <a:bodyPr/>
              <a:lstStyle/>
              <a:p>
                <a:pPr>
                  <a:defRPr/>
                </a:pPr>
                <a:r>
                  <a:rPr lang="en-US"/>
                  <a:t>% of premises</a:t>
                </a:r>
              </a:p>
            </c:rich>
          </c:tx>
          <c:layout>
            <c:manualLayout>
              <c:xMode val="edge"/>
              <c:yMode val="edge"/>
              <c:x val="0.42125730328553002"/>
              <c:y val="0.92030501285573574"/>
            </c:manualLayout>
          </c:layout>
          <c:overlay val="0"/>
        </c:title>
        <c:numFmt formatCode="0%" sourceLinked="1"/>
        <c:majorTickMark val="out"/>
        <c:minorTickMark val="none"/>
        <c:tickLblPos val="nextTo"/>
        <c:crossAx val="40225408"/>
        <c:crosses val="autoZero"/>
        <c:crossBetween val="between"/>
        <c:majorUnit val="0.2"/>
      </c:valAx>
      <c:spPr>
        <a:solidFill>
          <a:sysClr val="window" lastClr="FFFFFF">
            <a:lumMod val="85000"/>
          </a:sysClr>
        </a:solidFill>
      </c:spPr>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AU" sz="1100"/>
              <a:t>High speed broadband access by remoteness classification</a:t>
            </a:r>
          </a:p>
        </c:rich>
      </c:tx>
      <c:layout>
        <c:manualLayout>
          <c:xMode val="edge"/>
          <c:yMode val="edge"/>
          <c:x val="0.19140059954630337"/>
          <c:y val="2.7106392590919359E-2"/>
        </c:manualLayout>
      </c:layout>
      <c:overlay val="0"/>
    </c:title>
    <c:autoTitleDeleted val="0"/>
    <c:plotArea>
      <c:layout>
        <c:manualLayout>
          <c:layoutTarget val="inner"/>
          <c:xMode val="edge"/>
          <c:yMode val="edge"/>
          <c:x val="0.13650866077313226"/>
          <c:y val="0.16617943548387096"/>
          <c:w val="0.71692349095833807"/>
          <c:h val="0.71762005331333523"/>
        </c:manualLayout>
      </c:layout>
      <c:barChart>
        <c:barDir val="col"/>
        <c:grouping val="clustered"/>
        <c:varyColors val="0"/>
        <c:ser>
          <c:idx val="2"/>
          <c:order val="0"/>
          <c:tx>
            <c:strRef>
              <c:f>'12 feb'!$E$39</c:f>
              <c:strCache>
                <c:ptCount val="1"/>
                <c:pt idx="0">
                  <c:v>FTTN</c:v>
                </c:pt>
              </c:strCache>
            </c:strRef>
          </c:tx>
          <c:invertIfNegative val="0"/>
          <c:cat>
            <c:strRef>
              <c:f>'12 feb'!$C$40:$C$42</c:f>
              <c:strCache>
                <c:ptCount val="3"/>
                <c:pt idx="0">
                  <c:v>Major Cities</c:v>
                </c:pt>
                <c:pt idx="1">
                  <c:v>Regional Australia</c:v>
                </c:pt>
                <c:pt idx="2">
                  <c:v>Remote Australia</c:v>
                </c:pt>
              </c:strCache>
            </c:strRef>
          </c:cat>
          <c:val>
            <c:numRef>
              <c:f>'12 feb'!$E$40:$E$42</c:f>
              <c:numCache>
                <c:formatCode>#,##0</c:formatCode>
                <c:ptCount val="3"/>
                <c:pt idx="0">
                  <c:v>0.79178662916378828</c:v>
                </c:pt>
                <c:pt idx="1">
                  <c:v>0</c:v>
                </c:pt>
                <c:pt idx="2">
                  <c:v>0</c:v>
                </c:pt>
              </c:numCache>
            </c:numRef>
          </c:val>
        </c:ser>
        <c:ser>
          <c:idx val="1"/>
          <c:order val="1"/>
          <c:tx>
            <c:strRef>
              <c:f>'12 feb'!$D$39</c:f>
              <c:strCache>
                <c:ptCount val="1"/>
                <c:pt idx="0">
                  <c:v>FTTP</c:v>
                </c:pt>
              </c:strCache>
            </c:strRef>
          </c:tx>
          <c:invertIfNegative val="0"/>
          <c:cat>
            <c:strRef>
              <c:f>'12 feb'!$C$40:$C$42</c:f>
              <c:strCache>
                <c:ptCount val="3"/>
                <c:pt idx="0">
                  <c:v>Major Cities</c:v>
                </c:pt>
                <c:pt idx="1">
                  <c:v>Regional Australia</c:v>
                </c:pt>
                <c:pt idx="2">
                  <c:v>Remote Australia</c:v>
                </c:pt>
              </c:strCache>
            </c:strRef>
          </c:cat>
          <c:val>
            <c:numRef>
              <c:f>'12 feb'!$D$40:$D$42</c:f>
              <c:numCache>
                <c:formatCode>#,##0</c:formatCode>
                <c:ptCount val="3"/>
                <c:pt idx="0">
                  <c:v>3.2774654359122204</c:v>
                </c:pt>
                <c:pt idx="1">
                  <c:v>3.7660784881505185</c:v>
                </c:pt>
                <c:pt idx="2">
                  <c:v>0.78749398443671625</c:v>
                </c:pt>
              </c:numCache>
            </c:numRef>
          </c:val>
        </c:ser>
        <c:ser>
          <c:idx val="0"/>
          <c:order val="2"/>
          <c:tx>
            <c:strRef>
              <c:f>'12 feb'!$F$39</c:f>
              <c:strCache>
                <c:ptCount val="1"/>
                <c:pt idx="0">
                  <c:v>HFC</c:v>
                </c:pt>
              </c:strCache>
            </c:strRef>
          </c:tx>
          <c:invertIfNegative val="0"/>
          <c:cat>
            <c:strRef>
              <c:f>'12 feb'!$C$40:$C$42</c:f>
              <c:strCache>
                <c:ptCount val="3"/>
                <c:pt idx="0">
                  <c:v>Major Cities</c:v>
                </c:pt>
                <c:pt idx="1">
                  <c:v>Regional Australia</c:v>
                </c:pt>
                <c:pt idx="2">
                  <c:v>Remote Australia</c:v>
                </c:pt>
              </c:strCache>
            </c:strRef>
          </c:cat>
          <c:val>
            <c:numRef>
              <c:f>'12 feb'!$F$40:$F$42</c:f>
              <c:numCache>
                <c:formatCode>#,##0</c:formatCode>
                <c:ptCount val="3"/>
                <c:pt idx="0">
                  <c:v>36.449012687135443</c:v>
                </c:pt>
                <c:pt idx="1">
                  <c:v>0.96832994573193054</c:v>
                </c:pt>
                <c:pt idx="2">
                  <c:v>0</c:v>
                </c:pt>
              </c:numCache>
            </c:numRef>
          </c:val>
        </c:ser>
        <c:ser>
          <c:idx val="3"/>
          <c:order val="3"/>
          <c:tx>
            <c:strRef>
              <c:f>'12 feb'!$G$39</c:f>
              <c:strCache>
                <c:ptCount val="1"/>
                <c:pt idx="0">
                  <c:v>Fixed Wireless</c:v>
                </c:pt>
              </c:strCache>
            </c:strRef>
          </c:tx>
          <c:invertIfNegative val="0"/>
          <c:cat>
            <c:strRef>
              <c:f>'12 feb'!$C$40:$C$42</c:f>
              <c:strCache>
                <c:ptCount val="3"/>
                <c:pt idx="0">
                  <c:v>Major Cities</c:v>
                </c:pt>
                <c:pt idx="1">
                  <c:v>Regional Australia</c:v>
                </c:pt>
                <c:pt idx="2">
                  <c:v>Remote Australia</c:v>
                </c:pt>
              </c:strCache>
            </c:strRef>
          </c:cat>
          <c:val>
            <c:numRef>
              <c:f>'12 feb'!$G$40:$G$42</c:f>
              <c:numCache>
                <c:formatCode>#,##0</c:formatCode>
                <c:ptCount val="3"/>
                <c:pt idx="0">
                  <c:v>0</c:v>
                </c:pt>
                <c:pt idx="1">
                  <c:v>1.5536944590643058</c:v>
                </c:pt>
                <c:pt idx="2">
                  <c:v>0.24995686954626764</c:v>
                </c:pt>
              </c:numCache>
            </c:numRef>
          </c:val>
        </c:ser>
        <c:dLbls>
          <c:showLegendKey val="0"/>
          <c:showVal val="0"/>
          <c:showCatName val="0"/>
          <c:showSerName val="0"/>
          <c:showPercent val="0"/>
          <c:showBubbleSize val="0"/>
        </c:dLbls>
        <c:gapWidth val="150"/>
        <c:axId val="40336384"/>
        <c:axId val="40346368"/>
      </c:barChart>
      <c:catAx>
        <c:axId val="40336384"/>
        <c:scaling>
          <c:orientation val="minMax"/>
        </c:scaling>
        <c:delete val="0"/>
        <c:axPos val="b"/>
        <c:majorTickMark val="out"/>
        <c:minorTickMark val="none"/>
        <c:tickLblPos val="nextTo"/>
        <c:crossAx val="40346368"/>
        <c:crosses val="autoZero"/>
        <c:auto val="1"/>
        <c:lblAlgn val="ctr"/>
        <c:lblOffset val="100"/>
        <c:noMultiLvlLbl val="0"/>
      </c:catAx>
      <c:valAx>
        <c:axId val="40346368"/>
        <c:scaling>
          <c:orientation val="minMax"/>
          <c:max val="40"/>
          <c:min val="0"/>
        </c:scaling>
        <c:delete val="0"/>
        <c:axPos val="l"/>
        <c:majorGridlines/>
        <c:title>
          <c:tx>
            <c:rich>
              <a:bodyPr rot="-5400000" vert="horz"/>
              <a:lstStyle/>
              <a:p>
                <a:pPr>
                  <a:defRPr sz="900"/>
                </a:pPr>
                <a:r>
                  <a:rPr lang="en-AU" sz="900"/>
                  <a:t>% of premises with access to each platform</a:t>
                </a:r>
              </a:p>
            </c:rich>
          </c:tx>
          <c:layout>
            <c:manualLayout>
              <c:xMode val="edge"/>
              <c:yMode val="edge"/>
              <c:x val="2.2052800793218745E-2"/>
              <c:y val="0.16727063171768086"/>
            </c:manualLayout>
          </c:layout>
          <c:overlay val="0"/>
        </c:title>
        <c:numFmt formatCode="#,##0" sourceLinked="1"/>
        <c:majorTickMark val="out"/>
        <c:minorTickMark val="none"/>
        <c:tickLblPos val="nextTo"/>
        <c:crossAx val="40336384"/>
        <c:crosses val="autoZero"/>
        <c:crossBetween val="between"/>
        <c:majorUnit val="10"/>
      </c:valAx>
      <c:spPr>
        <a:solidFill>
          <a:sysClr val="window" lastClr="FFFFFF">
            <a:lumMod val="85000"/>
          </a:sysClr>
        </a:solidFill>
      </c:spPr>
    </c:plotArea>
    <c:legend>
      <c:legendPos val="r"/>
      <c:layout>
        <c:manualLayout>
          <c:xMode val="edge"/>
          <c:yMode val="edge"/>
          <c:x val="0.86830157196422164"/>
          <c:y val="0.34615361356315666"/>
          <c:w val="0.12828224688354858"/>
          <c:h val="0.30246135899679205"/>
        </c:manualLayout>
      </c:layout>
      <c:overlay val="0"/>
      <c:txPr>
        <a:bodyPr/>
        <a:lstStyle/>
        <a:p>
          <a:pPr>
            <a:defRPr sz="800"/>
          </a:pPr>
          <a:endParaRPr lang="en-US"/>
        </a:p>
      </c:txPr>
    </c:legend>
    <c:plotVisOnly val="1"/>
    <c:dispBlanksAs val="gap"/>
    <c:showDLblsOverMax val="0"/>
  </c:chart>
  <c:txPr>
    <a:bodyPr/>
    <a:lstStyle/>
    <a:p>
      <a:pPr>
        <a:defRPr>
          <a:latin typeface="+mj-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200"/>
              <a:t>Distribution</a:t>
            </a:r>
            <a:r>
              <a:rPr lang="en-AU" sz="1200" baseline="0"/>
              <a:t> of broadband availability ratings</a:t>
            </a:r>
            <a:endParaRPr lang="en-AU" sz="1200"/>
          </a:p>
        </c:rich>
      </c:tx>
      <c:overlay val="0"/>
    </c:title>
    <c:autoTitleDeleted val="0"/>
    <c:plotArea>
      <c:layout>
        <c:manualLayout>
          <c:layoutTarget val="inner"/>
          <c:xMode val="edge"/>
          <c:yMode val="edge"/>
          <c:x val="8.9472784850709711E-2"/>
          <c:y val="0.14747215897426688"/>
          <c:w val="0.88707760059918217"/>
          <c:h val="0.67390737585209115"/>
        </c:manualLayout>
      </c:layout>
      <c:barChart>
        <c:barDir val="col"/>
        <c:grouping val="clustered"/>
        <c:varyColors val="0"/>
        <c:ser>
          <c:idx val="0"/>
          <c:order val="0"/>
          <c:invertIfNegative val="0"/>
          <c:cat>
            <c:strRef>
              <c:f>'Quality bands manual'!$AI$64:$AI$68</c:f>
              <c:strCache>
                <c:ptCount val="5"/>
                <c:pt idx="0">
                  <c:v>A (highest)</c:v>
                </c:pt>
                <c:pt idx="1">
                  <c:v>B</c:v>
                </c:pt>
                <c:pt idx="2">
                  <c:v>C</c:v>
                </c:pt>
                <c:pt idx="3">
                  <c:v>D</c:v>
                </c:pt>
                <c:pt idx="4">
                  <c:v>E (lowest)</c:v>
                </c:pt>
              </c:strCache>
            </c:strRef>
          </c:cat>
          <c:val>
            <c:numRef>
              <c:f>'Quality bands manual'!$AJ$64:$AJ$68</c:f>
              <c:numCache>
                <c:formatCode>General</c:formatCode>
                <c:ptCount val="5"/>
                <c:pt idx="0">
                  <c:v>83.776920865906988</c:v>
                </c:pt>
                <c:pt idx="1">
                  <c:v>1.9344283481523166</c:v>
                </c:pt>
                <c:pt idx="2">
                  <c:v>1.401933047984985</c:v>
                </c:pt>
                <c:pt idx="3">
                  <c:v>8.7401225250041072</c:v>
                </c:pt>
                <c:pt idx="4">
                  <c:v>4.1465952129516186</c:v>
                </c:pt>
              </c:numCache>
            </c:numRef>
          </c:val>
        </c:ser>
        <c:dLbls>
          <c:showLegendKey val="0"/>
          <c:showVal val="0"/>
          <c:showCatName val="0"/>
          <c:showSerName val="0"/>
          <c:showPercent val="0"/>
          <c:showBubbleSize val="0"/>
        </c:dLbls>
        <c:gapWidth val="150"/>
        <c:axId val="37540992"/>
        <c:axId val="37542912"/>
      </c:barChart>
      <c:catAx>
        <c:axId val="37540992"/>
        <c:scaling>
          <c:orientation val="minMax"/>
        </c:scaling>
        <c:delete val="0"/>
        <c:axPos val="b"/>
        <c:title>
          <c:tx>
            <c:rich>
              <a:bodyPr/>
              <a:lstStyle/>
              <a:p>
                <a:pPr>
                  <a:defRPr/>
                </a:pPr>
                <a:r>
                  <a:rPr lang="en-US" sz="900"/>
                  <a:t>Availability rating</a:t>
                </a:r>
              </a:p>
            </c:rich>
          </c:tx>
          <c:layout>
            <c:manualLayout>
              <c:xMode val="edge"/>
              <c:yMode val="edge"/>
              <c:x val="0.45851140487638714"/>
              <c:y val="0.92789358406765277"/>
            </c:manualLayout>
          </c:layout>
          <c:overlay val="0"/>
        </c:title>
        <c:majorTickMark val="out"/>
        <c:minorTickMark val="none"/>
        <c:tickLblPos val="nextTo"/>
        <c:crossAx val="37542912"/>
        <c:crosses val="autoZero"/>
        <c:auto val="1"/>
        <c:lblAlgn val="ctr"/>
        <c:lblOffset val="100"/>
        <c:noMultiLvlLbl val="0"/>
      </c:catAx>
      <c:valAx>
        <c:axId val="37542912"/>
        <c:scaling>
          <c:orientation val="minMax"/>
          <c:max val="100"/>
        </c:scaling>
        <c:delete val="0"/>
        <c:axPos val="l"/>
        <c:majorGridlines/>
        <c:title>
          <c:tx>
            <c:rich>
              <a:bodyPr rot="-5400000" vert="horz"/>
              <a:lstStyle/>
              <a:p>
                <a:pPr>
                  <a:defRPr/>
                </a:pPr>
                <a:r>
                  <a:rPr lang="en-US" sz="900"/>
                  <a:t>% of premises</a:t>
                </a:r>
              </a:p>
            </c:rich>
          </c:tx>
          <c:layout>
            <c:manualLayout>
              <c:xMode val="edge"/>
              <c:yMode val="edge"/>
              <c:x val="1.2790698845513537E-2"/>
              <c:y val="0.33047279982327865"/>
            </c:manualLayout>
          </c:layout>
          <c:overlay val="0"/>
        </c:title>
        <c:numFmt formatCode="General" sourceLinked="1"/>
        <c:majorTickMark val="out"/>
        <c:minorTickMark val="none"/>
        <c:tickLblPos val="nextTo"/>
        <c:crossAx val="37540992"/>
        <c:crosses val="autoZero"/>
        <c:crossBetween val="between"/>
        <c:majorUnit val="20"/>
      </c:valAx>
      <c:spPr>
        <a:solidFill>
          <a:schemeClr val="bg1">
            <a:lumMod val="95000"/>
          </a:schemeClr>
        </a:solidFill>
      </c:spPr>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a:pPr>
            <a:r>
              <a:rPr lang="en-AU" sz="1100"/>
              <a:t>Distribution of median modelled </a:t>
            </a:r>
            <a:r>
              <a:rPr lang="en-AU" sz="1100" b="1" i="0" u="none" strike="noStrike" kern="1200" baseline="0">
                <a:solidFill>
                  <a:sysClr val="windowText" lastClr="000000"/>
                </a:solidFill>
                <a:latin typeface="+mj-lt"/>
                <a:ea typeface="+mn-ea"/>
                <a:cs typeface="+mn-cs"/>
              </a:rPr>
              <a:t>ADSL</a:t>
            </a:r>
            <a:r>
              <a:rPr lang="en-AU" sz="1100"/>
              <a:t> download speeds</a:t>
            </a:r>
          </a:p>
        </c:rich>
      </c:tx>
      <c:layout>
        <c:manualLayout>
          <c:xMode val="edge"/>
          <c:yMode val="edge"/>
          <c:x val="0.22469597683909634"/>
          <c:y val="2.8169014084507043E-2"/>
        </c:manualLayout>
      </c:layout>
      <c:overlay val="1"/>
    </c:title>
    <c:autoTitleDeleted val="0"/>
    <c:plotArea>
      <c:layout>
        <c:manualLayout>
          <c:layoutTarget val="inner"/>
          <c:xMode val="edge"/>
          <c:yMode val="edge"/>
          <c:x val="8.2149615384933067E-2"/>
          <c:y val="0.15567134186351705"/>
          <c:w val="0.89480176577800263"/>
          <c:h val="0.66282803528855394"/>
        </c:manualLayout>
      </c:layout>
      <c:barChart>
        <c:barDir val="col"/>
        <c:grouping val="clustered"/>
        <c:varyColors val="0"/>
        <c:ser>
          <c:idx val="0"/>
          <c:order val="0"/>
          <c:invertIfNegative val="0"/>
          <c:cat>
            <c:strRef>
              <c:f>'bqap dataset table WITH PARAMS'!$FS$3:$FS$10</c:f>
              <c:strCache>
                <c:ptCount val="8"/>
                <c:pt idx="0">
                  <c:v>3</c:v>
                </c:pt>
                <c:pt idx="1">
                  <c:v>6</c:v>
                </c:pt>
                <c:pt idx="2">
                  <c:v>9</c:v>
                </c:pt>
                <c:pt idx="3">
                  <c:v>12</c:v>
                </c:pt>
                <c:pt idx="4">
                  <c:v>15</c:v>
                </c:pt>
                <c:pt idx="5">
                  <c:v>18</c:v>
                </c:pt>
                <c:pt idx="6">
                  <c:v>21</c:v>
                </c:pt>
                <c:pt idx="7">
                  <c:v>&gt;21 mbps</c:v>
                </c:pt>
              </c:strCache>
            </c:strRef>
          </c:cat>
          <c:val>
            <c:numRef>
              <c:f>'bqap dataset table WITH PARAMS'!$FV$3:$FV$10</c:f>
              <c:numCache>
                <c:formatCode>0.0</c:formatCode>
                <c:ptCount val="8"/>
                <c:pt idx="0">
                  <c:v>2.5207553019687166</c:v>
                </c:pt>
                <c:pt idx="1">
                  <c:v>8.1910874713932813</c:v>
                </c:pt>
                <c:pt idx="2">
                  <c:v>22.997096884043959</c:v>
                </c:pt>
                <c:pt idx="3">
                  <c:v>10.428898643540366</c:v>
                </c:pt>
                <c:pt idx="4">
                  <c:v>12.139419601078778</c:v>
                </c:pt>
                <c:pt idx="5">
                  <c:v>10.090447692074948</c:v>
                </c:pt>
                <c:pt idx="6">
                  <c:v>16.706815584560701</c:v>
                </c:pt>
                <c:pt idx="7">
                  <c:v>16.925478821339247</c:v>
                </c:pt>
              </c:numCache>
            </c:numRef>
          </c:val>
        </c:ser>
        <c:dLbls>
          <c:showLegendKey val="0"/>
          <c:showVal val="0"/>
          <c:showCatName val="0"/>
          <c:showSerName val="0"/>
          <c:showPercent val="0"/>
          <c:showBubbleSize val="0"/>
        </c:dLbls>
        <c:gapWidth val="150"/>
        <c:axId val="40371328"/>
        <c:axId val="40373248"/>
      </c:barChart>
      <c:catAx>
        <c:axId val="40371328"/>
        <c:scaling>
          <c:orientation val="minMax"/>
        </c:scaling>
        <c:delete val="0"/>
        <c:axPos val="b"/>
        <c:title>
          <c:tx>
            <c:rich>
              <a:bodyPr/>
              <a:lstStyle/>
              <a:p>
                <a:pPr>
                  <a:defRPr sz="900"/>
                </a:pPr>
                <a:r>
                  <a:rPr lang="en-AU" sz="900"/>
                  <a:t>Modelled</a:t>
                </a:r>
                <a:r>
                  <a:rPr lang="en-AU" sz="900" baseline="0"/>
                  <a:t> median speed (Mbps)</a:t>
                </a:r>
                <a:endParaRPr lang="en-AU" sz="900"/>
              </a:p>
            </c:rich>
          </c:tx>
          <c:layout>
            <c:manualLayout>
              <c:xMode val="edge"/>
              <c:yMode val="edge"/>
              <c:x val="0.34721967845205015"/>
              <c:y val="0.92091072418764552"/>
            </c:manualLayout>
          </c:layout>
          <c:overlay val="0"/>
        </c:title>
        <c:majorTickMark val="out"/>
        <c:minorTickMark val="none"/>
        <c:tickLblPos val="nextTo"/>
        <c:txPr>
          <a:bodyPr/>
          <a:lstStyle/>
          <a:p>
            <a:pPr>
              <a:defRPr sz="900"/>
            </a:pPr>
            <a:endParaRPr lang="en-US"/>
          </a:p>
        </c:txPr>
        <c:crossAx val="40373248"/>
        <c:crosses val="autoZero"/>
        <c:auto val="1"/>
        <c:lblAlgn val="ctr"/>
        <c:lblOffset val="100"/>
        <c:noMultiLvlLbl val="0"/>
      </c:catAx>
      <c:valAx>
        <c:axId val="40373248"/>
        <c:scaling>
          <c:orientation val="minMax"/>
        </c:scaling>
        <c:delete val="0"/>
        <c:axPos val="l"/>
        <c:majorGridlines/>
        <c:title>
          <c:tx>
            <c:rich>
              <a:bodyPr rot="-5400000" vert="horz"/>
              <a:lstStyle/>
              <a:p>
                <a:pPr>
                  <a:defRPr sz="900"/>
                </a:pPr>
                <a:r>
                  <a:rPr lang="en-AU" sz="900" b="1" i="0" u="none" strike="noStrike" kern="1200" baseline="0">
                    <a:solidFill>
                      <a:sysClr val="windowText" lastClr="000000"/>
                    </a:solidFill>
                    <a:latin typeface="+mj-lt"/>
                    <a:ea typeface="+mn-ea"/>
                    <a:cs typeface="+mn-cs"/>
                  </a:rPr>
                  <a:t>% </a:t>
                </a:r>
                <a:r>
                  <a:rPr lang="en-AU" sz="900"/>
                  <a:t>of premises</a:t>
                </a:r>
              </a:p>
            </c:rich>
          </c:tx>
          <c:layout>
            <c:manualLayout>
              <c:xMode val="edge"/>
              <c:yMode val="edge"/>
              <c:x val="6.3228501402016123E-4"/>
              <c:y val="0.32248951979594098"/>
            </c:manualLayout>
          </c:layout>
          <c:overlay val="0"/>
        </c:title>
        <c:numFmt formatCode="0" sourceLinked="0"/>
        <c:majorTickMark val="out"/>
        <c:minorTickMark val="none"/>
        <c:tickLblPos val="nextTo"/>
        <c:crossAx val="40371328"/>
        <c:crosses val="autoZero"/>
        <c:crossBetween val="between"/>
      </c:valAx>
      <c:spPr>
        <a:solidFill>
          <a:sysClr val="window" lastClr="FFFFFF">
            <a:lumMod val="85000"/>
          </a:sysClr>
        </a:solidFill>
      </c:spPr>
    </c:plotArea>
    <c:plotVisOnly val="1"/>
    <c:dispBlanksAs val="gap"/>
    <c:showDLblsOverMax val="0"/>
  </c:chart>
  <c:txPr>
    <a:bodyPr/>
    <a:lstStyle/>
    <a:p>
      <a:pPr>
        <a:defRPr>
          <a:latin typeface="+mj-lt"/>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Proportion of premises within modelled ADSL speed range</a:t>
            </a:r>
          </a:p>
        </c:rich>
      </c:tx>
      <c:layout>
        <c:manualLayout>
          <c:xMode val="edge"/>
          <c:yMode val="edge"/>
          <c:x val="0.199075"/>
          <c:y val="0"/>
        </c:manualLayout>
      </c:layout>
      <c:overlay val="0"/>
    </c:title>
    <c:autoTitleDeleted val="0"/>
    <c:plotArea>
      <c:layout>
        <c:manualLayout>
          <c:layoutTarget val="inner"/>
          <c:xMode val="edge"/>
          <c:yMode val="edge"/>
          <c:x val="7.8759722222222217E-2"/>
          <c:y val="9.5753968253968258E-2"/>
          <c:w val="0.77913067023028115"/>
          <c:h val="0.77799365079365079"/>
        </c:manualLayout>
      </c:layout>
      <c:barChart>
        <c:barDir val="bar"/>
        <c:grouping val="percentStacked"/>
        <c:varyColors val="0"/>
        <c:ser>
          <c:idx val="9"/>
          <c:order val="0"/>
          <c:tx>
            <c:strRef>
              <c:f>'data - with pair gains stuff'!$EC$11</c:f>
              <c:strCache>
                <c:ptCount val="1"/>
                <c:pt idx="0">
                  <c:v>&gt;21 or greater</c:v>
                </c:pt>
              </c:strCache>
            </c:strRef>
          </c:tx>
          <c:spPr>
            <a:solidFill>
              <a:srgbClr val="9BBB59">
                <a:lumMod val="60000"/>
                <a:lumOff val="40000"/>
              </a:srgbClr>
            </a:solidFill>
            <a:ln>
              <a:solidFill>
                <a:sysClr val="windowText" lastClr="000000">
                  <a:lumMod val="50000"/>
                  <a:lumOff val="50000"/>
                </a:sysClr>
              </a:solidFill>
            </a:ln>
          </c:spPr>
          <c:invertIfNegative val="0"/>
          <c:cat>
            <c:strRef>
              <c:f>('data - with pair gains stuff'!$EE$2,'data - with pair gains stuff'!$EG$2,'data - with pair gains stuff'!$EI$2,'data - with pair gains stuff'!$EK$2,'data - with pair gains stuff'!$EM$2,'data - with pair gains stuff'!$EO$2,'data - with pair gains stuff'!$EQ$2,'data - with pair gains stuff'!$ES$2)</c:f>
              <c:strCache>
                <c:ptCount val="8"/>
                <c:pt idx="0">
                  <c:v>ACT</c:v>
                </c:pt>
                <c:pt idx="1">
                  <c:v>NSW</c:v>
                </c:pt>
                <c:pt idx="2">
                  <c:v>NT</c:v>
                </c:pt>
                <c:pt idx="3">
                  <c:v>QLD</c:v>
                </c:pt>
                <c:pt idx="4">
                  <c:v>SA</c:v>
                </c:pt>
                <c:pt idx="5">
                  <c:v>TAS</c:v>
                </c:pt>
                <c:pt idx="6">
                  <c:v>VIC</c:v>
                </c:pt>
                <c:pt idx="7">
                  <c:v>WA</c:v>
                </c:pt>
              </c:strCache>
            </c:strRef>
          </c:cat>
          <c:val>
            <c:numRef>
              <c:f>('data - with pair gains stuff'!$EF$11,'data - with pair gains stuff'!$EH$11,'data - with pair gains stuff'!$EJ$11,'data - with pair gains stuff'!$EL$11,'data - with pair gains stuff'!$EN$11,'data - with pair gains stuff'!$EP$11,'data - with pair gains stuff'!$ER$11,'data - with pair gains stuff'!$ET$11)</c:f>
              <c:numCache>
                <c:formatCode>#,##0</c:formatCode>
                <c:ptCount val="8"/>
                <c:pt idx="0">
                  <c:v>11.179039301310043</c:v>
                </c:pt>
                <c:pt idx="1">
                  <c:v>17.095094086021508</c:v>
                </c:pt>
                <c:pt idx="2">
                  <c:v>13.609467455621301</c:v>
                </c:pt>
                <c:pt idx="3">
                  <c:v>16.449569364367569</c:v>
                </c:pt>
                <c:pt idx="4">
                  <c:v>12.343945068664169</c:v>
                </c:pt>
                <c:pt idx="5">
                  <c:v>17.794316644113668</c:v>
                </c:pt>
                <c:pt idx="6">
                  <c:v>15.481461723126166</c:v>
                </c:pt>
                <c:pt idx="7">
                  <c:v>15.959838153753934</c:v>
                </c:pt>
              </c:numCache>
            </c:numRef>
          </c:val>
        </c:ser>
        <c:ser>
          <c:idx val="8"/>
          <c:order val="1"/>
          <c:tx>
            <c:strRef>
              <c:f>'data - with pair gains stuff'!$EC$10</c:f>
              <c:strCache>
                <c:ptCount val="1"/>
                <c:pt idx="0">
                  <c:v>18-20.9</c:v>
                </c:pt>
              </c:strCache>
            </c:strRef>
          </c:tx>
          <c:spPr>
            <a:solidFill>
              <a:srgbClr val="C0504D">
                <a:lumMod val="60000"/>
                <a:lumOff val="40000"/>
              </a:srgbClr>
            </a:solidFill>
            <a:ln>
              <a:solidFill>
                <a:sysClr val="windowText" lastClr="000000">
                  <a:lumMod val="50000"/>
                  <a:lumOff val="50000"/>
                </a:sysClr>
              </a:solidFill>
            </a:ln>
          </c:spPr>
          <c:invertIfNegative val="0"/>
          <c:cat>
            <c:strRef>
              <c:f>('data - with pair gains stuff'!$EE$2,'data - with pair gains stuff'!$EG$2,'data - with pair gains stuff'!$EI$2,'data - with pair gains stuff'!$EK$2,'data - with pair gains stuff'!$EM$2,'data - with pair gains stuff'!$EO$2,'data - with pair gains stuff'!$EQ$2,'data - with pair gains stuff'!$ES$2)</c:f>
              <c:strCache>
                <c:ptCount val="8"/>
                <c:pt idx="0">
                  <c:v>ACT</c:v>
                </c:pt>
                <c:pt idx="1">
                  <c:v>NSW</c:v>
                </c:pt>
                <c:pt idx="2">
                  <c:v>NT</c:v>
                </c:pt>
                <c:pt idx="3">
                  <c:v>QLD</c:v>
                </c:pt>
                <c:pt idx="4">
                  <c:v>SA</c:v>
                </c:pt>
                <c:pt idx="5">
                  <c:v>TAS</c:v>
                </c:pt>
                <c:pt idx="6">
                  <c:v>VIC</c:v>
                </c:pt>
                <c:pt idx="7">
                  <c:v>WA</c:v>
                </c:pt>
              </c:strCache>
            </c:strRef>
          </c:cat>
          <c:val>
            <c:numRef>
              <c:f>('data - with pair gains stuff'!$EF$10,'data - with pair gains stuff'!$EH$10,'data - with pair gains stuff'!$EJ$10,'data - with pair gains stuff'!$EL$10,'data - with pair gains stuff'!$EN$10,'data - with pair gains stuff'!$EP$10,'data - with pair gains stuff'!$ER$10,'data - with pair gains stuff'!$ET$10)</c:f>
              <c:numCache>
                <c:formatCode>#,##0</c:formatCode>
                <c:ptCount val="8"/>
                <c:pt idx="0">
                  <c:v>11.877729257641921</c:v>
                </c:pt>
                <c:pt idx="1">
                  <c:v>16.931283602150536</c:v>
                </c:pt>
                <c:pt idx="2">
                  <c:v>17.159763313609467</c:v>
                </c:pt>
                <c:pt idx="3">
                  <c:v>12.961776638906683</c:v>
                </c:pt>
                <c:pt idx="4">
                  <c:v>13.514357053682897</c:v>
                </c:pt>
                <c:pt idx="5">
                  <c:v>16.711772665764546</c:v>
                </c:pt>
                <c:pt idx="6">
                  <c:v>16.351026940517471</c:v>
                </c:pt>
                <c:pt idx="7">
                  <c:v>15.285478795144613</c:v>
                </c:pt>
              </c:numCache>
            </c:numRef>
          </c:val>
        </c:ser>
        <c:ser>
          <c:idx val="7"/>
          <c:order val="2"/>
          <c:tx>
            <c:strRef>
              <c:f>'data - with pair gains stuff'!$EC$9</c:f>
              <c:strCache>
                <c:ptCount val="1"/>
                <c:pt idx="0">
                  <c:v>15-17.9</c:v>
                </c:pt>
              </c:strCache>
            </c:strRef>
          </c:tx>
          <c:spPr>
            <a:solidFill>
              <a:srgbClr val="1F497D">
                <a:lumMod val="40000"/>
                <a:lumOff val="60000"/>
              </a:srgbClr>
            </a:solidFill>
            <a:ln>
              <a:solidFill>
                <a:sysClr val="windowText" lastClr="000000">
                  <a:lumMod val="50000"/>
                  <a:lumOff val="50000"/>
                </a:sysClr>
              </a:solidFill>
            </a:ln>
          </c:spPr>
          <c:invertIfNegative val="0"/>
          <c:cat>
            <c:strRef>
              <c:f>('data - with pair gains stuff'!$EE$2,'data - with pair gains stuff'!$EG$2,'data - with pair gains stuff'!$EI$2,'data - with pair gains stuff'!$EK$2,'data - with pair gains stuff'!$EM$2,'data - with pair gains stuff'!$EO$2,'data - with pair gains stuff'!$EQ$2,'data - with pair gains stuff'!$ES$2)</c:f>
              <c:strCache>
                <c:ptCount val="8"/>
                <c:pt idx="0">
                  <c:v>ACT</c:v>
                </c:pt>
                <c:pt idx="1">
                  <c:v>NSW</c:v>
                </c:pt>
                <c:pt idx="2">
                  <c:v>NT</c:v>
                </c:pt>
                <c:pt idx="3">
                  <c:v>QLD</c:v>
                </c:pt>
                <c:pt idx="4">
                  <c:v>SA</c:v>
                </c:pt>
                <c:pt idx="5">
                  <c:v>TAS</c:v>
                </c:pt>
                <c:pt idx="6">
                  <c:v>VIC</c:v>
                </c:pt>
                <c:pt idx="7">
                  <c:v>WA</c:v>
                </c:pt>
              </c:strCache>
            </c:strRef>
          </c:cat>
          <c:val>
            <c:numRef>
              <c:f>('data - with pair gains stuff'!$EF$9,'data - with pair gains stuff'!$EH$9,'data - with pair gains stuff'!$EJ$9,'data - with pair gains stuff'!$EL$9,'data - with pair gains stuff'!$EN$9,'data - with pair gains stuff'!$EP$9,'data - with pair gains stuff'!$ER$9,'data - with pair gains stuff'!$ET$9)</c:f>
              <c:numCache>
                <c:formatCode>#,##0</c:formatCode>
                <c:ptCount val="8"/>
                <c:pt idx="0">
                  <c:v>10.218340611353712</c:v>
                </c:pt>
                <c:pt idx="1">
                  <c:v>10.122647849462366</c:v>
                </c:pt>
                <c:pt idx="2">
                  <c:v>8.4812623274161734</c:v>
                </c:pt>
                <c:pt idx="3">
                  <c:v>8.2069898213395973</c:v>
                </c:pt>
                <c:pt idx="4">
                  <c:v>8.5674157303370784</c:v>
                </c:pt>
                <c:pt idx="5">
                  <c:v>8.7280108254397835</c:v>
                </c:pt>
                <c:pt idx="6">
                  <c:v>10.045345425446786</c:v>
                </c:pt>
                <c:pt idx="7">
                  <c:v>9.7857035815974829</c:v>
                </c:pt>
              </c:numCache>
            </c:numRef>
          </c:val>
        </c:ser>
        <c:ser>
          <c:idx val="6"/>
          <c:order val="3"/>
          <c:tx>
            <c:strRef>
              <c:f>'data - with pair gains stuff'!$EC$8</c:f>
              <c:strCache>
                <c:ptCount val="1"/>
                <c:pt idx="0">
                  <c:v>12-14.9</c:v>
                </c:pt>
              </c:strCache>
            </c:strRef>
          </c:tx>
          <c:spPr>
            <a:solidFill>
              <a:srgbClr val="F79646"/>
            </a:solidFill>
            <a:ln>
              <a:solidFill>
                <a:sysClr val="windowText" lastClr="000000">
                  <a:lumMod val="50000"/>
                  <a:lumOff val="50000"/>
                </a:sysClr>
              </a:solidFill>
            </a:ln>
          </c:spPr>
          <c:invertIfNegative val="0"/>
          <c:cat>
            <c:strRef>
              <c:f>('data - with pair gains stuff'!$EE$2,'data - with pair gains stuff'!$EG$2,'data - with pair gains stuff'!$EI$2,'data - with pair gains stuff'!$EK$2,'data - with pair gains stuff'!$EM$2,'data - with pair gains stuff'!$EO$2,'data - with pair gains stuff'!$EQ$2,'data - with pair gains stuff'!$ES$2)</c:f>
              <c:strCache>
                <c:ptCount val="8"/>
                <c:pt idx="0">
                  <c:v>ACT</c:v>
                </c:pt>
                <c:pt idx="1">
                  <c:v>NSW</c:v>
                </c:pt>
                <c:pt idx="2">
                  <c:v>NT</c:v>
                </c:pt>
                <c:pt idx="3">
                  <c:v>QLD</c:v>
                </c:pt>
                <c:pt idx="4">
                  <c:v>SA</c:v>
                </c:pt>
                <c:pt idx="5">
                  <c:v>TAS</c:v>
                </c:pt>
                <c:pt idx="6">
                  <c:v>VIC</c:v>
                </c:pt>
                <c:pt idx="7">
                  <c:v>WA</c:v>
                </c:pt>
              </c:strCache>
            </c:strRef>
          </c:cat>
          <c:val>
            <c:numRef>
              <c:f>('data - with pair gains stuff'!$EF$8,'data - with pair gains stuff'!$EH$8,'data - with pair gains stuff'!$EJ$8,'data - with pair gains stuff'!$EL$8,'data - with pair gains stuff'!$EN$8,'data - with pair gains stuff'!$EP$8,'data - with pair gains stuff'!$ER$8,'data - with pair gains stuff'!$ET$8)</c:f>
              <c:numCache>
                <c:formatCode>#,##0</c:formatCode>
                <c:ptCount val="8"/>
                <c:pt idx="0">
                  <c:v>11.528384279475983</c:v>
                </c:pt>
                <c:pt idx="1">
                  <c:v>12.214381720430108</c:v>
                </c:pt>
                <c:pt idx="2">
                  <c:v>13.609467455621301</c:v>
                </c:pt>
                <c:pt idx="3">
                  <c:v>10.17866040287565</c:v>
                </c:pt>
                <c:pt idx="4">
                  <c:v>10.861423220973784</c:v>
                </c:pt>
                <c:pt idx="5">
                  <c:v>11.366711772665765</c:v>
                </c:pt>
                <c:pt idx="6">
                  <c:v>12.168578287543346</c:v>
                </c:pt>
                <c:pt idx="7">
                  <c:v>11.913682002098007</c:v>
                </c:pt>
              </c:numCache>
            </c:numRef>
          </c:val>
        </c:ser>
        <c:ser>
          <c:idx val="3"/>
          <c:order val="4"/>
          <c:tx>
            <c:strRef>
              <c:f>'data - with pair gains stuff'!$EC$7</c:f>
              <c:strCache>
                <c:ptCount val="1"/>
                <c:pt idx="0">
                  <c:v>9-11.9</c:v>
                </c:pt>
              </c:strCache>
            </c:strRef>
          </c:tx>
          <c:spPr>
            <a:ln>
              <a:solidFill>
                <a:sysClr val="windowText" lastClr="000000">
                  <a:lumMod val="50000"/>
                  <a:lumOff val="50000"/>
                </a:sysClr>
              </a:solidFill>
            </a:ln>
          </c:spPr>
          <c:invertIfNegative val="0"/>
          <c:cat>
            <c:strRef>
              <c:f>('data - with pair gains stuff'!$EE$2,'data - with pair gains stuff'!$EG$2,'data - with pair gains stuff'!$EI$2,'data - with pair gains stuff'!$EK$2,'data - with pair gains stuff'!$EM$2,'data - with pair gains stuff'!$EO$2,'data - with pair gains stuff'!$EQ$2,'data - with pair gains stuff'!$ES$2)</c:f>
              <c:strCache>
                <c:ptCount val="8"/>
                <c:pt idx="0">
                  <c:v>ACT</c:v>
                </c:pt>
                <c:pt idx="1">
                  <c:v>NSW</c:v>
                </c:pt>
                <c:pt idx="2">
                  <c:v>NT</c:v>
                </c:pt>
                <c:pt idx="3">
                  <c:v>QLD</c:v>
                </c:pt>
                <c:pt idx="4">
                  <c:v>SA</c:v>
                </c:pt>
                <c:pt idx="5">
                  <c:v>TAS</c:v>
                </c:pt>
                <c:pt idx="6">
                  <c:v>VIC</c:v>
                </c:pt>
                <c:pt idx="7">
                  <c:v>WA</c:v>
                </c:pt>
              </c:strCache>
            </c:strRef>
          </c:cat>
          <c:val>
            <c:numRef>
              <c:f>('data - with pair gains stuff'!$EF$7,'data - with pair gains stuff'!$EH$7,'data - with pair gains stuff'!$EJ$7,'data - with pair gains stuff'!$EL$7,'data - with pair gains stuff'!$EN$7,'data - with pair gains stuff'!$EP$7,'data - with pair gains stuff'!$ER$7,'data - with pair gains stuff'!$ET$7)</c:f>
              <c:numCache>
                <c:formatCode>#,##0</c:formatCode>
                <c:ptCount val="8"/>
                <c:pt idx="0">
                  <c:v>11.703056768558952</c:v>
                </c:pt>
                <c:pt idx="1">
                  <c:v>10.16465053763441</c:v>
                </c:pt>
                <c:pt idx="2">
                  <c:v>11.242603550295858</c:v>
                </c:pt>
                <c:pt idx="3">
                  <c:v>9.6305786888746532</c:v>
                </c:pt>
                <c:pt idx="4">
                  <c:v>10.799001248439451</c:v>
                </c:pt>
                <c:pt idx="5">
                  <c:v>8.8633288227334237</c:v>
                </c:pt>
                <c:pt idx="6">
                  <c:v>10.989597225926914</c:v>
                </c:pt>
                <c:pt idx="7">
                  <c:v>10.295219541435637</c:v>
                </c:pt>
              </c:numCache>
            </c:numRef>
          </c:val>
        </c:ser>
        <c:ser>
          <c:idx val="2"/>
          <c:order val="5"/>
          <c:tx>
            <c:strRef>
              <c:f>'data - with pair gains stuff'!$EC$6</c:f>
              <c:strCache>
                <c:ptCount val="1"/>
                <c:pt idx="0">
                  <c:v>6-8.9</c:v>
                </c:pt>
              </c:strCache>
            </c:strRef>
          </c:tx>
          <c:spPr>
            <a:ln>
              <a:solidFill>
                <a:sysClr val="windowText" lastClr="000000">
                  <a:lumMod val="50000"/>
                  <a:lumOff val="50000"/>
                </a:sysClr>
              </a:solidFill>
            </a:ln>
          </c:spPr>
          <c:invertIfNegative val="0"/>
          <c:cat>
            <c:strRef>
              <c:f>('data - with pair gains stuff'!$EE$2,'data - with pair gains stuff'!$EG$2,'data - with pair gains stuff'!$EI$2,'data - with pair gains stuff'!$EK$2,'data - with pair gains stuff'!$EM$2,'data - with pair gains stuff'!$EO$2,'data - with pair gains stuff'!$EQ$2,'data - with pair gains stuff'!$ES$2)</c:f>
              <c:strCache>
                <c:ptCount val="8"/>
                <c:pt idx="0">
                  <c:v>ACT</c:v>
                </c:pt>
                <c:pt idx="1">
                  <c:v>NSW</c:v>
                </c:pt>
                <c:pt idx="2">
                  <c:v>NT</c:v>
                </c:pt>
                <c:pt idx="3">
                  <c:v>QLD</c:v>
                </c:pt>
                <c:pt idx="4">
                  <c:v>SA</c:v>
                </c:pt>
                <c:pt idx="5">
                  <c:v>TAS</c:v>
                </c:pt>
                <c:pt idx="6">
                  <c:v>VIC</c:v>
                </c:pt>
                <c:pt idx="7">
                  <c:v>WA</c:v>
                </c:pt>
              </c:strCache>
            </c:strRef>
          </c:cat>
          <c:val>
            <c:numRef>
              <c:f>('data - with pair gains stuff'!$EF$6,'data - with pair gains stuff'!$EH$6,'data - with pair gains stuff'!$EJ$6,'data - with pair gains stuff'!$EL$6,'data - with pair gains stuff'!$EN$6,'data - with pair gains stuff'!$EP$6,'data - with pair gains stuff'!$ER$6,'data - with pair gains stuff'!$ET$6)</c:f>
              <c:numCache>
                <c:formatCode>#,##0</c:formatCode>
                <c:ptCount val="8"/>
                <c:pt idx="0">
                  <c:v>28.646288209606986</c:v>
                </c:pt>
                <c:pt idx="1">
                  <c:v>21.917002688172044</c:v>
                </c:pt>
                <c:pt idx="2">
                  <c:v>24.45759368836292</c:v>
                </c:pt>
                <c:pt idx="3">
                  <c:v>27.97352124706385</c:v>
                </c:pt>
                <c:pt idx="4">
                  <c:v>24.500624219725342</c:v>
                </c:pt>
                <c:pt idx="5">
                  <c:v>17.997293640054128</c:v>
                </c:pt>
                <c:pt idx="6">
                  <c:v>20.992264603894373</c:v>
                </c:pt>
                <c:pt idx="7">
                  <c:v>24.456766072231382</c:v>
                </c:pt>
              </c:numCache>
            </c:numRef>
          </c:val>
        </c:ser>
        <c:ser>
          <c:idx val="1"/>
          <c:order val="6"/>
          <c:tx>
            <c:strRef>
              <c:f>'data - with pair gains stuff'!$EC$5</c:f>
              <c:strCache>
                <c:ptCount val="1"/>
                <c:pt idx="0">
                  <c:v>3-5.9</c:v>
                </c:pt>
              </c:strCache>
            </c:strRef>
          </c:tx>
          <c:spPr>
            <a:ln>
              <a:solidFill>
                <a:sysClr val="windowText" lastClr="000000">
                  <a:lumMod val="50000"/>
                  <a:lumOff val="50000"/>
                </a:sysClr>
              </a:solidFill>
            </a:ln>
          </c:spPr>
          <c:invertIfNegative val="0"/>
          <c:cat>
            <c:strRef>
              <c:f>('data - with pair gains stuff'!$EE$2,'data - with pair gains stuff'!$EG$2,'data - with pair gains stuff'!$EI$2,'data - with pair gains stuff'!$EK$2,'data - with pair gains stuff'!$EM$2,'data - with pair gains stuff'!$EO$2,'data - with pair gains stuff'!$EQ$2,'data - with pair gains stuff'!$ES$2)</c:f>
              <c:strCache>
                <c:ptCount val="8"/>
                <c:pt idx="0">
                  <c:v>ACT</c:v>
                </c:pt>
                <c:pt idx="1">
                  <c:v>NSW</c:v>
                </c:pt>
                <c:pt idx="2">
                  <c:v>NT</c:v>
                </c:pt>
                <c:pt idx="3">
                  <c:v>QLD</c:v>
                </c:pt>
                <c:pt idx="4">
                  <c:v>SA</c:v>
                </c:pt>
                <c:pt idx="5">
                  <c:v>TAS</c:v>
                </c:pt>
                <c:pt idx="6">
                  <c:v>VIC</c:v>
                </c:pt>
                <c:pt idx="7">
                  <c:v>WA</c:v>
                </c:pt>
              </c:strCache>
            </c:strRef>
          </c:cat>
          <c:val>
            <c:numRef>
              <c:f>('data - with pair gains stuff'!$EF$5,'data - with pair gains stuff'!$EH$5,'data - with pair gains stuff'!$EJ$5,'data - with pair gains stuff'!$EL$5,'data - with pair gains stuff'!$EN$5,'data - with pair gains stuff'!$EP$5,'data - with pair gains stuff'!$ER$5,'data - with pair gains stuff'!$ET$5)</c:f>
              <c:numCache>
                <c:formatCode>#,##0</c:formatCode>
                <c:ptCount val="8"/>
                <c:pt idx="0">
                  <c:v>9.9563318777292569</c:v>
                </c:pt>
                <c:pt idx="1">
                  <c:v>7.795698924731183</c:v>
                </c:pt>
                <c:pt idx="2">
                  <c:v>9.4674556213017755</c:v>
                </c:pt>
                <c:pt idx="3">
                  <c:v>9.2177379172894867</c:v>
                </c:pt>
                <c:pt idx="4">
                  <c:v>12.375156054931335</c:v>
                </c:pt>
                <c:pt idx="5">
                  <c:v>11.840324763193506</c:v>
                </c:pt>
                <c:pt idx="6">
                  <c:v>9.6452387303280869</c:v>
                </c:pt>
                <c:pt idx="7">
                  <c:v>8.5568709725760534</c:v>
                </c:pt>
              </c:numCache>
            </c:numRef>
          </c:val>
        </c:ser>
        <c:ser>
          <c:idx val="0"/>
          <c:order val="7"/>
          <c:tx>
            <c:strRef>
              <c:f>'data - with pair gains stuff'!$EC$4</c:f>
              <c:strCache>
                <c:ptCount val="1"/>
                <c:pt idx="0">
                  <c:v>0-2.9</c:v>
                </c:pt>
              </c:strCache>
            </c:strRef>
          </c:tx>
          <c:spPr>
            <a:ln>
              <a:solidFill>
                <a:sysClr val="windowText" lastClr="000000">
                  <a:lumMod val="50000"/>
                  <a:lumOff val="50000"/>
                </a:sysClr>
              </a:solidFill>
            </a:ln>
          </c:spPr>
          <c:invertIfNegative val="0"/>
          <c:cat>
            <c:strRef>
              <c:f>('data - with pair gains stuff'!$EE$2,'data - with pair gains stuff'!$EG$2,'data - with pair gains stuff'!$EI$2,'data - with pair gains stuff'!$EK$2,'data - with pair gains stuff'!$EM$2,'data - with pair gains stuff'!$EO$2,'data - with pair gains stuff'!$EQ$2,'data - with pair gains stuff'!$ES$2)</c:f>
              <c:strCache>
                <c:ptCount val="8"/>
                <c:pt idx="0">
                  <c:v>ACT</c:v>
                </c:pt>
                <c:pt idx="1">
                  <c:v>NSW</c:v>
                </c:pt>
                <c:pt idx="2">
                  <c:v>NT</c:v>
                </c:pt>
                <c:pt idx="3">
                  <c:v>QLD</c:v>
                </c:pt>
                <c:pt idx="4">
                  <c:v>SA</c:v>
                </c:pt>
                <c:pt idx="5">
                  <c:v>TAS</c:v>
                </c:pt>
                <c:pt idx="6">
                  <c:v>VIC</c:v>
                </c:pt>
                <c:pt idx="7">
                  <c:v>WA</c:v>
                </c:pt>
              </c:strCache>
            </c:strRef>
          </c:cat>
          <c:val>
            <c:numRef>
              <c:f>('data - with pair gains stuff'!$EF$4,'data - with pair gains stuff'!$EH$4,'data - with pair gains stuff'!$EJ$4,'data - with pair gains stuff'!$EL$4,'data - with pair gains stuff'!$EN$4,'data - with pair gains stuff'!$EP$4,'data - with pair gains stuff'!$ER$4,'data - with pair gains stuff'!$ET$4)</c:f>
              <c:numCache>
                <c:formatCode>#,##0</c:formatCode>
                <c:ptCount val="8"/>
                <c:pt idx="0">
                  <c:v>4.890829694323144</c:v>
                </c:pt>
                <c:pt idx="1">
                  <c:v>3.7592405913978491</c:v>
                </c:pt>
                <c:pt idx="2">
                  <c:v>1.9723865877712032</c:v>
                </c:pt>
                <c:pt idx="3">
                  <c:v>5.3811659192825116</c:v>
                </c:pt>
                <c:pt idx="4">
                  <c:v>7.0380774032459428</c:v>
                </c:pt>
                <c:pt idx="5">
                  <c:v>6.6982408660351824</c:v>
                </c:pt>
                <c:pt idx="6">
                  <c:v>4.3264870632168577</c:v>
                </c:pt>
                <c:pt idx="7">
                  <c:v>3.7464408811628949</c:v>
                </c:pt>
              </c:numCache>
            </c:numRef>
          </c:val>
        </c:ser>
        <c:dLbls>
          <c:showLegendKey val="0"/>
          <c:showVal val="0"/>
          <c:showCatName val="0"/>
          <c:showSerName val="0"/>
          <c:showPercent val="0"/>
          <c:showBubbleSize val="0"/>
        </c:dLbls>
        <c:gapWidth val="150"/>
        <c:overlap val="100"/>
        <c:axId val="39752832"/>
        <c:axId val="39754368"/>
      </c:barChart>
      <c:catAx>
        <c:axId val="39752832"/>
        <c:scaling>
          <c:orientation val="minMax"/>
        </c:scaling>
        <c:delete val="0"/>
        <c:axPos val="l"/>
        <c:majorTickMark val="out"/>
        <c:minorTickMark val="none"/>
        <c:tickLblPos val="nextTo"/>
        <c:txPr>
          <a:bodyPr/>
          <a:lstStyle/>
          <a:p>
            <a:pPr>
              <a:defRPr sz="900"/>
            </a:pPr>
            <a:endParaRPr lang="en-US"/>
          </a:p>
        </c:txPr>
        <c:crossAx val="39754368"/>
        <c:crosses val="autoZero"/>
        <c:auto val="1"/>
        <c:lblAlgn val="ctr"/>
        <c:lblOffset val="100"/>
        <c:noMultiLvlLbl val="0"/>
      </c:catAx>
      <c:valAx>
        <c:axId val="39754368"/>
        <c:scaling>
          <c:orientation val="minMax"/>
        </c:scaling>
        <c:delete val="0"/>
        <c:axPos val="b"/>
        <c:majorGridlines>
          <c:spPr>
            <a:ln>
              <a:noFill/>
            </a:ln>
          </c:spPr>
        </c:majorGridlines>
        <c:numFmt formatCode="0%" sourceLinked="1"/>
        <c:majorTickMark val="out"/>
        <c:minorTickMark val="none"/>
        <c:tickLblPos val="nextTo"/>
        <c:spPr>
          <a:ln>
            <a:noFill/>
          </a:ln>
        </c:spPr>
        <c:txPr>
          <a:bodyPr/>
          <a:lstStyle/>
          <a:p>
            <a:pPr>
              <a:defRPr sz="900"/>
            </a:pPr>
            <a:endParaRPr lang="en-US"/>
          </a:p>
        </c:txPr>
        <c:crossAx val="39752832"/>
        <c:crosses val="autoZero"/>
        <c:crossBetween val="between"/>
        <c:majorUnit val="0.2"/>
      </c:valAx>
    </c:plotArea>
    <c:legend>
      <c:legendPos val="r"/>
      <c:layout>
        <c:manualLayout>
          <c:xMode val="edge"/>
          <c:yMode val="edge"/>
          <c:x val="0.86477882444394949"/>
          <c:y val="0.18280766728791439"/>
          <c:w val="0.13522118055555554"/>
          <c:h val="0.63166666666666671"/>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Percentage of premises with mobile broadband coverage</a:t>
            </a:r>
          </a:p>
        </c:rich>
      </c:tx>
      <c:layout>
        <c:manualLayout>
          <c:xMode val="edge"/>
          <c:yMode val="edge"/>
          <c:x val="0.21833629283687567"/>
          <c:y val="0"/>
        </c:manualLayout>
      </c:layout>
      <c:overlay val="1"/>
    </c:title>
    <c:autoTitleDeleted val="0"/>
    <c:plotArea>
      <c:layout>
        <c:manualLayout>
          <c:layoutTarget val="inner"/>
          <c:xMode val="edge"/>
          <c:yMode val="edge"/>
          <c:x val="0.10389440787750755"/>
          <c:y val="9.8602791224842459E-2"/>
          <c:w val="0.80804327158818967"/>
          <c:h val="0.79976681205666256"/>
        </c:manualLayout>
      </c:layout>
      <c:barChart>
        <c:barDir val="col"/>
        <c:grouping val="clustered"/>
        <c:varyColors val="0"/>
        <c:ser>
          <c:idx val="0"/>
          <c:order val="0"/>
          <c:tx>
            <c:v>3G</c:v>
          </c:tx>
          <c:invertIfNegative val="0"/>
          <c:cat>
            <c:strRef>
              <c:f>'[2]bqap dataset table WITH PARAMS'!$GA$3:$GA$10</c:f>
              <c:strCache>
                <c:ptCount val="8"/>
                <c:pt idx="0">
                  <c:v>ACT</c:v>
                </c:pt>
                <c:pt idx="1">
                  <c:v>NSW</c:v>
                </c:pt>
                <c:pt idx="2">
                  <c:v>NT</c:v>
                </c:pt>
                <c:pt idx="3">
                  <c:v>QLD</c:v>
                </c:pt>
                <c:pt idx="4">
                  <c:v>SA</c:v>
                </c:pt>
                <c:pt idx="5">
                  <c:v>TAS</c:v>
                </c:pt>
                <c:pt idx="6">
                  <c:v>VIC</c:v>
                </c:pt>
                <c:pt idx="7">
                  <c:v>WA</c:v>
                </c:pt>
              </c:strCache>
            </c:strRef>
          </c:cat>
          <c:val>
            <c:numRef>
              <c:f>'data - with pair gains stuff'!$HA$3:$HA$10</c:f>
              <c:numCache>
                <c:formatCode>#,##0.0000</c:formatCode>
                <c:ptCount val="8"/>
                <c:pt idx="0">
                  <c:v>94.934391581769404</c:v>
                </c:pt>
                <c:pt idx="1">
                  <c:v>84.039886123372469</c:v>
                </c:pt>
                <c:pt idx="2">
                  <c:v>56.243550601722546</c:v>
                </c:pt>
                <c:pt idx="3">
                  <c:v>76.780206355830785</c:v>
                </c:pt>
                <c:pt idx="4">
                  <c:v>79.485808672742792</c:v>
                </c:pt>
                <c:pt idx="5">
                  <c:v>68.069636088278301</c:v>
                </c:pt>
                <c:pt idx="6">
                  <c:v>85.388739594963965</c:v>
                </c:pt>
                <c:pt idx="7">
                  <c:v>78.29251994406296</c:v>
                </c:pt>
              </c:numCache>
            </c:numRef>
          </c:val>
        </c:ser>
        <c:ser>
          <c:idx val="1"/>
          <c:order val="1"/>
          <c:tx>
            <c:v>4G</c:v>
          </c:tx>
          <c:invertIfNegative val="0"/>
          <c:cat>
            <c:strRef>
              <c:f>'[2]bqap dataset table WITH PARAMS'!$GA$3:$GA$10</c:f>
              <c:strCache>
                <c:ptCount val="8"/>
                <c:pt idx="0">
                  <c:v>ACT</c:v>
                </c:pt>
                <c:pt idx="1">
                  <c:v>NSW</c:v>
                </c:pt>
                <c:pt idx="2">
                  <c:v>NT</c:v>
                </c:pt>
                <c:pt idx="3">
                  <c:v>QLD</c:v>
                </c:pt>
                <c:pt idx="4">
                  <c:v>SA</c:v>
                </c:pt>
                <c:pt idx="5">
                  <c:v>TAS</c:v>
                </c:pt>
                <c:pt idx="6">
                  <c:v>VIC</c:v>
                </c:pt>
                <c:pt idx="7">
                  <c:v>WA</c:v>
                </c:pt>
              </c:strCache>
            </c:strRef>
          </c:cat>
          <c:val>
            <c:numRef>
              <c:f>'data - with pair gains stuff'!$HC$3:$HC$10</c:f>
              <c:numCache>
                <c:formatCode>#,##0</c:formatCode>
                <c:ptCount val="8"/>
                <c:pt idx="0">
                  <c:v>66.180921976309321</c:v>
                </c:pt>
                <c:pt idx="1">
                  <c:v>64.220128994678092</c:v>
                </c:pt>
                <c:pt idx="2">
                  <c:v>33.605739635525872</c:v>
                </c:pt>
                <c:pt idx="3">
                  <c:v>74.80397497065411</c:v>
                </c:pt>
                <c:pt idx="4">
                  <c:v>52.494980817583894</c:v>
                </c:pt>
                <c:pt idx="5">
                  <c:v>36.136798788604743</c:v>
                </c:pt>
                <c:pt idx="6">
                  <c:v>60.529356058361074</c:v>
                </c:pt>
                <c:pt idx="7">
                  <c:v>40.634313086102331</c:v>
                </c:pt>
              </c:numCache>
            </c:numRef>
          </c:val>
        </c:ser>
        <c:dLbls>
          <c:showLegendKey val="0"/>
          <c:showVal val="0"/>
          <c:showCatName val="0"/>
          <c:showSerName val="0"/>
          <c:showPercent val="0"/>
          <c:showBubbleSize val="0"/>
        </c:dLbls>
        <c:gapWidth val="150"/>
        <c:axId val="39767424"/>
        <c:axId val="37688448"/>
      </c:barChart>
      <c:catAx>
        <c:axId val="39767424"/>
        <c:scaling>
          <c:orientation val="minMax"/>
        </c:scaling>
        <c:delete val="0"/>
        <c:axPos val="b"/>
        <c:majorTickMark val="out"/>
        <c:minorTickMark val="none"/>
        <c:tickLblPos val="nextTo"/>
        <c:crossAx val="37688448"/>
        <c:crosses val="autoZero"/>
        <c:auto val="1"/>
        <c:lblAlgn val="ctr"/>
        <c:lblOffset val="100"/>
        <c:noMultiLvlLbl val="0"/>
      </c:catAx>
      <c:valAx>
        <c:axId val="37688448"/>
        <c:scaling>
          <c:orientation val="minMax"/>
        </c:scaling>
        <c:delete val="0"/>
        <c:axPos val="l"/>
        <c:majorGridlines/>
        <c:title>
          <c:tx>
            <c:rich>
              <a:bodyPr rot="-5400000" vert="horz"/>
              <a:lstStyle/>
              <a:p>
                <a:pPr>
                  <a:defRPr sz="900"/>
                </a:pPr>
                <a:r>
                  <a:rPr lang="en-US" sz="900"/>
                  <a:t>% of premsies in state/territory</a:t>
                </a:r>
              </a:p>
            </c:rich>
          </c:tx>
          <c:layout>
            <c:manualLayout>
              <c:xMode val="edge"/>
              <c:yMode val="edge"/>
              <c:x val="8.5933908957939956E-3"/>
              <c:y val="0.20138603429766416"/>
            </c:manualLayout>
          </c:layout>
          <c:overlay val="0"/>
        </c:title>
        <c:numFmt formatCode="#,##0" sourceLinked="0"/>
        <c:majorTickMark val="out"/>
        <c:minorTickMark val="none"/>
        <c:tickLblPos val="nextTo"/>
        <c:crossAx val="39767424"/>
        <c:crosses val="autoZero"/>
        <c:crossBetween val="between"/>
        <c:majorUnit val="20"/>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Distribution of broadband availability ratings by state and territory</a:t>
            </a:r>
          </a:p>
        </c:rich>
      </c:tx>
      <c:overlay val="0"/>
    </c:title>
    <c:autoTitleDeleted val="0"/>
    <c:plotArea>
      <c:layout>
        <c:manualLayout>
          <c:layoutTarget val="inner"/>
          <c:xMode val="edge"/>
          <c:yMode val="edge"/>
          <c:x val="7.5480073707109907E-2"/>
          <c:y val="0.14337243728656471"/>
          <c:w val="0.76389715944777903"/>
          <c:h val="0.67741026340308852"/>
        </c:manualLayout>
      </c:layout>
      <c:barChart>
        <c:barDir val="bar"/>
        <c:grouping val="percentStacked"/>
        <c:varyColors val="0"/>
        <c:ser>
          <c:idx val="0"/>
          <c:order val="0"/>
          <c:tx>
            <c:strRef>
              <c:f>Sheet2!$G$17</c:f>
              <c:strCache>
                <c:ptCount val="1"/>
                <c:pt idx="0">
                  <c:v>A (highest)</c:v>
                </c:pt>
              </c:strCache>
            </c:strRef>
          </c:tx>
          <c:invertIfNegative val="0"/>
          <c:cat>
            <c:strRef>
              <c:f>Sheet2!$H$16:$O$16</c:f>
              <c:strCache>
                <c:ptCount val="8"/>
                <c:pt idx="0">
                  <c:v>NT</c:v>
                </c:pt>
                <c:pt idx="1">
                  <c:v>TAS</c:v>
                </c:pt>
                <c:pt idx="2">
                  <c:v>WA</c:v>
                </c:pt>
                <c:pt idx="3">
                  <c:v>SA</c:v>
                </c:pt>
                <c:pt idx="4">
                  <c:v>QLD</c:v>
                </c:pt>
                <c:pt idx="5">
                  <c:v>NSW</c:v>
                </c:pt>
                <c:pt idx="6">
                  <c:v>VIC</c:v>
                </c:pt>
                <c:pt idx="7">
                  <c:v>ACT</c:v>
                </c:pt>
              </c:strCache>
            </c:strRef>
          </c:cat>
          <c:val>
            <c:numRef>
              <c:f>Sheet2!$H$17:$O$17</c:f>
              <c:numCache>
                <c:formatCode>_-* #,##0_-;\-* #,##0_-;_-* "-"??_-;_-@_-</c:formatCode>
                <c:ptCount val="8"/>
                <c:pt idx="0">
                  <c:v>48765.750000000022</c:v>
                </c:pt>
                <c:pt idx="1">
                  <c:v>198127.81999999975</c:v>
                </c:pt>
                <c:pt idx="2">
                  <c:v>911749.86000000115</c:v>
                </c:pt>
                <c:pt idx="3">
                  <c:v>664745.23999999929</c:v>
                </c:pt>
                <c:pt idx="4">
                  <c:v>1870734.3</c:v>
                </c:pt>
                <c:pt idx="5">
                  <c:v>2881350.6399999922</c:v>
                </c:pt>
                <c:pt idx="6">
                  <c:v>2407645.3100000005</c:v>
                </c:pt>
                <c:pt idx="7">
                  <c:v>168618.96000000002</c:v>
                </c:pt>
              </c:numCache>
            </c:numRef>
          </c:val>
        </c:ser>
        <c:ser>
          <c:idx val="1"/>
          <c:order val="1"/>
          <c:tx>
            <c:strRef>
              <c:f>Sheet2!$G$18</c:f>
              <c:strCache>
                <c:ptCount val="1"/>
                <c:pt idx="0">
                  <c:v>B</c:v>
                </c:pt>
              </c:strCache>
            </c:strRef>
          </c:tx>
          <c:spPr>
            <a:solidFill>
              <a:schemeClr val="accent6"/>
            </a:solidFill>
          </c:spPr>
          <c:invertIfNegative val="0"/>
          <c:cat>
            <c:strRef>
              <c:f>Sheet2!$H$16:$O$16</c:f>
              <c:strCache>
                <c:ptCount val="8"/>
                <c:pt idx="0">
                  <c:v>NT</c:v>
                </c:pt>
                <c:pt idx="1">
                  <c:v>TAS</c:v>
                </c:pt>
                <c:pt idx="2">
                  <c:v>WA</c:v>
                </c:pt>
                <c:pt idx="3">
                  <c:v>SA</c:v>
                </c:pt>
                <c:pt idx="4">
                  <c:v>QLD</c:v>
                </c:pt>
                <c:pt idx="5">
                  <c:v>NSW</c:v>
                </c:pt>
                <c:pt idx="6">
                  <c:v>VIC</c:v>
                </c:pt>
                <c:pt idx="7">
                  <c:v>ACT</c:v>
                </c:pt>
              </c:strCache>
            </c:strRef>
          </c:cat>
          <c:val>
            <c:numRef>
              <c:f>Sheet2!$H$18:$O$18</c:f>
              <c:numCache>
                <c:formatCode>_-* #,##0_-;\-* #,##0_-;_-* "-"??_-;_-@_-</c:formatCode>
                <c:ptCount val="8"/>
                <c:pt idx="0">
                  <c:v>1683.51</c:v>
                </c:pt>
                <c:pt idx="1">
                  <c:v>7593.8600000000015</c:v>
                </c:pt>
                <c:pt idx="2">
                  <c:v>13863.800000000001</c:v>
                </c:pt>
                <c:pt idx="3">
                  <c:v>14042.590000000011</c:v>
                </c:pt>
                <c:pt idx="4">
                  <c:v>43510.009999999995</c:v>
                </c:pt>
                <c:pt idx="5">
                  <c:v>62852.279999999992</c:v>
                </c:pt>
                <c:pt idx="6">
                  <c:v>65694.359999999971</c:v>
                </c:pt>
                <c:pt idx="7">
                  <c:v>2075.3199999999997</c:v>
                </c:pt>
              </c:numCache>
            </c:numRef>
          </c:val>
        </c:ser>
        <c:ser>
          <c:idx val="2"/>
          <c:order val="2"/>
          <c:tx>
            <c:strRef>
              <c:f>Sheet2!$G$19</c:f>
              <c:strCache>
                <c:ptCount val="1"/>
                <c:pt idx="0">
                  <c:v>C</c:v>
                </c:pt>
              </c:strCache>
            </c:strRef>
          </c:tx>
          <c:invertIfNegative val="0"/>
          <c:cat>
            <c:strRef>
              <c:f>Sheet2!$H$16:$O$16</c:f>
              <c:strCache>
                <c:ptCount val="8"/>
                <c:pt idx="0">
                  <c:v>NT</c:v>
                </c:pt>
                <c:pt idx="1">
                  <c:v>TAS</c:v>
                </c:pt>
                <c:pt idx="2">
                  <c:v>WA</c:v>
                </c:pt>
                <c:pt idx="3">
                  <c:v>SA</c:v>
                </c:pt>
                <c:pt idx="4">
                  <c:v>QLD</c:v>
                </c:pt>
                <c:pt idx="5">
                  <c:v>NSW</c:v>
                </c:pt>
                <c:pt idx="6">
                  <c:v>VIC</c:v>
                </c:pt>
                <c:pt idx="7">
                  <c:v>ACT</c:v>
                </c:pt>
              </c:strCache>
            </c:strRef>
          </c:cat>
          <c:val>
            <c:numRef>
              <c:f>Sheet2!$H$19:$O$19</c:f>
              <c:numCache>
                <c:formatCode>_-* #,##0_-;\-* #,##0_-;_-* "-"??_-;_-@_-</c:formatCode>
                <c:ptCount val="8"/>
                <c:pt idx="0">
                  <c:v>3988.7599999999998</c:v>
                </c:pt>
                <c:pt idx="1">
                  <c:v>7371.2400000000025</c:v>
                </c:pt>
                <c:pt idx="2">
                  <c:v>12108.429999999997</c:v>
                </c:pt>
                <c:pt idx="3">
                  <c:v>6669.9599999999982</c:v>
                </c:pt>
                <c:pt idx="4">
                  <c:v>40257.350000000006</c:v>
                </c:pt>
                <c:pt idx="5">
                  <c:v>37880.17</c:v>
                </c:pt>
                <c:pt idx="6">
                  <c:v>40628.189999999988</c:v>
                </c:pt>
                <c:pt idx="7">
                  <c:v>4242.18</c:v>
                </c:pt>
              </c:numCache>
            </c:numRef>
          </c:val>
        </c:ser>
        <c:ser>
          <c:idx val="3"/>
          <c:order val="3"/>
          <c:tx>
            <c:strRef>
              <c:f>Sheet2!$G$20</c:f>
              <c:strCache>
                <c:ptCount val="1"/>
                <c:pt idx="0">
                  <c:v>D</c:v>
                </c:pt>
              </c:strCache>
            </c:strRef>
          </c:tx>
          <c:invertIfNegative val="0"/>
          <c:cat>
            <c:strRef>
              <c:f>Sheet2!$H$16:$O$16</c:f>
              <c:strCache>
                <c:ptCount val="8"/>
                <c:pt idx="0">
                  <c:v>NT</c:v>
                </c:pt>
                <c:pt idx="1">
                  <c:v>TAS</c:v>
                </c:pt>
                <c:pt idx="2">
                  <c:v>WA</c:v>
                </c:pt>
                <c:pt idx="3">
                  <c:v>SA</c:v>
                </c:pt>
                <c:pt idx="4">
                  <c:v>QLD</c:v>
                </c:pt>
                <c:pt idx="5">
                  <c:v>NSW</c:v>
                </c:pt>
                <c:pt idx="6">
                  <c:v>VIC</c:v>
                </c:pt>
                <c:pt idx="7">
                  <c:v>ACT</c:v>
                </c:pt>
              </c:strCache>
            </c:strRef>
          </c:cat>
          <c:val>
            <c:numRef>
              <c:f>Sheet2!$H$20:$O$20</c:f>
              <c:numCache>
                <c:formatCode>_-* #,##0_-;\-* #,##0_-;_-* "-"??_-;_-@_-</c:formatCode>
                <c:ptCount val="8"/>
                <c:pt idx="0">
                  <c:v>21057.989999999991</c:v>
                </c:pt>
                <c:pt idx="1">
                  <c:v>31325.759999999998</c:v>
                </c:pt>
                <c:pt idx="2">
                  <c:v>161602.37999999989</c:v>
                </c:pt>
                <c:pt idx="3">
                  <c:v>59480.85000000002</c:v>
                </c:pt>
                <c:pt idx="4">
                  <c:v>201632.31999999998</c:v>
                </c:pt>
                <c:pt idx="5">
                  <c:v>287876.20999999996</c:v>
                </c:pt>
                <c:pt idx="6">
                  <c:v>188033.67999999993</c:v>
                </c:pt>
                <c:pt idx="7">
                  <c:v>3756.2699999999995</c:v>
                </c:pt>
              </c:numCache>
            </c:numRef>
          </c:val>
        </c:ser>
        <c:ser>
          <c:idx val="4"/>
          <c:order val="4"/>
          <c:tx>
            <c:strRef>
              <c:f>Sheet2!$G$21</c:f>
              <c:strCache>
                <c:ptCount val="1"/>
                <c:pt idx="0">
                  <c:v>E (lowest)</c:v>
                </c:pt>
              </c:strCache>
            </c:strRef>
          </c:tx>
          <c:spPr>
            <a:solidFill>
              <a:schemeClr val="accent2"/>
            </a:solidFill>
          </c:spPr>
          <c:invertIfNegative val="0"/>
          <c:cat>
            <c:strRef>
              <c:f>Sheet2!$H$16:$O$16</c:f>
              <c:strCache>
                <c:ptCount val="8"/>
                <c:pt idx="0">
                  <c:v>NT</c:v>
                </c:pt>
                <c:pt idx="1">
                  <c:v>TAS</c:v>
                </c:pt>
                <c:pt idx="2">
                  <c:v>WA</c:v>
                </c:pt>
                <c:pt idx="3">
                  <c:v>SA</c:v>
                </c:pt>
                <c:pt idx="4">
                  <c:v>QLD</c:v>
                </c:pt>
                <c:pt idx="5">
                  <c:v>NSW</c:v>
                </c:pt>
                <c:pt idx="6">
                  <c:v>VIC</c:v>
                </c:pt>
                <c:pt idx="7">
                  <c:v>ACT</c:v>
                </c:pt>
              </c:strCache>
            </c:strRef>
          </c:cat>
          <c:val>
            <c:numRef>
              <c:f>Sheet2!$H$21:$O$21</c:f>
              <c:numCache>
                <c:formatCode>_-* #,##0_-;\-* #,##0_-;_-* "-"??_-;_-@_-</c:formatCode>
                <c:ptCount val="8"/>
                <c:pt idx="0">
                  <c:v>5822.7299999999977</c:v>
                </c:pt>
                <c:pt idx="1">
                  <c:v>22012.149999999987</c:v>
                </c:pt>
                <c:pt idx="2">
                  <c:v>67085.980000000025</c:v>
                </c:pt>
                <c:pt idx="3">
                  <c:v>54884.560000000027</c:v>
                </c:pt>
                <c:pt idx="4">
                  <c:v>92082.960000000021</c:v>
                </c:pt>
                <c:pt idx="5">
                  <c:v>114956.3700000002</c:v>
                </c:pt>
                <c:pt idx="6">
                  <c:v>94796.790000000023</c:v>
                </c:pt>
                <c:pt idx="7">
                  <c:v>1329.9</c:v>
                </c:pt>
              </c:numCache>
            </c:numRef>
          </c:val>
        </c:ser>
        <c:dLbls>
          <c:showLegendKey val="0"/>
          <c:showVal val="0"/>
          <c:showCatName val="0"/>
          <c:showSerName val="0"/>
          <c:showPercent val="0"/>
          <c:showBubbleSize val="0"/>
        </c:dLbls>
        <c:gapWidth val="150"/>
        <c:overlap val="100"/>
        <c:axId val="38054144"/>
        <c:axId val="38055936"/>
      </c:barChart>
      <c:catAx>
        <c:axId val="38054144"/>
        <c:scaling>
          <c:orientation val="minMax"/>
        </c:scaling>
        <c:delete val="0"/>
        <c:axPos val="l"/>
        <c:majorTickMark val="out"/>
        <c:minorTickMark val="none"/>
        <c:tickLblPos val="nextTo"/>
        <c:crossAx val="38055936"/>
        <c:crosses val="autoZero"/>
        <c:auto val="1"/>
        <c:lblAlgn val="ctr"/>
        <c:lblOffset val="100"/>
        <c:noMultiLvlLbl val="0"/>
      </c:catAx>
      <c:valAx>
        <c:axId val="38055936"/>
        <c:scaling>
          <c:orientation val="minMax"/>
        </c:scaling>
        <c:delete val="0"/>
        <c:axPos val="b"/>
        <c:title>
          <c:tx>
            <c:rich>
              <a:bodyPr/>
              <a:lstStyle/>
              <a:p>
                <a:pPr>
                  <a:defRPr sz="900"/>
                </a:pPr>
                <a:r>
                  <a:rPr lang="en-US" sz="900"/>
                  <a:t>% of premises</a:t>
                </a:r>
              </a:p>
            </c:rich>
          </c:tx>
          <c:layout>
            <c:manualLayout>
              <c:xMode val="edge"/>
              <c:yMode val="edge"/>
              <c:x val="0.38990611910436712"/>
              <c:y val="0.90114619709205679"/>
            </c:manualLayout>
          </c:layout>
          <c:overlay val="0"/>
        </c:title>
        <c:numFmt formatCode="0%" sourceLinked="1"/>
        <c:majorTickMark val="out"/>
        <c:minorTickMark val="none"/>
        <c:tickLblPos val="nextTo"/>
        <c:crossAx val="38054144"/>
        <c:crosses val="autoZero"/>
        <c:crossBetween val="between"/>
      </c:valAx>
      <c:spPr>
        <a:solidFill>
          <a:schemeClr val="bg1">
            <a:lumMod val="95000"/>
          </a:schemeClr>
        </a:solidFill>
      </c:spPr>
    </c:plotArea>
    <c:legend>
      <c:legendPos val="r"/>
      <c:layout>
        <c:manualLayout>
          <c:xMode val="edge"/>
          <c:yMode val="edge"/>
          <c:x val="0.86130240664361402"/>
          <c:y val="0.35938666642362532"/>
          <c:w val="0.12674581420116277"/>
          <c:h val="0.37562860662283043"/>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Proportion of premises with access to high speed broadband technologies</a:t>
            </a:r>
          </a:p>
        </c:rich>
      </c:tx>
      <c:overlay val="0"/>
    </c:title>
    <c:autoTitleDeleted val="0"/>
    <c:plotArea>
      <c:layout>
        <c:manualLayout>
          <c:layoutTarget val="inner"/>
          <c:xMode val="edge"/>
          <c:yMode val="edge"/>
          <c:x val="9.7625124468176935E-2"/>
          <c:y val="0.14797462817147858"/>
          <c:w val="0.87281164648805665"/>
          <c:h val="0.6619714202391368"/>
        </c:manualLayout>
      </c:layout>
      <c:barChart>
        <c:barDir val="col"/>
        <c:grouping val="clustered"/>
        <c:varyColors val="0"/>
        <c:ser>
          <c:idx val="0"/>
          <c:order val="0"/>
          <c:tx>
            <c:strRef>
              <c:f>'High speed BB'!$C$14</c:f>
              <c:strCache>
                <c:ptCount val="1"/>
                <c:pt idx="0">
                  <c:v>FTTN</c:v>
                </c:pt>
              </c:strCache>
            </c:strRef>
          </c:tx>
          <c:invertIfNegative val="0"/>
          <c:cat>
            <c:strRef>
              <c:f>'High speed BB'!$A$15:$A$22</c:f>
              <c:strCache>
                <c:ptCount val="8"/>
                <c:pt idx="0">
                  <c:v>ACT</c:v>
                </c:pt>
                <c:pt idx="1">
                  <c:v>NSW</c:v>
                </c:pt>
                <c:pt idx="2">
                  <c:v>NT</c:v>
                </c:pt>
                <c:pt idx="3">
                  <c:v>QLD</c:v>
                </c:pt>
                <c:pt idx="4">
                  <c:v>SA</c:v>
                </c:pt>
                <c:pt idx="5">
                  <c:v>TAS</c:v>
                </c:pt>
                <c:pt idx="6">
                  <c:v>VIC</c:v>
                </c:pt>
                <c:pt idx="7">
                  <c:v>WA</c:v>
                </c:pt>
              </c:strCache>
            </c:strRef>
          </c:cat>
          <c:val>
            <c:numRef>
              <c:f>'High speed BB'!$C$15:$C$22</c:f>
              <c:numCache>
                <c:formatCode>General</c:formatCode>
                <c:ptCount val="8"/>
                <c:pt idx="0">
                  <c:v>32.199840653366735</c:v>
                </c:pt>
                <c:pt idx="1">
                  <c:v>0</c:v>
                </c:pt>
                <c:pt idx="2">
                  <c:v>0</c:v>
                </c:pt>
                <c:pt idx="3">
                  <c:v>0</c:v>
                </c:pt>
                <c:pt idx="4">
                  <c:v>0</c:v>
                </c:pt>
                <c:pt idx="5">
                  <c:v>0</c:v>
                </c:pt>
                <c:pt idx="6">
                  <c:v>0</c:v>
                </c:pt>
                <c:pt idx="7">
                  <c:v>0</c:v>
                </c:pt>
              </c:numCache>
            </c:numRef>
          </c:val>
        </c:ser>
        <c:ser>
          <c:idx val="1"/>
          <c:order val="1"/>
          <c:tx>
            <c:strRef>
              <c:f>'High speed BB'!$B$14</c:f>
              <c:strCache>
                <c:ptCount val="1"/>
                <c:pt idx="0">
                  <c:v>FTTP</c:v>
                </c:pt>
              </c:strCache>
            </c:strRef>
          </c:tx>
          <c:invertIfNegative val="0"/>
          <c:cat>
            <c:strRef>
              <c:f>'High speed BB'!$A$15:$A$22</c:f>
              <c:strCache>
                <c:ptCount val="8"/>
                <c:pt idx="0">
                  <c:v>ACT</c:v>
                </c:pt>
                <c:pt idx="1">
                  <c:v>NSW</c:v>
                </c:pt>
                <c:pt idx="2">
                  <c:v>NT</c:v>
                </c:pt>
                <c:pt idx="3">
                  <c:v>QLD</c:v>
                </c:pt>
                <c:pt idx="4">
                  <c:v>SA</c:v>
                </c:pt>
                <c:pt idx="5">
                  <c:v>TAS</c:v>
                </c:pt>
                <c:pt idx="6">
                  <c:v>VIC</c:v>
                </c:pt>
                <c:pt idx="7">
                  <c:v>WA</c:v>
                </c:pt>
              </c:strCache>
            </c:strRef>
          </c:cat>
          <c:val>
            <c:numRef>
              <c:f>'High speed BB'!$B$15:$B$22</c:f>
              <c:numCache>
                <c:formatCode>General</c:formatCode>
                <c:ptCount val="8"/>
                <c:pt idx="0">
                  <c:v>13.386439249332147</c:v>
                </c:pt>
                <c:pt idx="1">
                  <c:v>2.946367929916307</c:v>
                </c:pt>
                <c:pt idx="2">
                  <c:v>3.4613215637578931</c:v>
                </c:pt>
                <c:pt idx="3">
                  <c:v>4.032758759820334</c:v>
                </c:pt>
                <c:pt idx="4">
                  <c:v>0.95061152008199401</c:v>
                </c:pt>
                <c:pt idx="5">
                  <c:v>9.7314239576473955</c:v>
                </c:pt>
                <c:pt idx="6">
                  <c:v>3.2232402684536683</c:v>
                </c:pt>
                <c:pt idx="7">
                  <c:v>2.4074835033305737</c:v>
                </c:pt>
              </c:numCache>
            </c:numRef>
          </c:val>
        </c:ser>
        <c:ser>
          <c:idx val="2"/>
          <c:order val="2"/>
          <c:tx>
            <c:strRef>
              <c:f>'High speed BB'!$D$14</c:f>
              <c:strCache>
                <c:ptCount val="1"/>
                <c:pt idx="0">
                  <c:v>HFC</c:v>
                </c:pt>
              </c:strCache>
            </c:strRef>
          </c:tx>
          <c:invertIfNegative val="0"/>
          <c:cat>
            <c:strRef>
              <c:f>'High speed BB'!$A$15:$A$22</c:f>
              <c:strCache>
                <c:ptCount val="8"/>
                <c:pt idx="0">
                  <c:v>ACT</c:v>
                </c:pt>
                <c:pt idx="1">
                  <c:v>NSW</c:v>
                </c:pt>
                <c:pt idx="2">
                  <c:v>NT</c:v>
                </c:pt>
                <c:pt idx="3">
                  <c:v>QLD</c:v>
                </c:pt>
                <c:pt idx="4">
                  <c:v>SA</c:v>
                </c:pt>
                <c:pt idx="5">
                  <c:v>TAS</c:v>
                </c:pt>
                <c:pt idx="6">
                  <c:v>VIC</c:v>
                </c:pt>
                <c:pt idx="7">
                  <c:v>WA</c:v>
                </c:pt>
              </c:strCache>
            </c:strRef>
          </c:cat>
          <c:val>
            <c:numRef>
              <c:f>'High speed BB'!$D$15:$D$22</c:f>
              <c:numCache>
                <c:formatCode>General</c:formatCode>
                <c:ptCount val="8"/>
                <c:pt idx="0">
                  <c:v>0</c:v>
                </c:pt>
                <c:pt idx="1">
                  <c:v>26.995108644478378</c:v>
                </c:pt>
                <c:pt idx="2">
                  <c:v>0</c:v>
                </c:pt>
                <c:pt idx="3">
                  <c:v>26.057587993809516</c:v>
                </c:pt>
                <c:pt idx="4">
                  <c:v>23.13094710603167</c:v>
                </c:pt>
                <c:pt idx="5">
                  <c:v>0</c:v>
                </c:pt>
                <c:pt idx="6">
                  <c:v>32.918097103197198</c:v>
                </c:pt>
                <c:pt idx="7">
                  <c:v>8.2272273276157737</c:v>
                </c:pt>
              </c:numCache>
            </c:numRef>
          </c:val>
        </c:ser>
        <c:dLbls>
          <c:showLegendKey val="0"/>
          <c:showVal val="0"/>
          <c:showCatName val="0"/>
          <c:showSerName val="0"/>
          <c:showPercent val="0"/>
          <c:showBubbleSize val="0"/>
        </c:dLbls>
        <c:gapWidth val="150"/>
        <c:axId val="38079488"/>
        <c:axId val="38109952"/>
      </c:barChart>
      <c:catAx>
        <c:axId val="38079488"/>
        <c:scaling>
          <c:orientation val="minMax"/>
        </c:scaling>
        <c:delete val="0"/>
        <c:axPos val="b"/>
        <c:majorTickMark val="out"/>
        <c:minorTickMark val="none"/>
        <c:tickLblPos val="nextTo"/>
        <c:txPr>
          <a:bodyPr/>
          <a:lstStyle/>
          <a:p>
            <a:pPr>
              <a:defRPr sz="900"/>
            </a:pPr>
            <a:endParaRPr lang="en-US"/>
          </a:p>
        </c:txPr>
        <c:crossAx val="38109952"/>
        <c:crosses val="autoZero"/>
        <c:auto val="1"/>
        <c:lblAlgn val="ctr"/>
        <c:lblOffset val="100"/>
        <c:noMultiLvlLbl val="0"/>
      </c:catAx>
      <c:valAx>
        <c:axId val="38109952"/>
        <c:scaling>
          <c:orientation val="minMax"/>
          <c:max val="50"/>
          <c:min val="0"/>
        </c:scaling>
        <c:delete val="0"/>
        <c:axPos val="l"/>
        <c:majorGridlines/>
        <c:title>
          <c:tx>
            <c:rich>
              <a:bodyPr rot="-5400000" vert="horz"/>
              <a:lstStyle/>
              <a:p>
                <a:pPr>
                  <a:defRPr sz="800"/>
                </a:pPr>
                <a:r>
                  <a:rPr lang="en-US" sz="800"/>
                  <a:t>% of premises</a:t>
                </a:r>
              </a:p>
            </c:rich>
          </c:tx>
          <c:layout>
            <c:manualLayout>
              <c:xMode val="edge"/>
              <c:yMode val="edge"/>
              <c:x val="1.085841105897121E-2"/>
              <c:y val="0.31090606524402581"/>
            </c:manualLayout>
          </c:layout>
          <c:overlay val="0"/>
        </c:title>
        <c:numFmt formatCode="General" sourceLinked="1"/>
        <c:majorTickMark val="out"/>
        <c:minorTickMark val="none"/>
        <c:tickLblPos val="nextTo"/>
        <c:crossAx val="38079488"/>
        <c:crosses val="autoZero"/>
        <c:crossBetween val="between"/>
        <c:majorUnit val="10"/>
      </c:valAx>
      <c:spPr>
        <a:solidFill>
          <a:schemeClr val="bg1">
            <a:lumMod val="85000"/>
          </a:schemeClr>
        </a:solidFill>
      </c:spPr>
    </c:plotArea>
    <c:legend>
      <c:legendPos val="r"/>
      <c:layout>
        <c:manualLayout>
          <c:xMode val="edge"/>
          <c:yMode val="edge"/>
          <c:x val="0.27703669903330375"/>
          <c:y val="0.91576662292213473"/>
          <c:w val="0.53379638161799836"/>
          <c:h val="7.9855278506853297E-2"/>
        </c:manualLayout>
      </c:layout>
      <c:overlay val="0"/>
      <c:txPr>
        <a:bodyPr/>
        <a:lstStyle/>
        <a:p>
          <a:pPr>
            <a:defRPr sz="900"/>
          </a:pPr>
          <a:endParaRPr lang="en-US"/>
        </a:p>
      </c:txPr>
    </c:legend>
    <c:plotVisOnly val="1"/>
    <c:dispBlanksAs val="gap"/>
    <c:showDLblsOverMax val="0"/>
  </c:chart>
  <c:txPr>
    <a:bodyPr/>
    <a:lstStyle/>
    <a:p>
      <a:pPr>
        <a:defRPr>
          <a:latin typeface="+mj-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Proportion of premises with ADSL availability by state/territory</a:t>
            </a:r>
          </a:p>
        </c:rich>
      </c:tx>
      <c:overlay val="0"/>
    </c:title>
    <c:autoTitleDeleted val="0"/>
    <c:plotArea>
      <c:layout>
        <c:manualLayout>
          <c:layoutTarget val="inner"/>
          <c:xMode val="edge"/>
          <c:yMode val="edge"/>
          <c:x val="0.11241930769734115"/>
          <c:y val="0.15476851851851853"/>
          <c:w val="0.86321706928468567"/>
          <c:h val="0.72925160396617095"/>
        </c:manualLayout>
      </c:layout>
      <c:barChart>
        <c:barDir val="col"/>
        <c:grouping val="clustered"/>
        <c:varyColors val="0"/>
        <c:ser>
          <c:idx val="0"/>
          <c:order val="0"/>
          <c:invertIfNegative val="0"/>
          <c:cat>
            <c:strRef>
              <c:f>'ADSL by state'!$H$16:$H$23</c:f>
              <c:strCache>
                <c:ptCount val="8"/>
                <c:pt idx="0">
                  <c:v>ACT</c:v>
                </c:pt>
                <c:pt idx="1">
                  <c:v>VIC</c:v>
                </c:pt>
                <c:pt idx="2">
                  <c:v>WA</c:v>
                </c:pt>
                <c:pt idx="3">
                  <c:v>QLD</c:v>
                </c:pt>
                <c:pt idx="4">
                  <c:v>NSW</c:v>
                </c:pt>
                <c:pt idx="5">
                  <c:v>NT</c:v>
                </c:pt>
                <c:pt idx="6">
                  <c:v>SA</c:v>
                </c:pt>
                <c:pt idx="7">
                  <c:v>TAS</c:v>
                </c:pt>
              </c:strCache>
            </c:strRef>
          </c:cat>
          <c:val>
            <c:numRef>
              <c:f>'ADSL by state'!$I$16:$I$23</c:f>
              <c:numCache>
                <c:formatCode>0.00</c:formatCode>
                <c:ptCount val="8"/>
                <c:pt idx="0">
                  <c:v>0.9352022850016134</c:v>
                </c:pt>
                <c:pt idx="1">
                  <c:v>0.92788711762853338</c:v>
                </c:pt>
                <c:pt idx="2">
                  <c:v>0.91132364766173823</c:v>
                </c:pt>
                <c:pt idx="3">
                  <c:v>0.89868612812318682</c:v>
                </c:pt>
                <c:pt idx="4">
                  <c:v>0.89701195004148426</c:v>
                </c:pt>
                <c:pt idx="5">
                  <c:v>0.88183658215277316</c:v>
                </c:pt>
                <c:pt idx="6">
                  <c:v>0.85773801055787502</c:v>
                </c:pt>
                <c:pt idx="7">
                  <c:v>0.84201150538786096</c:v>
                </c:pt>
              </c:numCache>
            </c:numRef>
          </c:val>
        </c:ser>
        <c:dLbls>
          <c:showLegendKey val="0"/>
          <c:showVal val="0"/>
          <c:showCatName val="0"/>
          <c:showSerName val="0"/>
          <c:showPercent val="0"/>
          <c:showBubbleSize val="0"/>
        </c:dLbls>
        <c:gapWidth val="150"/>
        <c:axId val="38126336"/>
        <c:axId val="38127872"/>
      </c:barChart>
      <c:catAx>
        <c:axId val="38126336"/>
        <c:scaling>
          <c:orientation val="minMax"/>
        </c:scaling>
        <c:delete val="0"/>
        <c:axPos val="b"/>
        <c:majorTickMark val="out"/>
        <c:minorTickMark val="none"/>
        <c:tickLblPos val="nextTo"/>
        <c:crossAx val="38127872"/>
        <c:crosses val="autoZero"/>
        <c:auto val="1"/>
        <c:lblAlgn val="ctr"/>
        <c:lblOffset val="100"/>
        <c:noMultiLvlLbl val="0"/>
      </c:catAx>
      <c:valAx>
        <c:axId val="38127872"/>
        <c:scaling>
          <c:orientation val="minMax"/>
          <c:max val="1"/>
          <c:min val="0"/>
        </c:scaling>
        <c:delete val="0"/>
        <c:axPos val="l"/>
        <c:majorGridlines/>
        <c:title>
          <c:tx>
            <c:rich>
              <a:bodyPr rot="-5400000" vert="horz"/>
              <a:lstStyle/>
              <a:p>
                <a:pPr>
                  <a:defRPr sz="800"/>
                </a:pPr>
                <a:r>
                  <a:rPr lang="en-US" sz="800"/>
                  <a:t>% of premises</a:t>
                </a:r>
              </a:p>
            </c:rich>
          </c:tx>
          <c:layout>
            <c:manualLayout>
              <c:xMode val="edge"/>
              <c:yMode val="edge"/>
              <c:x val="1.1080189336879459E-2"/>
              <c:y val="0.38462015164771068"/>
            </c:manualLayout>
          </c:layout>
          <c:overlay val="0"/>
        </c:title>
        <c:numFmt formatCode="0%" sourceLinked="0"/>
        <c:majorTickMark val="out"/>
        <c:minorTickMark val="none"/>
        <c:tickLblPos val="nextTo"/>
        <c:txPr>
          <a:bodyPr/>
          <a:lstStyle/>
          <a:p>
            <a:pPr>
              <a:defRPr sz="900"/>
            </a:pPr>
            <a:endParaRPr lang="en-US"/>
          </a:p>
        </c:txPr>
        <c:crossAx val="38126336"/>
        <c:crosses val="autoZero"/>
        <c:crossBetween val="between"/>
        <c:majorUnit val="0.2"/>
      </c:valAx>
      <c:spPr>
        <a:solidFill>
          <a:schemeClr val="bg1">
            <a:lumMod val="85000"/>
          </a:schemeClr>
        </a:solidFill>
      </c:spPr>
    </c:plotArea>
    <c:plotVisOnly val="1"/>
    <c:dispBlanksAs val="gap"/>
    <c:showDLblsOverMax val="0"/>
  </c:chart>
  <c:txPr>
    <a:bodyPr/>
    <a:lstStyle/>
    <a:p>
      <a:pPr>
        <a:defRPr>
          <a:latin typeface="+mj-lt"/>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a:pPr>
            <a:r>
              <a:rPr lang="en-AU" sz="1100"/>
              <a:t>Broadband availability by remoteness classification</a:t>
            </a:r>
          </a:p>
        </c:rich>
      </c:tx>
      <c:overlay val="0"/>
    </c:title>
    <c:autoTitleDeleted val="0"/>
    <c:plotArea>
      <c:layout>
        <c:manualLayout>
          <c:layoutTarget val="inner"/>
          <c:xMode val="edge"/>
          <c:yMode val="edge"/>
          <c:x val="0.15366261035552375"/>
          <c:y val="0.15476851851851853"/>
          <c:w val="0.6823171731632719"/>
          <c:h val="0.64680436099333738"/>
        </c:manualLayout>
      </c:layout>
      <c:barChart>
        <c:barDir val="bar"/>
        <c:grouping val="percentStacked"/>
        <c:varyColors val="0"/>
        <c:ser>
          <c:idx val="0"/>
          <c:order val="0"/>
          <c:tx>
            <c:strRef>
              <c:f>'12 feb'!$A$2</c:f>
              <c:strCache>
                <c:ptCount val="1"/>
                <c:pt idx="0">
                  <c:v>A (highest)</c:v>
                </c:pt>
              </c:strCache>
            </c:strRef>
          </c:tx>
          <c:invertIfNegative val="0"/>
          <c:cat>
            <c:strRef>
              <c:f>'12 feb'!$B$1:$F$1</c:f>
              <c:strCache>
                <c:ptCount val="5"/>
                <c:pt idx="0">
                  <c:v>Very Remote</c:v>
                </c:pt>
                <c:pt idx="1">
                  <c:v>Remote</c:v>
                </c:pt>
                <c:pt idx="2">
                  <c:v>Outer Regional</c:v>
                </c:pt>
                <c:pt idx="3">
                  <c:v>Inner Regional</c:v>
                </c:pt>
                <c:pt idx="4">
                  <c:v>Major Cities</c:v>
                </c:pt>
              </c:strCache>
            </c:strRef>
          </c:cat>
          <c:val>
            <c:numRef>
              <c:f>'12 feb'!$B$2:$F$2</c:f>
              <c:numCache>
                <c:formatCode>#,##0</c:formatCode>
                <c:ptCount val="5"/>
                <c:pt idx="0">
                  <c:v>28313</c:v>
                </c:pt>
                <c:pt idx="1">
                  <c:v>94356</c:v>
                </c:pt>
                <c:pt idx="2">
                  <c:v>668149</c:v>
                </c:pt>
                <c:pt idx="3">
                  <c:v>1687315</c:v>
                </c:pt>
                <c:pt idx="4">
                  <c:v>6673234</c:v>
                </c:pt>
              </c:numCache>
            </c:numRef>
          </c:val>
        </c:ser>
        <c:ser>
          <c:idx val="1"/>
          <c:order val="1"/>
          <c:tx>
            <c:strRef>
              <c:f>'12 feb'!$A$3</c:f>
              <c:strCache>
                <c:ptCount val="1"/>
                <c:pt idx="0">
                  <c:v>B</c:v>
                </c:pt>
              </c:strCache>
            </c:strRef>
          </c:tx>
          <c:spPr>
            <a:solidFill>
              <a:schemeClr val="accent6"/>
            </a:solidFill>
            <a:ln>
              <a:solidFill>
                <a:schemeClr val="accent6">
                  <a:lumMod val="75000"/>
                </a:schemeClr>
              </a:solidFill>
            </a:ln>
          </c:spPr>
          <c:invertIfNegative val="0"/>
          <c:cat>
            <c:strRef>
              <c:f>'12 feb'!$B$1:$F$1</c:f>
              <c:strCache>
                <c:ptCount val="5"/>
                <c:pt idx="0">
                  <c:v>Very Remote</c:v>
                </c:pt>
                <c:pt idx="1">
                  <c:v>Remote</c:v>
                </c:pt>
                <c:pt idx="2">
                  <c:v>Outer Regional</c:v>
                </c:pt>
                <c:pt idx="3">
                  <c:v>Inner Regional</c:v>
                </c:pt>
                <c:pt idx="4">
                  <c:v>Major Cities</c:v>
                </c:pt>
              </c:strCache>
            </c:strRef>
          </c:cat>
          <c:val>
            <c:numRef>
              <c:f>'12 feb'!$B$3:$F$3</c:f>
              <c:numCache>
                <c:formatCode>#,##0</c:formatCode>
                <c:ptCount val="5"/>
                <c:pt idx="0">
                  <c:v>328</c:v>
                </c:pt>
                <c:pt idx="1">
                  <c:v>2424</c:v>
                </c:pt>
                <c:pt idx="2">
                  <c:v>47474</c:v>
                </c:pt>
                <c:pt idx="3">
                  <c:v>87311</c:v>
                </c:pt>
                <c:pt idx="4">
                  <c:v>73461</c:v>
                </c:pt>
              </c:numCache>
            </c:numRef>
          </c:val>
        </c:ser>
        <c:ser>
          <c:idx val="2"/>
          <c:order val="2"/>
          <c:tx>
            <c:strRef>
              <c:f>'12 feb'!$A$4</c:f>
              <c:strCache>
                <c:ptCount val="1"/>
                <c:pt idx="0">
                  <c:v>C</c:v>
                </c:pt>
              </c:strCache>
            </c:strRef>
          </c:tx>
          <c:invertIfNegative val="0"/>
          <c:cat>
            <c:strRef>
              <c:f>'12 feb'!$B$1:$F$1</c:f>
              <c:strCache>
                <c:ptCount val="5"/>
                <c:pt idx="0">
                  <c:v>Very Remote</c:v>
                </c:pt>
                <c:pt idx="1">
                  <c:v>Remote</c:v>
                </c:pt>
                <c:pt idx="2">
                  <c:v>Outer Regional</c:v>
                </c:pt>
                <c:pt idx="3">
                  <c:v>Inner Regional</c:v>
                </c:pt>
                <c:pt idx="4">
                  <c:v>Major Cities</c:v>
                </c:pt>
              </c:strCache>
            </c:strRef>
          </c:cat>
          <c:val>
            <c:numRef>
              <c:f>'12 feb'!$B$4:$F$4</c:f>
              <c:numCache>
                <c:formatCode>#,##0</c:formatCode>
                <c:ptCount val="5"/>
                <c:pt idx="0">
                  <c:v>314</c:v>
                </c:pt>
                <c:pt idx="1">
                  <c:v>2994</c:v>
                </c:pt>
                <c:pt idx="2">
                  <c:v>42745</c:v>
                </c:pt>
                <c:pt idx="3">
                  <c:v>57203</c:v>
                </c:pt>
                <c:pt idx="4">
                  <c:v>49828</c:v>
                </c:pt>
              </c:numCache>
            </c:numRef>
          </c:val>
        </c:ser>
        <c:ser>
          <c:idx val="3"/>
          <c:order val="3"/>
          <c:tx>
            <c:strRef>
              <c:f>'12 feb'!$A$5</c:f>
              <c:strCache>
                <c:ptCount val="1"/>
                <c:pt idx="0">
                  <c:v>D</c:v>
                </c:pt>
              </c:strCache>
            </c:strRef>
          </c:tx>
          <c:invertIfNegative val="0"/>
          <c:cat>
            <c:strRef>
              <c:f>'12 feb'!$B$1:$F$1</c:f>
              <c:strCache>
                <c:ptCount val="5"/>
                <c:pt idx="0">
                  <c:v>Very Remote</c:v>
                </c:pt>
                <c:pt idx="1">
                  <c:v>Remote</c:v>
                </c:pt>
                <c:pt idx="2">
                  <c:v>Outer Regional</c:v>
                </c:pt>
                <c:pt idx="3">
                  <c:v>Inner Regional</c:v>
                </c:pt>
                <c:pt idx="4">
                  <c:v>Major Cities</c:v>
                </c:pt>
              </c:strCache>
            </c:strRef>
          </c:cat>
          <c:val>
            <c:numRef>
              <c:f>'12 feb'!$B$5:$F$5</c:f>
              <c:numCache>
                <c:formatCode>#,##0</c:formatCode>
                <c:ptCount val="5"/>
                <c:pt idx="0">
                  <c:v>5717</c:v>
                </c:pt>
                <c:pt idx="1">
                  <c:v>37324</c:v>
                </c:pt>
                <c:pt idx="2">
                  <c:v>174440</c:v>
                </c:pt>
                <c:pt idx="3">
                  <c:v>292013</c:v>
                </c:pt>
                <c:pt idx="4">
                  <c:v>445370</c:v>
                </c:pt>
              </c:numCache>
            </c:numRef>
          </c:val>
        </c:ser>
        <c:ser>
          <c:idx val="4"/>
          <c:order val="4"/>
          <c:tx>
            <c:strRef>
              <c:f>'12 feb'!$A$6</c:f>
              <c:strCache>
                <c:ptCount val="1"/>
                <c:pt idx="0">
                  <c:v>E (lowest)</c:v>
                </c:pt>
              </c:strCache>
            </c:strRef>
          </c:tx>
          <c:spPr>
            <a:solidFill>
              <a:schemeClr val="accent2"/>
            </a:solidFill>
            <a:ln>
              <a:solidFill>
                <a:schemeClr val="accent2">
                  <a:lumMod val="75000"/>
                </a:schemeClr>
              </a:solidFill>
            </a:ln>
          </c:spPr>
          <c:invertIfNegative val="0"/>
          <c:cat>
            <c:strRef>
              <c:f>'12 feb'!$B$1:$F$1</c:f>
              <c:strCache>
                <c:ptCount val="5"/>
                <c:pt idx="0">
                  <c:v>Very Remote</c:v>
                </c:pt>
                <c:pt idx="1">
                  <c:v>Remote</c:v>
                </c:pt>
                <c:pt idx="2">
                  <c:v>Outer Regional</c:v>
                </c:pt>
                <c:pt idx="3">
                  <c:v>Inner Regional</c:v>
                </c:pt>
                <c:pt idx="4">
                  <c:v>Major Cities</c:v>
                </c:pt>
              </c:strCache>
            </c:strRef>
          </c:cat>
          <c:val>
            <c:numRef>
              <c:f>'12 feb'!$B$6:$F$6</c:f>
              <c:numCache>
                <c:formatCode>#,##0</c:formatCode>
                <c:ptCount val="5"/>
                <c:pt idx="0">
                  <c:v>13503</c:v>
                </c:pt>
                <c:pt idx="1">
                  <c:v>34983</c:v>
                </c:pt>
                <c:pt idx="2">
                  <c:v>165651</c:v>
                </c:pt>
                <c:pt idx="3">
                  <c:v>159689</c:v>
                </c:pt>
                <c:pt idx="4">
                  <c:v>79143</c:v>
                </c:pt>
              </c:numCache>
            </c:numRef>
          </c:val>
        </c:ser>
        <c:dLbls>
          <c:showLegendKey val="0"/>
          <c:showVal val="0"/>
          <c:showCatName val="0"/>
          <c:showSerName val="0"/>
          <c:showPercent val="0"/>
          <c:showBubbleSize val="0"/>
        </c:dLbls>
        <c:gapWidth val="150"/>
        <c:overlap val="100"/>
        <c:axId val="38392960"/>
        <c:axId val="38394496"/>
      </c:barChart>
      <c:catAx>
        <c:axId val="38392960"/>
        <c:scaling>
          <c:orientation val="minMax"/>
        </c:scaling>
        <c:delete val="0"/>
        <c:axPos val="l"/>
        <c:numFmt formatCode="General" sourceLinked="1"/>
        <c:majorTickMark val="out"/>
        <c:minorTickMark val="none"/>
        <c:tickLblPos val="nextTo"/>
        <c:txPr>
          <a:bodyPr/>
          <a:lstStyle/>
          <a:p>
            <a:pPr>
              <a:defRPr sz="900"/>
            </a:pPr>
            <a:endParaRPr lang="en-US"/>
          </a:p>
        </c:txPr>
        <c:crossAx val="38394496"/>
        <c:crosses val="autoZero"/>
        <c:auto val="1"/>
        <c:lblAlgn val="ctr"/>
        <c:lblOffset val="100"/>
        <c:noMultiLvlLbl val="0"/>
      </c:catAx>
      <c:valAx>
        <c:axId val="38394496"/>
        <c:scaling>
          <c:orientation val="minMax"/>
        </c:scaling>
        <c:delete val="0"/>
        <c:axPos val="b"/>
        <c:majorGridlines>
          <c:spPr>
            <a:ln>
              <a:noFill/>
            </a:ln>
          </c:spPr>
        </c:majorGridlines>
        <c:title>
          <c:tx>
            <c:rich>
              <a:bodyPr/>
              <a:lstStyle/>
              <a:p>
                <a:pPr>
                  <a:defRPr sz="900"/>
                </a:pPr>
                <a:r>
                  <a:rPr lang="en-AU" sz="900"/>
                  <a:t>%</a:t>
                </a:r>
                <a:r>
                  <a:rPr lang="en-AU" sz="900" baseline="0"/>
                  <a:t> of premises in each broadband availability band</a:t>
                </a:r>
                <a:endParaRPr lang="en-AU" sz="900"/>
              </a:p>
            </c:rich>
          </c:tx>
          <c:layout>
            <c:manualLayout>
              <c:xMode val="edge"/>
              <c:yMode val="edge"/>
              <c:x val="0.26468441031647905"/>
              <c:y val="0.9264724409448819"/>
            </c:manualLayout>
          </c:layout>
          <c:overlay val="0"/>
        </c:title>
        <c:numFmt formatCode="0%" sourceLinked="1"/>
        <c:majorTickMark val="out"/>
        <c:minorTickMark val="none"/>
        <c:tickLblPos val="nextTo"/>
        <c:txPr>
          <a:bodyPr/>
          <a:lstStyle/>
          <a:p>
            <a:pPr>
              <a:defRPr sz="900"/>
            </a:pPr>
            <a:endParaRPr lang="en-US"/>
          </a:p>
        </c:txPr>
        <c:crossAx val="38392960"/>
        <c:crosses val="autoZero"/>
        <c:crossBetween val="between"/>
        <c:majorUnit val="0.2"/>
      </c:valAx>
    </c:plotArea>
    <c:legend>
      <c:legendPos val="r"/>
      <c:overlay val="0"/>
      <c:txPr>
        <a:bodyPr/>
        <a:lstStyle/>
        <a:p>
          <a:pPr>
            <a:defRPr sz="900"/>
          </a:pPr>
          <a:endParaRPr lang="en-US"/>
        </a:p>
      </c:txPr>
    </c:legend>
    <c:plotVisOnly val="1"/>
    <c:dispBlanksAs val="gap"/>
    <c:showDLblsOverMax val="0"/>
  </c:chart>
  <c:txPr>
    <a:bodyPr/>
    <a:lstStyle/>
    <a:p>
      <a:pPr>
        <a:defRPr>
          <a:latin typeface="+mj-lt"/>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a:pPr>
            <a:r>
              <a:rPr lang="en-AU" sz="1100"/>
              <a:t>Access to</a:t>
            </a:r>
            <a:r>
              <a:rPr lang="en-AU" sz="1100" baseline="0"/>
              <a:t> </a:t>
            </a:r>
            <a:r>
              <a:rPr lang="en-AU" sz="1100" b="1" i="0" u="none" strike="noStrike" kern="1200" baseline="0">
                <a:solidFill>
                  <a:sysClr val="windowText" lastClr="000000"/>
                </a:solidFill>
                <a:latin typeface="+mj-lt"/>
                <a:ea typeface="+mn-ea"/>
                <a:cs typeface="+mn-cs"/>
              </a:rPr>
              <a:t>ADSL</a:t>
            </a:r>
            <a:r>
              <a:rPr lang="en-AU" sz="1100" baseline="0"/>
              <a:t> services by remoteness class</a:t>
            </a:r>
            <a:endParaRPr lang="en-AU" sz="1100"/>
          </a:p>
        </c:rich>
      </c:tx>
      <c:overlay val="0"/>
    </c:title>
    <c:autoTitleDeleted val="0"/>
    <c:plotArea>
      <c:layout>
        <c:manualLayout>
          <c:layoutTarget val="inner"/>
          <c:xMode val="edge"/>
          <c:yMode val="edge"/>
          <c:x val="0.11502119259885903"/>
          <c:y val="0.15036901019783594"/>
          <c:w val="0.8607363831587167"/>
          <c:h val="0.62693432095691592"/>
        </c:manualLayout>
      </c:layout>
      <c:barChart>
        <c:barDir val="col"/>
        <c:grouping val="clustered"/>
        <c:varyColors val="0"/>
        <c:ser>
          <c:idx val="0"/>
          <c:order val="0"/>
          <c:invertIfNegative val="0"/>
          <c:cat>
            <c:strRef>
              <c:f>'12 feb'!$J$5:$J$9</c:f>
              <c:strCache>
                <c:ptCount val="5"/>
                <c:pt idx="0">
                  <c:v>Major Cities</c:v>
                </c:pt>
                <c:pt idx="1">
                  <c:v>Inner Regional</c:v>
                </c:pt>
                <c:pt idx="2">
                  <c:v>Outer Regional</c:v>
                </c:pt>
                <c:pt idx="3">
                  <c:v>Remote </c:v>
                </c:pt>
                <c:pt idx="4">
                  <c:v>Very Remote</c:v>
                </c:pt>
              </c:strCache>
            </c:strRef>
          </c:cat>
          <c:val>
            <c:numRef>
              <c:f>'12 feb'!$K$5:$K$9</c:f>
              <c:numCache>
                <c:formatCode>General</c:formatCode>
                <c:ptCount val="5"/>
                <c:pt idx="0">
                  <c:v>93.924476065674696</c:v>
                </c:pt>
                <c:pt idx="1">
                  <c:v>86.491130159661992</c:v>
                </c:pt>
                <c:pt idx="2">
                  <c:v>77.499385653827417</c:v>
                </c:pt>
                <c:pt idx="3">
                  <c:v>74.673175434558132</c:v>
                </c:pt>
                <c:pt idx="4">
                  <c:v>69.793867212196787</c:v>
                </c:pt>
              </c:numCache>
            </c:numRef>
          </c:val>
        </c:ser>
        <c:dLbls>
          <c:showLegendKey val="0"/>
          <c:showVal val="0"/>
          <c:showCatName val="0"/>
          <c:showSerName val="0"/>
          <c:showPercent val="0"/>
          <c:showBubbleSize val="0"/>
        </c:dLbls>
        <c:gapWidth val="150"/>
        <c:axId val="38415744"/>
        <c:axId val="38434304"/>
      </c:barChart>
      <c:catAx>
        <c:axId val="38415744"/>
        <c:scaling>
          <c:orientation val="minMax"/>
        </c:scaling>
        <c:delete val="0"/>
        <c:axPos val="b"/>
        <c:title>
          <c:tx>
            <c:rich>
              <a:bodyPr/>
              <a:lstStyle/>
              <a:p>
                <a:pPr>
                  <a:defRPr sz="900"/>
                </a:pPr>
                <a:r>
                  <a:rPr lang="en-AU" sz="900"/>
                  <a:t>Remoteness class</a:t>
                </a:r>
              </a:p>
            </c:rich>
          </c:tx>
          <c:layout>
            <c:manualLayout>
              <c:xMode val="edge"/>
              <c:yMode val="edge"/>
              <c:x val="0.4408494392746361"/>
              <c:y val="0.9198680402103887"/>
            </c:manualLayout>
          </c:layout>
          <c:overlay val="0"/>
        </c:title>
        <c:majorTickMark val="out"/>
        <c:minorTickMark val="none"/>
        <c:tickLblPos val="nextTo"/>
        <c:crossAx val="38434304"/>
        <c:crosses val="autoZero"/>
        <c:auto val="1"/>
        <c:lblAlgn val="ctr"/>
        <c:lblOffset val="100"/>
        <c:noMultiLvlLbl val="0"/>
      </c:catAx>
      <c:valAx>
        <c:axId val="38434304"/>
        <c:scaling>
          <c:orientation val="minMax"/>
        </c:scaling>
        <c:delete val="0"/>
        <c:axPos val="l"/>
        <c:majorGridlines/>
        <c:title>
          <c:tx>
            <c:rich>
              <a:bodyPr rot="-5400000" vert="horz"/>
              <a:lstStyle/>
              <a:p>
                <a:pPr>
                  <a:defRPr sz="900"/>
                </a:pPr>
                <a:r>
                  <a:rPr lang="en-AU" sz="900"/>
                  <a:t>% of premises with access to </a:t>
                </a:r>
                <a:r>
                  <a:rPr lang="en-AU" sz="900" b="1" i="0" u="none" strike="noStrike" kern="1200" baseline="0">
                    <a:solidFill>
                      <a:sysClr val="windowText" lastClr="000000"/>
                    </a:solidFill>
                    <a:latin typeface="+mj-lt"/>
                    <a:ea typeface="+mn-ea"/>
                    <a:cs typeface="+mn-cs"/>
                  </a:rPr>
                  <a:t>ADSL</a:t>
                </a:r>
                <a:endParaRPr lang="en-AU" sz="900"/>
              </a:p>
            </c:rich>
          </c:tx>
          <c:layout>
            <c:manualLayout>
              <c:xMode val="edge"/>
              <c:yMode val="edge"/>
              <c:x val="8.8154269972451783E-3"/>
              <c:y val="0.11347836461153818"/>
            </c:manualLayout>
          </c:layout>
          <c:overlay val="0"/>
        </c:title>
        <c:numFmt formatCode="General" sourceLinked="1"/>
        <c:majorTickMark val="out"/>
        <c:minorTickMark val="none"/>
        <c:tickLblPos val="nextTo"/>
        <c:crossAx val="38415744"/>
        <c:crosses val="autoZero"/>
        <c:crossBetween val="between"/>
        <c:majorUnit val="20"/>
      </c:valAx>
    </c:plotArea>
    <c:plotVisOnly val="1"/>
    <c:dispBlanksAs val="gap"/>
    <c:showDLblsOverMax val="0"/>
  </c:chart>
  <c:txPr>
    <a:bodyPr/>
    <a:lstStyle/>
    <a:p>
      <a:pPr>
        <a:defRPr>
          <a:latin typeface="+mj-lt"/>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Distribution of</a:t>
            </a:r>
            <a:r>
              <a:rPr lang="en-US" sz="1200" baseline="0"/>
              <a:t> f</a:t>
            </a:r>
            <a:r>
              <a:rPr lang="en-US" sz="1200"/>
              <a:t>ixed broadband quality ratings</a:t>
            </a:r>
          </a:p>
        </c:rich>
      </c:tx>
      <c:overlay val="0"/>
    </c:title>
    <c:autoTitleDeleted val="0"/>
    <c:plotArea>
      <c:layout>
        <c:manualLayout>
          <c:layoutTarget val="inner"/>
          <c:xMode val="edge"/>
          <c:yMode val="edge"/>
          <c:x val="0.11144685039370079"/>
          <c:y val="0.16089129483814524"/>
          <c:w val="0.85799759405074361"/>
          <c:h val="0.6434758675998834"/>
        </c:manualLayout>
      </c:layout>
      <c:barChart>
        <c:barDir val="col"/>
        <c:grouping val="clustered"/>
        <c:varyColors val="0"/>
        <c:ser>
          <c:idx val="0"/>
          <c:order val="0"/>
          <c:spPr>
            <a:solidFill>
              <a:schemeClr val="accent2"/>
            </a:solidFill>
          </c:spPr>
          <c:invertIfNegative val="0"/>
          <c:cat>
            <c:strRef>
              <c:f>'Quality bands manual'!$S$2:$S$6</c:f>
              <c:strCache>
                <c:ptCount val="5"/>
                <c:pt idx="0">
                  <c:v>A (highest)</c:v>
                </c:pt>
                <c:pt idx="1">
                  <c:v>B</c:v>
                </c:pt>
                <c:pt idx="2">
                  <c:v>C</c:v>
                </c:pt>
                <c:pt idx="3">
                  <c:v>D</c:v>
                </c:pt>
                <c:pt idx="4">
                  <c:v>E (lowest)</c:v>
                </c:pt>
              </c:strCache>
            </c:strRef>
          </c:cat>
          <c:val>
            <c:numRef>
              <c:f>'Quality bands manual'!$T$11:$T$15</c:f>
              <c:numCache>
                <c:formatCode>_(* #,##0.00_);_(* \(#,##0.00\);_(* "-"??_);_(@_)</c:formatCode>
                <c:ptCount val="5"/>
                <c:pt idx="0">
                  <c:v>3.1262332396388883</c:v>
                </c:pt>
                <c:pt idx="1">
                  <c:v>32.690864154392862</c:v>
                </c:pt>
                <c:pt idx="2">
                  <c:v>3.4702391772642076</c:v>
                </c:pt>
                <c:pt idx="3">
                  <c:v>13.25211951056929</c:v>
                </c:pt>
                <c:pt idx="4">
                  <c:v>47.460543918134746</c:v>
                </c:pt>
              </c:numCache>
            </c:numRef>
          </c:val>
        </c:ser>
        <c:dLbls>
          <c:showLegendKey val="0"/>
          <c:showVal val="0"/>
          <c:showCatName val="0"/>
          <c:showSerName val="0"/>
          <c:showPercent val="0"/>
          <c:showBubbleSize val="0"/>
        </c:dLbls>
        <c:gapWidth val="150"/>
        <c:axId val="38458496"/>
        <c:axId val="38460416"/>
      </c:barChart>
      <c:catAx>
        <c:axId val="38458496"/>
        <c:scaling>
          <c:orientation val="minMax"/>
        </c:scaling>
        <c:delete val="0"/>
        <c:axPos val="b"/>
        <c:title>
          <c:tx>
            <c:rich>
              <a:bodyPr/>
              <a:lstStyle/>
              <a:p>
                <a:pPr>
                  <a:defRPr/>
                </a:pPr>
                <a:r>
                  <a:rPr lang="en-US"/>
                  <a:t>Fixed Broadband Quality rating</a:t>
                </a:r>
              </a:p>
            </c:rich>
          </c:tx>
          <c:layout>
            <c:manualLayout>
              <c:xMode val="edge"/>
              <c:yMode val="edge"/>
              <c:x val="0.31730664916885387"/>
              <c:y val="0.89719889180519097"/>
            </c:manualLayout>
          </c:layout>
          <c:overlay val="0"/>
        </c:title>
        <c:majorTickMark val="out"/>
        <c:minorTickMark val="none"/>
        <c:tickLblPos val="nextTo"/>
        <c:crossAx val="38460416"/>
        <c:crosses val="autoZero"/>
        <c:auto val="1"/>
        <c:lblAlgn val="ctr"/>
        <c:lblOffset val="100"/>
        <c:noMultiLvlLbl val="0"/>
      </c:catAx>
      <c:valAx>
        <c:axId val="38460416"/>
        <c:scaling>
          <c:orientation val="minMax"/>
        </c:scaling>
        <c:delete val="0"/>
        <c:axPos val="l"/>
        <c:majorGridlines/>
        <c:title>
          <c:tx>
            <c:rich>
              <a:bodyPr rot="-5400000" vert="horz"/>
              <a:lstStyle/>
              <a:p>
                <a:pPr>
                  <a:defRPr/>
                </a:pPr>
                <a:r>
                  <a:rPr lang="en-US"/>
                  <a:t>% of premises</a:t>
                </a:r>
              </a:p>
            </c:rich>
          </c:tx>
          <c:layout>
            <c:manualLayout>
              <c:xMode val="edge"/>
              <c:yMode val="edge"/>
              <c:x val="1.3888888888888888E-2"/>
              <c:y val="0.32543015456401281"/>
            </c:manualLayout>
          </c:layout>
          <c:overlay val="0"/>
        </c:title>
        <c:numFmt formatCode="0" sourceLinked="0"/>
        <c:majorTickMark val="out"/>
        <c:minorTickMark val="none"/>
        <c:tickLblPos val="nextTo"/>
        <c:crossAx val="38458496"/>
        <c:crosses val="autoZero"/>
        <c:crossBetween val="between"/>
        <c:majorUnit val="20"/>
      </c:valAx>
      <c:spPr>
        <a:solidFill>
          <a:schemeClr val="bg1">
            <a:lumMod val="95000"/>
          </a:schemeClr>
        </a:solidFill>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a:pPr>
            <a:r>
              <a:rPr lang="en-AU" sz="1100"/>
              <a:t>Relative distribution of fixed broadband quality ratings by state</a:t>
            </a:r>
          </a:p>
        </c:rich>
      </c:tx>
      <c:layout>
        <c:manualLayout>
          <c:xMode val="edge"/>
          <c:yMode val="edge"/>
          <c:x val="0.17369149305555556"/>
          <c:y val="1.5119047619047619E-2"/>
        </c:manualLayout>
      </c:layout>
      <c:overlay val="0"/>
    </c:title>
    <c:autoTitleDeleted val="0"/>
    <c:plotArea>
      <c:layout>
        <c:manualLayout>
          <c:layoutTarget val="inner"/>
          <c:xMode val="edge"/>
          <c:yMode val="edge"/>
          <c:x val="7.9707812500000003E-2"/>
          <c:y val="0.12311944444444445"/>
          <c:w val="0.77226382110297631"/>
          <c:h val="0.67903928571428562"/>
        </c:manualLayout>
      </c:layout>
      <c:barChart>
        <c:barDir val="bar"/>
        <c:grouping val="percentStacked"/>
        <c:varyColors val="0"/>
        <c:ser>
          <c:idx val="0"/>
          <c:order val="0"/>
          <c:tx>
            <c:strRef>
              <c:f>'data - with pair gains stuff'!$BN$44</c:f>
              <c:strCache>
                <c:ptCount val="1"/>
                <c:pt idx="0">
                  <c:v>A (Highest)</c:v>
                </c:pt>
              </c:strCache>
            </c:strRef>
          </c:tx>
          <c:spPr>
            <a:ln>
              <a:noFill/>
            </a:ln>
          </c:spPr>
          <c:invertIfNegative val="0"/>
          <c:cat>
            <c:strRef>
              <c:f>'data - with pair gains stuff'!$BM$54:$BM$61</c:f>
              <c:strCache>
                <c:ptCount val="8"/>
                <c:pt idx="0">
                  <c:v>NT</c:v>
                </c:pt>
                <c:pt idx="1">
                  <c:v>TAS</c:v>
                </c:pt>
                <c:pt idx="2">
                  <c:v>WA</c:v>
                </c:pt>
                <c:pt idx="3">
                  <c:v>SA</c:v>
                </c:pt>
                <c:pt idx="4">
                  <c:v>QLD</c:v>
                </c:pt>
                <c:pt idx="5">
                  <c:v>NSW</c:v>
                </c:pt>
                <c:pt idx="6">
                  <c:v>VIC</c:v>
                </c:pt>
                <c:pt idx="7">
                  <c:v>ACT</c:v>
                </c:pt>
              </c:strCache>
            </c:strRef>
          </c:cat>
          <c:val>
            <c:numRef>
              <c:f>'data - with pair gains stuff'!$BN$54:$BN$61</c:f>
              <c:numCache>
                <c:formatCode>General</c:formatCode>
                <c:ptCount val="8"/>
                <c:pt idx="0">
                  <c:v>2404.7800000000002</c:v>
                </c:pt>
                <c:pt idx="1">
                  <c:v>19743</c:v>
                </c:pt>
                <c:pt idx="2">
                  <c:v>23103.470000000012</c:v>
                </c:pt>
                <c:pt idx="3">
                  <c:v>6645.99</c:v>
                </c:pt>
                <c:pt idx="4">
                  <c:v>87380.299999999988</c:v>
                </c:pt>
                <c:pt idx="5">
                  <c:v>91531.900000000009</c:v>
                </c:pt>
                <c:pt idx="6">
                  <c:v>87957.709999999992</c:v>
                </c:pt>
                <c:pt idx="7">
                  <c:v>22739.31</c:v>
                </c:pt>
              </c:numCache>
            </c:numRef>
          </c:val>
        </c:ser>
        <c:ser>
          <c:idx val="1"/>
          <c:order val="1"/>
          <c:tx>
            <c:strRef>
              <c:f>'data - with pair gains stuff'!$BO$44</c:f>
              <c:strCache>
                <c:ptCount val="1"/>
                <c:pt idx="0">
                  <c:v>B</c:v>
                </c:pt>
              </c:strCache>
            </c:strRef>
          </c:tx>
          <c:spPr>
            <a:solidFill>
              <a:schemeClr val="accent6"/>
            </a:solidFill>
            <a:ln>
              <a:noFill/>
            </a:ln>
          </c:spPr>
          <c:invertIfNegative val="0"/>
          <c:cat>
            <c:strRef>
              <c:f>'data - with pair gains stuff'!$BM$54:$BM$61</c:f>
              <c:strCache>
                <c:ptCount val="8"/>
                <c:pt idx="0">
                  <c:v>NT</c:v>
                </c:pt>
                <c:pt idx="1">
                  <c:v>TAS</c:v>
                </c:pt>
                <c:pt idx="2">
                  <c:v>WA</c:v>
                </c:pt>
                <c:pt idx="3">
                  <c:v>SA</c:v>
                </c:pt>
                <c:pt idx="4">
                  <c:v>QLD</c:v>
                </c:pt>
                <c:pt idx="5">
                  <c:v>NSW</c:v>
                </c:pt>
                <c:pt idx="6">
                  <c:v>VIC</c:v>
                </c:pt>
                <c:pt idx="7">
                  <c:v>ACT</c:v>
                </c:pt>
              </c:strCache>
            </c:strRef>
          </c:cat>
          <c:val>
            <c:numRef>
              <c:f>'data - with pair gains stuff'!$BO$54:$BO$61</c:f>
              <c:numCache>
                <c:formatCode>General</c:formatCode>
                <c:ptCount val="8"/>
                <c:pt idx="0">
                  <c:v>117</c:v>
                </c:pt>
                <c:pt idx="1">
                  <c:v>9406</c:v>
                </c:pt>
                <c:pt idx="2">
                  <c:v>134040.9499999999</c:v>
                </c:pt>
                <c:pt idx="3">
                  <c:v>251241.24</c:v>
                </c:pt>
                <c:pt idx="4">
                  <c:v>754533.08999999962</c:v>
                </c:pt>
                <c:pt idx="5">
                  <c:v>1185304.1800000027</c:v>
                </c:pt>
                <c:pt idx="6">
                  <c:v>1184342.3199999959</c:v>
                </c:pt>
                <c:pt idx="7">
                  <c:v>52131.139999999963</c:v>
                </c:pt>
              </c:numCache>
            </c:numRef>
          </c:val>
        </c:ser>
        <c:ser>
          <c:idx val="2"/>
          <c:order val="2"/>
          <c:tx>
            <c:strRef>
              <c:f>'data - with pair gains stuff'!$BP$44</c:f>
              <c:strCache>
                <c:ptCount val="1"/>
                <c:pt idx="0">
                  <c:v>C</c:v>
                </c:pt>
              </c:strCache>
            </c:strRef>
          </c:tx>
          <c:spPr>
            <a:ln>
              <a:noFill/>
            </a:ln>
          </c:spPr>
          <c:invertIfNegative val="0"/>
          <c:cat>
            <c:strRef>
              <c:f>'data - with pair gains stuff'!$BM$54:$BM$61</c:f>
              <c:strCache>
                <c:ptCount val="8"/>
                <c:pt idx="0">
                  <c:v>NT</c:v>
                </c:pt>
                <c:pt idx="1">
                  <c:v>TAS</c:v>
                </c:pt>
                <c:pt idx="2">
                  <c:v>WA</c:v>
                </c:pt>
                <c:pt idx="3">
                  <c:v>SA</c:v>
                </c:pt>
                <c:pt idx="4">
                  <c:v>QLD</c:v>
                </c:pt>
                <c:pt idx="5">
                  <c:v>NSW</c:v>
                </c:pt>
                <c:pt idx="6">
                  <c:v>VIC</c:v>
                </c:pt>
                <c:pt idx="7">
                  <c:v>ACT</c:v>
                </c:pt>
              </c:strCache>
            </c:strRef>
          </c:cat>
          <c:val>
            <c:numRef>
              <c:f>'data - with pair gains stuff'!$BP$54:$BP$61</c:f>
              <c:numCache>
                <c:formatCode>General</c:formatCode>
                <c:ptCount val="8"/>
                <c:pt idx="0">
                  <c:v>282</c:v>
                </c:pt>
                <c:pt idx="1">
                  <c:v>4318</c:v>
                </c:pt>
                <c:pt idx="2">
                  <c:v>9592.7800000000007</c:v>
                </c:pt>
                <c:pt idx="3">
                  <c:v>8706.7699999999986</c:v>
                </c:pt>
                <c:pt idx="4">
                  <c:v>63706.800000000032</c:v>
                </c:pt>
                <c:pt idx="5">
                  <c:v>136563.18000000005</c:v>
                </c:pt>
                <c:pt idx="6">
                  <c:v>140190.44999999987</c:v>
                </c:pt>
                <c:pt idx="7">
                  <c:v>15725.329999999998</c:v>
                </c:pt>
              </c:numCache>
            </c:numRef>
          </c:val>
        </c:ser>
        <c:ser>
          <c:idx val="3"/>
          <c:order val="3"/>
          <c:tx>
            <c:strRef>
              <c:f>'data - with pair gains stuff'!$BQ$44</c:f>
              <c:strCache>
                <c:ptCount val="1"/>
                <c:pt idx="0">
                  <c:v>D</c:v>
                </c:pt>
              </c:strCache>
            </c:strRef>
          </c:tx>
          <c:spPr>
            <a:ln>
              <a:noFill/>
            </a:ln>
          </c:spPr>
          <c:invertIfNegative val="0"/>
          <c:cat>
            <c:strRef>
              <c:f>'data - with pair gains stuff'!$BM$54:$BM$61</c:f>
              <c:strCache>
                <c:ptCount val="8"/>
                <c:pt idx="0">
                  <c:v>NT</c:v>
                </c:pt>
                <c:pt idx="1">
                  <c:v>TAS</c:v>
                </c:pt>
                <c:pt idx="2">
                  <c:v>WA</c:v>
                </c:pt>
                <c:pt idx="3">
                  <c:v>SA</c:v>
                </c:pt>
                <c:pt idx="4">
                  <c:v>QLD</c:v>
                </c:pt>
                <c:pt idx="5">
                  <c:v>NSW</c:v>
                </c:pt>
                <c:pt idx="6">
                  <c:v>VIC</c:v>
                </c:pt>
                <c:pt idx="7">
                  <c:v>ACT</c:v>
                </c:pt>
              </c:strCache>
            </c:strRef>
          </c:cat>
          <c:val>
            <c:numRef>
              <c:f>'data - with pair gains stuff'!$BQ$54:$BQ$61</c:f>
              <c:numCache>
                <c:formatCode>General</c:formatCode>
                <c:ptCount val="8"/>
                <c:pt idx="0">
                  <c:v>10181.960000000001</c:v>
                </c:pt>
                <c:pt idx="1">
                  <c:v>31683.369999999995</c:v>
                </c:pt>
                <c:pt idx="2">
                  <c:v>165353.00000000012</c:v>
                </c:pt>
                <c:pt idx="3">
                  <c:v>92491.289999999979</c:v>
                </c:pt>
                <c:pt idx="4">
                  <c:v>290362.70999999985</c:v>
                </c:pt>
                <c:pt idx="5">
                  <c:v>462079.12000000104</c:v>
                </c:pt>
                <c:pt idx="6">
                  <c:v>368936.74999999942</c:v>
                </c:pt>
                <c:pt idx="7">
                  <c:v>26559.519999999993</c:v>
                </c:pt>
              </c:numCache>
            </c:numRef>
          </c:val>
        </c:ser>
        <c:ser>
          <c:idx val="4"/>
          <c:order val="4"/>
          <c:tx>
            <c:strRef>
              <c:f>'data - with pair gains stuff'!$BR$44</c:f>
              <c:strCache>
                <c:ptCount val="1"/>
                <c:pt idx="0">
                  <c:v>E (lowest)</c:v>
                </c:pt>
              </c:strCache>
            </c:strRef>
          </c:tx>
          <c:spPr>
            <a:solidFill>
              <a:schemeClr val="accent2"/>
            </a:solidFill>
            <a:ln>
              <a:noFill/>
            </a:ln>
          </c:spPr>
          <c:invertIfNegative val="0"/>
          <c:cat>
            <c:strRef>
              <c:f>'data - with pair gains stuff'!$BM$54:$BM$61</c:f>
              <c:strCache>
                <c:ptCount val="8"/>
                <c:pt idx="0">
                  <c:v>NT</c:v>
                </c:pt>
                <c:pt idx="1">
                  <c:v>TAS</c:v>
                </c:pt>
                <c:pt idx="2">
                  <c:v>WA</c:v>
                </c:pt>
                <c:pt idx="3">
                  <c:v>SA</c:v>
                </c:pt>
                <c:pt idx="4">
                  <c:v>QLD</c:v>
                </c:pt>
                <c:pt idx="5">
                  <c:v>NSW</c:v>
                </c:pt>
                <c:pt idx="6">
                  <c:v>VIC</c:v>
                </c:pt>
                <c:pt idx="7">
                  <c:v>ACT</c:v>
                </c:pt>
              </c:strCache>
            </c:strRef>
          </c:cat>
          <c:val>
            <c:numRef>
              <c:f>'data - with pair gains stuff'!$BR$54:$BR$61</c:f>
              <c:numCache>
                <c:formatCode>General</c:formatCode>
                <c:ptCount val="8"/>
                <c:pt idx="0">
                  <c:v>68335.799999999988</c:v>
                </c:pt>
                <c:pt idx="1">
                  <c:v>201306.01000000004</c:v>
                </c:pt>
                <c:pt idx="2">
                  <c:v>834298.27000000107</c:v>
                </c:pt>
                <c:pt idx="3">
                  <c:v>440746.16999999824</c:v>
                </c:pt>
                <c:pt idx="4">
                  <c:v>1052213.3199999989</c:v>
                </c:pt>
                <c:pt idx="5">
                  <c:v>1509402.3400000026</c:v>
                </c:pt>
                <c:pt idx="6">
                  <c:v>1015371.1000000056</c:v>
                </c:pt>
                <c:pt idx="7">
                  <c:v>62867.329999999965</c:v>
                </c:pt>
              </c:numCache>
            </c:numRef>
          </c:val>
        </c:ser>
        <c:dLbls>
          <c:showLegendKey val="0"/>
          <c:showVal val="0"/>
          <c:showCatName val="0"/>
          <c:showSerName val="0"/>
          <c:showPercent val="0"/>
          <c:showBubbleSize val="0"/>
        </c:dLbls>
        <c:gapWidth val="150"/>
        <c:overlap val="100"/>
        <c:axId val="39848576"/>
        <c:axId val="39858560"/>
      </c:barChart>
      <c:catAx>
        <c:axId val="39848576"/>
        <c:scaling>
          <c:orientation val="minMax"/>
        </c:scaling>
        <c:delete val="0"/>
        <c:axPos val="l"/>
        <c:majorTickMark val="out"/>
        <c:minorTickMark val="none"/>
        <c:tickLblPos val="nextTo"/>
        <c:txPr>
          <a:bodyPr/>
          <a:lstStyle/>
          <a:p>
            <a:pPr>
              <a:defRPr b="0"/>
            </a:pPr>
            <a:endParaRPr lang="en-US"/>
          </a:p>
        </c:txPr>
        <c:crossAx val="39858560"/>
        <c:crosses val="autoZero"/>
        <c:auto val="1"/>
        <c:lblAlgn val="ctr"/>
        <c:lblOffset val="100"/>
        <c:noMultiLvlLbl val="0"/>
      </c:catAx>
      <c:valAx>
        <c:axId val="39858560"/>
        <c:scaling>
          <c:orientation val="minMax"/>
        </c:scaling>
        <c:delete val="0"/>
        <c:axPos val="b"/>
        <c:majorGridlines>
          <c:spPr>
            <a:ln>
              <a:noFill/>
            </a:ln>
          </c:spPr>
        </c:majorGridlines>
        <c:title>
          <c:tx>
            <c:rich>
              <a:bodyPr/>
              <a:lstStyle/>
              <a:p>
                <a:pPr>
                  <a:defRPr/>
                </a:pPr>
                <a:r>
                  <a:rPr lang="en-US"/>
                  <a:t>% of premises in state/territory</a:t>
                </a:r>
              </a:p>
            </c:rich>
          </c:tx>
          <c:layout>
            <c:manualLayout>
              <c:xMode val="edge"/>
              <c:yMode val="edge"/>
              <c:x val="0.30104565972222225"/>
              <c:y val="0.91833174603174605"/>
            </c:manualLayout>
          </c:layout>
          <c:overlay val="0"/>
        </c:title>
        <c:numFmt formatCode="0%" sourceLinked="1"/>
        <c:majorTickMark val="out"/>
        <c:minorTickMark val="none"/>
        <c:tickLblPos val="nextTo"/>
        <c:crossAx val="39848576"/>
        <c:crosses val="autoZero"/>
        <c:crossBetween val="between"/>
      </c:valAx>
    </c:plotArea>
    <c:legend>
      <c:legendPos val="r"/>
      <c:layout>
        <c:manualLayout>
          <c:xMode val="edge"/>
          <c:yMode val="edge"/>
          <c:x val="0.86371822916666663"/>
          <c:y val="0.32868968253968256"/>
          <c:w val="0.13628179064269383"/>
          <c:h val="0.45566071428571431"/>
        </c:manualLayou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ADA4D9-718C-48B2-9C2F-E904C03E3AF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AU"/>
        </a:p>
      </dgm:t>
    </dgm:pt>
    <dgm:pt modelId="{5F16357D-9E30-461E-8E65-12B7ABD33196}">
      <dgm:prSet phldrT="[Text]" custT="1"/>
      <dgm:spPr>
        <a:xfrm>
          <a:off x="3483181" y="222084"/>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1050" dirty="0">
              <a:solidFill>
                <a:sysClr val="windowText" lastClr="000000"/>
              </a:solidFill>
              <a:latin typeface="Calibri"/>
              <a:ea typeface="+mn-ea"/>
              <a:cs typeface="+mn-cs"/>
            </a:rPr>
            <a:t>Broadband Availability</a:t>
          </a:r>
          <a:endParaRPr lang="en-AU" sz="1050">
            <a:solidFill>
              <a:sysClr val="window" lastClr="FFFFFF"/>
            </a:solidFill>
            <a:latin typeface="Cambria"/>
            <a:ea typeface="+mn-ea"/>
            <a:cs typeface="+mn-cs"/>
          </a:endParaRPr>
        </a:p>
      </dgm:t>
    </dgm:pt>
    <dgm:pt modelId="{C53BAAA1-D772-4C85-AFDD-8B7711A39A0F}" type="parTrans" cxnId="{EE57E637-7CF4-44F8-9C0E-5C792B041164}">
      <dgm:prSet/>
      <dgm:spPr/>
      <dgm:t>
        <a:bodyPr/>
        <a:lstStyle/>
        <a:p>
          <a:endParaRPr lang="en-AU" sz="1400"/>
        </a:p>
      </dgm:t>
    </dgm:pt>
    <dgm:pt modelId="{BEE2CDEC-EB66-427E-9882-7942E6B84BF7}" type="sibTrans" cxnId="{EE57E637-7CF4-44F8-9C0E-5C792B041164}">
      <dgm:prSet/>
      <dgm:spPr/>
      <dgm:t>
        <a:bodyPr/>
        <a:lstStyle/>
        <a:p>
          <a:endParaRPr lang="en-AU" sz="1400"/>
        </a:p>
      </dgm:t>
    </dgm:pt>
    <dgm:pt modelId="{EDAD3E5C-1B58-48A8-83D2-5FC5553B20BB}">
      <dgm:prSet phldrT="[Text]" custT="1"/>
      <dgm:spPr>
        <a:xfrm>
          <a:off x="1881086" y="1017"/>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1050" dirty="0">
              <a:solidFill>
                <a:sysClr val="windowText" lastClr="000000"/>
              </a:solidFill>
              <a:latin typeface="Calibri"/>
              <a:ea typeface="+mn-ea"/>
              <a:cs typeface="+mn-cs"/>
            </a:rPr>
            <a:t>Network Coverage</a:t>
          </a:r>
        </a:p>
      </dgm:t>
    </dgm:pt>
    <dgm:pt modelId="{F6741A23-76FB-46EB-BC9C-8A92BBA2EEAF}" type="parTrans" cxnId="{A231BCC9-0A74-499F-B224-D2A96DCF5E4D}">
      <dgm:prSet/>
      <dgm:spPr>
        <a:xfrm>
          <a:off x="2935206" y="161770"/>
          <a:ext cx="547974" cy="221067"/>
        </a:xfrm>
        <a:custGeom>
          <a:avLst/>
          <a:gdLst/>
          <a:ahLst/>
          <a:cxnLst/>
          <a:rect l="0" t="0" r="0" b="0"/>
          <a:pathLst>
            <a:path>
              <a:moveTo>
                <a:pt x="547974" y="221067"/>
              </a:moveTo>
              <a:lnTo>
                <a:pt x="105412" y="221067"/>
              </a:lnTo>
              <a:lnTo>
                <a:pt x="105412" y="0"/>
              </a:lnTo>
              <a:lnTo>
                <a:pt x="0"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AU" sz="1050"/>
        </a:p>
      </dgm:t>
    </dgm:pt>
    <dgm:pt modelId="{CE63F880-7998-49AB-8379-7DB8DDA63A7F}" type="sibTrans" cxnId="{A231BCC9-0A74-499F-B224-D2A96DCF5E4D}">
      <dgm:prSet/>
      <dgm:spPr/>
      <dgm:t>
        <a:bodyPr/>
        <a:lstStyle/>
        <a:p>
          <a:endParaRPr lang="en-AU" sz="1400"/>
        </a:p>
      </dgm:t>
    </dgm:pt>
    <dgm:pt modelId="{A1661C7A-0DCF-4EDB-A220-D18B419A7D8E}">
      <dgm:prSet phldrT="[Text]" custT="1"/>
      <dgm:spPr>
        <a:xfrm>
          <a:off x="1881086" y="454289"/>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1050" dirty="0">
              <a:solidFill>
                <a:sysClr val="windowText" lastClr="000000"/>
              </a:solidFill>
              <a:latin typeface="Calibri"/>
              <a:ea typeface="+mn-ea"/>
              <a:cs typeface="+mn-cs"/>
            </a:rPr>
            <a:t>Impediments</a:t>
          </a:r>
        </a:p>
      </dgm:t>
    </dgm:pt>
    <dgm:pt modelId="{1036C5E0-A446-408B-9AFA-49F8C6A0CBEE}" type="parTrans" cxnId="{E6E2B8E1-AF07-420B-BC39-67B22B8FD4D2}">
      <dgm:prSet/>
      <dgm:spPr>
        <a:xfrm>
          <a:off x="2935206" y="382838"/>
          <a:ext cx="547974" cy="232204"/>
        </a:xfrm>
        <a:custGeom>
          <a:avLst/>
          <a:gdLst/>
          <a:ahLst/>
          <a:cxnLst/>
          <a:rect l="0" t="0" r="0" b="0"/>
          <a:pathLst>
            <a:path>
              <a:moveTo>
                <a:pt x="547974" y="0"/>
              </a:moveTo>
              <a:lnTo>
                <a:pt x="105412" y="0"/>
              </a:lnTo>
              <a:lnTo>
                <a:pt x="105412" y="232204"/>
              </a:lnTo>
              <a:lnTo>
                <a:pt x="0" y="232204"/>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AU" sz="1050"/>
        </a:p>
      </dgm:t>
    </dgm:pt>
    <dgm:pt modelId="{88A69171-AA00-4570-92B7-38D3B6E04248}" type="sibTrans" cxnId="{E6E2B8E1-AF07-420B-BC39-67B22B8FD4D2}">
      <dgm:prSet/>
      <dgm:spPr/>
      <dgm:t>
        <a:bodyPr/>
        <a:lstStyle/>
        <a:p>
          <a:endParaRPr lang="en-AU" sz="1400"/>
        </a:p>
      </dgm:t>
    </dgm:pt>
    <dgm:pt modelId="{853A45E2-9444-4699-AB99-EA0A97CE61D1}">
      <dgm:prSet phldrT="[Text]" custT="1"/>
      <dgm:spPr>
        <a:xfrm>
          <a:off x="3483181" y="1107219"/>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1050" dirty="0">
              <a:solidFill>
                <a:sysClr val="windowText" lastClr="000000"/>
              </a:solidFill>
              <a:latin typeface="Calibri"/>
              <a:ea typeface="+mn-ea"/>
              <a:cs typeface="+mn-cs"/>
            </a:rPr>
            <a:t>Broadband Quality</a:t>
          </a:r>
        </a:p>
      </dgm:t>
    </dgm:pt>
    <dgm:pt modelId="{9EEA6C8F-264E-4AE8-A87E-DBDFCD946847}" type="parTrans" cxnId="{472CC388-3094-4F4A-9BEE-A74803AECC08}">
      <dgm:prSet/>
      <dgm:spPr/>
      <dgm:t>
        <a:bodyPr/>
        <a:lstStyle/>
        <a:p>
          <a:endParaRPr lang="en-AU" sz="1400"/>
        </a:p>
      </dgm:t>
    </dgm:pt>
    <dgm:pt modelId="{596C20C6-1ABD-483A-832B-7AEA81940251}" type="sibTrans" cxnId="{472CC388-3094-4F4A-9BEE-A74803AECC08}">
      <dgm:prSet/>
      <dgm:spPr/>
      <dgm:t>
        <a:bodyPr/>
        <a:lstStyle/>
        <a:p>
          <a:endParaRPr lang="en-AU" sz="1400"/>
        </a:p>
      </dgm:t>
    </dgm:pt>
    <dgm:pt modelId="{CB49F4E5-72F4-459B-99A5-A0E16B92A5E4}">
      <dgm:prSet phldrT="[Text]" custT="1"/>
      <dgm:spPr>
        <a:xfrm>
          <a:off x="1881086" y="907561"/>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1050" dirty="0">
              <a:solidFill>
                <a:sysClr val="windowText" lastClr="000000"/>
              </a:solidFill>
              <a:latin typeface="Calibri"/>
              <a:ea typeface="+mn-ea"/>
              <a:cs typeface="+mn-cs"/>
            </a:rPr>
            <a:t>Network Coverage</a:t>
          </a:r>
        </a:p>
      </dgm:t>
    </dgm:pt>
    <dgm:pt modelId="{9F1AF04A-7038-4A48-A299-7C19C98BE5DD}" type="parTrans" cxnId="{C1797564-0C25-4A7A-A7F1-E5F06AA889E7}">
      <dgm:prSet/>
      <dgm:spPr>
        <a:xfrm>
          <a:off x="2935206" y="1068314"/>
          <a:ext cx="547974" cy="199658"/>
        </a:xfrm>
        <a:custGeom>
          <a:avLst/>
          <a:gdLst/>
          <a:ahLst/>
          <a:cxnLst/>
          <a:rect l="0" t="0" r="0" b="0"/>
          <a:pathLst>
            <a:path>
              <a:moveTo>
                <a:pt x="547974" y="199658"/>
              </a:moveTo>
              <a:lnTo>
                <a:pt x="105412" y="199658"/>
              </a:lnTo>
              <a:lnTo>
                <a:pt x="105412" y="0"/>
              </a:lnTo>
              <a:lnTo>
                <a:pt x="0"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AU" sz="1050"/>
        </a:p>
      </dgm:t>
    </dgm:pt>
    <dgm:pt modelId="{D45B2A75-4D3A-4DB1-984B-B8DCB9134199}" type="sibTrans" cxnId="{C1797564-0C25-4A7A-A7F1-E5F06AA889E7}">
      <dgm:prSet/>
      <dgm:spPr/>
      <dgm:t>
        <a:bodyPr/>
        <a:lstStyle/>
        <a:p>
          <a:endParaRPr lang="en-AU" sz="1400"/>
        </a:p>
      </dgm:t>
    </dgm:pt>
    <dgm:pt modelId="{CC19E5F5-81F7-4C9D-B1C5-8F5BE6D02E3E}">
      <dgm:prSet phldrT="[Text]" custT="1"/>
      <dgm:spPr>
        <a:xfrm>
          <a:off x="1881086" y="1360833"/>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AU" sz="1050" dirty="0">
              <a:solidFill>
                <a:sysClr val="windowText" lastClr="000000"/>
              </a:solidFill>
              <a:latin typeface="Calibri"/>
              <a:ea typeface="+mn-ea"/>
              <a:cs typeface="+mn-cs"/>
            </a:rPr>
            <a:t>Performance impediments</a:t>
          </a:r>
        </a:p>
      </dgm:t>
    </dgm:pt>
    <dgm:pt modelId="{7C072A48-702A-4D16-81EE-5A89894C1D48}" type="parTrans" cxnId="{7B518289-5D8C-4C52-8D8D-309AE951E62A}">
      <dgm:prSet/>
      <dgm:spPr>
        <a:xfrm>
          <a:off x="2935206" y="1267972"/>
          <a:ext cx="547974" cy="253613"/>
        </a:xfrm>
        <a:custGeom>
          <a:avLst/>
          <a:gdLst/>
          <a:ahLst/>
          <a:cxnLst/>
          <a:rect l="0" t="0" r="0" b="0"/>
          <a:pathLst>
            <a:path>
              <a:moveTo>
                <a:pt x="547974" y="0"/>
              </a:moveTo>
              <a:lnTo>
                <a:pt x="105412" y="0"/>
              </a:lnTo>
              <a:lnTo>
                <a:pt x="105412" y="253613"/>
              </a:lnTo>
              <a:lnTo>
                <a:pt x="0" y="253613"/>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AU" sz="1050"/>
        </a:p>
      </dgm:t>
    </dgm:pt>
    <dgm:pt modelId="{79ECC101-E3BA-414C-9083-1ABF596FD133}" type="sibTrans" cxnId="{7B518289-5D8C-4C52-8D8D-309AE951E62A}">
      <dgm:prSet/>
      <dgm:spPr/>
      <dgm:t>
        <a:bodyPr/>
        <a:lstStyle/>
        <a:p>
          <a:endParaRPr lang="en-AU" sz="1400"/>
        </a:p>
      </dgm:t>
    </dgm:pt>
    <dgm:pt modelId="{014F230B-8C38-4372-8679-41F76E2C6E0A}" type="pres">
      <dgm:prSet presAssocID="{D8ADA4D9-718C-48B2-9C2F-E904C03E3AF1}" presName="hierChild1" presStyleCnt="0">
        <dgm:presLayoutVars>
          <dgm:orgChart val="1"/>
          <dgm:chPref val="1"/>
          <dgm:dir val="rev"/>
          <dgm:animOne val="branch"/>
          <dgm:animLvl val="lvl"/>
          <dgm:resizeHandles/>
        </dgm:presLayoutVars>
      </dgm:prSet>
      <dgm:spPr/>
      <dgm:t>
        <a:bodyPr/>
        <a:lstStyle/>
        <a:p>
          <a:endParaRPr lang="en-AU"/>
        </a:p>
      </dgm:t>
    </dgm:pt>
    <dgm:pt modelId="{D0293B47-BED3-40FD-A66D-0143219EB954}" type="pres">
      <dgm:prSet presAssocID="{5F16357D-9E30-461E-8E65-12B7ABD33196}" presName="hierRoot1" presStyleCnt="0">
        <dgm:presLayoutVars>
          <dgm:hierBranch val="init"/>
        </dgm:presLayoutVars>
      </dgm:prSet>
      <dgm:spPr/>
    </dgm:pt>
    <dgm:pt modelId="{D340253B-64A0-4116-AC20-7295DEA61339}" type="pres">
      <dgm:prSet presAssocID="{5F16357D-9E30-461E-8E65-12B7ABD33196}" presName="rootComposite1" presStyleCnt="0"/>
      <dgm:spPr/>
    </dgm:pt>
    <dgm:pt modelId="{214FFCED-0B60-4D40-B290-334FD3C3473F}" type="pres">
      <dgm:prSet presAssocID="{5F16357D-9E30-461E-8E65-12B7ABD33196}" presName="rootText1" presStyleLbl="node0" presStyleIdx="0" presStyleCnt="2" custLinFactNeighborX="31984" custLinFactNeighborY="-1732">
        <dgm:presLayoutVars>
          <dgm:chPref val="3"/>
        </dgm:presLayoutVars>
      </dgm:prSet>
      <dgm:spPr/>
      <dgm:t>
        <a:bodyPr/>
        <a:lstStyle/>
        <a:p>
          <a:endParaRPr lang="en-AU"/>
        </a:p>
      </dgm:t>
    </dgm:pt>
    <dgm:pt modelId="{5430DA45-F68F-45E1-B50C-0613FF48313C}" type="pres">
      <dgm:prSet presAssocID="{5F16357D-9E30-461E-8E65-12B7ABD33196}" presName="rootConnector1" presStyleLbl="node1" presStyleIdx="0" presStyleCnt="0"/>
      <dgm:spPr/>
      <dgm:t>
        <a:bodyPr/>
        <a:lstStyle/>
        <a:p>
          <a:endParaRPr lang="en-AU"/>
        </a:p>
      </dgm:t>
    </dgm:pt>
    <dgm:pt modelId="{1E0C4D84-C745-4423-A13D-252D61229364}" type="pres">
      <dgm:prSet presAssocID="{5F16357D-9E30-461E-8E65-12B7ABD33196}" presName="hierChild2" presStyleCnt="0"/>
      <dgm:spPr/>
    </dgm:pt>
    <dgm:pt modelId="{A19D1DC1-37F2-4818-8F7F-2A25638BC37B}" type="pres">
      <dgm:prSet presAssocID="{F6741A23-76FB-46EB-BC9C-8A92BBA2EEAF}" presName="Name66" presStyleLbl="parChTrans1D2" presStyleIdx="0" presStyleCnt="4"/>
      <dgm:spPr/>
      <dgm:t>
        <a:bodyPr/>
        <a:lstStyle/>
        <a:p>
          <a:endParaRPr lang="en-AU"/>
        </a:p>
      </dgm:t>
    </dgm:pt>
    <dgm:pt modelId="{B7CE1A40-604D-400F-8208-4B9A7F099204}" type="pres">
      <dgm:prSet presAssocID="{EDAD3E5C-1B58-48A8-83D2-5FC5553B20BB}" presName="hierRoot2" presStyleCnt="0">
        <dgm:presLayoutVars>
          <dgm:hierBranch val="init"/>
        </dgm:presLayoutVars>
      </dgm:prSet>
      <dgm:spPr/>
    </dgm:pt>
    <dgm:pt modelId="{870A1BA1-5C22-4440-B3CE-D62B0B0709FF}" type="pres">
      <dgm:prSet presAssocID="{EDAD3E5C-1B58-48A8-83D2-5FC5553B20BB}" presName="rootComposite" presStyleCnt="0"/>
      <dgm:spPr/>
    </dgm:pt>
    <dgm:pt modelId="{ADA76BF6-0FEC-405C-A0AC-39EEB0F801BF}" type="pres">
      <dgm:prSet presAssocID="{EDAD3E5C-1B58-48A8-83D2-5FC5553B20BB}" presName="rootText" presStyleLbl="node2" presStyleIdx="0" presStyleCnt="4">
        <dgm:presLayoutVars>
          <dgm:chPref val="3"/>
        </dgm:presLayoutVars>
      </dgm:prSet>
      <dgm:spPr/>
      <dgm:t>
        <a:bodyPr/>
        <a:lstStyle/>
        <a:p>
          <a:endParaRPr lang="en-AU"/>
        </a:p>
      </dgm:t>
    </dgm:pt>
    <dgm:pt modelId="{44D01AD9-51B2-4D0B-9EAE-6334558F55EC}" type="pres">
      <dgm:prSet presAssocID="{EDAD3E5C-1B58-48A8-83D2-5FC5553B20BB}" presName="rootConnector" presStyleLbl="node2" presStyleIdx="0" presStyleCnt="4"/>
      <dgm:spPr/>
      <dgm:t>
        <a:bodyPr/>
        <a:lstStyle/>
        <a:p>
          <a:endParaRPr lang="en-AU"/>
        </a:p>
      </dgm:t>
    </dgm:pt>
    <dgm:pt modelId="{1E05149E-1A3A-48BF-ABA6-70755DD6C168}" type="pres">
      <dgm:prSet presAssocID="{EDAD3E5C-1B58-48A8-83D2-5FC5553B20BB}" presName="hierChild4" presStyleCnt="0"/>
      <dgm:spPr/>
    </dgm:pt>
    <dgm:pt modelId="{F365E029-79A4-477C-9670-0006AEFFBAAE}" type="pres">
      <dgm:prSet presAssocID="{EDAD3E5C-1B58-48A8-83D2-5FC5553B20BB}" presName="hierChild5" presStyleCnt="0"/>
      <dgm:spPr/>
    </dgm:pt>
    <dgm:pt modelId="{61588344-7617-44DC-9180-6A15276930A7}" type="pres">
      <dgm:prSet presAssocID="{1036C5E0-A446-408B-9AFA-49F8C6A0CBEE}" presName="Name66" presStyleLbl="parChTrans1D2" presStyleIdx="1" presStyleCnt="4"/>
      <dgm:spPr/>
      <dgm:t>
        <a:bodyPr/>
        <a:lstStyle/>
        <a:p>
          <a:endParaRPr lang="en-AU"/>
        </a:p>
      </dgm:t>
    </dgm:pt>
    <dgm:pt modelId="{96BDC5E3-F150-4B2B-96AD-EDFE7683B3E7}" type="pres">
      <dgm:prSet presAssocID="{A1661C7A-0DCF-4EDB-A220-D18B419A7D8E}" presName="hierRoot2" presStyleCnt="0">
        <dgm:presLayoutVars>
          <dgm:hierBranch val="init"/>
        </dgm:presLayoutVars>
      </dgm:prSet>
      <dgm:spPr/>
    </dgm:pt>
    <dgm:pt modelId="{EF601C89-67EE-48EC-B27E-5BD20B488B23}" type="pres">
      <dgm:prSet presAssocID="{A1661C7A-0DCF-4EDB-A220-D18B419A7D8E}" presName="rootComposite" presStyleCnt="0"/>
      <dgm:spPr/>
    </dgm:pt>
    <dgm:pt modelId="{98F91F1B-615D-4370-B5C5-B362676D5DFE}" type="pres">
      <dgm:prSet presAssocID="{A1661C7A-0DCF-4EDB-A220-D18B419A7D8E}" presName="rootText" presStyleLbl="node2" presStyleIdx="1" presStyleCnt="4">
        <dgm:presLayoutVars>
          <dgm:chPref val="3"/>
        </dgm:presLayoutVars>
      </dgm:prSet>
      <dgm:spPr/>
      <dgm:t>
        <a:bodyPr/>
        <a:lstStyle/>
        <a:p>
          <a:endParaRPr lang="en-AU"/>
        </a:p>
      </dgm:t>
    </dgm:pt>
    <dgm:pt modelId="{2506E3C5-86A4-41ED-9A12-CD871921FD48}" type="pres">
      <dgm:prSet presAssocID="{A1661C7A-0DCF-4EDB-A220-D18B419A7D8E}" presName="rootConnector" presStyleLbl="node2" presStyleIdx="1" presStyleCnt="4"/>
      <dgm:spPr/>
      <dgm:t>
        <a:bodyPr/>
        <a:lstStyle/>
        <a:p>
          <a:endParaRPr lang="en-AU"/>
        </a:p>
      </dgm:t>
    </dgm:pt>
    <dgm:pt modelId="{17A45794-7502-4FFF-870E-CA5E7793DD93}" type="pres">
      <dgm:prSet presAssocID="{A1661C7A-0DCF-4EDB-A220-D18B419A7D8E}" presName="hierChild4" presStyleCnt="0"/>
      <dgm:spPr/>
    </dgm:pt>
    <dgm:pt modelId="{13B17137-285F-4418-98A2-DFF51F4A907F}" type="pres">
      <dgm:prSet presAssocID="{A1661C7A-0DCF-4EDB-A220-D18B419A7D8E}" presName="hierChild5" presStyleCnt="0"/>
      <dgm:spPr/>
    </dgm:pt>
    <dgm:pt modelId="{35C4340D-934D-453C-876D-2D06E5A6D8C5}" type="pres">
      <dgm:prSet presAssocID="{5F16357D-9E30-461E-8E65-12B7ABD33196}" presName="hierChild3" presStyleCnt="0"/>
      <dgm:spPr/>
    </dgm:pt>
    <dgm:pt modelId="{1FF53467-A94A-49BD-87E9-1DD70EEE6463}" type="pres">
      <dgm:prSet presAssocID="{853A45E2-9444-4699-AB99-EA0A97CE61D1}" presName="hierRoot1" presStyleCnt="0">
        <dgm:presLayoutVars>
          <dgm:hierBranch val="init"/>
        </dgm:presLayoutVars>
      </dgm:prSet>
      <dgm:spPr/>
    </dgm:pt>
    <dgm:pt modelId="{6567470C-E642-42EB-BF34-2475A43738FD}" type="pres">
      <dgm:prSet presAssocID="{853A45E2-9444-4699-AB99-EA0A97CE61D1}" presName="rootComposite1" presStyleCnt="0"/>
      <dgm:spPr/>
    </dgm:pt>
    <dgm:pt modelId="{740217C9-F257-45EC-BAE2-7E179D123247}" type="pres">
      <dgm:prSet presAssocID="{853A45E2-9444-4699-AB99-EA0A97CE61D1}" presName="rootText1" presStyleLbl="node0" presStyleIdx="1" presStyleCnt="2" custLinFactNeighborX="31984" custLinFactNeighborY="-8391">
        <dgm:presLayoutVars>
          <dgm:chPref val="3"/>
        </dgm:presLayoutVars>
      </dgm:prSet>
      <dgm:spPr/>
      <dgm:t>
        <a:bodyPr/>
        <a:lstStyle/>
        <a:p>
          <a:endParaRPr lang="en-AU"/>
        </a:p>
      </dgm:t>
    </dgm:pt>
    <dgm:pt modelId="{403F4CAA-7A6A-446F-9E5D-4134D64E0FED}" type="pres">
      <dgm:prSet presAssocID="{853A45E2-9444-4699-AB99-EA0A97CE61D1}" presName="rootConnector1" presStyleLbl="node1" presStyleIdx="0" presStyleCnt="0"/>
      <dgm:spPr/>
      <dgm:t>
        <a:bodyPr/>
        <a:lstStyle/>
        <a:p>
          <a:endParaRPr lang="en-AU"/>
        </a:p>
      </dgm:t>
    </dgm:pt>
    <dgm:pt modelId="{B76CBDF8-B9C5-43B1-87B0-719C50E86693}" type="pres">
      <dgm:prSet presAssocID="{853A45E2-9444-4699-AB99-EA0A97CE61D1}" presName="hierChild2" presStyleCnt="0"/>
      <dgm:spPr/>
    </dgm:pt>
    <dgm:pt modelId="{0EB98207-970B-4EC6-81BE-EABB89F5FBC0}" type="pres">
      <dgm:prSet presAssocID="{9F1AF04A-7038-4A48-A299-7C19C98BE5DD}" presName="Name66" presStyleLbl="parChTrans1D2" presStyleIdx="2" presStyleCnt="4"/>
      <dgm:spPr/>
      <dgm:t>
        <a:bodyPr/>
        <a:lstStyle/>
        <a:p>
          <a:endParaRPr lang="en-AU"/>
        </a:p>
      </dgm:t>
    </dgm:pt>
    <dgm:pt modelId="{C0730380-FE76-45EB-8E6E-1E72F1A94200}" type="pres">
      <dgm:prSet presAssocID="{CB49F4E5-72F4-459B-99A5-A0E16B92A5E4}" presName="hierRoot2" presStyleCnt="0">
        <dgm:presLayoutVars>
          <dgm:hierBranch val="init"/>
        </dgm:presLayoutVars>
      </dgm:prSet>
      <dgm:spPr/>
    </dgm:pt>
    <dgm:pt modelId="{2CE69782-BDB0-4791-B736-675871F34731}" type="pres">
      <dgm:prSet presAssocID="{CB49F4E5-72F4-459B-99A5-A0E16B92A5E4}" presName="rootComposite" presStyleCnt="0"/>
      <dgm:spPr/>
    </dgm:pt>
    <dgm:pt modelId="{37F35212-2968-40DE-B6C2-A74011D3B3DD}" type="pres">
      <dgm:prSet presAssocID="{CB49F4E5-72F4-459B-99A5-A0E16B92A5E4}" presName="rootText" presStyleLbl="node2" presStyleIdx="2" presStyleCnt="4">
        <dgm:presLayoutVars>
          <dgm:chPref val="3"/>
        </dgm:presLayoutVars>
      </dgm:prSet>
      <dgm:spPr/>
      <dgm:t>
        <a:bodyPr/>
        <a:lstStyle/>
        <a:p>
          <a:endParaRPr lang="en-AU"/>
        </a:p>
      </dgm:t>
    </dgm:pt>
    <dgm:pt modelId="{FCA3D6AF-DCB2-4756-9568-8E796D64C2C1}" type="pres">
      <dgm:prSet presAssocID="{CB49F4E5-72F4-459B-99A5-A0E16B92A5E4}" presName="rootConnector" presStyleLbl="node2" presStyleIdx="2" presStyleCnt="4"/>
      <dgm:spPr/>
      <dgm:t>
        <a:bodyPr/>
        <a:lstStyle/>
        <a:p>
          <a:endParaRPr lang="en-AU"/>
        </a:p>
      </dgm:t>
    </dgm:pt>
    <dgm:pt modelId="{95CD9952-7FF1-466E-ADB0-5BF3C0EFE4CD}" type="pres">
      <dgm:prSet presAssocID="{CB49F4E5-72F4-459B-99A5-A0E16B92A5E4}" presName="hierChild4" presStyleCnt="0"/>
      <dgm:spPr/>
    </dgm:pt>
    <dgm:pt modelId="{DF9A5DD0-1803-405C-89F7-AC3C8663F336}" type="pres">
      <dgm:prSet presAssocID="{CB49F4E5-72F4-459B-99A5-A0E16B92A5E4}" presName="hierChild5" presStyleCnt="0"/>
      <dgm:spPr/>
    </dgm:pt>
    <dgm:pt modelId="{265A6D0D-CBCC-4004-8BFD-772FF8346BC7}" type="pres">
      <dgm:prSet presAssocID="{7C072A48-702A-4D16-81EE-5A89894C1D48}" presName="Name66" presStyleLbl="parChTrans1D2" presStyleIdx="3" presStyleCnt="4"/>
      <dgm:spPr/>
      <dgm:t>
        <a:bodyPr/>
        <a:lstStyle/>
        <a:p>
          <a:endParaRPr lang="en-AU"/>
        </a:p>
      </dgm:t>
    </dgm:pt>
    <dgm:pt modelId="{279F2651-551F-4115-BB7A-C19A3DC45590}" type="pres">
      <dgm:prSet presAssocID="{CC19E5F5-81F7-4C9D-B1C5-8F5BE6D02E3E}" presName="hierRoot2" presStyleCnt="0">
        <dgm:presLayoutVars>
          <dgm:hierBranch val="init"/>
        </dgm:presLayoutVars>
      </dgm:prSet>
      <dgm:spPr/>
    </dgm:pt>
    <dgm:pt modelId="{E2196393-A6C2-42BB-BE06-3DB29BCC90DD}" type="pres">
      <dgm:prSet presAssocID="{CC19E5F5-81F7-4C9D-B1C5-8F5BE6D02E3E}" presName="rootComposite" presStyleCnt="0"/>
      <dgm:spPr/>
    </dgm:pt>
    <dgm:pt modelId="{E63C9822-2105-4C41-BDEA-EC1D1E6FFF2E}" type="pres">
      <dgm:prSet presAssocID="{CC19E5F5-81F7-4C9D-B1C5-8F5BE6D02E3E}" presName="rootText" presStyleLbl="node2" presStyleIdx="3" presStyleCnt="4">
        <dgm:presLayoutVars>
          <dgm:chPref val="3"/>
        </dgm:presLayoutVars>
      </dgm:prSet>
      <dgm:spPr/>
      <dgm:t>
        <a:bodyPr/>
        <a:lstStyle/>
        <a:p>
          <a:endParaRPr lang="en-AU"/>
        </a:p>
      </dgm:t>
    </dgm:pt>
    <dgm:pt modelId="{6E25BE51-2F3E-4A18-83B6-7B4B299DDC91}" type="pres">
      <dgm:prSet presAssocID="{CC19E5F5-81F7-4C9D-B1C5-8F5BE6D02E3E}" presName="rootConnector" presStyleLbl="node2" presStyleIdx="3" presStyleCnt="4"/>
      <dgm:spPr/>
      <dgm:t>
        <a:bodyPr/>
        <a:lstStyle/>
        <a:p>
          <a:endParaRPr lang="en-AU"/>
        </a:p>
      </dgm:t>
    </dgm:pt>
    <dgm:pt modelId="{B869941D-7F45-4E6D-B8B3-AE8E08934A35}" type="pres">
      <dgm:prSet presAssocID="{CC19E5F5-81F7-4C9D-B1C5-8F5BE6D02E3E}" presName="hierChild4" presStyleCnt="0"/>
      <dgm:spPr/>
    </dgm:pt>
    <dgm:pt modelId="{6D2D2362-D323-41A1-BE93-D15DBFAF61E4}" type="pres">
      <dgm:prSet presAssocID="{CC19E5F5-81F7-4C9D-B1C5-8F5BE6D02E3E}" presName="hierChild5" presStyleCnt="0"/>
      <dgm:spPr/>
    </dgm:pt>
    <dgm:pt modelId="{8992AD11-5DCC-4A21-A9C7-3828FB06B396}" type="pres">
      <dgm:prSet presAssocID="{853A45E2-9444-4699-AB99-EA0A97CE61D1}" presName="hierChild3" presStyleCnt="0"/>
      <dgm:spPr/>
    </dgm:pt>
  </dgm:ptLst>
  <dgm:cxnLst>
    <dgm:cxn modelId="{C1797564-0C25-4A7A-A7F1-E5F06AA889E7}" srcId="{853A45E2-9444-4699-AB99-EA0A97CE61D1}" destId="{CB49F4E5-72F4-459B-99A5-A0E16B92A5E4}" srcOrd="0" destOrd="0" parTransId="{9F1AF04A-7038-4A48-A299-7C19C98BE5DD}" sibTransId="{D45B2A75-4D3A-4DB1-984B-B8DCB9134199}"/>
    <dgm:cxn modelId="{A231BCC9-0A74-499F-B224-D2A96DCF5E4D}" srcId="{5F16357D-9E30-461E-8E65-12B7ABD33196}" destId="{EDAD3E5C-1B58-48A8-83D2-5FC5553B20BB}" srcOrd="0" destOrd="0" parTransId="{F6741A23-76FB-46EB-BC9C-8A92BBA2EEAF}" sibTransId="{CE63F880-7998-49AB-8379-7DB8DDA63A7F}"/>
    <dgm:cxn modelId="{E5AD0C7F-F404-42DD-8334-95267BD1A4BE}" type="presOf" srcId="{1036C5E0-A446-408B-9AFA-49F8C6A0CBEE}" destId="{61588344-7617-44DC-9180-6A15276930A7}" srcOrd="0" destOrd="0" presId="urn:microsoft.com/office/officeart/2009/3/layout/HorizontalOrganizationChart"/>
    <dgm:cxn modelId="{7BE59D49-D20A-4B15-B973-5CE6E448176D}" type="presOf" srcId="{CC19E5F5-81F7-4C9D-B1C5-8F5BE6D02E3E}" destId="{6E25BE51-2F3E-4A18-83B6-7B4B299DDC91}" srcOrd="1" destOrd="0" presId="urn:microsoft.com/office/officeart/2009/3/layout/HorizontalOrganizationChart"/>
    <dgm:cxn modelId="{527A59F0-F381-4652-A836-A9B82BAD1089}" type="presOf" srcId="{A1661C7A-0DCF-4EDB-A220-D18B419A7D8E}" destId="{98F91F1B-615D-4370-B5C5-B362676D5DFE}" srcOrd="0" destOrd="0" presId="urn:microsoft.com/office/officeart/2009/3/layout/HorizontalOrganizationChart"/>
    <dgm:cxn modelId="{7B518289-5D8C-4C52-8D8D-309AE951E62A}" srcId="{853A45E2-9444-4699-AB99-EA0A97CE61D1}" destId="{CC19E5F5-81F7-4C9D-B1C5-8F5BE6D02E3E}" srcOrd="1" destOrd="0" parTransId="{7C072A48-702A-4D16-81EE-5A89894C1D48}" sibTransId="{79ECC101-E3BA-414C-9083-1ABF596FD133}"/>
    <dgm:cxn modelId="{CA63FA66-ABCA-44EF-962E-C03A2AA70D9A}" type="presOf" srcId="{CB49F4E5-72F4-459B-99A5-A0E16B92A5E4}" destId="{37F35212-2968-40DE-B6C2-A74011D3B3DD}" srcOrd="0" destOrd="0" presId="urn:microsoft.com/office/officeart/2009/3/layout/HorizontalOrganizationChart"/>
    <dgm:cxn modelId="{1D221D32-E6B3-4B03-9CCC-0DB7BD8DF318}" type="presOf" srcId="{D8ADA4D9-718C-48B2-9C2F-E904C03E3AF1}" destId="{014F230B-8C38-4372-8679-41F76E2C6E0A}" srcOrd="0" destOrd="0" presId="urn:microsoft.com/office/officeart/2009/3/layout/HorizontalOrganizationChart"/>
    <dgm:cxn modelId="{4EFAF82B-A4B9-4444-BFDA-869E98E9CA16}" type="presOf" srcId="{853A45E2-9444-4699-AB99-EA0A97CE61D1}" destId="{740217C9-F257-45EC-BAE2-7E179D123247}" srcOrd="0" destOrd="0" presId="urn:microsoft.com/office/officeart/2009/3/layout/HorizontalOrganizationChart"/>
    <dgm:cxn modelId="{E0DCB65D-430E-444E-BE22-1A594281D36E}" type="presOf" srcId="{F6741A23-76FB-46EB-BC9C-8A92BBA2EEAF}" destId="{A19D1DC1-37F2-4818-8F7F-2A25638BC37B}" srcOrd="0" destOrd="0" presId="urn:microsoft.com/office/officeart/2009/3/layout/HorizontalOrganizationChart"/>
    <dgm:cxn modelId="{885F13C0-772A-4F7D-AA1E-3E43CCECB3BC}" type="presOf" srcId="{CC19E5F5-81F7-4C9D-B1C5-8F5BE6D02E3E}" destId="{E63C9822-2105-4C41-BDEA-EC1D1E6FFF2E}" srcOrd="0" destOrd="0" presId="urn:microsoft.com/office/officeart/2009/3/layout/HorizontalOrganizationChart"/>
    <dgm:cxn modelId="{472CC388-3094-4F4A-9BEE-A74803AECC08}" srcId="{D8ADA4D9-718C-48B2-9C2F-E904C03E3AF1}" destId="{853A45E2-9444-4699-AB99-EA0A97CE61D1}" srcOrd="1" destOrd="0" parTransId="{9EEA6C8F-264E-4AE8-A87E-DBDFCD946847}" sibTransId="{596C20C6-1ABD-483A-832B-7AEA81940251}"/>
    <dgm:cxn modelId="{712C10F9-9B59-4180-AE01-268DCF3C47D7}" type="presOf" srcId="{5F16357D-9E30-461E-8E65-12B7ABD33196}" destId="{5430DA45-F68F-45E1-B50C-0613FF48313C}" srcOrd="1" destOrd="0" presId="urn:microsoft.com/office/officeart/2009/3/layout/HorizontalOrganizationChart"/>
    <dgm:cxn modelId="{4D07431B-1D82-44EB-8E10-BD29EB014464}" type="presOf" srcId="{CB49F4E5-72F4-459B-99A5-A0E16B92A5E4}" destId="{FCA3D6AF-DCB2-4756-9568-8E796D64C2C1}" srcOrd="1" destOrd="0" presId="urn:microsoft.com/office/officeart/2009/3/layout/HorizontalOrganizationChart"/>
    <dgm:cxn modelId="{E6E2B8E1-AF07-420B-BC39-67B22B8FD4D2}" srcId="{5F16357D-9E30-461E-8E65-12B7ABD33196}" destId="{A1661C7A-0DCF-4EDB-A220-D18B419A7D8E}" srcOrd="1" destOrd="0" parTransId="{1036C5E0-A446-408B-9AFA-49F8C6A0CBEE}" sibTransId="{88A69171-AA00-4570-92B7-38D3B6E04248}"/>
    <dgm:cxn modelId="{126CF120-BE55-4FAA-A33C-002DDBB8A884}" type="presOf" srcId="{EDAD3E5C-1B58-48A8-83D2-5FC5553B20BB}" destId="{44D01AD9-51B2-4D0B-9EAE-6334558F55EC}" srcOrd="1" destOrd="0" presId="urn:microsoft.com/office/officeart/2009/3/layout/HorizontalOrganizationChart"/>
    <dgm:cxn modelId="{17323CA6-97A4-4211-93B0-87FED0768698}" type="presOf" srcId="{5F16357D-9E30-461E-8E65-12B7ABD33196}" destId="{214FFCED-0B60-4D40-B290-334FD3C3473F}" srcOrd="0" destOrd="0" presId="urn:microsoft.com/office/officeart/2009/3/layout/HorizontalOrganizationChart"/>
    <dgm:cxn modelId="{481CECD9-ED58-481D-B7BD-09EDF7D5A402}" type="presOf" srcId="{7C072A48-702A-4D16-81EE-5A89894C1D48}" destId="{265A6D0D-CBCC-4004-8BFD-772FF8346BC7}" srcOrd="0" destOrd="0" presId="urn:microsoft.com/office/officeart/2009/3/layout/HorizontalOrganizationChart"/>
    <dgm:cxn modelId="{78DA8D1B-7E2B-4A27-84A3-F75D36BAE63A}" type="presOf" srcId="{A1661C7A-0DCF-4EDB-A220-D18B419A7D8E}" destId="{2506E3C5-86A4-41ED-9A12-CD871921FD48}" srcOrd="1" destOrd="0" presId="urn:microsoft.com/office/officeart/2009/3/layout/HorizontalOrganizationChart"/>
    <dgm:cxn modelId="{7CBBA58B-3F39-4F4B-975D-84171343C828}" type="presOf" srcId="{EDAD3E5C-1B58-48A8-83D2-5FC5553B20BB}" destId="{ADA76BF6-0FEC-405C-A0AC-39EEB0F801BF}" srcOrd="0" destOrd="0" presId="urn:microsoft.com/office/officeart/2009/3/layout/HorizontalOrganizationChart"/>
    <dgm:cxn modelId="{EE57E637-7CF4-44F8-9C0E-5C792B041164}" srcId="{D8ADA4D9-718C-48B2-9C2F-E904C03E3AF1}" destId="{5F16357D-9E30-461E-8E65-12B7ABD33196}" srcOrd="0" destOrd="0" parTransId="{C53BAAA1-D772-4C85-AFDD-8B7711A39A0F}" sibTransId="{BEE2CDEC-EB66-427E-9882-7942E6B84BF7}"/>
    <dgm:cxn modelId="{700BCFF5-840D-4D31-B061-8DAFBAEDFF4C}" type="presOf" srcId="{853A45E2-9444-4699-AB99-EA0A97CE61D1}" destId="{403F4CAA-7A6A-446F-9E5D-4134D64E0FED}" srcOrd="1" destOrd="0" presId="urn:microsoft.com/office/officeart/2009/3/layout/HorizontalOrganizationChart"/>
    <dgm:cxn modelId="{3AD826ED-EB16-49B2-AAC1-40CFF9B5DA37}" type="presOf" srcId="{9F1AF04A-7038-4A48-A299-7C19C98BE5DD}" destId="{0EB98207-970B-4EC6-81BE-EABB89F5FBC0}" srcOrd="0" destOrd="0" presId="urn:microsoft.com/office/officeart/2009/3/layout/HorizontalOrganizationChart"/>
    <dgm:cxn modelId="{6947066A-7872-4FB5-B159-B24E3F4DC649}" type="presParOf" srcId="{014F230B-8C38-4372-8679-41F76E2C6E0A}" destId="{D0293B47-BED3-40FD-A66D-0143219EB954}" srcOrd="0" destOrd="0" presId="urn:microsoft.com/office/officeart/2009/3/layout/HorizontalOrganizationChart"/>
    <dgm:cxn modelId="{5C770B25-6988-4A7A-8AF4-2F338462B2AB}" type="presParOf" srcId="{D0293B47-BED3-40FD-A66D-0143219EB954}" destId="{D340253B-64A0-4116-AC20-7295DEA61339}" srcOrd="0" destOrd="0" presId="urn:microsoft.com/office/officeart/2009/3/layout/HorizontalOrganizationChart"/>
    <dgm:cxn modelId="{229F03E2-49F5-4894-A93D-985AF46BFD87}" type="presParOf" srcId="{D340253B-64A0-4116-AC20-7295DEA61339}" destId="{214FFCED-0B60-4D40-B290-334FD3C3473F}" srcOrd="0" destOrd="0" presId="urn:microsoft.com/office/officeart/2009/3/layout/HorizontalOrganizationChart"/>
    <dgm:cxn modelId="{E956781C-C7A8-467E-9A0E-1378E4D1F4E1}" type="presParOf" srcId="{D340253B-64A0-4116-AC20-7295DEA61339}" destId="{5430DA45-F68F-45E1-B50C-0613FF48313C}" srcOrd="1" destOrd="0" presId="urn:microsoft.com/office/officeart/2009/3/layout/HorizontalOrganizationChart"/>
    <dgm:cxn modelId="{8BFB38D5-5E68-494D-B713-A6AB817559BE}" type="presParOf" srcId="{D0293B47-BED3-40FD-A66D-0143219EB954}" destId="{1E0C4D84-C745-4423-A13D-252D61229364}" srcOrd="1" destOrd="0" presId="urn:microsoft.com/office/officeart/2009/3/layout/HorizontalOrganizationChart"/>
    <dgm:cxn modelId="{581F0B3D-5E25-4A5F-860E-4C081EA4621B}" type="presParOf" srcId="{1E0C4D84-C745-4423-A13D-252D61229364}" destId="{A19D1DC1-37F2-4818-8F7F-2A25638BC37B}" srcOrd="0" destOrd="0" presId="urn:microsoft.com/office/officeart/2009/3/layout/HorizontalOrganizationChart"/>
    <dgm:cxn modelId="{667A8707-37E9-44DA-A111-8A82D738B471}" type="presParOf" srcId="{1E0C4D84-C745-4423-A13D-252D61229364}" destId="{B7CE1A40-604D-400F-8208-4B9A7F099204}" srcOrd="1" destOrd="0" presId="urn:microsoft.com/office/officeart/2009/3/layout/HorizontalOrganizationChart"/>
    <dgm:cxn modelId="{A32F7BE0-F50B-4CC1-A2A1-E8BD714C5E76}" type="presParOf" srcId="{B7CE1A40-604D-400F-8208-4B9A7F099204}" destId="{870A1BA1-5C22-4440-B3CE-D62B0B0709FF}" srcOrd="0" destOrd="0" presId="urn:microsoft.com/office/officeart/2009/3/layout/HorizontalOrganizationChart"/>
    <dgm:cxn modelId="{385E86C0-48DA-4E32-B26E-D6E8CD5D691B}" type="presParOf" srcId="{870A1BA1-5C22-4440-B3CE-D62B0B0709FF}" destId="{ADA76BF6-0FEC-405C-A0AC-39EEB0F801BF}" srcOrd="0" destOrd="0" presId="urn:microsoft.com/office/officeart/2009/3/layout/HorizontalOrganizationChart"/>
    <dgm:cxn modelId="{7273BA07-B5B2-4700-A792-7E5927BE114F}" type="presParOf" srcId="{870A1BA1-5C22-4440-B3CE-D62B0B0709FF}" destId="{44D01AD9-51B2-4D0B-9EAE-6334558F55EC}" srcOrd="1" destOrd="0" presId="urn:microsoft.com/office/officeart/2009/3/layout/HorizontalOrganizationChart"/>
    <dgm:cxn modelId="{0D7F6D42-D4F4-4BBD-BB83-32B65AADF61C}" type="presParOf" srcId="{B7CE1A40-604D-400F-8208-4B9A7F099204}" destId="{1E05149E-1A3A-48BF-ABA6-70755DD6C168}" srcOrd="1" destOrd="0" presId="urn:microsoft.com/office/officeart/2009/3/layout/HorizontalOrganizationChart"/>
    <dgm:cxn modelId="{EBF965C9-1406-4BDB-BE00-516239847EEA}" type="presParOf" srcId="{B7CE1A40-604D-400F-8208-4B9A7F099204}" destId="{F365E029-79A4-477C-9670-0006AEFFBAAE}" srcOrd="2" destOrd="0" presId="urn:microsoft.com/office/officeart/2009/3/layout/HorizontalOrganizationChart"/>
    <dgm:cxn modelId="{5CDCCDA9-F7D4-49BB-8DF4-808E67C70702}" type="presParOf" srcId="{1E0C4D84-C745-4423-A13D-252D61229364}" destId="{61588344-7617-44DC-9180-6A15276930A7}" srcOrd="2" destOrd="0" presId="urn:microsoft.com/office/officeart/2009/3/layout/HorizontalOrganizationChart"/>
    <dgm:cxn modelId="{4AAA57E3-A77B-41DB-9F63-B178DAAAFEF0}" type="presParOf" srcId="{1E0C4D84-C745-4423-A13D-252D61229364}" destId="{96BDC5E3-F150-4B2B-96AD-EDFE7683B3E7}" srcOrd="3" destOrd="0" presId="urn:microsoft.com/office/officeart/2009/3/layout/HorizontalOrganizationChart"/>
    <dgm:cxn modelId="{E342E830-A8FF-49AF-9AE5-FDDB68506673}" type="presParOf" srcId="{96BDC5E3-F150-4B2B-96AD-EDFE7683B3E7}" destId="{EF601C89-67EE-48EC-B27E-5BD20B488B23}" srcOrd="0" destOrd="0" presId="urn:microsoft.com/office/officeart/2009/3/layout/HorizontalOrganizationChart"/>
    <dgm:cxn modelId="{FA79AF37-D92B-40FC-BBFE-72ACC35C0A62}" type="presParOf" srcId="{EF601C89-67EE-48EC-B27E-5BD20B488B23}" destId="{98F91F1B-615D-4370-B5C5-B362676D5DFE}" srcOrd="0" destOrd="0" presId="urn:microsoft.com/office/officeart/2009/3/layout/HorizontalOrganizationChart"/>
    <dgm:cxn modelId="{FF35BD10-0003-49EA-9703-D6F05B8C0138}" type="presParOf" srcId="{EF601C89-67EE-48EC-B27E-5BD20B488B23}" destId="{2506E3C5-86A4-41ED-9A12-CD871921FD48}" srcOrd="1" destOrd="0" presId="urn:microsoft.com/office/officeart/2009/3/layout/HorizontalOrganizationChart"/>
    <dgm:cxn modelId="{F9045EE9-3E16-4359-9AB5-752CBB6ADDC2}" type="presParOf" srcId="{96BDC5E3-F150-4B2B-96AD-EDFE7683B3E7}" destId="{17A45794-7502-4FFF-870E-CA5E7793DD93}" srcOrd="1" destOrd="0" presId="urn:microsoft.com/office/officeart/2009/3/layout/HorizontalOrganizationChart"/>
    <dgm:cxn modelId="{E5C8A3A0-41F5-4A3A-BD19-EBA0BEBD73BD}" type="presParOf" srcId="{96BDC5E3-F150-4B2B-96AD-EDFE7683B3E7}" destId="{13B17137-285F-4418-98A2-DFF51F4A907F}" srcOrd="2" destOrd="0" presId="urn:microsoft.com/office/officeart/2009/3/layout/HorizontalOrganizationChart"/>
    <dgm:cxn modelId="{614197A4-AA8F-4A83-B9E8-7A120E8BFAA0}" type="presParOf" srcId="{D0293B47-BED3-40FD-A66D-0143219EB954}" destId="{35C4340D-934D-453C-876D-2D06E5A6D8C5}" srcOrd="2" destOrd="0" presId="urn:microsoft.com/office/officeart/2009/3/layout/HorizontalOrganizationChart"/>
    <dgm:cxn modelId="{6E6633C8-F3BB-433A-BDBA-CCB928F486D4}" type="presParOf" srcId="{014F230B-8C38-4372-8679-41F76E2C6E0A}" destId="{1FF53467-A94A-49BD-87E9-1DD70EEE6463}" srcOrd="1" destOrd="0" presId="urn:microsoft.com/office/officeart/2009/3/layout/HorizontalOrganizationChart"/>
    <dgm:cxn modelId="{E2AE394F-C535-481B-915B-9F81049A27DF}" type="presParOf" srcId="{1FF53467-A94A-49BD-87E9-1DD70EEE6463}" destId="{6567470C-E642-42EB-BF34-2475A43738FD}" srcOrd="0" destOrd="0" presId="urn:microsoft.com/office/officeart/2009/3/layout/HorizontalOrganizationChart"/>
    <dgm:cxn modelId="{837D1811-A614-4E30-897E-C6B09A0FFC02}" type="presParOf" srcId="{6567470C-E642-42EB-BF34-2475A43738FD}" destId="{740217C9-F257-45EC-BAE2-7E179D123247}" srcOrd="0" destOrd="0" presId="urn:microsoft.com/office/officeart/2009/3/layout/HorizontalOrganizationChart"/>
    <dgm:cxn modelId="{C777EAFF-D3E4-4ED0-B6BC-9933AD71FFF6}" type="presParOf" srcId="{6567470C-E642-42EB-BF34-2475A43738FD}" destId="{403F4CAA-7A6A-446F-9E5D-4134D64E0FED}" srcOrd="1" destOrd="0" presId="urn:microsoft.com/office/officeart/2009/3/layout/HorizontalOrganizationChart"/>
    <dgm:cxn modelId="{77734DE6-2D07-46C4-B20B-523B6F4A1C82}" type="presParOf" srcId="{1FF53467-A94A-49BD-87E9-1DD70EEE6463}" destId="{B76CBDF8-B9C5-43B1-87B0-719C50E86693}" srcOrd="1" destOrd="0" presId="urn:microsoft.com/office/officeart/2009/3/layout/HorizontalOrganizationChart"/>
    <dgm:cxn modelId="{C9280362-8A65-4086-A9F0-312E17DADD18}" type="presParOf" srcId="{B76CBDF8-B9C5-43B1-87B0-719C50E86693}" destId="{0EB98207-970B-4EC6-81BE-EABB89F5FBC0}" srcOrd="0" destOrd="0" presId="urn:microsoft.com/office/officeart/2009/3/layout/HorizontalOrganizationChart"/>
    <dgm:cxn modelId="{BB2BB99B-A405-4971-9AD3-398EB00B6C65}" type="presParOf" srcId="{B76CBDF8-B9C5-43B1-87B0-719C50E86693}" destId="{C0730380-FE76-45EB-8E6E-1E72F1A94200}" srcOrd="1" destOrd="0" presId="urn:microsoft.com/office/officeart/2009/3/layout/HorizontalOrganizationChart"/>
    <dgm:cxn modelId="{B944154C-313A-48AD-A975-16C02C4ED4A4}" type="presParOf" srcId="{C0730380-FE76-45EB-8E6E-1E72F1A94200}" destId="{2CE69782-BDB0-4791-B736-675871F34731}" srcOrd="0" destOrd="0" presId="urn:microsoft.com/office/officeart/2009/3/layout/HorizontalOrganizationChart"/>
    <dgm:cxn modelId="{83D0F33B-5878-47F3-9A54-564D97B83FB0}" type="presParOf" srcId="{2CE69782-BDB0-4791-B736-675871F34731}" destId="{37F35212-2968-40DE-B6C2-A74011D3B3DD}" srcOrd="0" destOrd="0" presId="urn:microsoft.com/office/officeart/2009/3/layout/HorizontalOrganizationChart"/>
    <dgm:cxn modelId="{950E656C-E4BE-4203-B875-F140EAAFFAC2}" type="presParOf" srcId="{2CE69782-BDB0-4791-B736-675871F34731}" destId="{FCA3D6AF-DCB2-4756-9568-8E796D64C2C1}" srcOrd="1" destOrd="0" presId="urn:microsoft.com/office/officeart/2009/3/layout/HorizontalOrganizationChart"/>
    <dgm:cxn modelId="{6EA74E73-1C17-43FC-B484-00A4FEAA4A2B}" type="presParOf" srcId="{C0730380-FE76-45EB-8E6E-1E72F1A94200}" destId="{95CD9952-7FF1-466E-ADB0-5BF3C0EFE4CD}" srcOrd="1" destOrd="0" presId="urn:microsoft.com/office/officeart/2009/3/layout/HorizontalOrganizationChart"/>
    <dgm:cxn modelId="{2F2DF81E-28BC-4773-87F1-186F4DEA5E51}" type="presParOf" srcId="{C0730380-FE76-45EB-8E6E-1E72F1A94200}" destId="{DF9A5DD0-1803-405C-89F7-AC3C8663F336}" srcOrd="2" destOrd="0" presId="urn:microsoft.com/office/officeart/2009/3/layout/HorizontalOrganizationChart"/>
    <dgm:cxn modelId="{EEEB073C-0BE3-48ED-A01E-4F944AC419E5}" type="presParOf" srcId="{B76CBDF8-B9C5-43B1-87B0-719C50E86693}" destId="{265A6D0D-CBCC-4004-8BFD-772FF8346BC7}" srcOrd="2" destOrd="0" presId="urn:microsoft.com/office/officeart/2009/3/layout/HorizontalOrganizationChart"/>
    <dgm:cxn modelId="{3744E0EF-C70A-4D53-BA3D-E1DA601FAE91}" type="presParOf" srcId="{B76CBDF8-B9C5-43B1-87B0-719C50E86693}" destId="{279F2651-551F-4115-BB7A-C19A3DC45590}" srcOrd="3" destOrd="0" presId="urn:microsoft.com/office/officeart/2009/3/layout/HorizontalOrganizationChart"/>
    <dgm:cxn modelId="{C2B3CB1B-54A6-4742-8DA6-B00D6D38987F}" type="presParOf" srcId="{279F2651-551F-4115-BB7A-C19A3DC45590}" destId="{E2196393-A6C2-42BB-BE06-3DB29BCC90DD}" srcOrd="0" destOrd="0" presId="urn:microsoft.com/office/officeart/2009/3/layout/HorizontalOrganizationChart"/>
    <dgm:cxn modelId="{3C07416C-7933-4595-9433-FC8C51CE3B51}" type="presParOf" srcId="{E2196393-A6C2-42BB-BE06-3DB29BCC90DD}" destId="{E63C9822-2105-4C41-BDEA-EC1D1E6FFF2E}" srcOrd="0" destOrd="0" presId="urn:microsoft.com/office/officeart/2009/3/layout/HorizontalOrganizationChart"/>
    <dgm:cxn modelId="{F1F63321-FF8C-463B-9E5F-C7A910BDC85E}" type="presParOf" srcId="{E2196393-A6C2-42BB-BE06-3DB29BCC90DD}" destId="{6E25BE51-2F3E-4A18-83B6-7B4B299DDC91}" srcOrd="1" destOrd="0" presId="urn:microsoft.com/office/officeart/2009/3/layout/HorizontalOrganizationChart"/>
    <dgm:cxn modelId="{09773E80-0847-4503-AB82-BC3DF3951561}" type="presParOf" srcId="{279F2651-551F-4115-BB7A-C19A3DC45590}" destId="{B869941D-7F45-4E6D-B8B3-AE8E08934A35}" srcOrd="1" destOrd="0" presId="urn:microsoft.com/office/officeart/2009/3/layout/HorizontalOrganizationChart"/>
    <dgm:cxn modelId="{C8B1BAA7-9340-41BA-8A00-E7E6ACBBF293}" type="presParOf" srcId="{279F2651-551F-4115-BB7A-C19A3DC45590}" destId="{6D2D2362-D323-41A1-BE93-D15DBFAF61E4}" srcOrd="2" destOrd="0" presId="urn:microsoft.com/office/officeart/2009/3/layout/HorizontalOrganizationChart"/>
    <dgm:cxn modelId="{5ADCA02C-963A-4E22-A9EE-392642D9E891}" type="presParOf" srcId="{1FF53467-A94A-49BD-87E9-1DD70EEE6463}" destId="{8992AD11-5DCC-4A21-A9C7-3828FB06B396}" srcOrd="2" destOrd="0" presId="urn:microsoft.com/office/officeart/2009/3/layout/HorizontalOrganizationChar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AB245B-185D-463D-9B24-66FE8D66B4E4}" type="doc">
      <dgm:prSet loTypeId="urn:microsoft.com/office/officeart/2008/layout/HorizontalMultiLevelHierarchy" loCatId="hierarchy" qsTypeId="urn:microsoft.com/office/officeart/2005/8/quickstyle/simple3" qsCatId="simple" csTypeId="urn:microsoft.com/office/officeart/2005/8/colors/accent1_5" csCatId="accent1" phldr="1"/>
      <dgm:spPr/>
      <dgm:t>
        <a:bodyPr/>
        <a:lstStyle/>
        <a:p>
          <a:endParaRPr lang="en-AU"/>
        </a:p>
      </dgm:t>
    </dgm:pt>
    <dgm:pt modelId="{CD0BCDE1-93E7-4F04-B7EF-B4ED94863845}">
      <dgm:prSet phldrT="[Text]" custT="1"/>
      <dgm:spPr/>
      <dgm:t>
        <a:bodyPr/>
        <a:lstStyle/>
        <a:p>
          <a:r>
            <a:rPr lang="en-AU" sz="1100" b="0"/>
            <a:t>Fixed Broadband Availability Rating</a:t>
          </a:r>
        </a:p>
      </dgm:t>
    </dgm:pt>
    <dgm:pt modelId="{15A8E83E-0460-4CB4-B9F5-AF8BB9EC4C9D}" type="parTrans" cxnId="{E175BF37-6140-4020-BE66-92122FA9CB1D}">
      <dgm:prSet/>
      <dgm:spPr/>
      <dgm:t>
        <a:bodyPr/>
        <a:lstStyle/>
        <a:p>
          <a:endParaRPr lang="en-AU"/>
        </a:p>
      </dgm:t>
    </dgm:pt>
    <dgm:pt modelId="{323147D8-45B1-414C-B7F1-88A5BE7D0C32}" type="sibTrans" cxnId="{E175BF37-6140-4020-BE66-92122FA9CB1D}">
      <dgm:prSet/>
      <dgm:spPr/>
      <dgm:t>
        <a:bodyPr/>
        <a:lstStyle/>
        <a:p>
          <a:endParaRPr lang="en-AU"/>
        </a:p>
      </dgm:t>
    </dgm:pt>
    <dgm:pt modelId="{9636558E-5375-4293-BED4-C22395729B98}">
      <dgm:prSet custT="1"/>
      <dgm:spPr/>
      <dgm:t>
        <a:bodyPr/>
        <a:lstStyle/>
        <a:p>
          <a:r>
            <a:rPr lang="en-AU" sz="1050" b="0"/>
            <a:t>FTTP Availability	</a:t>
          </a:r>
        </a:p>
      </dgm:t>
    </dgm:pt>
    <dgm:pt modelId="{0740146D-646E-4713-A5AF-F557E3710165}" type="parTrans" cxnId="{99526474-D0F4-498B-ACA1-A93ABA6E0D31}">
      <dgm:prSet/>
      <dgm:spPr/>
      <dgm:t>
        <a:bodyPr/>
        <a:lstStyle/>
        <a:p>
          <a:endParaRPr lang="en-AU" b="0"/>
        </a:p>
      </dgm:t>
    </dgm:pt>
    <dgm:pt modelId="{AA09DC62-1231-46EE-AEC8-C1C21279B74B}" type="sibTrans" cxnId="{99526474-D0F4-498B-ACA1-A93ABA6E0D31}">
      <dgm:prSet/>
      <dgm:spPr/>
      <dgm:t>
        <a:bodyPr/>
        <a:lstStyle/>
        <a:p>
          <a:endParaRPr lang="en-AU"/>
        </a:p>
      </dgm:t>
    </dgm:pt>
    <dgm:pt modelId="{DA685776-6C4D-4603-8198-3D44A9CE996D}">
      <dgm:prSet custT="1"/>
      <dgm:spPr/>
      <dgm:t>
        <a:bodyPr/>
        <a:lstStyle/>
        <a:p>
          <a:r>
            <a:rPr lang="en-AU" sz="1000" b="0"/>
            <a:t>Proportion of DA with access to FTTP</a:t>
          </a:r>
        </a:p>
      </dgm:t>
    </dgm:pt>
    <dgm:pt modelId="{9CB49BB0-D464-4121-968E-00D2DD05BD34}" type="parTrans" cxnId="{CEF7B081-522A-4C26-BCD4-C442DE2A8FE4}">
      <dgm:prSet/>
      <dgm:spPr/>
      <dgm:t>
        <a:bodyPr/>
        <a:lstStyle/>
        <a:p>
          <a:endParaRPr lang="en-AU" b="0"/>
        </a:p>
      </dgm:t>
    </dgm:pt>
    <dgm:pt modelId="{F0C583E2-1CF8-4466-9345-8C7C0AD07468}" type="sibTrans" cxnId="{CEF7B081-522A-4C26-BCD4-C442DE2A8FE4}">
      <dgm:prSet/>
      <dgm:spPr/>
      <dgm:t>
        <a:bodyPr/>
        <a:lstStyle/>
        <a:p>
          <a:endParaRPr lang="en-AU"/>
        </a:p>
      </dgm:t>
    </dgm:pt>
    <dgm:pt modelId="{C5C09827-E2E0-4670-9388-199F071662F7}">
      <dgm:prSet custT="1"/>
      <dgm:spPr/>
      <dgm:t>
        <a:bodyPr/>
        <a:lstStyle/>
        <a:p>
          <a:r>
            <a:rPr lang="en-AU" sz="1050" b="0"/>
            <a:t>FTTN Availability</a:t>
          </a:r>
        </a:p>
      </dgm:t>
    </dgm:pt>
    <dgm:pt modelId="{73211131-B4B1-4A54-91A6-0264F0CC1654}" type="parTrans" cxnId="{7B9A2D72-0DE3-4B59-BB96-4D8793F0E832}">
      <dgm:prSet/>
      <dgm:spPr/>
      <dgm:t>
        <a:bodyPr/>
        <a:lstStyle/>
        <a:p>
          <a:endParaRPr lang="en-AU" b="0"/>
        </a:p>
      </dgm:t>
    </dgm:pt>
    <dgm:pt modelId="{4D7C52EC-2B30-4C1F-B76B-123E16D4F1E9}" type="sibTrans" cxnId="{7B9A2D72-0DE3-4B59-BB96-4D8793F0E832}">
      <dgm:prSet/>
      <dgm:spPr/>
      <dgm:t>
        <a:bodyPr/>
        <a:lstStyle/>
        <a:p>
          <a:endParaRPr lang="en-AU"/>
        </a:p>
      </dgm:t>
    </dgm:pt>
    <dgm:pt modelId="{BEF4BD79-F7AF-4412-A9B3-9276D41E7D6B}">
      <dgm:prSet custT="1"/>
      <dgm:spPr/>
      <dgm:t>
        <a:bodyPr/>
        <a:lstStyle/>
        <a:p>
          <a:r>
            <a:rPr lang="en-AU" sz="1000" b="0"/>
            <a:t>Proportion of DA overlapping with an FTTN network</a:t>
          </a:r>
        </a:p>
      </dgm:t>
    </dgm:pt>
    <dgm:pt modelId="{95AE4B08-D99B-4B7C-A19D-54C47EF53778}" type="parTrans" cxnId="{AA0853E1-5311-4DAA-A76B-8D636905974C}">
      <dgm:prSet/>
      <dgm:spPr/>
      <dgm:t>
        <a:bodyPr/>
        <a:lstStyle/>
        <a:p>
          <a:endParaRPr lang="en-AU" b="0"/>
        </a:p>
      </dgm:t>
    </dgm:pt>
    <dgm:pt modelId="{1E69AFE9-ABBA-4F0A-ADAF-00147BC37C53}" type="sibTrans" cxnId="{AA0853E1-5311-4DAA-A76B-8D636905974C}">
      <dgm:prSet/>
      <dgm:spPr/>
      <dgm:t>
        <a:bodyPr/>
        <a:lstStyle/>
        <a:p>
          <a:endParaRPr lang="en-AU"/>
        </a:p>
      </dgm:t>
    </dgm:pt>
    <dgm:pt modelId="{709B3817-9766-4F2F-961B-D3B16BD95B93}">
      <dgm:prSet custT="1"/>
      <dgm:spPr/>
      <dgm:t>
        <a:bodyPr/>
        <a:lstStyle/>
        <a:p>
          <a:r>
            <a:rPr lang="en-AU" sz="1000" b="0"/>
            <a:t>ADSL Availability</a:t>
          </a:r>
        </a:p>
      </dgm:t>
    </dgm:pt>
    <dgm:pt modelId="{651E04E2-25B0-465D-B857-E232AE5F8255}" type="parTrans" cxnId="{C6A174D3-03BB-420F-B20C-AEDF021E22C3}">
      <dgm:prSet/>
      <dgm:spPr/>
      <dgm:t>
        <a:bodyPr/>
        <a:lstStyle/>
        <a:p>
          <a:endParaRPr lang="en-AU" b="0"/>
        </a:p>
      </dgm:t>
    </dgm:pt>
    <dgm:pt modelId="{F11F0C37-CE9F-4103-9E0D-4B904BF1956F}" type="sibTrans" cxnId="{C6A174D3-03BB-420F-B20C-AEDF021E22C3}">
      <dgm:prSet/>
      <dgm:spPr/>
      <dgm:t>
        <a:bodyPr/>
        <a:lstStyle/>
        <a:p>
          <a:endParaRPr lang="en-AU"/>
        </a:p>
      </dgm:t>
    </dgm:pt>
    <dgm:pt modelId="{7212222A-8D1D-44EC-A577-5ADF1D456556}">
      <dgm:prSet custT="1"/>
      <dgm:spPr/>
      <dgm:t>
        <a:bodyPr/>
        <a:lstStyle/>
        <a:p>
          <a:r>
            <a:rPr lang="en-AU" sz="1000" b="0"/>
            <a:t>Is DA ADSL enabled area</a:t>
          </a:r>
        </a:p>
      </dgm:t>
    </dgm:pt>
    <dgm:pt modelId="{A7006CEA-DBE7-432D-9024-1BE3E1D1DDA7}" type="parTrans" cxnId="{7FDEE856-00ED-462D-81AB-B71E918F6331}">
      <dgm:prSet/>
      <dgm:spPr/>
      <dgm:t>
        <a:bodyPr/>
        <a:lstStyle/>
        <a:p>
          <a:endParaRPr lang="en-AU" b="0"/>
        </a:p>
      </dgm:t>
    </dgm:pt>
    <dgm:pt modelId="{95D5CF73-2A01-4BEC-A7DE-AA5B875EEF85}" type="sibTrans" cxnId="{7FDEE856-00ED-462D-81AB-B71E918F6331}">
      <dgm:prSet/>
      <dgm:spPr/>
      <dgm:t>
        <a:bodyPr/>
        <a:lstStyle/>
        <a:p>
          <a:endParaRPr lang="en-AU"/>
        </a:p>
      </dgm:t>
    </dgm:pt>
    <dgm:pt modelId="{E45D83B7-02E0-42A3-98D7-FCA56709E20B}">
      <dgm:prSet custT="1"/>
      <dgm:spPr/>
      <dgm:t>
        <a:bodyPr/>
        <a:lstStyle/>
        <a:p>
          <a:r>
            <a:rPr lang="en-AU" sz="1000" b="0"/>
            <a:t>Proportion of DA impaired by pair gains</a:t>
          </a:r>
        </a:p>
      </dgm:t>
    </dgm:pt>
    <dgm:pt modelId="{23BB0896-0FD6-4409-BDA6-1436901EF3CC}" type="parTrans" cxnId="{93B085D8-2D84-4009-99F3-3369E023C5CA}">
      <dgm:prSet/>
      <dgm:spPr/>
      <dgm:t>
        <a:bodyPr/>
        <a:lstStyle/>
        <a:p>
          <a:endParaRPr lang="en-AU" b="0"/>
        </a:p>
      </dgm:t>
    </dgm:pt>
    <dgm:pt modelId="{8D127E18-0C78-4785-8B3B-C4F5251ABD7E}" type="sibTrans" cxnId="{93B085D8-2D84-4009-99F3-3369E023C5CA}">
      <dgm:prSet/>
      <dgm:spPr/>
      <dgm:t>
        <a:bodyPr/>
        <a:lstStyle/>
        <a:p>
          <a:endParaRPr lang="en-AU"/>
        </a:p>
      </dgm:t>
    </dgm:pt>
    <dgm:pt modelId="{077EC246-6FBB-4EB0-84C3-B05AE20FD430}">
      <dgm:prSet custT="1"/>
      <dgm:spPr/>
      <dgm:t>
        <a:bodyPr/>
        <a:lstStyle/>
        <a:p>
          <a:r>
            <a:rPr lang="en-AU" sz="1000" b="0"/>
            <a:t>Proportion impaired by excessive distance</a:t>
          </a:r>
        </a:p>
      </dgm:t>
    </dgm:pt>
    <dgm:pt modelId="{BB28B722-4D77-4457-953E-7F015FD40C99}" type="parTrans" cxnId="{28E14E71-AFF4-4BDE-B845-C259BE896D69}">
      <dgm:prSet/>
      <dgm:spPr/>
      <dgm:t>
        <a:bodyPr/>
        <a:lstStyle/>
        <a:p>
          <a:endParaRPr lang="en-AU" b="0"/>
        </a:p>
      </dgm:t>
    </dgm:pt>
    <dgm:pt modelId="{A8B446EC-A0F3-4BA8-B2BF-256C67E7D042}" type="sibTrans" cxnId="{28E14E71-AFF4-4BDE-B845-C259BE896D69}">
      <dgm:prSet/>
      <dgm:spPr/>
      <dgm:t>
        <a:bodyPr/>
        <a:lstStyle/>
        <a:p>
          <a:endParaRPr lang="en-AU"/>
        </a:p>
      </dgm:t>
    </dgm:pt>
    <dgm:pt modelId="{FCBE9F93-BE5D-4074-A67B-EF1F11A8B5E3}">
      <dgm:prSet custT="1"/>
      <dgm:spPr/>
      <dgm:t>
        <a:bodyPr/>
        <a:lstStyle/>
        <a:p>
          <a:r>
            <a:rPr lang="en-AU" sz="1000" b="0"/>
            <a:t>Are wholesale ports available</a:t>
          </a:r>
        </a:p>
      </dgm:t>
    </dgm:pt>
    <dgm:pt modelId="{B1203303-2C05-4880-A0ED-6B72C5B9CC66}" type="parTrans" cxnId="{7E5484A3-E612-4084-867D-06E6F9FEE2F4}">
      <dgm:prSet/>
      <dgm:spPr/>
      <dgm:t>
        <a:bodyPr/>
        <a:lstStyle/>
        <a:p>
          <a:endParaRPr lang="en-AU" b="0"/>
        </a:p>
      </dgm:t>
    </dgm:pt>
    <dgm:pt modelId="{2B9984F0-625A-4543-8844-C6899679715E}" type="sibTrans" cxnId="{7E5484A3-E612-4084-867D-06E6F9FEE2F4}">
      <dgm:prSet/>
      <dgm:spPr/>
      <dgm:t>
        <a:bodyPr/>
        <a:lstStyle/>
        <a:p>
          <a:endParaRPr lang="en-AU"/>
        </a:p>
      </dgm:t>
    </dgm:pt>
    <dgm:pt modelId="{9F476755-0284-4ED8-A1FE-F970F9B562B8}">
      <dgm:prSet custT="1"/>
      <dgm:spPr/>
      <dgm:t>
        <a:bodyPr/>
        <a:lstStyle/>
        <a:p>
          <a:r>
            <a:rPr lang="en-AU" sz="1000" b="0"/>
            <a:t>Is the exchange capped</a:t>
          </a:r>
        </a:p>
      </dgm:t>
    </dgm:pt>
    <dgm:pt modelId="{52CCED34-F1D5-4BAA-81D9-C91929A0603B}" type="parTrans" cxnId="{F265219F-CA4B-4AB1-B0B0-272119574BD8}">
      <dgm:prSet/>
      <dgm:spPr/>
      <dgm:t>
        <a:bodyPr/>
        <a:lstStyle/>
        <a:p>
          <a:endParaRPr lang="en-AU" b="0"/>
        </a:p>
      </dgm:t>
    </dgm:pt>
    <dgm:pt modelId="{F855E041-D13A-4F84-AC6A-192F502D7488}" type="sibTrans" cxnId="{F265219F-CA4B-4AB1-B0B0-272119574BD8}">
      <dgm:prSet/>
      <dgm:spPr/>
      <dgm:t>
        <a:bodyPr/>
        <a:lstStyle/>
        <a:p>
          <a:endParaRPr lang="en-AU"/>
        </a:p>
      </dgm:t>
    </dgm:pt>
    <dgm:pt modelId="{A8891D91-4FE5-48F2-8C98-3752823DD760}">
      <dgm:prSet custT="1"/>
      <dgm:spPr/>
      <dgm:t>
        <a:bodyPr/>
        <a:lstStyle/>
        <a:p>
          <a:r>
            <a:rPr lang="en-AU" sz="1000" b="0"/>
            <a:t>HFC Availability</a:t>
          </a:r>
        </a:p>
      </dgm:t>
    </dgm:pt>
    <dgm:pt modelId="{FB735BF3-E5E3-41FB-A7CD-BBF0DC4BB021}" type="parTrans" cxnId="{C2594B85-800C-44BD-B9EE-A6A202F9AC3C}">
      <dgm:prSet/>
      <dgm:spPr/>
      <dgm:t>
        <a:bodyPr/>
        <a:lstStyle/>
        <a:p>
          <a:endParaRPr lang="en-AU"/>
        </a:p>
      </dgm:t>
    </dgm:pt>
    <dgm:pt modelId="{F0EB5C76-68BB-4A55-A877-509FA3DA41A9}" type="sibTrans" cxnId="{C2594B85-800C-44BD-B9EE-A6A202F9AC3C}">
      <dgm:prSet/>
      <dgm:spPr/>
      <dgm:t>
        <a:bodyPr/>
        <a:lstStyle/>
        <a:p>
          <a:endParaRPr lang="en-AU"/>
        </a:p>
      </dgm:t>
    </dgm:pt>
    <dgm:pt modelId="{3A9C07B6-ADC3-4E8E-B0A9-C818C5C0CBC6}">
      <dgm:prSet custT="1"/>
      <dgm:spPr/>
      <dgm:t>
        <a:bodyPr/>
        <a:lstStyle/>
        <a:p>
          <a:r>
            <a:rPr lang="en-AU" sz="1000" b="0"/>
            <a:t>Proportion of DA overlapping with a HFC </a:t>
          </a:r>
        </a:p>
      </dgm:t>
    </dgm:pt>
    <dgm:pt modelId="{4B556B4B-D10D-4F3C-9284-D54BA9717328}" type="parTrans" cxnId="{9F712544-EF84-4AFF-AFD1-EAAE16B55120}">
      <dgm:prSet/>
      <dgm:spPr/>
      <dgm:t>
        <a:bodyPr/>
        <a:lstStyle/>
        <a:p>
          <a:endParaRPr lang="en-AU"/>
        </a:p>
      </dgm:t>
    </dgm:pt>
    <dgm:pt modelId="{193B3A7D-2F59-4CEC-9CFE-34D45D2833F6}" type="sibTrans" cxnId="{9F712544-EF84-4AFF-AFD1-EAAE16B55120}">
      <dgm:prSet/>
      <dgm:spPr/>
      <dgm:t>
        <a:bodyPr/>
        <a:lstStyle/>
        <a:p>
          <a:endParaRPr lang="en-AU"/>
        </a:p>
      </dgm:t>
    </dgm:pt>
    <dgm:pt modelId="{67846697-20D7-4CC0-B47D-41E86D8248E1}">
      <dgm:prSet custT="1"/>
      <dgm:spPr/>
      <dgm:t>
        <a:bodyPr/>
        <a:lstStyle/>
        <a:p>
          <a:r>
            <a:rPr lang="en-AU" sz="1000" b="0"/>
            <a:t>Fixed Wireless Availability</a:t>
          </a:r>
        </a:p>
      </dgm:t>
    </dgm:pt>
    <dgm:pt modelId="{23B4F432-FFE9-4AAE-9073-F2EEF0A3327D}" type="parTrans" cxnId="{0E78657D-C7BD-45DE-80D2-0C6E29FD28C1}">
      <dgm:prSet/>
      <dgm:spPr/>
      <dgm:t>
        <a:bodyPr/>
        <a:lstStyle/>
        <a:p>
          <a:endParaRPr lang="en-AU"/>
        </a:p>
      </dgm:t>
    </dgm:pt>
    <dgm:pt modelId="{6DCA1AD0-194B-4126-9AA6-D01B3FDAED33}" type="sibTrans" cxnId="{0E78657D-C7BD-45DE-80D2-0C6E29FD28C1}">
      <dgm:prSet/>
      <dgm:spPr/>
      <dgm:t>
        <a:bodyPr/>
        <a:lstStyle/>
        <a:p>
          <a:endParaRPr lang="en-AU"/>
        </a:p>
      </dgm:t>
    </dgm:pt>
    <dgm:pt modelId="{181178AC-A5E9-45AA-B702-8F32953E10AF}">
      <dgm:prSet custT="1"/>
      <dgm:spPr/>
      <dgm:t>
        <a:bodyPr/>
        <a:lstStyle/>
        <a:p>
          <a:r>
            <a:rPr lang="en-AU" sz="1000" b="0"/>
            <a:t>Proportion of DA overlapping with NBN Co fixed wireless</a:t>
          </a:r>
        </a:p>
      </dgm:t>
    </dgm:pt>
    <dgm:pt modelId="{A190A1B9-7F1A-4D7C-8A0A-8E099002EBCB}" type="parTrans" cxnId="{5B48AEAD-4653-4C0D-8744-BCD19092C8D8}">
      <dgm:prSet/>
      <dgm:spPr/>
      <dgm:t>
        <a:bodyPr/>
        <a:lstStyle/>
        <a:p>
          <a:endParaRPr lang="en-AU"/>
        </a:p>
      </dgm:t>
    </dgm:pt>
    <dgm:pt modelId="{0A726A3E-4C3E-4E9A-841D-1E5F7D6EF17F}" type="sibTrans" cxnId="{5B48AEAD-4653-4C0D-8744-BCD19092C8D8}">
      <dgm:prSet/>
      <dgm:spPr/>
      <dgm:t>
        <a:bodyPr/>
        <a:lstStyle/>
        <a:p>
          <a:endParaRPr lang="en-AU"/>
        </a:p>
      </dgm:t>
    </dgm:pt>
    <dgm:pt modelId="{92711D1F-5A02-4BA5-B25F-A8508CAF1E3D}" type="pres">
      <dgm:prSet presAssocID="{B7AB245B-185D-463D-9B24-66FE8D66B4E4}" presName="Name0" presStyleCnt="0">
        <dgm:presLayoutVars>
          <dgm:chPref val="1"/>
          <dgm:dir/>
          <dgm:animOne val="branch"/>
          <dgm:animLvl val="lvl"/>
          <dgm:resizeHandles val="exact"/>
        </dgm:presLayoutVars>
      </dgm:prSet>
      <dgm:spPr/>
      <dgm:t>
        <a:bodyPr/>
        <a:lstStyle/>
        <a:p>
          <a:endParaRPr lang="en-AU"/>
        </a:p>
      </dgm:t>
    </dgm:pt>
    <dgm:pt modelId="{9F6832FC-672C-418A-9735-82427E8F2B2F}" type="pres">
      <dgm:prSet presAssocID="{CD0BCDE1-93E7-4F04-B7EF-B4ED94863845}" presName="root1" presStyleCnt="0"/>
      <dgm:spPr/>
      <dgm:t>
        <a:bodyPr/>
        <a:lstStyle/>
        <a:p>
          <a:endParaRPr lang="en-AU"/>
        </a:p>
      </dgm:t>
    </dgm:pt>
    <dgm:pt modelId="{06CFB051-716C-4F6C-920F-34EE2A03F952}" type="pres">
      <dgm:prSet presAssocID="{CD0BCDE1-93E7-4F04-B7EF-B4ED94863845}" presName="LevelOneTextNode" presStyleLbl="node0" presStyleIdx="0" presStyleCnt="1" custAng="5400000" custScaleX="273138" custScaleY="52676" custLinFactX="-33151" custLinFactNeighborX="-100000" custLinFactNeighborY="-1088">
        <dgm:presLayoutVars>
          <dgm:chPref val="3"/>
        </dgm:presLayoutVars>
      </dgm:prSet>
      <dgm:spPr/>
      <dgm:t>
        <a:bodyPr/>
        <a:lstStyle/>
        <a:p>
          <a:endParaRPr lang="en-AU"/>
        </a:p>
      </dgm:t>
    </dgm:pt>
    <dgm:pt modelId="{DD8F3E0E-FC3E-4BBE-99F6-8CDA300314A7}" type="pres">
      <dgm:prSet presAssocID="{CD0BCDE1-93E7-4F04-B7EF-B4ED94863845}" presName="level2hierChild" presStyleCnt="0"/>
      <dgm:spPr/>
      <dgm:t>
        <a:bodyPr/>
        <a:lstStyle/>
        <a:p>
          <a:endParaRPr lang="en-AU"/>
        </a:p>
      </dgm:t>
    </dgm:pt>
    <dgm:pt modelId="{B07A0852-961C-47E1-9438-75CA8AAFF52F}" type="pres">
      <dgm:prSet presAssocID="{0740146D-646E-4713-A5AF-F557E3710165}" presName="conn2-1" presStyleLbl="parChTrans1D2" presStyleIdx="0" presStyleCnt="5"/>
      <dgm:spPr/>
      <dgm:t>
        <a:bodyPr/>
        <a:lstStyle/>
        <a:p>
          <a:endParaRPr lang="en-AU"/>
        </a:p>
      </dgm:t>
    </dgm:pt>
    <dgm:pt modelId="{47643218-A09F-417A-A478-2D02CB1F2952}" type="pres">
      <dgm:prSet presAssocID="{0740146D-646E-4713-A5AF-F557E3710165}" presName="connTx" presStyleLbl="parChTrans1D2" presStyleIdx="0" presStyleCnt="5"/>
      <dgm:spPr/>
      <dgm:t>
        <a:bodyPr/>
        <a:lstStyle/>
        <a:p>
          <a:endParaRPr lang="en-AU"/>
        </a:p>
      </dgm:t>
    </dgm:pt>
    <dgm:pt modelId="{EB0E7379-05E9-4D56-AEDF-EFBBD6B2B4B9}" type="pres">
      <dgm:prSet presAssocID="{9636558E-5375-4293-BED4-C22395729B98}" presName="root2" presStyleCnt="0"/>
      <dgm:spPr/>
      <dgm:t>
        <a:bodyPr/>
        <a:lstStyle/>
        <a:p>
          <a:endParaRPr lang="en-AU"/>
        </a:p>
      </dgm:t>
    </dgm:pt>
    <dgm:pt modelId="{AEBEEF42-2CB5-478C-AD2B-506807639365}" type="pres">
      <dgm:prSet presAssocID="{9636558E-5375-4293-BED4-C22395729B98}" presName="LevelTwoTextNode" presStyleLbl="node2" presStyleIdx="0" presStyleCnt="5" custLinFactNeighborX="-12414" custLinFactNeighborY="-1046">
        <dgm:presLayoutVars>
          <dgm:chPref val="3"/>
        </dgm:presLayoutVars>
      </dgm:prSet>
      <dgm:spPr/>
      <dgm:t>
        <a:bodyPr/>
        <a:lstStyle/>
        <a:p>
          <a:endParaRPr lang="en-AU"/>
        </a:p>
      </dgm:t>
    </dgm:pt>
    <dgm:pt modelId="{06505051-5EB8-4050-9E50-473AD0A703E6}" type="pres">
      <dgm:prSet presAssocID="{9636558E-5375-4293-BED4-C22395729B98}" presName="level3hierChild" presStyleCnt="0"/>
      <dgm:spPr/>
      <dgm:t>
        <a:bodyPr/>
        <a:lstStyle/>
        <a:p>
          <a:endParaRPr lang="en-AU"/>
        </a:p>
      </dgm:t>
    </dgm:pt>
    <dgm:pt modelId="{51725F1F-5C34-4852-A523-C78AE92409FF}" type="pres">
      <dgm:prSet presAssocID="{9CB49BB0-D464-4121-968E-00D2DD05BD34}" presName="conn2-1" presStyleLbl="parChTrans1D3" presStyleIdx="0" presStyleCnt="9"/>
      <dgm:spPr/>
      <dgm:t>
        <a:bodyPr/>
        <a:lstStyle/>
        <a:p>
          <a:endParaRPr lang="en-AU"/>
        </a:p>
      </dgm:t>
    </dgm:pt>
    <dgm:pt modelId="{D818F821-FBC5-4EBC-A6BE-971AD9B12CB4}" type="pres">
      <dgm:prSet presAssocID="{9CB49BB0-D464-4121-968E-00D2DD05BD34}" presName="connTx" presStyleLbl="parChTrans1D3" presStyleIdx="0" presStyleCnt="9"/>
      <dgm:spPr/>
      <dgm:t>
        <a:bodyPr/>
        <a:lstStyle/>
        <a:p>
          <a:endParaRPr lang="en-AU"/>
        </a:p>
      </dgm:t>
    </dgm:pt>
    <dgm:pt modelId="{543CCCAD-04B4-47A0-83D8-5538301D6DA2}" type="pres">
      <dgm:prSet presAssocID="{DA685776-6C4D-4603-8198-3D44A9CE996D}" presName="root2" presStyleCnt="0"/>
      <dgm:spPr/>
      <dgm:t>
        <a:bodyPr/>
        <a:lstStyle/>
        <a:p>
          <a:endParaRPr lang="en-AU"/>
        </a:p>
      </dgm:t>
    </dgm:pt>
    <dgm:pt modelId="{C69BAC52-0A56-45D9-910B-4761A7E4A834}" type="pres">
      <dgm:prSet presAssocID="{DA685776-6C4D-4603-8198-3D44A9CE996D}" presName="LevelTwoTextNode" presStyleLbl="node3" presStyleIdx="0" presStyleCnt="9" custScaleX="162247">
        <dgm:presLayoutVars>
          <dgm:chPref val="3"/>
        </dgm:presLayoutVars>
      </dgm:prSet>
      <dgm:spPr/>
      <dgm:t>
        <a:bodyPr/>
        <a:lstStyle/>
        <a:p>
          <a:endParaRPr lang="en-AU"/>
        </a:p>
      </dgm:t>
    </dgm:pt>
    <dgm:pt modelId="{300BD766-9481-45A6-B961-94C397811A46}" type="pres">
      <dgm:prSet presAssocID="{DA685776-6C4D-4603-8198-3D44A9CE996D}" presName="level3hierChild" presStyleCnt="0"/>
      <dgm:spPr/>
      <dgm:t>
        <a:bodyPr/>
        <a:lstStyle/>
        <a:p>
          <a:endParaRPr lang="en-AU"/>
        </a:p>
      </dgm:t>
    </dgm:pt>
    <dgm:pt modelId="{D444994F-4931-4B3E-8BC4-3F380317B39A}" type="pres">
      <dgm:prSet presAssocID="{73211131-B4B1-4A54-91A6-0264F0CC1654}" presName="conn2-1" presStyleLbl="parChTrans1D2" presStyleIdx="1" presStyleCnt="5"/>
      <dgm:spPr/>
      <dgm:t>
        <a:bodyPr/>
        <a:lstStyle/>
        <a:p>
          <a:endParaRPr lang="en-AU"/>
        </a:p>
      </dgm:t>
    </dgm:pt>
    <dgm:pt modelId="{3E506695-0BD6-495F-88F4-8C414C28BB40}" type="pres">
      <dgm:prSet presAssocID="{73211131-B4B1-4A54-91A6-0264F0CC1654}" presName="connTx" presStyleLbl="parChTrans1D2" presStyleIdx="1" presStyleCnt="5"/>
      <dgm:spPr/>
      <dgm:t>
        <a:bodyPr/>
        <a:lstStyle/>
        <a:p>
          <a:endParaRPr lang="en-AU"/>
        </a:p>
      </dgm:t>
    </dgm:pt>
    <dgm:pt modelId="{54144349-3223-48E4-A866-E049F6D1DE9F}" type="pres">
      <dgm:prSet presAssocID="{C5C09827-E2E0-4670-9388-199F071662F7}" presName="root2" presStyleCnt="0"/>
      <dgm:spPr/>
      <dgm:t>
        <a:bodyPr/>
        <a:lstStyle/>
        <a:p>
          <a:endParaRPr lang="en-AU"/>
        </a:p>
      </dgm:t>
    </dgm:pt>
    <dgm:pt modelId="{96C06934-8996-4833-AE5F-DD67145FDFDE}" type="pres">
      <dgm:prSet presAssocID="{C5C09827-E2E0-4670-9388-199F071662F7}" presName="LevelTwoTextNode" presStyleLbl="node2" presStyleIdx="1" presStyleCnt="5" custLinFactNeighborX="-12414" custLinFactNeighborY="-8930">
        <dgm:presLayoutVars>
          <dgm:chPref val="3"/>
        </dgm:presLayoutVars>
      </dgm:prSet>
      <dgm:spPr/>
      <dgm:t>
        <a:bodyPr/>
        <a:lstStyle/>
        <a:p>
          <a:endParaRPr lang="en-AU"/>
        </a:p>
      </dgm:t>
    </dgm:pt>
    <dgm:pt modelId="{382833B9-E257-4A81-8A28-AEEA18625CA5}" type="pres">
      <dgm:prSet presAssocID="{C5C09827-E2E0-4670-9388-199F071662F7}" presName="level3hierChild" presStyleCnt="0"/>
      <dgm:spPr/>
      <dgm:t>
        <a:bodyPr/>
        <a:lstStyle/>
        <a:p>
          <a:endParaRPr lang="en-AU"/>
        </a:p>
      </dgm:t>
    </dgm:pt>
    <dgm:pt modelId="{EF2601E0-F44C-42C5-B410-354038722C26}" type="pres">
      <dgm:prSet presAssocID="{95AE4B08-D99B-4B7C-A19D-54C47EF53778}" presName="conn2-1" presStyleLbl="parChTrans1D3" presStyleIdx="1" presStyleCnt="9"/>
      <dgm:spPr/>
      <dgm:t>
        <a:bodyPr/>
        <a:lstStyle/>
        <a:p>
          <a:endParaRPr lang="en-AU"/>
        </a:p>
      </dgm:t>
    </dgm:pt>
    <dgm:pt modelId="{A0676AC5-9213-47B6-8960-F52F1DCEB4EB}" type="pres">
      <dgm:prSet presAssocID="{95AE4B08-D99B-4B7C-A19D-54C47EF53778}" presName="connTx" presStyleLbl="parChTrans1D3" presStyleIdx="1" presStyleCnt="9"/>
      <dgm:spPr/>
      <dgm:t>
        <a:bodyPr/>
        <a:lstStyle/>
        <a:p>
          <a:endParaRPr lang="en-AU"/>
        </a:p>
      </dgm:t>
    </dgm:pt>
    <dgm:pt modelId="{D053C22D-C0C0-483A-97B8-C72EE80F5FB6}" type="pres">
      <dgm:prSet presAssocID="{BEF4BD79-F7AF-4412-A9B3-9276D41E7D6B}" presName="root2" presStyleCnt="0"/>
      <dgm:spPr/>
      <dgm:t>
        <a:bodyPr/>
        <a:lstStyle/>
        <a:p>
          <a:endParaRPr lang="en-AU"/>
        </a:p>
      </dgm:t>
    </dgm:pt>
    <dgm:pt modelId="{DD834F19-2C52-4231-9469-BAFB63B69F75}" type="pres">
      <dgm:prSet presAssocID="{BEF4BD79-F7AF-4412-A9B3-9276D41E7D6B}" presName="LevelTwoTextNode" presStyleLbl="node3" presStyleIdx="1" presStyleCnt="9" custScaleX="162247">
        <dgm:presLayoutVars>
          <dgm:chPref val="3"/>
        </dgm:presLayoutVars>
      </dgm:prSet>
      <dgm:spPr/>
      <dgm:t>
        <a:bodyPr/>
        <a:lstStyle/>
        <a:p>
          <a:endParaRPr lang="en-AU"/>
        </a:p>
      </dgm:t>
    </dgm:pt>
    <dgm:pt modelId="{0DD283E5-51C1-468A-BDFC-DD8F6321BD8B}" type="pres">
      <dgm:prSet presAssocID="{BEF4BD79-F7AF-4412-A9B3-9276D41E7D6B}" presName="level3hierChild" presStyleCnt="0"/>
      <dgm:spPr/>
      <dgm:t>
        <a:bodyPr/>
        <a:lstStyle/>
        <a:p>
          <a:endParaRPr lang="en-AU"/>
        </a:p>
      </dgm:t>
    </dgm:pt>
    <dgm:pt modelId="{5AEFE16E-F078-4348-A441-129ADA9545F5}" type="pres">
      <dgm:prSet presAssocID="{FB735BF3-E5E3-41FB-A7CD-BBF0DC4BB021}" presName="conn2-1" presStyleLbl="parChTrans1D2" presStyleIdx="2" presStyleCnt="5"/>
      <dgm:spPr/>
      <dgm:t>
        <a:bodyPr/>
        <a:lstStyle/>
        <a:p>
          <a:endParaRPr lang="en-AU"/>
        </a:p>
      </dgm:t>
    </dgm:pt>
    <dgm:pt modelId="{191D0302-074A-4383-872B-FB5A3215975B}" type="pres">
      <dgm:prSet presAssocID="{FB735BF3-E5E3-41FB-A7CD-BBF0DC4BB021}" presName="connTx" presStyleLbl="parChTrans1D2" presStyleIdx="2" presStyleCnt="5"/>
      <dgm:spPr/>
      <dgm:t>
        <a:bodyPr/>
        <a:lstStyle/>
        <a:p>
          <a:endParaRPr lang="en-AU"/>
        </a:p>
      </dgm:t>
    </dgm:pt>
    <dgm:pt modelId="{4E29308A-48EE-488D-83AE-91E0C442DDEB}" type="pres">
      <dgm:prSet presAssocID="{A8891D91-4FE5-48F2-8C98-3752823DD760}" presName="root2" presStyleCnt="0"/>
      <dgm:spPr/>
    </dgm:pt>
    <dgm:pt modelId="{64ED634C-74AC-4DBA-83E7-853911DB8E8E}" type="pres">
      <dgm:prSet presAssocID="{A8891D91-4FE5-48F2-8C98-3752823DD760}" presName="LevelTwoTextNode" presStyleLbl="node2" presStyleIdx="2" presStyleCnt="5" custLinFactNeighborX="-12414" custLinFactNeighborY="-620">
        <dgm:presLayoutVars>
          <dgm:chPref val="3"/>
        </dgm:presLayoutVars>
      </dgm:prSet>
      <dgm:spPr/>
      <dgm:t>
        <a:bodyPr/>
        <a:lstStyle/>
        <a:p>
          <a:endParaRPr lang="en-AU"/>
        </a:p>
      </dgm:t>
    </dgm:pt>
    <dgm:pt modelId="{B056C2B3-6BB0-4529-B928-5CD2E85AB58D}" type="pres">
      <dgm:prSet presAssocID="{A8891D91-4FE5-48F2-8C98-3752823DD760}" presName="level3hierChild" presStyleCnt="0"/>
      <dgm:spPr/>
    </dgm:pt>
    <dgm:pt modelId="{A024FE21-538B-4C87-B8AD-86B048BE6049}" type="pres">
      <dgm:prSet presAssocID="{4B556B4B-D10D-4F3C-9284-D54BA9717328}" presName="conn2-1" presStyleLbl="parChTrans1D3" presStyleIdx="2" presStyleCnt="9"/>
      <dgm:spPr/>
      <dgm:t>
        <a:bodyPr/>
        <a:lstStyle/>
        <a:p>
          <a:endParaRPr lang="en-AU"/>
        </a:p>
      </dgm:t>
    </dgm:pt>
    <dgm:pt modelId="{9DDF23DA-2F44-497A-8C27-186E34595874}" type="pres">
      <dgm:prSet presAssocID="{4B556B4B-D10D-4F3C-9284-D54BA9717328}" presName="connTx" presStyleLbl="parChTrans1D3" presStyleIdx="2" presStyleCnt="9"/>
      <dgm:spPr/>
      <dgm:t>
        <a:bodyPr/>
        <a:lstStyle/>
        <a:p>
          <a:endParaRPr lang="en-AU"/>
        </a:p>
      </dgm:t>
    </dgm:pt>
    <dgm:pt modelId="{FA2AD8D1-19AA-4B8D-BAF9-AE57A9CCA2F4}" type="pres">
      <dgm:prSet presAssocID="{3A9C07B6-ADC3-4E8E-B0A9-C818C5C0CBC6}" presName="root2" presStyleCnt="0"/>
      <dgm:spPr/>
    </dgm:pt>
    <dgm:pt modelId="{5477BFB2-8D53-4320-A4BF-E764352BB7FE}" type="pres">
      <dgm:prSet presAssocID="{3A9C07B6-ADC3-4E8E-B0A9-C818C5C0CBC6}" presName="LevelTwoTextNode" presStyleLbl="node3" presStyleIdx="2" presStyleCnt="9" custScaleX="162247">
        <dgm:presLayoutVars>
          <dgm:chPref val="3"/>
        </dgm:presLayoutVars>
      </dgm:prSet>
      <dgm:spPr/>
      <dgm:t>
        <a:bodyPr/>
        <a:lstStyle/>
        <a:p>
          <a:endParaRPr lang="en-AU"/>
        </a:p>
      </dgm:t>
    </dgm:pt>
    <dgm:pt modelId="{6A56BA2B-82D2-4AB3-8141-63F7561EA834}" type="pres">
      <dgm:prSet presAssocID="{3A9C07B6-ADC3-4E8E-B0A9-C818C5C0CBC6}" presName="level3hierChild" presStyleCnt="0"/>
      <dgm:spPr/>
    </dgm:pt>
    <dgm:pt modelId="{6FBA22D8-EE7C-4811-9407-38001CD8E7FF}" type="pres">
      <dgm:prSet presAssocID="{23B4F432-FFE9-4AAE-9073-F2EEF0A3327D}" presName="conn2-1" presStyleLbl="parChTrans1D2" presStyleIdx="3" presStyleCnt="5"/>
      <dgm:spPr/>
      <dgm:t>
        <a:bodyPr/>
        <a:lstStyle/>
        <a:p>
          <a:endParaRPr lang="en-AU"/>
        </a:p>
      </dgm:t>
    </dgm:pt>
    <dgm:pt modelId="{B71CD913-88A0-4583-9609-3D4F0CF03679}" type="pres">
      <dgm:prSet presAssocID="{23B4F432-FFE9-4AAE-9073-F2EEF0A3327D}" presName="connTx" presStyleLbl="parChTrans1D2" presStyleIdx="3" presStyleCnt="5"/>
      <dgm:spPr/>
      <dgm:t>
        <a:bodyPr/>
        <a:lstStyle/>
        <a:p>
          <a:endParaRPr lang="en-AU"/>
        </a:p>
      </dgm:t>
    </dgm:pt>
    <dgm:pt modelId="{6DA352A2-CDFF-46EC-8237-1B3A798A5243}" type="pres">
      <dgm:prSet presAssocID="{67846697-20D7-4CC0-B47D-41E86D8248E1}" presName="root2" presStyleCnt="0"/>
      <dgm:spPr/>
    </dgm:pt>
    <dgm:pt modelId="{77FADCC6-E037-440A-9F36-ABE449790206}" type="pres">
      <dgm:prSet presAssocID="{67846697-20D7-4CC0-B47D-41E86D8248E1}" presName="LevelTwoTextNode" presStyleLbl="node2" presStyleIdx="3" presStyleCnt="5" custLinFactNeighborX="-12414" custLinFactNeighborY="7689">
        <dgm:presLayoutVars>
          <dgm:chPref val="3"/>
        </dgm:presLayoutVars>
      </dgm:prSet>
      <dgm:spPr/>
      <dgm:t>
        <a:bodyPr/>
        <a:lstStyle/>
        <a:p>
          <a:endParaRPr lang="en-AU"/>
        </a:p>
      </dgm:t>
    </dgm:pt>
    <dgm:pt modelId="{D4288F39-0326-4AFC-8D32-142F38111E52}" type="pres">
      <dgm:prSet presAssocID="{67846697-20D7-4CC0-B47D-41E86D8248E1}" presName="level3hierChild" presStyleCnt="0"/>
      <dgm:spPr/>
    </dgm:pt>
    <dgm:pt modelId="{4E5D0EA5-FD1E-436F-8E37-C9C73F436FAA}" type="pres">
      <dgm:prSet presAssocID="{A190A1B9-7F1A-4D7C-8A0A-8E099002EBCB}" presName="conn2-1" presStyleLbl="parChTrans1D3" presStyleIdx="3" presStyleCnt="9"/>
      <dgm:spPr/>
      <dgm:t>
        <a:bodyPr/>
        <a:lstStyle/>
        <a:p>
          <a:endParaRPr lang="en-AU"/>
        </a:p>
      </dgm:t>
    </dgm:pt>
    <dgm:pt modelId="{5270D1BD-2EE3-47CD-B977-1579B558CB70}" type="pres">
      <dgm:prSet presAssocID="{A190A1B9-7F1A-4D7C-8A0A-8E099002EBCB}" presName="connTx" presStyleLbl="parChTrans1D3" presStyleIdx="3" presStyleCnt="9"/>
      <dgm:spPr/>
      <dgm:t>
        <a:bodyPr/>
        <a:lstStyle/>
        <a:p>
          <a:endParaRPr lang="en-AU"/>
        </a:p>
      </dgm:t>
    </dgm:pt>
    <dgm:pt modelId="{38F1F081-3086-4203-AD69-B205B8619407}" type="pres">
      <dgm:prSet presAssocID="{181178AC-A5E9-45AA-B702-8F32953E10AF}" presName="root2" presStyleCnt="0"/>
      <dgm:spPr/>
    </dgm:pt>
    <dgm:pt modelId="{D243696A-F95B-4336-9EF3-19DA7B223C1A}" type="pres">
      <dgm:prSet presAssocID="{181178AC-A5E9-45AA-B702-8F32953E10AF}" presName="LevelTwoTextNode" presStyleLbl="node3" presStyleIdx="3" presStyleCnt="9" custScaleX="162247">
        <dgm:presLayoutVars>
          <dgm:chPref val="3"/>
        </dgm:presLayoutVars>
      </dgm:prSet>
      <dgm:spPr/>
      <dgm:t>
        <a:bodyPr/>
        <a:lstStyle/>
        <a:p>
          <a:endParaRPr lang="en-AU"/>
        </a:p>
      </dgm:t>
    </dgm:pt>
    <dgm:pt modelId="{D73E0570-9D17-4074-9F3B-52601B9A60B4}" type="pres">
      <dgm:prSet presAssocID="{181178AC-A5E9-45AA-B702-8F32953E10AF}" presName="level3hierChild" presStyleCnt="0"/>
      <dgm:spPr/>
    </dgm:pt>
    <dgm:pt modelId="{632C59AC-74DD-4ECC-B260-090E7BD46C6C}" type="pres">
      <dgm:prSet presAssocID="{651E04E2-25B0-465D-B857-E232AE5F8255}" presName="conn2-1" presStyleLbl="parChTrans1D2" presStyleIdx="4" presStyleCnt="5"/>
      <dgm:spPr/>
      <dgm:t>
        <a:bodyPr/>
        <a:lstStyle/>
        <a:p>
          <a:endParaRPr lang="en-AU"/>
        </a:p>
      </dgm:t>
    </dgm:pt>
    <dgm:pt modelId="{C844D29D-2222-4196-92F8-29B19805AF8C}" type="pres">
      <dgm:prSet presAssocID="{651E04E2-25B0-465D-B857-E232AE5F8255}" presName="connTx" presStyleLbl="parChTrans1D2" presStyleIdx="4" presStyleCnt="5"/>
      <dgm:spPr/>
      <dgm:t>
        <a:bodyPr/>
        <a:lstStyle/>
        <a:p>
          <a:endParaRPr lang="en-AU"/>
        </a:p>
      </dgm:t>
    </dgm:pt>
    <dgm:pt modelId="{EEC544F0-F510-46B9-9185-4E964B76D2EE}" type="pres">
      <dgm:prSet presAssocID="{709B3817-9766-4F2F-961B-D3B16BD95B93}" presName="root2" presStyleCnt="0"/>
      <dgm:spPr/>
      <dgm:t>
        <a:bodyPr/>
        <a:lstStyle/>
        <a:p>
          <a:endParaRPr lang="en-AU"/>
        </a:p>
      </dgm:t>
    </dgm:pt>
    <dgm:pt modelId="{2E78E65E-6D1D-4A56-AD99-440C68716AF2}" type="pres">
      <dgm:prSet presAssocID="{709B3817-9766-4F2F-961B-D3B16BD95B93}" presName="LevelTwoTextNode" presStyleLbl="node2" presStyleIdx="4" presStyleCnt="5" custLinFactNeighborX="-12414" custLinFactNeighborY="-721">
        <dgm:presLayoutVars>
          <dgm:chPref val="3"/>
        </dgm:presLayoutVars>
      </dgm:prSet>
      <dgm:spPr/>
      <dgm:t>
        <a:bodyPr/>
        <a:lstStyle/>
        <a:p>
          <a:endParaRPr lang="en-AU"/>
        </a:p>
      </dgm:t>
    </dgm:pt>
    <dgm:pt modelId="{C3E9E5E4-A150-4AFD-8D8C-A118DD3F7D7F}" type="pres">
      <dgm:prSet presAssocID="{709B3817-9766-4F2F-961B-D3B16BD95B93}" presName="level3hierChild" presStyleCnt="0"/>
      <dgm:spPr/>
      <dgm:t>
        <a:bodyPr/>
        <a:lstStyle/>
        <a:p>
          <a:endParaRPr lang="en-AU"/>
        </a:p>
      </dgm:t>
    </dgm:pt>
    <dgm:pt modelId="{1D637A6E-641B-4C36-8977-5EF446588A3F}" type="pres">
      <dgm:prSet presAssocID="{A7006CEA-DBE7-432D-9024-1BE3E1D1DDA7}" presName="conn2-1" presStyleLbl="parChTrans1D3" presStyleIdx="4" presStyleCnt="9"/>
      <dgm:spPr/>
      <dgm:t>
        <a:bodyPr/>
        <a:lstStyle/>
        <a:p>
          <a:endParaRPr lang="en-AU"/>
        </a:p>
      </dgm:t>
    </dgm:pt>
    <dgm:pt modelId="{790C7C1D-7995-4985-A58E-1567E8D3F3AA}" type="pres">
      <dgm:prSet presAssocID="{A7006CEA-DBE7-432D-9024-1BE3E1D1DDA7}" presName="connTx" presStyleLbl="parChTrans1D3" presStyleIdx="4" presStyleCnt="9"/>
      <dgm:spPr/>
      <dgm:t>
        <a:bodyPr/>
        <a:lstStyle/>
        <a:p>
          <a:endParaRPr lang="en-AU"/>
        </a:p>
      </dgm:t>
    </dgm:pt>
    <dgm:pt modelId="{46E890D2-1EB5-4534-A26B-9D9DF9B758CC}" type="pres">
      <dgm:prSet presAssocID="{7212222A-8D1D-44EC-A577-5ADF1D456556}" presName="root2" presStyleCnt="0"/>
      <dgm:spPr/>
      <dgm:t>
        <a:bodyPr/>
        <a:lstStyle/>
        <a:p>
          <a:endParaRPr lang="en-AU"/>
        </a:p>
      </dgm:t>
    </dgm:pt>
    <dgm:pt modelId="{CD3877EB-0558-4D9D-BA1E-913A9E97AF1F}" type="pres">
      <dgm:prSet presAssocID="{7212222A-8D1D-44EC-A577-5ADF1D456556}" presName="LevelTwoTextNode" presStyleLbl="node3" presStyleIdx="4" presStyleCnt="9" custScaleX="162247">
        <dgm:presLayoutVars>
          <dgm:chPref val="3"/>
        </dgm:presLayoutVars>
      </dgm:prSet>
      <dgm:spPr/>
      <dgm:t>
        <a:bodyPr/>
        <a:lstStyle/>
        <a:p>
          <a:endParaRPr lang="en-AU"/>
        </a:p>
      </dgm:t>
    </dgm:pt>
    <dgm:pt modelId="{2C9A8F73-A3B1-4012-A140-DD6085DB75AA}" type="pres">
      <dgm:prSet presAssocID="{7212222A-8D1D-44EC-A577-5ADF1D456556}" presName="level3hierChild" presStyleCnt="0"/>
      <dgm:spPr/>
      <dgm:t>
        <a:bodyPr/>
        <a:lstStyle/>
        <a:p>
          <a:endParaRPr lang="en-AU"/>
        </a:p>
      </dgm:t>
    </dgm:pt>
    <dgm:pt modelId="{E95DFC25-51EE-4F76-99BF-C9535EF3065A}" type="pres">
      <dgm:prSet presAssocID="{23BB0896-0FD6-4409-BDA6-1436901EF3CC}" presName="conn2-1" presStyleLbl="parChTrans1D3" presStyleIdx="5" presStyleCnt="9"/>
      <dgm:spPr/>
      <dgm:t>
        <a:bodyPr/>
        <a:lstStyle/>
        <a:p>
          <a:endParaRPr lang="en-AU"/>
        </a:p>
      </dgm:t>
    </dgm:pt>
    <dgm:pt modelId="{454B1D72-B3A5-457B-BB98-7DCCB8373582}" type="pres">
      <dgm:prSet presAssocID="{23BB0896-0FD6-4409-BDA6-1436901EF3CC}" presName="connTx" presStyleLbl="parChTrans1D3" presStyleIdx="5" presStyleCnt="9"/>
      <dgm:spPr/>
      <dgm:t>
        <a:bodyPr/>
        <a:lstStyle/>
        <a:p>
          <a:endParaRPr lang="en-AU"/>
        </a:p>
      </dgm:t>
    </dgm:pt>
    <dgm:pt modelId="{FB9123D1-3BB9-4602-A229-4A4213EAB689}" type="pres">
      <dgm:prSet presAssocID="{E45D83B7-02E0-42A3-98D7-FCA56709E20B}" presName="root2" presStyleCnt="0"/>
      <dgm:spPr/>
      <dgm:t>
        <a:bodyPr/>
        <a:lstStyle/>
        <a:p>
          <a:endParaRPr lang="en-AU"/>
        </a:p>
      </dgm:t>
    </dgm:pt>
    <dgm:pt modelId="{F221411C-D86D-4409-910A-37ECBFC6BF16}" type="pres">
      <dgm:prSet presAssocID="{E45D83B7-02E0-42A3-98D7-FCA56709E20B}" presName="LevelTwoTextNode" presStyleLbl="node3" presStyleIdx="5" presStyleCnt="9" custScaleX="162247">
        <dgm:presLayoutVars>
          <dgm:chPref val="3"/>
        </dgm:presLayoutVars>
      </dgm:prSet>
      <dgm:spPr/>
      <dgm:t>
        <a:bodyPr/>
        <a:lstStyle/>
        <a:p>
          <a:endParaRPr lang="en-AU"/>
        </a:p>
      </dgm:t>
    </dgm:pt>
    <dgm:pt modelId="{CAB2D1F8-51E4-4051-9494-9115770DABE4}" type="pres">
      <dgm:prSet presAssocID="{E45D83B7-02E0-42A3-98D7-FCA56709E20B}" presName="level3hierChild" presStyleCnt="0"/>
      <dgm:spPr/>
      <dgm:t>
        <a:bodyPr/>
        <a:lstStyle/>
        <a:p>
          <a:endParaRPr lang="en-AU"/>
        </a:p>
      </dgm:t>
    </dgm:pt>
    <dgm:pt modelId="{366D882F-4B94-47AB-9BAD-903240148535}" type="pres">
      <dgm:prSet presAssocID="{BB28B722-4D77-4457-953E-7F015FD40C99}" presName="conn2-1" presStyleLbl="parChTrans1D3" presStyleIdx="6" presStyleCnt="9"/>
      <dgm:spPr/>
      <dgm:t>
        <a:bodyPr/>
        <a:lstStyle/>
        <a:p>
          <a:endParaRPr lang="en-AU"/>
        </a:p>
      </dgm:t>
    </dgm:pt>
    <dgm:pt modelId="{AABFB270-0AA9-458D-A433-10C3EBB42D75}" type="pres">
      <dgm:prSet presAssocID="{BB28B722-4D77-4457-953E-7F015FD40C99}" presName="connTx" presStyleLbl="parChTrans1D3" presStyleIdx="6" presStyleCnt="9"/>
      <dgm:spPr/>
      <dgm:t>
        <a:bodyPr/>
        <a:lstStyle/>
        <a:p>
          <a:endParaRPr lang="en-AU"/>
        </a:p>
      </dgm:t>
    </dgm:pt>
    <dgm:pt modelId="{C5AD6395-F053-4ACF-B381-CD1B4CCEC192}" type="pres">
      <dgm:prSet presAssocID="{077EC246-6FBB-4EB0-84C3-B05AE20FD430}" presName="root2" presStyleCnt="0"/>
      <dgm:spPr/>
      <dgm:t>
        <a:bodyPr/>
        <a:lstStyle/>
        <a:p>
          <a:endParaRPr lang="en-AU"/>
        </a:p>
      </dgm:t>
    </dgm:pt>
    <dgm:pt modelId="{DED5FDE1-9BEF-4E3C-A73E-575BA5476A40}" type="pres">
      <dgm:prSet presAssocID="{077EC246-6FBB-4EB0-84C3-B05AE20FD430}" presName="LevelTwoTextNode" presStyleLbl="node3" presStyleIdx="6" presStyleCnt="9" custScaleX="162247">
        <dgm:presLayoutVars>
          <dgm:chPref val="3"/>
        </dgm:presLayoutVars>
      </dgm:prSet>
      <dgm:spPr/>
      <dgm:t>
        <a:bodyPr/>
        <a:lstStyle/>
        <a:p>
          <a:endParaRPr lang="en-AU"/>
        </a:p>
      </dgm:t>
    </dgm:pt>
    <dgm:pt modelId="{4F732C5E-AC8D-4E08-829A-8D0921A654E0}" type="pres">
      <dgm:prSet presAssocID="{077EC246-6FBB-4EB0-84C3-B05AE20FD430}" presName="level3hierChild" presStyleCnt="0"/>
      <dgm:spPr/>
      <dgm:t>
        <a:bodyPr/>
        <a:lstStyle/>
        <a:p>
          <a:endParaRPr lang="en-AU"/>
        </a:p>
      </dgm:t>
    </dgm:pt>
    <dgm:pt modelId="{4B416D02-FA76-4C63-A828-71EBE0F91F4C}" type="pres">
      <dgm:prSet presAssocID="{B1203303-2C05-4880-A0ED-6B72C5B9CC66}" presName="conn2-1" presStyleLbl="parChTrans1D3" presStyleIdx="7" presStyleCnt="9"/>
      <dgm:spPr/>
      <dgm:t>
        <a:bodyPr/>
        <a:lstStyle/>
        <a:p>
          <a:endParaRPr lang="en-AU"/>
        </a:p>
      </dgm:t>
    </dgm:pt>
    <dgm:pt modelId="{5FC46A9C-B527-4385-B5BA-C075A5B95920}" type="pres">
      <dgm:prSet presAssocID="{B1203303-2C05-4880-A0ED-6B72C5B9CC66}" presName="connTx" presStyleLbl="parChTrans1D3" presStyleIdx="7" presStyleCnt="9"/>
      <dgm:spPr/>
      <dgm:t>
        <a:bodyPr/>
        <a:lstStyle/>
        <a:p>
          <a:endParaRPr lang="en-AU"/>
        </a:p>
      </dgm:t>
    </dgm:pt>
    <dgm:pt modelId="{A6002FEF-2C85-4F1E-8C8C-4CC02ED78F55}" type="pres">
      <dgm:prSet presAssocID="{FCBE9F93-BE5D-4074-A67B-EF1F11A8B5E3}" presName="root2" presStyleCnt="0"/>
      <dgm:spPr/>
      <dgm:t>
        <a:bodyPr/>
        <a:lstStyle/>
        <a:p>
          <a:endParaRPr lang="en-AU"/>
        </a:p>
      </dgm:t>
    </dgm:pt>
    <dgm:pt modelId="{40549453-86A9-435C-986F-8CEC9EE8BA09}" type="pres">
      <dgm:prSet presAssocID="{FCBE9F93-BE5D-4074-A67B-EF1F11A8B5E3}" presName="LevelTwoTextNode" presStyleLbl="node3" presStyleIdx="7" presStyleCnt="9" custScaleX="162247">
        <dgm:presLayoutVars>
          <dgm:chPref val="3"/>
        </dgm:presLayoutVars>
      </dgm:prSet>
      <dgm:spPr/>
      <dgm:t>
        <a:bodyPr/>
        <a:lstStyle/>
        <a:p>
          <a:endParaRPr lang="en-AU"/>
        </a:p>
      </dgm:t>
    </dgm:pt>
    <dgm:pt modelId="{DAC523DE-A704-4D53-9F09-11377F7A3C47}" type="pres">
      <dgm:prSet presAssocID="{FCBE9F93-BE5D-4074-A67B-EF1F11A8B5E3}" presName="level3hierChild" presStyleCnt="0"/>
      <dgm:spPr/>
      <dgm:t>
        <a:bodyPr/>
        <a:lstStyle/>
        <a:p>
          <a:endParaRPr lang="en-AU"/>
        </a:p>
      </dgm:t>
    </dgm:pt>
    <dgm:pt modelId="{4256B748-C5D0-4923-8331-8E515F659009}" type="pres">
      <dgm:prSet presAssocID="{52CCED34-F1D5-4BAA-81D9-C91929A0603B}" presName="conn2-1" presStyleLbl="parChTrans1D3" presStyleIdx="8" presStyleCnt="9"/>
      <dgm:spPr/>
      <dgm:t>
        <a:bodyPr/>
        <a:lstStyle/>
        <a:p>
          <a:endParaRPr lang="en-AU"/>
        </a:p>
      </dgm:t>
    </dgm:pt>
    <dgm:pt modelId="{488FDA6A-D0C5-4515-B699-4563A410D406}" type="pres">
      <dgm:prSet presAssocID="{52CCED34-F1D5-4BAA-81D9-C91929A0603B}" presName="connTx" presStyleLbl="parChTrans1D3" presStyleIdx="8" presStyleCnt="9"/>
      <dgm:spPr/>
      <dgm:t>
        <a:bodyPr/>
        <a:lstStyle/>
        <a:p>
          <a:endParaRPr lang="en-AU"/>
        </a:p>
      </dgm:t>
    </dgm:pt>
    <dgm:pt modelId="{581CC802-912E-46BF-918B-01F6C75CE343}" type="pres">
      <dgm:prSet presAssocID="{9F476755-0284-4ED8-A1FE-F970F9B562B8}" presName="root2" presStyleCnt="0"/>
      <dgm:spPr/>
      <dgm:t>
        <a:bodyPr/>
        <a:lstStyle/>
        <a:p>
          <a:endParaRPr lang="en-AU"/>
        </a:p>
      </dgm:t>
    </dgm:pt>
    <dgm:pt modelId="{784EC822-E48B-4D49-A383-AE2C3FC744E1}" type="pres">
      <dgm:prSet presAssocID="{9F476755-0284-4ED8-A1FE-F970F9B562B8}" presName="LevelTwoTextNode" presStyleLbl="node3" presStyleIdx="8" presStyleCnt="9" custScaleX="162247">
        <dgm:presLayoutVars>
          <dgm:chPref val="3"/>
        </dgm:presLayoutVars>
      </dgm:prSet>
      <dgm:spPr/>
      <dgm:t>
        <a:bodyPr/>
        <a:lstStyle/>
        <a:p>
          <a:endParaRPr lang="en-AU"/>
        </a:p>
      </dgm:t>
    </dgm:pt>
    <dgm:pt modelId="{227930FF-39FA-404B-AD95-9FE66DB52F87}" type="pres">
      <dgm:prSet presAssocID="{9F476755-0284-4ED8-A1FE-F970F9B562B8}" presName="level3hierChild" presStyleCnt="0"/>
      <dgm:spPr/>
      <dgm:t>
        <a:bodyPr/>
        <a:lstStyle/>
        <a:p>
          <a:endParaRPr lang="en-AU"/>
        </a:p>
      </dgm:t>
    </dgm:pt>
  </dgm:ptLst>
  <dgm:cxnLst>
    <dgm:cxn modelId="{5FBB1370-0B14-49B2-9B01-388047CBD4DF}" type="presOf" srcId="{23BB0896-0FD6-4409-BDA6-1436901EF3CC}" destId="{454B1D72-B3A5-457B-BB98-7DCCB8373582}" srcOrd="1" destOrd="0" presId="urn:microsoft.com/office/officeart/2008/layout/HorizontalMultiLevelHierarchy"/>
    <dgm:cxn modelId="{256F2318-1889-401B-B4AD-4A741BEEBE6A}" type="presOf" srcId="{0740146D-646E-4713-A5AF-F557E3710165}" destId="{47643218-A09F-417A-A478-2D02CB1F2952}" srcOrd="1" destOrd="0" presId="urn:microsoft.com/office/officeart/2008/layout/HorizontalMultiLevelHierarchy"/>
    <dgm:cxn modelId="{CE065771-B81F-477A-80F1-4B80ED61E36D}" type="presOf" srcId="{181178AC-A5E9-45AA-B702-8F32953E10AF}" destId="{D243696A-F95B-4336-9EF3-19DA7B223C1A}" srcOrd="0" destOrd="0" presId="urn:microsoft.com/office/officeart/2008/layout/HorizontalMultiLevelHierarchy"/>
    <dgm:cxn modelId="{C6A174D3-03BB-420F-B20C-AEDF021E22C3}" srcId="{CD0BCDE1-93E7-4F04-B7EF-B4ED94863845}" destId="{709B3817-9766-4F2F-961B-D3B16BD95B93}" srcOrd="4" destOrd="0" parTransId="{651E04E2-25B0-465D-B857-E232AE5F8255}" sibTransId="{F11F0C37-CE9F-4103-9E0D-4B904BF1956F}"/>
    <dgm:cxn modelId="{CE130573-090F-427E-A76E-8B2927433E76}" type="presOf" srcId="{95AE4B08-D99B-4B7C-A19D-54C47EF53778}" destId="{A0676AC5-9213-47B6-8960-F52F1DCEB4EB}" srcOrd="1" destOrd="0" presId="urn:microsoft.com/office/officeart/2008/layout/HorizontalMultiLevelHierarchy"/>
    <dgm:cxn modelId="{36013E5C-85A3-4BEF-85EA-96CDDC4EB427}" type="presOf" srcId="{A8891D91-4FE5-48F2-8C98-3752823DD760}" destId="{64ED634C-74AC-4DBA-83E7-853911DB8E8E}" srcOrd="0" destOrd="0" presId="urn:microsoft.com/office/officeart/2008/layout/HorizontalMultiLevelHierarchy"/>
    <dgm:cxn modelId="{EE7999F0-D26E-4AE2-8892-56DF4BDB380D}" type="presOf" srcId="{23BB0896-0FD6-4409-BDA6-1436901EF3CC}" destId="{E95DFC25-51EE-4F76-99BF-C9535EF3065A}" srcOrd="0" destOrd="0" presId="urn:microsoft.com/office/officeart/2008/layout/HorizontalMultiLevelHierarchy"/>
    <dgm:cxn modelId="{7FDEE856-00ED-462D-81AB-B71E918F6331}" srcId="{709B3817-9766-4F2F-961B-D3B16BD95B93}" destId="{7212222A-8D1D-44EC-A577-5ADF1D456556}" srcOrd="0" destOrd="0" parTransId="{A7006CEA-DBE7-432D-9024-1BE3E1D1DDA7}" sibTransId="{95D5CF73-2A01-4BEC-A7DE-AA5B875EEF85}"/>
    <dgm:cxn modelId="{EF5CAF03-3CCD-4604-B256-3B6CFE168146}" type="presOf" srcId="{E45D83B7-02E0-42A3-98D7-FCA56709E20B}" destId="{F221411C-D86D-4409-910A-37ECBFC6BF16}" srcOrd="0" destOrd="0" presId="urn:microsoft.com/office/officeart/2008/layout/HorizontalMultiLevelHierarchy"/>
    <dgm:cxn modelId="{7F9B3FB3-4221-490F-A7ED-AB62CACFAB0E}" type="presOf" srcId="{FB735BF3-E5E3-41FB-A7CD-BBF0DC4BB021}" destId="{5AEFE16E-F078-4348-A441-129ADA9545F5}" srcOrd="0" destOrd="0" presId="urn:microsoft.com/office/officeart/2008/layout/HorizontalMultiLevelHierarchy"/>
    <dgm:cxn modelId="{AA0853E1-5311-4DAA-A76B-8D636905974C}" srcId="{C5C09827-E2E0-4670-9388-199F071662F7}" destId="{BEF4BD79-F7AF-4412-A9B3-9276D41E7D6B}" srcOrd="0" destOrd="0" parTransId="{95AE4B08-D99B-4B7C-A19D-54C47EF53778}" sibTransId="{1E69AFE9-ABBA-4F0A-ADAF-00147BC37C53}"/>
    <dgm:cxn modelId="{D54694BE-9C39-47B3-A2F6-C1F300C1D609}" type="presOf" srcId="{A190A1B9-7F1A-4D7C-8A0A-8E099002EBCB}" destId="{5270D1BD-2EE3-47CD-B977-1579B558CB70}" srcOrd="1" destOrd="0" presId="urn:microsoft.com/office/officeart/2008/layout/HorizontalMultiLevelHierarchy"/>
    <dgm:cxn modelId="{3DB017C7-5ABA-4796-ABF6-F90F0575A015}" type="presOf" srcId="{4B556B4B-D10D-4F3C-9284-D54BA9717328}" destId="{9DDF23DA-2F44-497A-8C27-186E34595874}" srcOrd="1" destOrd="0" presId="urn:microsoft.com/office/officeart/2008/layout/HorizontalMultiLevelHierarchy"/>
    <dgm:cxn modelId="{91FE7EE6-E767-476B-B2E0-436FD61CBED6}" type="presOf" srcId="{7212222A-8D1D-44EC-A577-5ADF1D456556}" destId="{CD3877EB-0558-4D9D-BA1E-913A9E97AF1F}" srcOrd="0" destOrd="0" presId="urn:microsoft.com/office/officeart/2008/layout/HorizontalMultiLevelHierarchy"/>
    <dgm:cxn modelId="{22B51D5E-9C49-4D1A-88FE-BAF847BFF895}" type="presOf" srcId="{651E04E2-25B0-465D-B857-E232AE5F8255}" destId="{C844D29D-2222-4196-92F8-29B19805AF8C}" srcOrd="1" destOrd="0" presId="urn:microsoft.com/office/officeart/2008/layout/HorizontalMultiLevelHierarchy"/>
    <dgm:cxn modelId="{28E14E71-AFF4-4BDE-B845-C259BE896D69}" srcId="{709B3817-9766-4F2F-961B-D3B16BD95B93}" destId="{077EC246-6FBB-4EB0-84C3-B05AE20FD430}" srcOrd="2" destOrd="0" parTransId="{BB28B722-4D77-4457-953E-7F015FD40C99}" sibTransId="{A8B446EC-A0F3-4BA8-B2BF-256C67E7D042}"/>
    <dgm:cxn modelId="{E175BF37-6140-4020-BE66-92122FA9CB1D}" srcId="{B7AB245B-185D-463D-9B24-66FE8D66B4E4}" destId="{CD0BCDE1-93E7-4F04-B7EF-B4ED94863845}" srcOrd="0" destOrd="0" parTransId="{15A8E83E-0460-4CB4-B9F5-AF8BB9EC4C9D}" sibTransId="{323147D8-45B1-414C-B7F1-88A5BE7D0C32}"/>
    <dgm:cxn modelId="{74937D0A-22B2-472E-A7E8-0E6FB8C0A335}" type="presOf" srcId="{077EC246-6FBB-4EB0-84C3-B05AE20FD430}" destId="{DED5FDE1-9BEF-4E3C-A73E-575BA5476A40}" srcOrd="0" destOrd="0" presId="urn:microsoft.com/office/officeart/2008/layout/HorizontalMultiLevelHierarchy"/>
    <dgm:cxn modelId="{9BD1E5E6-A322-4389-A654-AB9FF193610D}" type="presOf" srcId="{23B4F432-FFE9-4AAE-9073-F2EEF0A3327D}" destId="{B71CD913-88A0-4583-9609-3D4F0CF03679}" srcOrd="1" destOrd="0" presId="urn:microsoft.com/office/officeart/2008/layout/HorizontalMultiLevelHierarchy"/>
    <dgm:cxn modelId="{7E5484A3-E612-4084-867D-06E6F9FEE2F4}" srcId="{709B3817-9766-4F2F-961B-D3B16BD95B93}" destId="{FCBE9F93-BE5D-4074-A67B-EF1F11A8B5E3}" srcOrd="3" destOrd="0" parTransId="{B1203303-2C05-4880-A0ED-6B72C5B9CC66}" sibTransId="{2B9984F0-625A-4543-8844-C6899679715E}"/>
    <dgm:cxn modelId="{B953E79B-A301-460F-92A3-0A6E9268D07D}" type="presOf" srcId="{BEF4BD79-F7AF-4412-A9B3-9276D41E7D6B}" destId="{DD834F19-2C52-4231-9469-BAFB63B69F75}" srcOrd="0" destOrd="0" presId="urn:microsoft.com/office/officeart/2008/layout/HorizontalMultiLevelHierarchy"/>
    <dgm:cxn modelId="{A6D74E5B-FAAA-497B-8714-6FA257576EED}" type="presOf" srcId="{A190A1B9-7F1A-4D7C-8A0A-8E099002EBCB}" destId="{4E5D0EA5-FD1E-436F-8E37-C9C73F436FAA}" srcOrd="0" destOrd="0" presId="urn:microsoft.com/office/officeart/2008/layout/HorizontalMultiLevelHierarchy"/>
    <dgm:cxn modelId="{3A466CFB-FAC1-4045-88E2-854C4AF5CFCA}" type="presOf" srcId="{95AE4B08-D99B-4B7C-A19D-54C47EF53778}" destId="{EF2601E0-F44C-42C5-B410-354038722C26}" srcOrd="0" destOrd="0" presId="urn:microsoft.com/office/officeart/2008/layout/HorizontalMultiLevelHierarchy"/>
    <dgm:cxn modelId="{75227B5E-9187-48E5-A693-F4F8BF1237EB}" type="presOf" srcId="{B1203303-2C05-4880-A0ED-6B72C5B9CC66}" destId="{4B416D02-FA76-4C63-A828-71EBE0F91F4C}" srcOrd="0" destOrd="0" presId="urn:microsoft.com/office/officeart/2008/layout/HorizontalMultiLevelHierarchy"/>
    <dgm:cxn modelId="{3CE5230E-B84A-4502-9088-806AFA6A2FC2}" type="presOf" srcId="{52CCED34-F1D5-4BAA-81D9-C91929A0603B}" destId="{4256B748-C5D0-4923-8331-8E515F659009}" srcOrd="0" destOrd="0" presId="urn:microsoft.com/office/officeart/2008/layout/HorizontalMultiLevelHierarchy"/>
    <dgm:cxn modelId="{B1A1434B-64DC-4849-8ACC-417194222FA1}" type="presOf" srcId="{BB28B722-4D77-4457-953E-7F015FD40C99}" destId="{366D882F-4B94-47AB-9BAD-903240148535}" srcOrd="0" destOrd="0" presId="urn:microsoft.com/office/officeart/2008/layout/HorizontalMultiLevelHierarchy"/>
    <dgm:cxn modelId="{6483E3DB-FC3F-4D81-BCC8-2E7D2D8D34BB}" type="presOf" srcId="{9636558E-5375-4293-BED4-C22395729B98}" destId="{AEBEEF42-2CB5-478C-AD2B-506807639365}" srcOrd="0" destOrd="0" presId="urn:microsoft.com/office/officeart/2008/layout/HorizontalMultiLevelHierarchy"/>
    <dgm:cxn modelId="{AF0BCC96-4A51-4B90-9F1E-45C5A8AE6277}" type="presOf" srcId="{23B4F432-FFE9-4AAE-9073-F2EEF0A3327D}" destId="{6FBA22D8-EE7C-4811-9407-38001CD8E7FF}" srcOrd="0" destOrd="0" presId="urn:microsoft.com/office/officeart/2008/layout/HorizontalMultiLevelHierarchy"/>
    <dgm:cxn modelId="{56553681-768F-4709-9733-6C083C1C7BE4}" type="presOf" srcId="{B1203303-2C05-4880-A0ED-6B72C5B9CC66}" destId="{5FC46A9C-B527-4385-B5BA-C075A5B95920}" srcOrd="1" destOrd="0" presId="urn:microsoft.com/office/officeart/2008/layout/HorizontalMultiLevelHierarchy"/>
    <dgm:cxn modelId="{AFFE9D90-F916-41A8-B3E1-E093DE21A408}" type="presOf" srcId="{4B556B4B-D10D-4F3C-9284-D54BA9717328}" destId="{A024FE21-538B-4C87-B8AD-86B048BE6049}" srcOrd="0" destOrd="0" presId="urn:microsoft.com/office/officeart/2008/layout/HorizontalMultiLevelHierarchy"/>
    <dgm:cxn modelId="{08D2EA4E-0482-4C6A-ACD7-578C324FDEF7}" type="presOf" srcId="{B7AB245B-185D-463D-9B24-66FE8D66B4E4}" destId="{92711D1F-5A02-4BA5-B25F-A8508CAF1E3D}" srcOrd="0" destOrd="0" presId="urn:microsoft.com/office/officeart/2008/layout/HorizontalMultiLevelHierarchy"/>
    <dgm:cxn modelId="{33DECE42-6C5D-47B5-8667-20657ED9FBCA}" type="presOf" srcId="{73211131-B4B1-4A54-91A6-0264F0CC1654}" destId="{D444994F-4931-4B3E-8BC4-3F380317B39A}" srcOrd="0" destOrd="0" presId="urn:microsoft.com/office/officeart/2008/layout/HorizontalMultiLevelHierarchy"/>
    <dgm:cxn modelId="{470962A3-56D4-41C6-A85D-17982210342F}" type="presOf" srcId="{67846697-20D7-4CC0-B47D-41E86D8248E1}" destId="{77FADCC6-E037-440A-9F36-ABE449790206}" srcOrd="0" destOrd="0" presId="urn:microsoft.com/office/officeart/2008/layout/HorizontalMultiLevelHierarchy"/>
    <dgm:cxn modelId="{B74CB5FB-F3EE-45B4-8BB6-39A42154F710}" type="presOf" srcId="{DA685776-6C4D-4603-8198-3D44A9CE996D}" destId="{C69BAC52-0A56-45D9-910B-4761A7E4A834}" srcOrd="0" destOrd="0" presId="urn:microsoft.com/office/officeart/2008/layout/HorizontalMultiLevelHierarchy"/>
    <dgm:cxn modelId="{7B9A2D72-0DE3-4B59-BB96-4D8793F0E832}" srcId="{CD0BCDE1-93E7-4F04-B7EF-B4ED94863845}" destId="{C5C09827-E2E0-4670-9388-199F071662F7}" srcOrd="1" destOrd="0" parTransId="{73211131-B4B1-4A54-91A6-0264F0CC1654}" sibTransId="{4D7C52EC-2B30-4C1F-B76B-123E16D4F1E9}"/>
    <dgm:cxn modelId="{78BB64EA-8EE1-4247-B5E8-3BF7F8A72D81}" type="presOf" srcId="{52CCED34-F1D5-4BAA-81D9-C91929A0603B}" destId="{488FDA6A-D0C5-4515-B699-4563A410D406}" srcOrd="1" destOrd="0" presId="urn:microsoft.com/office/officeart/2008/layout/HorizontalMultiLevelHierarchy"/>
    <dgm:cxn modelId="{0E78657D-C7BD-45DE-80D2-0C6E29FD28C1}" srcId="{CD0BCDE1-93E7-4F04-B7EF-B4ED94863845}" destId="{67846697-20D7-4CC0-B47D-41E86D8248E1}" srcOrd="3" destOrd="0" parTransId="{23B4F432-FFE9-4AAE-9073-F2EEF0A3327D}" sibTransId="{6DCA1AD0-194B-4126-9AA6-D01B3FDAED33}"/>
    <dgm:cxn modelId="{9F712544-EF84-4AFF-AFD1-EAAE16B55120}" srcId="{A8891D91-4FE5-48F2-8C98-3752823DD760}" destId="{3A9C07B6-ADC3-4E8E-B0A9-C818C5C0CBC6}" srcOrd="0" destOrd="0" parTransId="{4B556B4B-D10D-4F3C-9284-D54BA9717328}" sibTransId="{193B3A7D-2F59-4CEC-9CFE-34D45D2833F6}"/>
    <dgm:cxn modelId="{7D8B81D7-1345-4B43-8ACD-60EC25C91A66}" type="presOf" srcId="{FCBE9F93-BE5D-4074-A67B-EF1F11A8B5E3}" destId="{40549453-86A9-435C-986F-8CEC9EE8BA09}" srcOrd="0" destOrd="0" presId="urn:microsoft.com/office/officeart/2008/layout/HorizontalMultiLevelHierarchy"/>
    <dgm:cxn modelId="{A2FA672A-5EEA-48CB-B6D3-0C74613DE7F9}" type="presOf" srcId="{CD0BCDE1-93E7-4F04-B7EF-B4ED94863845}" destId="{06CFB051-716C-4F6C-920F-34EE2A03F952}" srcOrd="0" destOrd="0" presId="urn:microsoft.com/office/officeart/2008/layout/HorizontalMultiLevelHierarchy"/>
    <dgm:cxn modelId="{09970A3A-60B4-489B-9979-71029FBEA1A8}" type="presOf" srcId="{FB735BF3-E5E3-41FB-A7CD-BBF0DC4BB021}" destId="{191D0302-074A-4383-872B-FB5A3215975B}" srcOrd="1" destOrd="0" presId="urn:microsoft.com/office/officeart/2008/layout/HorizontalMultiLevelHierarchy"/>
    <dgm:cxn modelId="{9E33C759-AAD0-4952-937E-5823E9D3697F}" type="presOf" srcId="{A7006CEA-DBE7-432D-9024-1BE3E1D1DDA7}" destId="{1D637A6E-641B-4C36-8977-5EF446588A3F}" srcOrd="0" destOrd="0" presId="urn:microsoft.com/office/officeart/2008/layout/HorizontalMultiLevelHierarchy"/>
    <dgm:cxn modelId="{CEF7B081-522A-4C26-BCD4-C442DE2A8FE4}" srcId="{9636558E-5375-4293-BED4-C22395729B98}" destId="{DA685776-6C4D-4603-8198-3D44A9CE996D}" srcOrd="0" destOrd="0" parTransId="{9CB49BB0-D464-4121-968E-00D2DD05BD34}" sibTransId="{F0C583E2-1CF8-4466-9345-8C7C0AD07468}"/>
    <dgm:cxn modelId="{98BC22FC-D474-4813-AE0B-2B72EBD3A58E}" type="presOf" srcId="{A7006CEA-DBE7-432D-9024-1BE3E1D1DDA7}" destId="{790C7C1D-7995-4985-A58E-1567E8D3F3AA}" srcOrd="1" destOrd="0" presId="urn:microsoft.com/office/officeart/2008/layout/HorizontalMultiLevelHierarchy"/>
    <dgm:cxn modelId="{3A59F55A-F30F-42F1-AF14-E6A9B1C7C757}" type="presOf" srcId="{9F476755-0284-4ED8-A1FE-F970F9B562B8}" destId="{784EC822-E48B-4D49-A383-AE2C3FC744E1}" srcOrd="0" destOrd="0" presId="urn:microsoft.com/office/officeart/2008/layout/HorizontalMultiLevelHierarchy"/>
    <dgm:cxn modelId="{93B085D8-2D84-4009-99F3-3369E023C5CA}" srcId="{709B3817-9766-4F2F-961B-D3B16BD95B93}" destId="{E45D83B7-02E0-42A3-98D7-FCA56709E20B}" srcOrd="1" destOrd="0" parTransId="{23BB0896-0FD6-4409-BDA6-1436901EF3CC}" sibTransId="{8D127E18-0C78-4785-8B3B-C4F5251ABD7E}"/>
    <dgm:cxn modelId="{96FD986C-1665-4A28-B45D-F33ED461F9F2}" type="presOf" srcId="{0740146D-646E-4713-A5AF-F557E3710165}" destId="{B07A0852-961C-47E1-9438-75CA8AAFF52F}" srcOrd="0" destOrd="0" presId="urn:microsoft.com/office/officeart/2008/layout/HorizontalMultiLevelHierarchy"/>
    <dgm:cxn modelId="{F265219F-CA4B-4AB1-B0B0-272119574BD8}" srcId="{709B3817-9766-4F2F-961B-D3B16BD95B93}" destId="{9F476755-0284-4ED8-A1FE-F970F9B562B8}" srcOrd="4" destOrd="0" parTransId="{52CCED34-F1D5-4BAA-81D9-C91929A0603B}" sibTransId="{F855E041-D13A-4F84-AC6A-192F502D7488}"/>
    <dgm:cxn modelId="{99526474-D0F4-498B-ACA1-A93ABA6E0D31}" srcId="{CD0BCDE1-93E7-4F04-B7EF-B4ED94863845}" destId="{9636558E-5375-4293-BED4-C22395729B98}" srcOrd="0" destOrd="0" parTransId="{0740146D-646E-4713-A5AF-F557E3710165}" sibTransId="{AA09DC62-1231-46EE-AEC8-C1C21279B74B}"/>
    <dgm:cxn modelId="{7B9426C4-A72D-4F42-8A27-055D7CC268A0}" type="presOf" srcId="{3A9C07B6-ADC3-4E8E-B0A9-C818C5C0CBC6}" destId="{5477BFB2-8D53-4320-A4BF-E764352BB7FE}" srcOrd="0" destOrd="0" presId="urn:microsoft.com/office/officeart/2008/layout/HorizontalMultiLevelHierarchy"/>
    <dgm:cxn modelId="{70AA62E8-49B6-47EB-89D6-23997DF677BD}" type="presOf" srcId="{C5C09827-E2E0-4670-9388-199F071662F7}" destId="{96C06934-8996-4833-AE5F-DD67145FDFDE}" srcOrd="0" destOrd="0" presId="urn:microsoft.com/office/officeart/2008/layout/HorizontalMultiLevelHierarchy"/>
    <dgm:cxn modelId="{64278AB5-9D66-4EA3-9993-D1A3C544E989}" type="presOf" srcId="{BB28B722-4D77-4457-953E-7F015FD40C99}" destId="{AABFB270-0AA9-458D-A433-10C3EBB42D75}" srcOrd="1" destOrd="0" presId="urn:microsoft.com/office/officeart/2008/layout/HorizontalMultiLevelHierarchy"/>
    <dgm:cxn modelId="{B82E42FD-77C9-4E35-AB7E-DDEEE8588E8F}" type="presOf" srcId="{9CB49BB0-D464-4121-968E-00D2DD05BD34}" destId="{51725F1F-5C34-4852-A523-C78AE92409FF}" srcOrd="0" destOrd="0" presId="urn:microsoft.com/office/officeart/2008/layout/HorizontalMultiLevelHierarchy"/>
    <dgm:cxn modelId="{553C8C3E-6244-4B74-8424-F6383C3FC9AE}" type="presOf" srcId="{709B3817-9766-4F2F-961B-D3B16BD95B93}" destId="{2E78E65E-6D1D-4A56-AD99-440C68716AF2}" srcOrd="0" destOrd="0" presId="urn:microsoft.com/office/officeart/2008/layout/HorizontalMultiLevelHierarchy"/>
    <dgm:cxn modelId="{C2594B85-800C-44BD-B9EE-A6A202F9AC3C}" srcId="{CD0BCDE1-93E7-4F04-B7EF-B4ED94863845}" destId="{A8891D91-4FE5-48F2-8C98-3752823DD760}" srcOrd="2" destOrd="0" parTransId="{FB735BF3-E5E3-41FB-A7CD-BBF0DC4BB021}" sibTransId="{F0EB5C76-68BB-4A55-A877-509FA3DA41A9}"/>
    <dgm:cxn modelId="{C8B61BD0-3A14-4389-988C-B44CBB6658CF}" type="presOf" srcId="{73211131-B4B1-4A54-91A6-0264F0CC1654}" destId="{3E506695-0BD6-495F-88F4-8C414C28BB40}" srcOrd="1" destOrd="0" presId="urn:microsoft.com/office/officeart/2008/layout/HorizontalMultiLevelHierarchy"/>
    <dgm:cxn modelId="{55A21650-7092-43E1-943E-C35CD8060D7C}" type="presOf" srcId="{651E04E2-25B0-465D-B857-E232AE5F8255}" destId="{632C59AC-74DD-4ECC-B260-090E7BD46C6C}" srcOrd="0" destOrd="0" presId="urn:microsoft.com/office/officeart/2008/layout/HorizontalMultiLevelHierarchy"/>
    <dgm:cxn modelId="{5B48AEAD-4653-4C0D-8744-BCD19092C8D8}" srcId="{67846697-20D7-4CC0-B47D-41E86D8248E1}" destId="{181178AC-A5E9-45AA-B702-8F32953E10AF}" srcOrd="0" destOrd="0" parTransId="{A190A1B9-7F1A-4D7C-8A0A-8E099002EBCB}" sibTransId="{0A726A3E-4C3E-4E9A-841D-1E5F7D6EF17F}"/>
    <dgm:cxn modelId="{09643155-1A2B-4DAB-BBEB-3EAB1B9716A6}" type="presOf" srcId="{9CB49BB0-D464-4121-968E-00D2DD05BD34}" destId="{D818F821-FBC5-4EBC-A6BE-971AD9B12CB4}" srcOrd="1" destOrd="0" presId="urn:microsoft.com/office/officeart/2008/layout/HorizontalMultiLevelHierarchy"/>
    <dgm:cxn modelId="{115615ED-42E4-48F6-832E-514E5DF7BE44}" type="presParOf" srcId="{92711D1F-5A02-4BA5-B25F-A8508CAF1E3D}" destId="{9F6832FC-672C-418A-9735-82427E8F2B2F}" srcOrd="0" destOrd="0" presId="urn:microsoft.com/office/officeart/2008/layout/HorizontalMultiLevelHierarchy"/>
    <dgm:cxn modelId="{022C02C1-0847-42EF-8CB4-ED9EBCB0D65E}" type="presParOf" srcId="{9F6832FC-672C-418A-9735-82427E8F2B2F}" destId="{06CFB051-716C-4F6C-920F-34EE2A03F952}" srcOrd="0" destOrd="0" presId="urn:microsoft.com/office/officeart/2008/layout/HorizontalMultiLevelHierarchy"/>
    <dgm:cxn modelId="{4F3DB887-6442-4BE6-8C34-24542A449943}" type="presParOf" srcId="{9F6832FC-672C-418A-9735-82427E8F2B2F}" destId="{DD8F3E0E-FC3E-4BBE-99F6-8CDA300314A7}" srcOrd="1" destOrd="0" presId="urn:microsoft.com/office/officeart/2008/layout/HorizontalMultiLevelHierarchy"/>
    <dgm:cxn modelId="{D5D8A53C-F770-45AF-9C80-EDD446D80D76}" type="presParOf" srcId="{DD8F3E0E-FC3E-4BBE-99F6-8CDA300314A7}" destId="{B07A0852-961C-47E1-9438-75CA8AAFF52F}" srcOrd="0" destOrd="0" presId="urn:microsoft.com/office/officeart/2008/layout/HorizontalMultiLevelHierarchy"/>
    <dgm:cxn modelId="{24661046-38B4-4BD0-B133-672A205F697A}" type="presParOf" srcId="{B07A0852-961C-47E1-9438-75CA8AAFF52F}" destId="{47643218-A09F-417A-A478-2D02CB1F2952}" srcOrd="0" destOrd="0" presId="urn:microsoft.com/office/officeart/2008/layout/HorizontalMultiLevelHierarchy"/>
    <dgm:cxn modelId="{63D4C9C8-070C-4E87-8092-8859234247FF}" type="presParOf" srcId="{DD8F3E0E-FC3E-4BBE-99F6-8CDA300314A7}" destId="{EB0E7379-05E9-4D56-AEDF-EFBBD6B2B4B9}" srcOrd="1" destOrd="0" presId="urn:microsoft.com/office/officeart/2008/layout/HorizontalMultiLevelHierarchy"/>
    <dgm:cxn modelId="{96AECED8-32EB-43B7-AEEE-DD3263D01E3D}" type="presParOf" srcId="{EB0E7379-05E9-4D56-AEDF-EFBBD6B2B4B9}" destId="{AEBEEF42-2CB5-478C-AD2B-506807639365}" srcOrd="0" destOrd="0" presId="urn:microsoft.com/office/officeart/2008/layout/HorizontalMultiLevelHierarchy"/>
    <dgm:cxn modelId="{29C9D4C6-C6FB-4F53-B6ED-BF304003283E}" type="presParOf" srcId="{EB0E7379-05E9-4D56-AEDF-EFBBD6B2B4B9}" destId="{06505051-5EB8-4050-9E50-473AD0A703E6}" srcOrd="1" destOrd="0" presId="urn:microsoft.com/office/officeart/2008/layout/HorizontalMultiLevelHierarchy"/>
    <dgm:cxn modelId="{E3ECCF68-6479-4B9F-8241-6917819EFF5A}" type="presParOf" srcId="{06505051-5EB8-4050-9E50-473AD0A703E6}" destId="{51725F1F-5C34-4852-A523-C78AE92409FF}" srcOrd="0" destOrd="0" presId="urn:microsoft.com/office/officeart/2008/layout/HorizontalMultiLevelHierarchy"/>
    <dgm:cxn modelId="{2E3CB129-FC9E-43CF-B522-0E9767DDE433}" type="presParOf" srcId="{51725F1F-5C34-4852-A523-C78AE92409FF}" destId="{D818F821-FBC5-4EBC-A6BE-971AD9B12CB4}" srcOrd="0" destOrd="0" presId="urn:microsoft.com/office/officeart/2008/layout/HorizontalMultiLevelHierarchy"/>
    <dgm:cxn modelId="{C0589958-3716-40DE-9E09-F08F61687C75}" type="presParOf" srcId="{06505051-5EB8-4050-9E50-473AD0A703E6}" destId="{543CCCAD-04B4-47A0-83D8-5538301D6DA2}" srcOrd="1" destOrd="0" presId="urn:microsoft.com/office/officeart/2008/layout/HorizontalMultiLevelHierarchy"/>
    <dgm:cxn modelId="{0EE4C38E-B143-4BA6-882D-404B18549A9F}" type="presParOf" srcId="{543CCCAD-04B4-47A0-83D8-5538301D6DA2}" destId="{C69BAC52-0A56-45D9-910B-4761A7E4A834}" srcOrd="0" destOrd="0" presId="urn:microsoft.com/office/officeart/2008/layout/HorizontalMultiLevelHierarchy"/>
    <dgm:cxn modelId="{5A0F3DAC-5DD5-4926-885C-F3B0AA042188}" type="presParOf" srcId="{543CCCAD-04B4-47A0-83D8-5538301D6DA2}" destId="{300BD766-9481-45A6-B961-94C397811A46}" srcOrd="1" destOrd="0" presId="urn:microsoft.com/office/officeart/2008/layout/HorizontalMultiLevelHierarchy"/>
    <dgm:cxn modelId="{6DDA044D-185B-4F06-B1ED-E4191A67F983}" type="presParOf" srcId="{DD8F3E0E-FC3E-4BBE-99F6-8CDA300314A7}" destId="{D444994F-4931-4B3E-8BC4-3F380317B39A}" srcOrd="2" destOrd="0" presId="urn:microsoft.com/office/officeart/2008/layout/HorizontalMultiLevelHierarchy"/>
    <dgm:cxn modelId="{91A95D72-FA1C-489F-A03C-54E53B885FAD}" type="presParOf" srcId="{D444994F-4931-4B3E-8BC4-3F380317B39A}" destId="{3E506695-0BD6-495F-88F4-8C414C28BB40}" srcOrd="0" destOrd="0" presId="urn:microsoft.com/office/officeart/2008/layout/HorizontalMultiLevelHierarchy"/>
    <dgm:cxn modelId="{C49C5E77-9658-459B-8E61-9D45C1FAABC0}" type="presParOf" srcId="{DD8F3E0E-FC3E-4BBE-99F6-8CDA300314A7}" destId="{54144349-3223-48E4-A866-E049F6D1DE9F}" srcOrd="3" destOrd="0" presId="urn:microsoft.com/office/officeart/2008/layout/HorizontalMultiLevelHierarchy"/>
    <dgm:cxn modelId="{9F1C1CF0-6870-4E10-9D4D-572165309893}" type="presParOf" srcId="{54144349-3223-48E4-A866-E049F6D1DE9F}" destId="{96C06934-8996-4833-AE5F-DD67145FDFDE}" srcOrd="0" destOrd="0" presId="urn:microsoft.com/office/officeart/2008/layout/HorizontalMultiLevelHierarchy"/>
    <dgm:cxn modelId="{CE0AAEB1-5323-45C6-AF72-F145AE7DA59C}" type="presParOf" srcId="{54144349-3223-48E4-A866-E049F6D1DE9F}" destId="{382833B9-E257-4A81-8A28-AEEA18625CA5}" srcOrd="1" destOrd="0" presId="urn:microsoft.com/office/officeart/2008/layout/HorizontalMultiLevelHierarchy"/>
    <dgm:cxn modelId="{3624A953-C92E-4990-BFB5-5D47F3D62A48}" type="presParOf" srcId="{382833B9-E257-4A81-8A28-AEEA18625CA5}" destId="{EF2601E0-F44C-42C5-B410-354038722C26}" srcOrd="0" destOrd="0" presId="urn:microsoft.com/office/officeart/2008/layout/HorizontalMultiLevelHierarchy"/>
    <dgm:cxn modelId="{37FDD771-939A-48BB-9A0A-B6E39B041C75}" type="presParOf" srcId="{EF2601E0-F44C-42C5-B410-354038722C26}" destId="{A0676AC5-9213-47B6-8960-F52F1DCEB4EB}" srcOrd="0" destOrd="0" presId="urn:microsoft.com/office/officeart/2008/layout/HorizontalMultiLevelHierarchy"/>
    <dgm:cxn modelId="{97177313-5BF6-4789-BA9B-0C3FF5136CDA}" type="presParOf" srcId="{382833B9-E257-4A81-8A28-AEEA18625CA5}" destId="{D053C22D-C0C0-483A-97B8-C72EE80F5FB6}" srcOrd="1" destOrd="0" presId="urn:microsoft.com/office/officeart/2008/layout/HorizontalMultiLevelHierarchy"/>
    <dgm:cxn modelId="{5665D6D9-6410-439C-9C60-85C7384C40D6}" type="presParOf" srcId="{D053C22D-C0C0-483A-97B8-C72EE80F5FB6}" destId="{DD834F19-2C52-4231-9469-BAFB63B69F75}" srcOrd="0" destOrd="0" presId="urn:microsoft.com/office/officeart/2008/layout/HorizontalMultiLevelHierarchy"/>
    <dgm:cxn modelId="{8C4150AF-C439-42BD-8271-6DDB66ECE3F5}" type="presParOf" srcId="{D053C22D-C0C0-483A-97B8-C72EE80F5FB6}" destId="{0DD283E5-51C1-468A-BDFC-DD8F6321BD8B}" srcOrd="1" destOrd="0" presId="urn:microsoft.com/office/officeart/2008/layout/HorizontalMultiLevelHierarchy"/>
    <dgm:cxn modelId="{6EB4A51B-B663-4B24-B12F-096021F9BFFB}" type="presParOf" srcId="{DD8F3E0E-FC3E-4BBE-99F6-8CDA300314A7}" destId="{5AEFE16E-F078-4348-A441-129ADA9545F5}" srcOrd="4" destOrd="0" presId="urn:microsoft.com/office/officeart/2008/layout/HorizontalMultiLevelHierarchy"/>
    <dgm:cxn modelId="{DCC9FBC9-B77F-4A28-BA87-5E1FAB80F8F8}" type="presParOf" srcId="{5AEFE16E-F078-4348-A441-129ADA9545F5}" destId="{191D0302-074A-4383-872B-FB5A3215975B}" srcOrd="0" destOrd="0" presId="urn:microsoft.com/office/officeart/2008/layout/HorizontalMultiLevelHierarchy"/>
    <dgm:cxn modelId="{5BBC9527-0D1B-4187-B04C-8951AF73A6FB}" type="presParOf" srcId="{DD8F3E0E-FC3E-4BBE-99F6-8CDA300314A7}" destId="{4E29308A-48EE-488D-83AE-91E0C442DDEB}" srcOrd="5" destOrd="0" presId="urn:microsoft.com/office/officeart/2008/layout/HorizontalMultiLevelHierarchy"/>
    <dgm:cxn modelId="{A79ADDCC-0BE9-49BB-9043-39F052176266}" type="presParOf" srcId="{4E29308A-48EE-488D-83AE-91E0C442DDEB}" destId="{64ED634C-74AC-4DBA-83E7-853911DB8E8E}" srcOrd="0" destOrd="0" presId="urn:microsoft.com/office/officeart/2008/layout/HorizontalMultiLevelHierarchy"/>
    <dgm:cxn modelId="{E3F2128D-0715-49D3-8C06-FD8FF2BC720B}" type="presParOf" srcId="{4E29308A-48EE-488D-83AE-91E0C442DDEB}" destId="{B056C2B3-6BB0-4529-B928-5CD2E85AB58D}" srcOrd="1" destOrd="0" presId="urn:microsoft.com/office/officeart/2008/layout/HorizontalMultiLevelHierarchy"/>
    <dgm:cxn modelId="{9EDA7F3C-7EEC-4BAF-B25B-8C096251DCC4}" type="presParOf" srcId="{B056C2B3-6BB0-4529-B928-5CD2E85AB58D}" destId="{A024FE21-538B-4C87-B8AD-86B048BE6049}" srcOrd="0" destOrd="0" presId="urn:microsoft.com/office/officeart/2008/layout/HorizontalMultiLevelHierarchy"/>
    <dgm:cxn modelId="{7766DDC7-38F4-489C-B2E4-C233EDAE9B4E}" type="presParOf" srcId="{A024FE21-538B-4C87-B8AD-86B048BE6049}" destId="{9DDF23DA-2F44-497A-8C27-186E34595874}" srcOrd="0" destOrd="0" presId="urn:microsoft.com/office/officeart/2008/layout/HorizontalMultiLevelHierarchy"/>
    <dgm:cxn modelId="{897665C2-6BA8-48D6-8395-3BD69D35B7D4}" type="presParOf" srcId="{B056C2B3-6BB0-4529-B928-5CD2E85AB58D}" destId="{FA2AD8D1-19AA-4B8D-BAF9-AE57A9CCA2F4}" srcOrd="1" destOrd="0" presId="urn:microsoft.com/office/officeart/2008/layout/HorizontalMultiLevelHierarchy"/>
    <dgm:cxn modelId="{B517C9D7-3962-4A44-B4AA-3F21692D5716}" type="presParOf" srcId="{FA2AD8D1-19AA-4B8D-BAF9-AE57A9CCA2F4}" destId="{5477BFB2-8D53-4320-A4BF-E764352BB7FE}" srcOrd="0" destOrd="0" presId="urn:microsoft.com/office/officeart/2008/layout/HorizontalMultiLevelHierarchy"/>
    <dgm:cxn modelId="{F80ADCDC-F2BF-4EA4-96F8-48690C52D500}" type="presParOf" srcId="{FA2AD8D1-19AA-4B8D-BAF9-AE57A9CCA2F4}" destId="{6A56BA2B-82D2-4AB3-8141-63F7561EA834}" srcOrd="1" destOrd="0" presId="urn:microsoft.com/office/officeart/2008/layout/HorizontalMultiLevelHierarchy"/>
    <dgm:cxn modelId="{331D4DF9-1C91-4488-B583-4C93EFDBCAF0}" type="presParOf" srcId="{DD8F3E0E-FC3E-4BBE-99F6-8CDA300314A7}" destId="{6FBA22D8-EE7C-4811-9407-38001CD8E7FF}" srcOrd="6" destOrd="0" presId="urn:microsoft.com/office/officeart/2008/layout/HorizontalMultiLevelHierarchy"/>
    <dgm:cxn modelId="{FBCF8C32-1411-4382-A25B-BE8F04787481}" type="presParOf" srcId="{6FBA22D8-EE7C-4811-9407-38001CD8E7FF}" destId="{B71CD913-88A0-4583-9609-3D4F0CF03679}" srcOrd="0" destOrd="0" presId="urn:microsoft.com/office/officeart/2008/layout/HorizontalMultiLevelHierarchy"/>
    <dgm:cxn modelId="{46C65CE9-3BA0-46BE-BF29-345CCF30A14E}" type="presParOf" srcId="{DD8F3E0E-FC3E-4BBE-99F6-8CDA300314A7}" destId="{6DA352A2-CDFF-46EC-8237-1B3A798A5243}" srcOrd="7" destOrd="0" presId="urn:microsoft.com/office/officeart/2008/layout/HorizontalMultiLevelHierarchy"/>
    <dgm:cxn modelId="{4DBF452D-79A0-424E-B150-2643BBFB568E}" type="presParOf" srcId="{6DA352A2-CDFF-46EC-8237-1B3A798A5243}" destId="{77FADCC6-E037-440A-9F36-ABE449790206}" srcOrd="0" destOrd="0" presId="urn:microsoft.com/office/officeart/2008/layout/HorizontalMultiLevelHierarchy"/>
    <dgm:cxn modelId="{4FF3D159-B707-44A3-AF35-ABF88A412B20}" type="presParOf" srcId="{6DA352A2-CDFF-46EC-8237-1B3A798A5243}" destId="{D4288F39-0326-4AFC-8D32-142F38111E52}" srcOrd="1" destOrd="0" presId="urn:microsoft.com/office/officeart/2008/layout/HorizontalMultiLevelHierarchy"/>
    <dgm:cxn modelId="{8F8CDFBC-E3AD-451E-B752-0C7CD9B76A24}" type="presParOf" srcId="{D4288F39-0326-4AFC-8D32-142F38111E52}" destId="{4E5D0EA5-FD1E-436F-8E37-C9C73F436FAA}" srcOrd="0" destOrd="0" presId="urn:microsoft.com/office/officeart/2008/layout/HorizontalMultiLevelHierarchy"/>
    <dgm:cxn modelId="{3D4E90D2-ED92-444D-B26F-BFD3F36B63DE}" type="presParOf" srcId="{4E5D0EA5-FD1E-436F-8E37-C9C73F436FAA}" destId="{5270D1BD-2EE3-47CD-B977-1579B558CB70}" srcOrd="0" destOrd="0" presId="urn:microsoft.com/office/officeart/2008/layout/HorizontalMultiLevelHierarchy"/>
    <dgm:cxn modelId="{73AD3A8F-5944-4BA0-83D6-0C27F6F887AB}" type="presParOf" srcId="{D4288F39-0326-4AFC-8D32-142F38111E52}" destId="{38F1F081-3086-4203-AD69-B205B8619407}" srcOrd="1" destOrd="0" presId="urn:microsoft.com/office/officeart/2008/layout/HorizontalMultiLevelHierarchy"/>
    <dgm:cxn modelId="{20C1052D-0A56-47F0-922B-B5C3CF621109}" type="presParOf" srcId="{38F1F081-3086-4203-AD69-B205B8619407}" destId="{D243696A-F95B-4336-9EF3-19DA7B223C1A}" srcOrd="0" destOrd="0" presId="urn:microsoft.com/office/officeart/2008/layout/HorizontalMultiLevelHierarchy"/>
    <dgm:cxn modelId="{5DA5369E-8707-416A-B076-2C7783572BD1}" type="presParOf" srcId="{38F1F081-3086-4203-AD69-B205B8619407}" destId="{D73E0570-9D17-4074-9F3B-52601B9A60B4}" srcOrd="1" destOrd="0" presId="urn:microsoft.com/office/officeart/2008/layout/HorizontalMultiLevelHierarchy"/>
    <dgm:cxn modelId="{B09F8DC0-0FB8-419B-BFAF-BC4384CAB8CE}" type="presParOf" srcId="{DD8F3E0E-FC3E-4BBE-99F6-8CDA300314A7}" destId="{632C59AC-74DD-4ECC-B260-090E7BD46C6C}" srcOrd="8" destOrd="0" presId="urn:microsoft.com/office/officeart/2008/layout/HorizontalMultiLevelHierarchy"/>
    <dgm:cxn modelId="{E43FFDC7-A546-4569-9DC2-FE0D99A7D75E}" type="presParOf" srcId="{632C59AC-74DD-4ECC-B260-090E7BD46C6C}" destId="{C844D29D-2222-4196-92F8-29B19805AF8C}" srcOrd="0" destOrd="0" presId="urn:microsoft.com/office/officeart/2008/layout/HorizontalMultiLevelHierarchy"/>
    <dgm:cxn modelId="{0BE5A8B7-CC05-46A0-B325-CC9DF3622430}" type="presParOf" srcId="{DD8F3E0E-FC3E-4BBE-99F6-8CDA300314A7}" destId="{EEC544F0-F510-46B9-9185-4E964B76D2EE}" srcOrd="9" destOrd="0" presId="urn:microsoft.com/office/officeart/2008/layout/HorizontalMultiLevelHierarchy"/>
    <dgm:cxn modelId="{4E2E4FD6-2988-4470-9424-57AA0196B184}" type="presParOf" srcId="{EEC544F0-F510-46B9-9185-4E964B76D2EE}" destId="{2E78E65E-6D1D-4A56-AD99-440C68716AF2}" srcOrd="0" destOrd="0" presId="urn:microsoft.com/office/officeart/2008/layout/HorizontalMultiLevelHierarchy"/>
    <dgm:cxn modelId="{9F897BE5-B8F2-4315-8FF5-7AC304400BBA}" type="presParOf" srcId="{EEC544F0-F510-46B9-9185-4E964B76D2EE}" destId="{C3E9E5E4-A150-4AFD-8D8C-A118DD3F7D7F}" srcOrd="1" destOrd="0" presId="urn:microsoft.com/office/officeart/2008/layout/HorizontalMultiLevelHierarchy"/>
    <dgm:cxn modelId="{D9AD5F12-BCAF-4083-A614-A6129D1F5D83}" type="presParOf" srcId="{C3E9E5E4-A150-4AFD-8D8C-A118DD3F7D7F}" destId="{1D637A6E-641B-4C36-8977-5EF446588A3F}" srcOrd="0" destOrd="0" presId="urn:microsoft.com/office/officeart/2008/layout/HorizontalMultiLevelHierarchy"/>
    <dgm:cxn modelId="{74702DD6-F61D-4A60-8A39-BA5158900DF8}" type="presParOf" srcId="{1D637A6E-641B-4C36-8977-5EF446588A3F}" destId="{790C7C1D-7995-4985-A58E-1567E8D3F3AA}" srcOrd="0" destOrd="0" presId="urn:microsoft.com/office/officeart/2008/layout/HorizontalMultiLevelHierarchy"/>
    <dgm:cxn modelId="{6D24F88B-A1D0-426F-B00E-900BFCF42967}" type="presParOf" srcId="{C3E9E5E4-A150-4AFD-8D8C-A118DD3F7D7F}" destId="{46E890D2-1EB5-4534-A26B-9D9DF9B758CC}" srcOrd="1" destOrd="0" presId="urn:microsoft.com/office/officeart/2008/layout/HorizontalMultiLevelHierarchy"/>
    <dgm:cxn modelId="{46FECEAE-D8F1-4745-B1C9-CCD927570FAE}" type="presParOf" srcId="{46E890D2-1EB5-4534-A26B-9D9DF9B758CC}" destId="{CD3877EB-0558-4D9D-BA1E-913A9E97AF1F}" srcOrd="0" destOrd="0" presId="urn:microsoft.com/office/officeart/2008/layout/HorizontalMultiLevelHierarchy"/>
    <dgm:cxn modelId="{BF32CCDC-9F39-48EE-BF60-43F3E20DCC7B}" type="presParOf" srcId="{46E890D2-1EB5-4534-A26B-9D9DF9B758CC}" destId="{2C9A8F73-A3B1-4012-A140-DD6085DB75AA}" srcOrd="1" destOrd="0" presId="urn:microsoft.com/office/officeart/2008/layout/HorizontalMultiLevelHierarchy"/>
    <dgm:cxn modelId="{5C97C1C9-5BBD-4DB9-987B-CDB0A1BD2D55}" type="presParOf" srcId="{C3E9E5E4-A150-4AFD-8D8C-A118DD3F7D7F}" destId="{E95DFC25-51EE-4F76-99BF-C9535EF3065A}" srcOrd="2" destOrd="0" presId="urn:microsoft.com/office/officeart/2008/layout/HorizontalMultiLevelHierarchy"/>
    <dgm:cxn modelId="{62A02468-5D8D-4FA2-B26F-F2FA87E79B28}" type="presParOf" srcId="{E95DFC25-51EE-4F76-99BF-C9535EF3065A}" destId="{454B1D72-B3A5-457B-BB98-7DCCB8373582}" srcOrd="0" destOrd="0" presId="urn:microsoft.com/office/officeart/2008/layout/HorizontalMultiLevelHierarchy"/>
    <dgm:cxn modelId="{B702EE3F-B907-4B38-B281-B8E3D684478D}" type="presParOf" srcId="{C3E9E5E4-A150-4AFD-8D8C-A118DD3F7D7F}" destId="{FB9123D1-3BB9-4602-A229-4A4213EAB689}" srcOrd="3" destOrd="0" presId="urn:microsoft.com/office/officeart/2008/layout/HorizontalMultiLevelHierarchy"/>
    <dgm:cxn modelId="{D4AE8B5E-6E45-4560-B43E-BE52ADB72A06}" type="presParOf" srcId="{FB9123D1-3BB9-4602-A229-4A4213EAB689}" destId="{F221411C-D86D-4409-910A-37ECBFC6BF16}" srcOrd="0" destOrd="0" presId="urn:microsoft.com/office/officeart/2008/layout/HorizontalMultiLevelHierarchy"/>
    <dgm:cxn modelId="{623CB892-6E38-4BDA-9425-2A35D6F39836}" type="presParOf" srcId="{FB9123D1-3BB9-4602-A229-4A4213EAB689}" destId="{CAB2D1F8-51E4-4051-9494-9115770DABE4}" srcOrd="1" destOrd="0" presId="urn:microsoft.com/office/officeart/2008/layout/HorizontalMultiLevelHierarchy"/>
    <dgm:cxn modelId="{81B17CDE-CD23-4D1C-AC09-FC7E40D73D56}" type="presParOf" srcId="{C3E9E5E4-A150-4AFD-8D8C-A118DD3F7D7F}" destId="{366D882F-4B94-47AB-9BAD-903240148535}" srcOrd="4" destOrd="0" presId="urn:microsoft.com/office/officeart/2008/layout/HorizontalMultiLevelHierarchy"/>
    <dgm:cxn modelId="{268D23BC-4AA9-4CFE-834B-7C8B8EE8F5FE}" type="presParOf" srcId="{366D882F-4B94-47AB-9BAD-903240148535}" destId="{AABFB270-0AA9-458D-A433-10C3EBB42D75}" srcOrd="0" destOrd="0" presId="urn:microsoft.com/office/officeart/2008/layout/HorizontalMultiLevelHierarchy"/>
    <dgm:cxn modelId="{7153CB0F-4E2F-4ED5-96BA-A4A083539063}" type="presParOf" srcId="{C3E9E5E4-A150-4AFD-8D8C-A118DD3F7D7F}" destId="{C5AD6395-F053-4ACF-B381-CD1B4CCEC192}" srcOrd="5" destOrd="0" presId="urn:microsoft.com/office/officeart/2008/layout/HorizontalMultiLevelHierarchy"/>
    <dgm:cxn modelId="{2FA970B8-05B9-4FF1-8A0B-6E774F6A0FDF}" type="presParOf" srcId="{C5AD6395-F053-4ACF-B381-CD1B4CCEC192}" destId="{DED5FDE1-9BEF-4E3C-A73E-575BA5476A40}" srcOrd="0" destOrd="0" presId="urn:microsoft.com/office/officeart/2008/layout/HorizontalMultiLevelHierarchy"/>
    <dgm:cxn modelId="{B4A737CA-BCC3-4910-90AD-6E4BF31245A4}" type="presParOf" srcId="{C5AD6395-F053-4ACF-B381-CD1B4CCEC192}" destId="{4F732C5E-AC8D-4E08-829A-8D0921A654E0}" srcOrd="1" destOrd="0" presId="urn:microsoft.com/office/officeart/2008/layout/HorizontalMultiLevelHierarchy"/>
    <dgm:cxn modelId="{BE01ED50-91D5-4215-BF45-176EA17694F2}" type="presParOf" srcId="{C3E9E5E4-A150-4AFD-8D8C-A118DD3F7D7F}" destId="{4B416D02-FA76-4C63-A828-71EBE0F91F4C}" srcOrd="6" destOrd="0" presId="urn:microsoft.com/office/officeart/2008/layout/HorizontalMultiLevelHierarchy"/>
    <dgm:cxn modelId="{43776AD4-3929-491E-B962-72B01C17FEFB}" type="presParOf" srcId="{4B416D02-FA76-4C63-A828-71EBE0F91F4C}" destId="{5FC46A9C-B527-4385-B5BA-C075A5B95920}" srcOrd="0" destOrd="0" presId="urn:microsoft.com/office/officeart/2008/layout/HorizontalMultiLevelHierarchy"/>
    <dgm:cxn modelId="{0771FCC5-2C05-462F-A15A-0F7D02342B00}" type="presParOf" srcId="{C3E9E5E4-A150-4AFD-8D8C-A118DD3F7D7F}" destId="{A6002FEF-2C85-4F1E-8C8C-4CC02ED78F55}" srcOrd="7" destOrd="0" presId="urn:microsoft.com/office/officeart/2008/layout/HorizontalMultiLevelHierarchy"/>
    <dgm:cxn modelId="{FDBBCD64-A81B-465B-9039-2A64C1FAF8BF}" type="presParOf" srcId="{A6002FEF-2C85-4F1E-8C8C-4CC02ED78F55}" destId="{40549453-86A9-435C-986F-8CEC9EE8BA09}" srcOrd="0" destOrd="0" presId="urn:microsoft.com/office/officeart/2008/layout/HorizontalMultiLevelHierarchy"/>
    <dgm:cxn modelId="{8D561F72-7B5F-46A9-BDD8-E0D0AC310220}" type="presParOf" srcId="{A6002FEF-2C85-4F1E-8C8C-4CC02ED78F55}" destId="{DAC523DE-A704-4D53-9F09-11377F7A3C47}" srcOrd="1" destOrd="0" presId="urn:microsoft.com/office/officeart/2008/layout/HorizontalMultiLevelHierarchy"/>
    <dgm:cxn modelId="{CDF8D0A4-194B-4AF8-A9E4-DD33E598C5D9}" type="presParOf" srcId="{C3E9E5E4-A150-4AFD-8D8C-A118DD3F7D7F}" destId="{4256B748-C5D0-4923-8331-8E515F659009}" srcOrd="8" destOrd="0" presId="urn:microsoft.com/office/officeart/2008/layout/HorizontalMultiLevelHierarchy"/>
    <dgm:cxn modelId="{01F10C3D-0AF4-48DA-B9FB-207DBB1DF589}" type="presParOf" srcId="{4256B748-C5D0-4923-8331-8E515F659009}" destId="{488FDA6A-D0C5-4515-B699-4563A410D406}" srcOrd="0" destOrd="0" presId="urn:microsoft.com/office/officeart/2008/layout/HorizontalMultiLevelHierarchy"/>
    <dgm:cxn modelId="{493FC87B-D3EC-4C77-8F3E-67E713EF963C}" type="presParOf" srcId="{C3E9E5E4-A150-4AFD-8D8C-A118DD3F7D7F}" destId="{581CC802-912E-46BF-918B-01F6C75CE343}" srcOrd="9" destOrd="0" presId="urn:microsoft.com/office/officeart/2008/layout/HorizontalMultiLevelHierarchy"/>
    <dgm:cxn modelId="{D8AEF9C1-1A17-43F7-8059-8046AE39CBB6}" type="presParOf" srcId="{581CC802-912E-46BF-918B-01F6C75CE343}" destId="{784EC822-E48B-4D49-A383-AE2C3FC744E1}" srcOrd="0" destOrd="0" presId="urn:microsoft.com/office/officeart/2008/layout/HorizontalMultiLevelHierarchy"/>
    <dgm:cxn modelId="{E5641665-5A0C-4003-B126-06703E70A976}" type="presParOf" srcId="{581CC802-912E-46BF-918B-01F6C75CE343}" destId="{227930FF-39FA-404B-AD95-9FE66DB52F87}" srcOrd="1" destOrd="0" presId="urn:microsoft.com/office/officeart/2008/layout/HorizontalMultiLevelHierarchy"/>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933555-DDE0-49D1-82CD-D4BB600F0A85}" type="doc">
      <dgm:prSet loTypeId="urn:microsoft.com/office/officeart/2008/layout/HorizontalMultiLevelHierarchy" loCatId="hierarchy" qsTypeId="urn:microsoft.com/office/officeart/2005/8/quickstyle/simple3" qsCatId="simple" csTypeId="urn:microsoft.com/office/officeart/2005/8/colors/accent1_5" csCatId="accent1" phldr="1"/>
      <dgm:spPr/>
      <dgm:t>
        <a:bodyPr/>
        <a:lstStyle/>
        <a:p>
          <a:endParaRPr lang="en-AU"/>
        </a:p>
      </dgm:t>
    </dgm:pt>
    <dgm:pt modelId="{044986CC-58FD-411A-B4A2-793E39C0AB92}">
      <dgm:prSet phldrT="[Text]" custT="1"/>
      <dgm:spPr/>
      <dgm:t>
        <a:bodyPr/>
        <a:lstStyle/>
        <a:p>
          <a:r>
            <a:rPr lang="en-AU" sz="1100" b="0"/>
            <a:t>Fixed Broadband </a:t>
          </a:r>
        </a:p>
        <a:p>
          <a:r>
            <a:rPr lang="en-AU" sz="1100" b="0"/>
            <a:t>Quality Rating</a:t>
          </a:r>
        </a:p>
      </dgm:t>
    </dgm:pt>
    <dgm:pt modelId="{1013BBE0-ACAA-49A5-976E-C1F2330884CF}" type="parTrans" cxnId="{5B42B373-8C4E-4AF7-9DEA-B9D2FB2BB875}">
      <dgm:prSet/>
      <dgm:spPr/>
      <dgm:t>
        <a:bodyPr/>
        <a:lstStyle/>
        <a:p>
          <a:endParaRPr lang="en-AU"/>
        </a:p>
      </dgm:t>
    </dgm:pt>
    <dgm:pt modelId="{3247C30E-182E-43D7-A85B-2B6FBCFA2009}" type="sibTrans" cxnId="{5B42B373-8C4E-4AF7-9DEA-B9D2FB2BB875}">
      <dgm:prSet/>
      <dgm:spPr/>
      <dgm:t>
        <a:bodyPr/>
        <a:lstStyle/>
        <a:p>
          <a:endParaRPr lang="en-AU"/>
        </a:p>
      </dgm:t>
    </dgm:pt>
    <dgm:pt modelId="{4132AED4-C4D3-48F3-AE55-C557B52BB351}">
      <dgm:prSet custT="1"/>
      <dgm:spPr/>
      <dgm:t>
        <a:bodyPr/>
        <a:lstStyle/>
        <a:p>
          <a:r>
            <a:rPr lang="en-AU" sz="1000" b="0"/>
            <a:t>FTTP Quality</a:t>
          </a:r>
        </a:p>
      </dgm:t>
    </dgm:pt>
    <dgm:pt modelId="{86804F28-573B-46B2-A69C-9546A15FA4CD}" type="parTrans" cxnId="{3DB0258F-95C7-4A32-BB63-B176F74563BD}">
      <dgm:prSet custT="1"/>
      <dgm:spPr/>
      <dgm:t>
        <a:bodyPr/>
        <a:lstStyle/>
        <a:p>
          <a:endParaRPr lang="en-AU" sz="1000" b="0"/>
        </a:p>
      </dgm:t>
    </dgm:pt>
    <dgm:pt modelId="{99A8809F-17C7-460E-8E56-5235D0A92CAF}" type="sibTrans" cxnId="{3DB0258F-95C7-4A32-BB63-B176F74563BD}">
      <dgm:prSet/>
      <dgm:spPr/>
      <dgm:t>
        <a:bodyPr/>
        <a:lstStyle/>
        <a:p>
          <a:endParaRPr lang="en-AU"/>
        </a:p>
      </dgm:t>
    </dgm:pt>
    <dgm:pt modelId="{1DCE57F0-557B-425B-88BA-3017A28661E0}">
      <dgm:prSet custT="1"/>
      <dgm:spPr/>
      <dgm:t>
        <a:bodyPr/>
        <a:lstStyle/>
        <a:p>
          <a:r>
            <a:rPr lang="en-AU" sz="1000" b="0"/>
            <a:t>Proportion of DA with access to FTTP</a:t>
          </a:r>
        </a:p>
      </dgm:t>
    </dgm:pt>
    <dgm:pt modelId="{8C507600-FB0F-4891-9B77-0324EC787903}" type="parTrans" cxnId="{837426D0-250F-477C-A989-1820DC43BA31}">
      <dgm:prSet custT="1"/>
      <dgm:spPr/>
      <dgm:t>
        <a:bodyPr/>
        <a:lstStyle/>
        <a:p>
          <a:endParaRPr lang="en-AU" sz="1000" b="0"/>
        </a:p>
      </dgm:t>
    </dgm:pt>
    <dgm:pt modelId="{E5EFDB5D-DE04-45AD-A5A1-CFC2301A1CBB}" type="sibTrans" cxnId="{837426D0-250F-477C-A989-1820DC43BA31}">
      <dgm:prSet/>
      <dgm:spPr/>
      <dgm:t>
        <a:bodyPr/>
        <a:lstStyle/>
        <a:p>
          <a:endParaRPr lang="en-AU"/>
        </a:p>
      </dgm:t>
    </dgm:pt>
    <dgm:pt modelId="{FB6F7711-91B7-4267-9111-27BC1536B943}">
      <dgm:prSet custT="1"/>
      <dgm:spPr/>
      <dgm:t>
        <a:bodyPr/>
        <a:lstStyle/>
        <a:p>
          <a:r>
            <a:rPr lang="en-AU" sz="1000" b="0"/>
            <a:t>FTTN Quality</a:t>
          </a:r>
        </a:p>
      </dgm:t>
    </dgm:pt>
    <dgm:pt modelId="{6166618B-765C-4AFF-93BD-7CEF29D3602B}" type="parTrans" cxnId="{C1E1A5D0-DACC-4C7F-849A-8AC3D36E57BE}">
      <dgm:prSet custT="1"/>
      <dgm:spPr/>
      <dgm:t>
        <a:bodyPr/>
        <a:lstStyle/>
        <a:p>
          <a:endParaRPr lang="en-AU" sz="1000" b="0"/>
        </a:p>
      </dgm:t>
    </dgm:pt>
    <dgm:pt modelId="{A001CEB7-5499-492D-BD9C-1B6B1A1859C6}" type="sibTrans" cxnId="{C1E1A5D0-DACC-4C7F-849A-8AC3D36E57BE}">
      <dgm:prSet/>
      <dgm:spPr/>
      <dgm:t>
        <a:bodyPr/>
        <a:lstStyle/>
        <a:p>
          <a:endParaRPr lang="en-AU"/>
        </a:p>
      </dgm:t>
    </dgm:pt>
    <dgm:pt modelId="{A9041107-8055-4041-9853-DB3631C5C1F4}">
      <dgm:prSet custT="1"/>
      <dgm:spPr/>
      <dgm:t>
        <a:bodyPr/>
        <a:lstStyle/>
        <a:p>
          <a:r>
            <a:rPr lang="en-AU" sz="1000" b="0"/>
            <a:t>Proportion of DA with access to FTTN</a:t>
          </a:r>
        </a:p>
      </dgm:t>
    </dgm:pt>
    <dgm:pt modelId="{A4F33EA4-AC6D-481C-A88A-2614995D6F43}" type="parTrans" cxnId="{63A276C4-1A3A-44E0-8D73-D2E8D046D7F5}">
      <dgm:prSet custT="1"/>
      <dgm:spPr/>
      <dgm:t>
        <a:bodyPr/>
        <a:lstStyle/>
        <a:p>
          <a:endParaRPr lang="en-AU" sz="1000" b="0"/>
        </a:p>
      </dgm:t>
    </dgm:pt>
    <dgm:pt modelId="{5295F1E6-981F-4F42-9D9D-056466D5104E}" type="sibTrans" cxnId="{63A276C4-1A3A-44E0-8D73-D2E8D046D7F5}">
      <dgm:prSet/>
      <dgm:spPr/>
      <dgm:t>
        <a:bodyPr/>
        <a:lstStyle/>
        <a:p>
          <a:endParaRPr lang="en-AU"/>
        </a:p>
      </dgm:t>
    </dgm:pt>
    <dgm:pt modelId="{B3E9D5CF-A676-45F9-92AD-09E0C8BDFD76}">
      <dgm:prSet custT="1"/>
      <dgm:spPr/>
      <dgm:t>
        <a:bodyPr/>
        <a:lstStyle/>
        <a:p>
          <a:r>
            <a:rPr lang="en-AU" sz="1000" b="0"/>
            <a:t>ADSL Quality</a:t>
          </a:r>
        </a:p>
      </dgm:t>
    </dgm:pt>
    <dgm:pt modelId="{05FE344A-EBC8-450D-BBB6-D6D7BA090F8E}" type="parTrans" cxnId="{15BFF07A-514B-435F-994D-63371065A957}">
      <dgm:prSet custT="1"/>
      <dgm:spPr/>
      <dgm:t>
        <a:bodyPr/>
        <a:lstStyle/>
        <a:p>
          <a:endParaRPr lang="en-AU" sz="1000" b="0"/>
        </a:p>
      </dgm:t>
    </dgm:pt>
    <dgm:pt modelId="{A4FA828B-82B9-44D5-A68F-6E30AFC2C971}" type="sibTrans" cxnId="{15BFF07A-514B-435F-994D-63371065A957}">
      <dgm:prSet/>
      <dgm:spPr/>
      <dgm:t>
        <a:bodyPr/>
        <a:lstStyle/>
        <a:p>
          <a:endParaRPr lang="en-AU"/>
        </a:p>
      </dgm:t>
    </dgm:pt>
    <dgm:pt modelId="{E152087D-C8C3-44B9-AF40-CC9A5C6E386F}">
      <dgm:prSet custT="1"/>
      <dgm:spPr/>
      <dgm:t>
        <a:bodyPr/>
        <a:lstStyle/>
        <a:p>
          <a:r>
            <a:rPr lang="en-AU" sz="1000" b="0"/>
            <a:t>Distances from individual premises to the exchange</a:t>
          </a:r>
        </a:p>
      </dgm:t>
    </dgm:pt>
    <dgm:pt modelId="{9EE6038E-A4DD-477C-A237-51AFC8FBBA02}" type="parTrans" cxnId="{52ADFB73-5DFB-4D26-A74B-B315F0154A15}">
      <dgm:prSet custT="1"/>
      <dgm:spPr/>
      <dgm:t>
        <a:bodyPr/>
        <a:lstStyle/>
        <a:p>
          <a:endParaRPr lang="en-AU" sz="1000" b="0"/>
        </a:p>
      </dgm:t>
    </dgm:pt>
    <dgm:pt modelId="{49D7D112-F064-41CF-A543-A05E8E5572CA}" type="sibTrans" cxnId="{52ADFB73-5DFB-4D26-A74B-B315F0154A15}">
      <dgm:prSet/>
      <dgm:spPr/>
      <dgm:t>
        <a:bodyPr/>
        <a:lstStyle/>
        <a:p>
          <a:endParaRPr lang="en-AU"/>
        </a:p>
      </dgm:t>
    </dgm:pt>
    <dgm:pt modelId="{7CD48708-2AA9-448B-A50E-22CF2EA07A32}">
      <dgm:prSet custT="1"/>
      <dgm:spPr/>
      <dgm:t>
        <a:bodyPr/>
        <a:lstStyle/>
        <a:p>
          <a:r>
            <a:rPr lang="en-AU" sz="1000" b="0"/>
            <a:t>Equivalent download speed from Rolling median speed</a:t>
          </a:r>
        </a:p>
      </dgm:t>
    </dgm:pt>
    <dgm:pt modelId="{3EC4D03C-234B-4781-A94A-CB9149FB5E83}" type="parTrans" cxnId="{E4D4C9E3-B875-47D8-957A-AB584CB40695}">
      <dgm:prSet custT="1"/>
      <dgm:spPr/>
      <dgm:t>
        <a:bodyPr/>
        <a:lstStyle/>
        <a:p>
          <a:endParaRPr lang="en-AU" sz="1000" b="0"/>
        </a:p>
      </dgm:t>
    </dgm:pt>
    <dgm:pt modelId="{EA88D982-EFF3-4234-A18C-42AAD923E286}" type="sibTrans" cxnId="{E4D4C9E3-B875-47D8-957A-AB584CB40695}">
      <dgm:prSet/>
      <dgm:spPr/>
      <dgm:t>
        <a:bodyPr/>
        <a:lstStyle/>
        <a:p>
          <a:endParaRPr lang="en-AU"/>
        </a:p>
      </dgm:t>
    </dgm:pt>
    <dgm:pt modelId="{E52F90AE-60C3-4F60-83D8-249609ACF691}">
      <dgm:prSet custT="1"/>
      <dgm:spPr/>
      <dgm:t>
        <a:bodyPr/>
        <a:lstStyle/>
        <a:p>
          <a:r>
            <a:rPr lang="en-AU" sz="1000" b="0"/>
            <a:t>Is DA ADSL enabled area</a:t>
          </a:r>
        </a:p>
      </dgm:t>
    </dgm:pt>
    <dgm:pt modelId="{2008BCB2-D019-4091-948C-7E4A25DA69C1}" type="parTrans" cxnId="{0DC8FD56-732B-42B6-AD75-00D3075E77BA}">
      <dgm:prSet custT="1"/>
      <dgm:spPr/>
      <dgm:t>
        <a:bodyPr/>
        <a:lstStyle/>
        <a:p>
          <a:endParaRPr lang="en-AU" sz="1000"/>
        </a:p>
      </dgm:t>
    </dgm:pt>
    <dgm:pt modelId="{A5BCF062-97EA-4692-AD9F-A75B7CABDBF7}" type="sibTrans" cxnId="{0DC8FD56-732B-42B6-AD75-00D3075E77BA}">
      <dgm:prSet/>
      <dgm:spPr/>
      <dgm:t>
        <a:bodyPr/>
        <a:lstStyle/>
        <a:p>
          <a:endParaRPr lang="en-AU"/>
        </a:p>
      </dgm:t>
    </dgm:pt>
    <dgm:pt modelId="{F8AFE45D-6BF6-4CB7-ACCA-6C320E182EBB}">
      <dgm:prSet custT="1"/>
      <dgm:spPr/>
      <dgm:t>
        <a:bodyPr/>
        <a:lstStyle/>
        <a:p>
          <a:r>
            <a:rPr lang="en-AU" sz="1000" b="0"/>
            <a:t>ADSL 1 or 2+</a:t>
          </a:r>
        </a:p>
      </dgm:t>
    </dgm:pt>
    <dgm:pt modelId="{719444D4-A401-4ACD-A8F1-CD28C0065289}" type="parTrans" cxnId="{D9BD9671-5F39-4638-88E9-C88E05020ACC}">
      <dgm:prSet custT="1"/>
      <dgm:spPr/>
      <dgm:t>
        <a:bodyPr/>
        <a:lstStyle/>
        <a:p>
          <a:endParaRPr lang="en-AU" sz="1000"/>
        </a:p>
      </dgm:t>
    </dgm:pt>
    <dgm:pt modelId="{81F78B4D-0547-4205-9DA3-9DA6DFCD2992}" type="sibTrans" cxnId="{D9BD9671-5F39-4638-88E9-C88E05020ACC}">
      <dgm:prSet/>
      <dgm:spPr/>
      <dgm:t>
        <a:bodyPr/>
        <a:lstStyle/>
        <a:p>
          <a:endParaRPr lang="en-AU"/>
        </a:p>
      </dgm:t>
    </dgm:pt>
    <dgm:pt modelId="{573F5E5B-9A4E-4817-B8D9-BA0A5D601C58}">
      <dgm:prSet custT="1"/>
      <dgm:spPr/>
      <dgm:t>
        <a:bodyPr/>
        <a:lstStyle/>
        <a:p>
          <a:r>
            <a:rPr lang="en-AU" sz="1000" b="0"/>
            <a:t>HFC Quality</a:t>
          </a:r>
        </a:p>
      </dgm:t>
    </dgm:pt>
    <dgm:pt modelId="{3C0A1FC3-D7A3-42D5-9871-2C766F2CE754}" type="parTrans" cxnId="{77F98E9F-A8CD-4AC1-8355-B950915B4E0D}">
      <dgm:prSet custT="1"/>
      <dgm:spPr/>
      <dgm:t>
        <a:bodyPr/>
        <a:lstStyle/>
        <a:p>
          <a:endParaRPr lang="en-AU" sz="1000"/>
        </a:p>
      </dgm:t>
    </dgm:pt>
    <dgm:pt modelId="{1F21DFFD-4B3A-453E-BCE1-6A1258F6E16C}" type="sibTrans" cxnId="{77F98E9F-A8CD-4AC1-8355-B950915B4E0D}">
      <dgm:prSet/>
      <dgm:spPr/>
      <dgm:t>
        <a:bodyPr/>
        <a:lstStyle/>
        <a:p>
          <a:endParaRPr lang="en-AU"/>
        </a:p>
      </dgm:t>
    </dgm:pt>
    <dgm:pt modelId="{641566EA-3187-4081-87F8-45E63FFFF974}">
      <dgm:prSet custT="1"/>
      <dgm:spPr/>
      <dgm:t>
        <a:bodyPr/>
        <a:lstStyle/>
        <a:p>
          <a:r>
            <a:rPr lang="en-AU" sz="1000" b="0"/>
            <a:t>Proportion of DA with access to HFC</a:t>
          </a:r>
        </a:p>
      </dgm:t>
    </dgm:pt>
    <dgm:pt modelId="{3DCE28EB-B4E2-4F5A-8522-B6A586AC616F}" type="parTrans" cxnId="{E3AC7BE7-192D-4B46-BE21-BEF7D67C8569}">
      <dgm:prSet custT="1"/>
      <dgm:spPr/>
      <dgm:t>
        <a:bodyPr/>
        <a:lstStyle/>
        <a:p>
          <a:endParaRPr lang="en-AU" sz="1000"/>
        </a:p>
      </dgm:t>
    </dgm:pt>
    <dgm:pt modelId="{0F96C72F-8070-4CA5-9F69-4933B852CB4A}" type="sibTrans" cxnId="{E3AC7BE7-192D-4B46-BE21-BEF7D67C8569}">
      <dgm:prSet/>
      <dgm:spPr/>
      <dgm:t>
        <a:bodyPr/>
        <a:lstStyle/>
        <a:p>
          <a:endParaRPr lang="en-AU"/>
        </a:p>
      </dgm:t>
    </dgm:pt>
    <dgm:pt modelId="{3276B5FC-C14D-4FC0-9A26-C9F942352EAD}">
      <dgm:prSet custT="1"/>
      <dgm:spPr/>
      <dgm:t>
        <a:bodyPr/>
        <a:lstStyle/>
        <a:p>
          <a:r>
            <a:rPr lang="en-AU" sz="1000" b="0"/>
            <a:t>Fixed Wireless Quality</a:t>
          </a:r>
        </a:p>
      </dgm:t>
    </dgm:pt>
    <dgm:pt modelId="{A71C42B7-57D3-424C-8C50-CB03D678D3AC}" type="parTrans" cxnId="{F5EF6B26-2A7F-4C8A-A220-57FCD0F5F8A9}">
      <dgm:prSet custT="1"/>
      <dgm:spPr/>
      <dgm:t>
        <a:bodyPr/>
        <a:lstStyle/>
        <a:p>
          <a:endParaRPr lang="en-AU" sz="1000"/>
        </a:p>
      </dgm:t>
    </dgm:pt>
    <dgm:pt modelId="{8AA54950-4C4A-423B-9F6F-858D0E2DEEB3}" type="sibTrans" cxnId="{F5EF6B26-2A7F-4C8A-A220-57FCD0F5F8A9}">
      <dgm:prSet/>
      <dgm:spPr/>
      <dgm:t>
        <a:bodyPr/>
        <a:lstStyle/>
        <a:p>
          <a:endParaRPr lang="en-AU"/>
        </a:p>
      </dgm:t>
    </dgm:pt>
    <dgm:pt modelId="{8650CEA0-2679-4D5B-8C56-0EE0BDD81B41}">
      <dgm:prSet custT="1"/>
      <dgm:spPr/>
      <dgm:t>
        <a:bodyPr/>
        <a:lstStyle/>
        <a:p>
          <a:r>
            <a:rPr lang="en-AU" sz="1000" b="0"/>
            <a:t>Proportion of DA overlapping with NBN Co fixed wireless</a:t>
          </a:r>
        </a:p>
      </dgm:t>
    </dgm:pt>
    <dgm:pt modelId="{D3B04FB9-8154-4907-AA09-658281748424}" type="parTrans" cxnId="{8126C75E-63B9-431E-9055-A253375647CA}">
      <dgm:prSet custT="1"/>
      <dgm:spPr/>
      <dgm:t>
        <a:bodyPr/>
        <a:lstStyle/>
        <a:p>
          <a:endParaRPr lang="en-AU" sz="1000"/>
        </a:p>
      </dgm:t>
    </dgm:pt>
    <dgm:pt modelId="{53E2F114-26C5-41CB-9F20-B18A27F67D4C}" type="sibTrans" cxnId="{8126C75E-63B9-431E-9055-A253375647CA}">
      <dgm:prSet/>
      <dgm:spPr/>
      <dgm:t>
        <a:bodyPr/>
        <a:lstStyle/>
        <a:p>
          <a:endParaRPr lang="en-AU"/>
        </a:p>
      </dgm:t>
    </dgm:pt>
    <dgm:pt modelId="{41FF3088-A6A4-4D40-BE1D-25719165410D}" type="pres">
      <dgm:prSet presAssocID="{C6933555-DDE0-49D1-82CD-D4BB600F0A85}" presName="Name0" presStyleCnt="0">
        <dgm:presLayoutVars>
          <dgm:chPref val="1"/>
          <dgm:dir/>
          <dgm:animOne val="branch"/>
          <dgm:animLvl val="lvl"/>
          <dgm:resizeHandles val="exact"/>
        </dgm:presLayoutVars>
      </dgm:prSet>
      <dgm:spPr/>
      <dgm:t>
        <a:bodyPr/>
        <a:lstStyle/>
        <a:p>
          <a:endParaRPr lang="en-AU"/>
        </a:p>
      </dgm:t>
    </dgm:pt>
    <dgm:pt modelId="{6FC198C4-3E86-401D-9B44-E6EF24E38C4D}" type="pres">
      <dgm:prSet presAssocID="{044986CC-58FD-411A-B4A2-793E39C0AB92}" presName="root1" presStyleCnt="0"/>
      <dgm:spPr/>
      <dgm:t>
        <a:bodyPr/>
        <a:lstStyle/>
        <a:p>
          <a:endParaRPr lang="en-AU"/>
        </a:p>
      </dgm:t>
    </dgm:pt>
    <dgm:pt modelId="{192B3A68-772A-4238-A001-EAEBF53641BF}" type="pres">
      <dgm:prSet presAssocID="{044986CC-58FD-411A-B4A2-793E39C0AB92}" presName="LevelOneTextNode" presStyleLbl="node0" presStyleIdx="0" presStyleCnt="1" custAng="5400000" custScaleX="251127" custScaleY="46439" custLinFactX="-53376" custLinFactNeighborX="-100000" custLinFactNeighborY="8044">
        <dgm:presLayoutVars>
          <dgm:chPref val="3"/>
        </dgm:presLayoutVars>
      </dgm:prSet>
      <dgm:spPr/>
      <dgm:t>
        <a:bodyPr/>
        <a:lstStyle/>
        <a:p>
          <a:endParaRPr lang="en-AU"/>
        </a:p>
      </dgm:t>
    </dgm:pt>
    <dgm:pt modelId="{640032C4-79A6-42A8-AFCC-2A40F62A5345}" type="pres">
      <dgm:prSet presAssocID="{044986CC-58FD-411A-B4A2-793E39C0AB92}" presName="level2hierChild" presStyleCnt="0"/>
      <dgm:spPr/>
      <dgm:t>
        <a:bodyPr/>
        <a:lstStyle/>
        <a:p>
          <a:endParaRPr lang="en-AU"/>
        </a:p>
      </dgm:t>
    </dgm:pt>
    <dgm:pt modelId="{DA9711CB-104D-40D9-8035-E6487CA0FDDB}" type="pres">
      <dgm:prSet presAssocID="{86804F28-573B-46B2-A69C-9546A15FA4CD}" presName="conn2-1" presStyleLbl="parChTrans1D2" presStyleIdx="0" presStyleCnt="5"/>
      <dgm:spPr/>
      <dgm:t>
        <a:bodyPr/>
        <a:lstStyle/>
        <a:p>
          <a:endParaRPr lang="en-AU"/>
        </a:p>
      </dgm:t>
    </dgm:pt>
    <dgm:pt modelId="{BF0E6EF9-D429-40AB-88D6-2BCDCE47527B}" type="pres">
      <dgm:prSet presAssocID="{86804F28-573B-46B2-A69C-9546A15FA4CD}" presName="connTx" presStyleLbl="parChTrans1D2" presStyleIdx="0" presStyleCnt="5"/>
      <dgm:spPr/>
      <dgm:t>
        <a:bodyPr/>
        <a:lstStyle/>
        <a:p>
          <a:endParaRPr lang="en-AU"/>
        </a:p>
      </dgm:t>
    </dgm:pt>
    <dgm:pt modelId="{D456F41A-6D8B-446E-A144-B6344EDD38C5}" type="pres">
      <dgm:prSet presAssocID="{4132AED4-C4D3-48F3-AE55-C557B52BB351}" presName="root2" presStyleCnt="0"/>
      <dgm:spPr/>
      <dgm:t>
        <a:bodyPr/>
        <a:lstStyle/>
        <a:p>
          <a:endParaRPr lang="en-AU"/>
        </a:p>
      </dgm:t>
    </dgm:pt>
    <dgm:pt modelId="{2B40F5A8-89CC-474E-8AB0-177B1F10E279}" type="pres">
      <dgm:prSet presAssocID="{4132AED4-C4D3-48F3-AE55-C557B52BB351}" presName="LevelTwoTextNode" presStyleLbl="node2" presStyleIdx="0" presStyleCnt="5" custLinFactNeighborX="-27177" custLinFactNeighborY="-494">
        <dgm:presLayoutVars>
          <dgm:chPref val="3"/>
        </dgm:presLayoutVars>
      </dgm:prSet>
      <dgm:spPr/>
      <dgm:t>
        <a:bodyPr/>
        <a:lstStyle/>
        <a:p>
          <a:endParaRPr lang="en-AU"/>
        </a:p>
      </dgm:t>
    </dgm:pt>
    <dgm:pt modelId="{2C7BA1FF-3C9D-4FBC-97E2-E2FF01B5477B}" type="pres">
      <dgm:prSet presAssocID="{4132AED4-C4D3-48F3-AE55-C557B52BB351}" presName="level3hierChild" presStyleCnt="0"/>
      <dgm:spPr/>
      <dgm:t>
        <a:bodyPr/>
        <a:lstStyle/>
        <a:p>
          <a:endParaRPr lang="en-AU"/>
        </a:p>
      </dgm:t>
    </dgm:pt>
    <dgm:pt modelId="{D06C34C5-52D3-4D9D-9719-B50C67C6BBAE}" type="pres">
      <dgm:prSet presAssocID="{8C507600-FB0F-4891-9B77-0324EC787903}" presName="conn2-1" presStyleLbl="parChTrans1D3" presStyleIdx="0" presStyleCnt="8"/>
      <dgm:spPr/>
      <dgm:t>
        <a:bodyPr/>
        <a:lstStyle/>
        <a:p>
          <a:endParaRPr lang="en-AU"/>
        </a:p>
      </dgm:t>
    </dgm:pt>
    <dgm:pt modelId="{FE28914E-A5A0-474D-B64E-B3A2EEBAF342}" type="pres">
      <dgm:prSet presAssocID="{8C507600-FB0F-4891-9B77-0324EC787903}" presName="connTx" presStyleLbl="parChTrans1D3" presStyleIdx="0" presStyleCnt="8"/>
      <dgm:spPr/>
      <dgm:t>
        <a:bodyPr/>
        <a:lstStyle/>
        <a:p>
          <a:endParaRPr lang="en-AU"/>
        </a:p>
      </dgm:t>
    </dgm:pt>
    <dgm:pt modelId="{1CB34E51-0E91-4377-A126-7C0450F59619}" type="pres">
      <dgm:prSet presAssocID="{1DCE57F0-557B-425B-88BA-3017A28661E0}" presName="root2" presStyleCnt="0"/>
      <dgm:spPr/>
      <dgm:t>
        <a:bodyPr/>
        <a:lstStyle/>
        <a:p>
          <a:endParaRPr lang="en-AU"/>
        </a:p>
      </dgm:t>
    </dgm:pt>
    <dgm:pt modelId="{66973B4C-FCA6-4B36-B13C-6CF0291D98EC}" type="pres">
      <dgm:prSet presAssocID="{1DCE57F0-557B-425B-88BA-3017A28661E0}" presName="LevelTwoTextNode" presStyleLbl="node3" presStyleIdx="0" presStyleCnt="8" custScaleX="139788" custLinFactNeighborX="-20723" custLinFactNeighborY="-8620">
        <dgm:presLayoutVars>
          <dgm:chPref val="3"/>
        </dgm:presLayoutVars>
      </dgm:prSet>
      <dgm:spPr/>
      <dgm:t>
        <a:bodyPr/>
        <a:lstStyle/>
        <a:p>
          <a:endParaRPr lang="en-AU"/>
        </a:p>
      </dgm:t>
    </dgm:pt>
    <dgm:pt modelId="{9976603F-D14A-439E-9BAB-FE8E28B81432}" type="pres">
      <dgm:prSet presAssocID="{1DCE57F0-557B-425B-88BA-3017A28661E0}" presName="level3hierChild" presStyleCnt="0"/>
      <dgm:spPr/>
      <dgm:t>
        <a:bodyPr/>
        <a:lstStyle/>
        <a:p>
          <a:endParaRPr lang="en-AU"/>
        </a:p>
      </dgm:t>
    </dgm:pt>
    <dgm:pt modelId="{A9D0C0F2-E79F-4A2F-BC30-36678B019F4C}" type="pres">
      <dgm:prSet presAssocID="{6166618B-765C-4AFF-93BD-7CEF29D3602B}" presName="conn2-1" presStyleLbl="parChTrans1D2" presStyleIdx="1" presStyleCnt="5"/>
      <dgm:spPr/>
      <dgm:t>
        <a:bodyPr/>
        <a:lstStyle/>
        <a:p>
          <a:endParaRPr lang="en-AU"/>
        </a:p>
      </dgm:t>
    </dgm:pt>
    <dgm:pt modelId="{271CDDDD-0FF9-4D5B-B40A-DAAA7F241FE7}" type="pres">
      <dgm:prSet presAssocID="{6166618B-765C-4AFF-93BD-7CEF29D3602B}" presName="connTx" presStyleLbl="parChTrans1D2" presStyleIdx="1" presStyleCnt="5"/>
      <dgm:spPr/>
      <dgm:t>
        <a:bodyPr/>
        <a:lstStyle/>
        <a:p>
          <a:endParaRPr lang="en-AU"/>
        </a:p>
      </dgm:t>
    </dgm:pt>
    <dgm:pt modelId="{E8E03B32-6290-4626-BD30-75A65A503507}" type="pres">
      <dgm:prSet presAssocID="{FB6F7711-91B7-4267-9111-27BC1536B943}" presName="root2" presStyleCnt="0"/>
      <dgm:spPr/>
      <dgm:t>
        <a:bodyPr/>
        <a:lstStyle/>
        <a:p>
          <a:endParaRPr lang="en-AU"/>
        </a:p>
      </dgm:t>
    </dgm:pt>
    <dgm:pt modelId="{70F1FA37-0D09-45DC-9567-F4F4F9D8053C}" type="pres">
      <dgm:prSet presAssocID="{FB6F7711-91B7-4267-9111-27BC1536B943}" presName="LevelTwoTextNode" presStyleLbl="node2" presStyleIdx="1" presStyleCnt="5" custLinFactNeighborX="-27177" custLinFactNeighborY="9376">
        <dgm:presLayoutVars>
          <dgm:chPref val="3"/>
        </dgm:presLayoutVars>
      </dgm:prSet>
      <dgm:spPr/>
      <dgm:t>
        <a:bodyPr/>
        <a:lstStyle/>
        <a:p>
          <a:endParaRPr lang="en-AU"/>
        </a:p>
      </dgm:t>
    </dgm:pt>
    <dgm:pt modelId="{AA5DE20B-F325-48C3-8051-C0F9F0810B3E}" type="pres">
      <dgm:prSet presAssocID="{FB6F7711-91B7-4267-9111-27BC1536B943}" presName="level3hierChild" presStyleCnt="0"/>
      <dgm:spPr/>
      <dgm:t>
        <a:bodyPr/>
        <a:lstStyle/>
        <a:p>
          <a:endParaRPr lang="en-AU"/>
        </a:p>
      </dgm:t>
    </dgm:pt>
    <dgm:pt modelId="{1C4A3BF6-6B90-49D3-BC4B-0FA205E4D4CC}" type="pres">
      <dgm:prSet presAssocID="{A4F33EA4-AC6D-481C-A88A-2614995D6F43}" presName="conn2-1" presStyleLbl="parChTrans1D3" presStyleIdx="1" presStyleCnt="8"/>
      <dgm:spPr/>
      <dgm:t>
        <a:bodyPr/>
        <a:lstStyle/>
        <a:p>
          <a:endParaRPr lang="en-AU"/>
        </a:p>
      </dgm:t>
    </dgm:pt>
    <dgm:pt modelId="{5C2C7F1E-D489-4715-B218-B484924D3BCF}" type="pres">
      <dgm:prSet presAssocID="{A4F33EA4-AC6D-481C-A88A-2614995D6F43}" presName="connTx" presStyleLbl="parChTrans1D3" presStyleIdx="1" presStyleCnt="8"/>
      <dgm:spPr/>
      <dgm:t>
        <a:bodyPr/>
        <a:lstStyle/>
        <a:p>
          <a:endParaRPr lang="en-AU"/>
        </a:p>
      </dgm:t>
    </dgm:pt>
    <dgm:pt modelId="{A8D2AD2A-7B7B-472C-A672-E7CDC21AA187}" type="pres">
      <dgm:prSet presAssocID="{A9041107-8055-4041-9853-DB3631C5C1F4}" presName="root2" presStyleCnt="0"/>
      <dgm:spPr/>
      <dgm:t>
        <a:bodyPr/>
        <a:lstStyle/>
        <a:p>
          <a:endParaRPr lang="en-AU"/>
        </a:p>
      </dgm:t>
    </dgm:pt>
    <dgm:pt modelId="{3317B3D1-2166-47F1-A7E1-9E0D462207EF}" type="pres">
      <dgm:prSet presAssocID="{A9041107-8055-4041-9853-DB3631C5C1F4}" presName="LevelTwoTextNode" presStyleLbl="node3" presStyleIdx="1" presStyleCnt="8" custScaleX="139788" custLinFactNeighborX="-20695" custLinFactNeighborY="-15373">
        <dgm:presLayoutVars>
          <dgm:chPref val="3"/>
        </dgm:presLayoutVars>
      </dgm:prSet>
      <dgm:spPr/>
      <dgm:t>
        <a:bodyPr/>
        <a:lstStyle/>
        <a:p>
          <a:endParaRPr lang="en-AU"/>
        </a:p>
      </dgm:t>
    </dgm:pt>
    <dgm:pt modelId="{ADBAECA6-03CC-4398-B14D-11274AA4948D}" type="pres">
      <dgm:prSet presAssocID="{A9041107-8055-4041-9853-DB3631C5C1F4}" presName="level3hierChild" presStyleCnt="0"/>
      <dgm:spPr/>
      <dgm:t>
        <a:bodyPr/>
        <a:lstStyle/>
        <a:p>
          <a:endParaRPr lang="en-AU"/>
        </a:p>
      </dgm:t>
    </dgm:pt>
    <dgm:pt modelId="{8D7851DB-315A-4ABA-9663-ACEAEAC781C5}" type="pres">
      <dgm:prSet presAssocID="{3C0A1FC3-D7A3-42D5-9871-2C766F2CE754}" presName="conn2-1" presStyleLbl="parChTrans1D2" presStyleIdx="2" presStyleCnt="5"/>
      <dgm:spPr/>
      <dgm:t>
        <a:bodyPr/>
        <a:lstStyle/>
        <a:p>
          <a:endParaRPr lang="en-AU"/>
        </a:p>
      </dgm:t>
    </dgm:pt>
    <dgm:pt modelId="{3D017B4D-C3B6-43FF-A8FB-C5DB8DB6AF14}" type="pres">
      <dgm:prSet presAssocID="{3C0A1FC3-D7A3-42D5-9871-2C766F2CE754}" presName="connTx" presStyleLbl="parChTrans1D2" presStyleIdx="2" presStyleCnt="5"/>
      <dgm:spPr/>
      <dgm:t>
        <a:bodyPr/>
        <a:lstStyle/>
        <a:p>
          <a:endParaRPr lang="en-AU"/>
        </a:p>
      </dgm:t>
    </dgm:pt>
    <dgm:pt modelId="{634BD211-BB09-452E-8E07-E536250393DA}" type="pres">
      <dgm:prSet presAssocID="{573F5E5B-9A4E-4817-B8D9-BA0A5D601C58}" presName="root2" presStyleCnt="0"/>
      <dgm:spPr/>
    </dgm:pt>
    <dgm:pt modelId="{49DE9207-3DAE-4078-A402-C17535EC96AF}" type="pres">
      <dgm:prSet presAssocID="{573F5E5B-9A4E-4817-B8D9-BA0A5D601C58}" presName="LevelTwoTextNode" presStyleLbl="node2" presStyleIdx="2" presStyleCnt="5" custLinFactNeighborX="-27177" custLinFactNeighborY="2387">
        <dgm:presLayoutVars>
          <dgm:chPref val="3"/>
        </dgm:presLayoutVars>
      </dgm:prSet>
      <dgm:spPr/>
      <dgm:t>
        <a:bodyPr/>
        <a:lstStyle/>
        <a:p>
          <a:endParaRPr lang="en-AU"/>
        </a:p>
      </dgm:t>
    </dgm:pt>
    <dgm:pt modelId="{7F4C2CB9-E7A3-4C83-8369-469F196E0D93}" type="pres">
      <dgm:prSet presAssocID="{573F5E5B-9A4E-4817-B8D9-BA0A5D601C58}" presName="level3hierChild" presStyleCnt="0"/>
      <dgm:spPr/>
    </dgm:pt>
    <dgm:pt modelId="{5B9EFF9B-C3BF-4F9D-8B9D-07B464C38EF4}" type="pres">
      <dgm:prSet presAssocID="{3DCE28EB-B4E2-4F5A-8522-B6A586AC616F}" presName="conn2-1" presStyleLbl="parChTrans1D3" presStyleIdx="2" presStyleCnt="8"/>
      <dgm:spPr/>
      <dgm:t>
        <a:bodyPr/>
        <a:lstStyle/>
        <a:p>
          <a:endParaRPr lang="en-AU"/>
        </a:p>
      </dgm:t>
    </dgm:pt>
    <dgm:pt modelId="{9012B0BC-C04B-4CE0-8634-39C310A8E4CB}" type="pres">
      <dgm:prSet presAssocID="{3DCE28EB-B4E2-4F5A-8522-B6A586AC616F}" presName="connTx" presStyleLbl="parChTrans1D3" presStyleIdx="2" presStyleCnt="8"/>
      <dgm:spPr/>
      <dgm:t>
        <a:bodyPr/>
        <a:lstStyle/>
        <a:p>
          <a:endParaRPr lang="en-AU"/>
        </a:p>
      </dgm:t>
    </dgm:pt>
    <dgm:pt modelId="{783882B1-2152-4786-A317-CFBE95F1F229}" type="pres">
      <dgm:prSet presAssocID="{641566EA-3187-4081-87F8-45E63FFFF974}" presName="root2" presStyleCnt="0"/>
      <dgm:spPr/>
    </dgm:pt>
    <dgm:pt modelId="{37483373-16F8-4A42-8485-BDBA1819E101}" type="pres">
      <dgm:prSet presAssocID="{641566EA-3187-4081-87F8-45E63FFFF974}" presName="LevelTwoTextNode" presStyleLbl="node3" presStyleIdx="2" presStyleCnt="8" custScaleX="139788" custLinFactNeighborX="-20695" custLinFactNeighborY="-22108">
        <dgm:presLayoutVars>
          <dgm:chPref val="3"/>
        </dgm:presLayoutVars>
      </dgm:prSet>
      <dgm:spPr/>
      <dgm:t>
        <a:bodyPr/>
        <a:lstStyle/>
        <a:p>
          <a:endParaRPr lang="en-AU"/>
        </a:p>
      </dgm:t>
    </dgm:pt>
    <dgm:pt modelId="{DF81C32B-B2FD-4F41-89F1-24C9FD1EFA75}" type="pres">
      <dgm:prSet presAssocID="{641566EA-3187-4081-87F8-45E63FFFF974}" presName="level3hierChild" presStyleCnt="0"/>
      <dgm:spPr/>
    </dgm:pt>
    <dgm:pt modelId="{27137C1B-FDC3-4C95-9F5B-212E28B85CC1}" type="pres">
      <dgm:prSet presAssocID="{A71C42B7-57D3-424C-8C50-CB03D678D3AC}" presName="conn2-1" presStyleLbl="parChTrans1D2" presStyleIdx="3" presStyleCnt="5"/>
      <dgm:spPr/>
      <dgm:t>
        <a:bodyPr/>
        <a:lstStyle/>
        <a:p>
          <a:endParaRPr lang="en-AU"/>
        </a:p>
      </dgm:t>
    </dgm:pt>
    <dgm:pt modelId="{9CB503DD-A5F3-42A9-94C0-E81E0EFFE036}" type="pres">
      <dgm:prSet presAssocID="{A71C42B7-57D3-424C-8C50-CB03D678D3AC}" presName="connTx" presStyleLbl="parChTrans1D2" presStyleIdx="3" presStyleCnt="5"/>
      <dgm:spPr/>
      <dgm:t>
        <a:bodyPr/>
        <a:lstStyle/>
        <a:p>
          <a:endParaRPr lang="en-AU"/>
        </a:p>
      </dgm:t>
    </dgm:pt>
    <dgm:pt modelId="{711D3109-D460-46F4-9CD1-C4B925EB4300}" type="pres">
      <dgm:prSet presAssocID="{3276B5FC-C14D-4FC0-9A26-C9F942352EAD}" presName="root2" presStyleCnt="0"/>
      <dgm:spPr/>
    </dgm:pt>
    <dgm:pt modelId="{F4F75EC2-201A-4F47-83FC-1FE2DFAC26CB}" type="pres">
      <dgm:prSet presAssocID="{3276B5FC-C14D-4FC0-9A26-C9F942352EAD}" presName="LevelTwoTextNode" presStyleLbl="node2" presStyleIdx="3" presStyleCnt="5" custLinFactNeighborX="-27177" custLinFactNeighborY="-4603">
        <dgm:presLayoutVars>
          <dgm:chPref val="3"/>
        </dgm:presLayoutVars>
      </dgm:prSet>
      <dgm:spPr/>
      <dgm:t>
        <a:bodyPr/>
        <a:lstStyle/>
        <a:p>
          <a:endParaRPr lang="en-AU"/>
        </a:p>
      </dgm:t>
    </dgm:pt>
    <dgm:pt modelId="{AE880DEA-F418-4E3A-9974-06D17CF52698}" type="pres">
      <dgm:prSet presAssocID="{3276B5FC-C14D-4FC0-9A26-C9F942352EAD}" presName="level3hierChild" presStyleCnt="0"/>
      <dgm:spPr/>
    </dgm:pt>
    <dgm:pt modelId="{D62F41D9-8BF9-4968-9F76-67C93C225CCD}" type="pres">
      <dgm:prSet presAssocID="{D3B04FB9-8154-4907-AA09-658281748424}" presName="conn2-1" presStyleLbl="parChTrans1D3" presStyleIdx="3" presStyleCnt="8"/>
      <dgm:spPr/>
      <dgm:t>
        <a:bodyPr/>
        <a:lstStyle/>
        <a:p>
          <a:endParaRPr lang="en-AU"/>
        </a:p>
      </dgm:t>
    </dgm:pt>
    <dgm:pt modelId="{97F1CF43-B6CF-46E3-82E4-1AD34B7CC540}" type="pres">
      <dgm:prSet presAssocID="{D3B04FB9-8154-4907-AA09-658281748424}" presName="connTx" presStyleLbl="parChTrans1D3" presStyleIdx="3" presStyleCnt="8"/>
      <dgm:spPr/>
      <dgm:t>
        <a:bodyPr/>
        <a:lstStyle/>
        <a:p>
          <a:endParaRPr lang="en-AU"/>
        </a:p>
      </dgm:t>
    </dgm:pt>
    <dgm:pt modelId="{769F7157-103D-4C26-A935-ECA465668380}" type="pres">
      <dgm:prSet presAssocID="{8650CEA0-2679-4D5B-8C56-0EE0BDD81B41}" presName="root2" presStyleCnt="0"/>
      <dgm:spPr/>
    </dgm:pt>
    <dgm:pt modelId="{4F904FF1-D731-4DB4-A3D8-3C38A9EFFBFC}" type="pres">
      <dgm:prSet presAssocID="{8650CEA0-2679-4D5B-8C56-0EE0BDD81B41}" presName="LevelTwoTextNode" presStyleLbl="node3" presStyleIdx="3" presStyleCnt="8" custScaleX="139788" custLinFactNeighborX="-23692" custLinFactNeighborY="-6723">
        <dgm:presLayoutVars>
          <dgm:chPref val="3"/>
        </dgm:presLayoutVars>
      </dgm:prSet>
      <dgm:spPr/>
      <dgm:t>
        <a:bodyPr/>
        <a:lstStyle/>
        <a:p>
          <a:endParaRPr lang="en-AU"/>
        </a:p>
      </dgm:t>
    </dgm:pt>
    <dgm:pt modelId="{DE732E1D-DCED-4C57-9F04-990FEF2112E6}" type="pres">
      <dgm:prSet presAssocID="{8650CEA0-2679-4D5B-8C56-0EE0BDD81B41}" presName="level3hierChild" presStyleCnt="0"/>
      <dgm:spPr/>
    </dgm:pt>
    <dgm:pt modelId="{EE5F1F23-9CEE-4277-A007-50DD2174B194}" type="pres">
      <dgm:prSet presAssocID="{05FE344A-EBC8-450D-BBB6-D6D7BA090F8E}" presName="conn2-1" presStyleLbl="parChTrans1D2" presStyleIdx="4" presStyleCnt="5"/>
      <dgm:spPr/>
      <dgm:t>
        <a:bodyPr/>
        <a:lstStyle/>
        <a:p>
          <a:endParaRPr lang="en-AU"/>
        </a:p>
      </dgm:t>
    </dgm:pt>
    <dgm:pt modelId="{F86F8EA4-1AB1-4670-9BD3-B3D3F47387BC}" type="pres">
      <dgm:prSet presAssocID="{05FE344A-EBC8-450D-BBB6-D6D7BA090F8E}" presName="connTx" presStyleLbl="parChTrans1D2" presStyleIdx="4" presStyleCnt="5"/>
      <dgm:spPr/>
      <dgm:t>
        <a:bodyPr/>
        <a:lstStyle/>
        <a:p>
          <a:endParaRPr lang="en-AU"/>
        </a:p>
      </dgm:t>
    </dgm:pt>
    <dgm:pt modelId="{89B4CC00-0FA3-432D-A609-CC4E5595C19E}" type="pres">
      <dgm:prSet presAssocID="{B3E9D5CF-A676-45F9-92AD-09E0C8BDFD76}" presName="root2" presStyleCnt="0"/>
      <dgm:spPr/>
      <dgm:t>
        <a:bodyPr/>
        <a:lstStyle/>
        <a:p>
          <a:endParaRPr lang="en-AU"/>
        </a:p>
      </dgm:t>
    </dgm:pt>
    <dgm:pt modelId="{D8C7A3DE-2B4E-4D4E-AA41-8A9E0A5ABA4E}" type="pres">
      <dgm:prSet presAssocID="{B3E9D5CF-A676-45F9-92AD-09E0C8BDFD76}" presName="LevelTwoTextNode" presStyleLbl="node2" presStyleIdx="4" presStyleCnt="5" custLinFactNeighborX="-27177" custLinFactNeighborY="-4828">
        <dgm:presLayoutVars>
          <dgm:chPref val="3"/>
        </dgm:presLayoutVars>
      </dgm:prSet>
      <dgm:spPr/>
      <dgm:t>
        <a:bodyPr/>
        <a:lstStyle/>
        <a:p>
          <a:endParaRPr lang="en-AU"/>
        </a:p>
      </dgm:t>
    </dgm:pt>
    <dgm:pt modelId="{60D03C12-868B-4326-B0E0-C07E1B22E3F0}" type="pres">
      <dgm:prSet presAssocID="{B3E9D5CF-A676-45F9-92AD-09E0C8BDFD76}" presName="level3hierChild" presStyleCnt="0"/>
      <dgm:spPr/>
      <dgm:t>
        <a:bodyPr/>
        <a:lstStyle/>
        <a:p>
          <a:endParaRPr lang="en-AU"/>
        </a:p>
      </dgm:t>
    </dgm:pt>
    <dgm:pt modelId="{8C8A75E8-1905-4A63-9996-25167BE4FBF8}" type="pres">
      <dgm:prSet presAssocID="{2008BCB2-D019-4091-948C-7E4A25DA69C1}" presName="conn2-1" presStyleLbl="parChTrans1D3" presStyleIdx="4" presStyleCnt="8"/>
      <dgm:spPr/>
      <dgm:t>
        <a:bodyPr/>
        <a:lstStyle/>
        <a:p>
          <a:endParaRPr lang="en-AU"/>
        </a:p>
      </dgm:t>
    </dgm:pt>
    <dgm:pt modelId="{CFAE2D95-5844-4F61-81A3-7EB7AD2C7EFE}" type="pres">
      <dgm:prSet presAssocID="{2008BCB2-D019-4091-948C-7E4A25DA69C1}" presName="connTx" presStyleLbl="parChTrans1D3" presStyleIdx="4" presStyleCnt="8"/>
      <dgm:spPr/>
      <dgm:t>
        <a:bodyPr/>
        <a:lstStyle/>
        <a:p>
          <a:endParaRPr lang="en-AU"/>
        </a:p>
      </dgm:t>
    </dgm:pt>
    <dgm:pt modelId="{D6730B7C-0272-4E38-9B2E-B4C6F9054A33}" type="pres">
      <dgm:prSet presAssocID="{E52F90AE-60C3-4F60-83D8-249609ACF691}" presName="root2" presStyleCnt="0"/>
      <dgm:spPr/>
    </dgm:pt>
    <dgm:pt modelId="{F434CC84-8C5C-4B84-8F52-9CB659E41392}" type="pres">
      <dgm:prSet presAssocID="{E52F90AE-60C3-4F60-83D8-249609ACF691}" presName="LevelTwoTextNode" presStyleLbl="node3" presStyleIdx="4" presStyleCnt="8" custScaleX="139788" custLinFactNeighborX="-20695" custLinFactNeighborY="-6084">
        <dgm:presLayoutVars>
          <dgm:chPref val="3"/>
        </dgm:presLayoutVars>
      </dgm:prSet>
      <dgm:spPr/>
      <dgm:t>
        <a:bodyPr/>
        <a:lstStyle/>
        <a:p>
          <a:endParaRPr lang="en-AU"/>
        </a:p>
      </dgm:t>
    </dgm:pt>
    <dgm:pt modelId="{05547288-6E8B-4DBA-96E1-FE209543F2F8}" type="pres">
      <dgm:prSet presAssocID="{E52F90AE-60C3-4F60-83D8-249609ACF691}" presName="level3hierChild" presStyleCnt="0"/>
      <dgm:spPr/>
    </dgm:pt>
    <dgm:pt modelId="{158EB111-C427-42BB-9222-6F4A8D83F0CC}" type="pres">
      <dgm:prSet presAssocID="{719444D4-A401-4ACD-A8F1-CD28C0065289}" presName="conn2-1" presStyleLbl="parChTrans1D3" presStyleIdx="5" presStyleCnt="8"/>
      <dgm:spPr/>
      <dgm:t>
        <a:bodyPr/>
        <a:lstStyle/>
        <a:p>
          <a:endParaRPr lang="en-AU"/>
        </a:p>
      </dgm:t>
    </dgm:pt>
    <dgm:pt modelId="{2D1A6344-23BA-4291-B6A3-6B3C340815F3}" type="pres">
      <dgm:prSet presAssocID="{719444D4-A401-4ACD-A8F1-CD28C0065289}" presName="connTx" presStyleLbl="parChTrans1D3" presStyleIdx="5" presStyleCnt="8"/>
      <dgm:spPr/>
      <dgm:t>
        <a:bodyPr/>
        <a:lstStyle/>
        <a:p>
          <a:endParaRPr lang="en-AU"/>
        </a:p>
      </dgm:t>
    </dgm:pt>
    <dgm:pt modelId="{1C545D32-AC98-4B9F-A0B1-7F48D015810C}" type="pres">
      <dgm:prSet presAssocID="{F8AFE45D-6BF6-4CB7-ACCA-6C320E182EBB}" presName="root2" presStyleCnt="0"/>
      <dgm:spPr/>
    </dgm:pt>
    <dgm:pt modelId="{FE3AB56C-989B-4E7E-A05D-323D2FC01671}" type="pres">
      <dgm:prSet presAssocID="{F8AFE45D-6BF6-4CB7-ACCA-6C320E182EBB}" presName="LevelTwoTextNode" presStyleLbl="node3" presStyleIdx="5" presStyleCnt="8" custScaleX="139788" custScaleY="82476" custLinFactNeighborX="-20695" custLinFactNeighborY="-12819">
        <dgm:presLayoutVars>
          <dgm:chPref val="3"/>
        </dgm:presLayoutVars>
      </dgm:prSet>
      <dgm:spPr/>
      <dgm:t>
        <a:bodyPr/>
        <a:lstStyle/>
        <a:p>
          <a:endParaRPr lang="en-AU"/>
        </a:p>
      </dgm:t>
    </dgm:pt>
    <dgm:pt modelId="{FF054AAC-2A78-4FB4-8D24-E261EA5E0A15}" type="pres">
      <dgm:prSet presAssocID="{F8AFE45D-6BF6-4CB7-ACCA-6C320E182EBB}" presName="level3hierChild" presStyleCnt="0"/>
      <dgm:spPr/>
    </dgm:pt>
    <dgm:pt modelId="{B224955C-1DC3-4915-A6B8-FFAB9A5BAC7D}" type="pres">
      <dgm:prSet presAssocID="{9EE6038E-A4DD-477C-A237-51AFC8FBBA02}" presName="conn2-1" presStyleLbl="parChTrans1D3" presStyleIdx="6" presStyleCnt="8"/>
      <dgm:spPr/>
      <dgm:t>
        <a:bodyPr/>
        <a:lstStyle/>
        <a:p>
          <a:endParaRPr lang="en-AU"/>
        </a:p>
      </dgm:t>
    </dgm:pt>
    <dgm:pt modelId="{B4967455-B29B-4259-AC03-D48A6051D7FB}" type="pres">
      <dgm:prSet presAssocID="{9EE6038E-A4DD-477C-A237-51AFC8FBBA02}" presName="connTx" presStyleLbl="parChTrans1D3" presStyleIdx="6" presStyleCnt="8"/>
      <dgm:spPr/>
      <dgm:t>
        <a:bodyPr/>
        <a:lstStyle/>
        <a:p>
          <a:endParaRPr lang="en-AU"/>
        </a:p>
      </dgm:t>
    </dgm:pt>
    <dgm:pt modelId="{CAF33340-9C97-415D-BDA9-2D9D314FE2B9}" type="pres">
      <dgm:prSet presAssocID="{E152087D-C8C3-44B9-AF40-CC9A5C6E386F}" presName="root2" presStyleCnt="0"/>
      <dgm:spPr/>
      <dgm:t>
        <a:bodyPr/>
        <a:lstStyle/>
        <a:p>
          <a:endParaRPr lang="en-AU"/>
        </a:p>
      </dgm:t>
    </dgm:pt>
    <dgm:pt modelId="{48FAEF69-B48F-4D32-87D1-1FDE429AB6A2}" type="pres">
      <dgm:prSet presAssocID="{E152087D-C8C3-44B9-AF40-CC9A5C6E386F}" presName="LevelTwoTextNode" presStyleLbl="node3" presStyleIdx="6" presStyleCnt="8" custScaleX="139788" custLinFactNeighborX="-20695" custLinFactNeighborY="-2071">
        <dgm:presLayoutVars>
          <dgm:chPref val="3"/>
        </dgm:presLayoutVars>
      </dgm:prSet>
      <dgm:spPr/>
      <dgm:t>
        <a:bodyPr/>
        <a:lstStyle/>
        <a:p>
          <a:endParaRPr lang="en-AU"/>
        </a:p>
      </dgm:t>
    </dgm:pt>
    <dgm:pt modelId="{DD0039E2-991A-4316-BA29-52F3A9273F2E}" type="pres">
      <dgm:prSet presAssocID="{E152087D-C8C3-44B9-AF40-CC9A5C6E386F}" presName="level3hierChild" presStyleCnt="0"/>
      <dgm:spPr/>
      <dgm:t>
        <a:bodyPr/>
        <a:lstStyle/>
        <a:p>
          <a:endParaRPr lang="en-AU"/>
        </a:p>
      </dgm:t>
    </dgm:pt>
    <dgm:pt modelId="{5FD5EE15-7F36-4203-A4ED-8286FB44CF15}" type="pres">
      <dgm:prSet presAssocID="{3EC4D03C-234B-4781-A94A-CB9149FB5E83}" presName="conn2-1" presStyleLbl="parChTrans1D3" presStyleIdx="7" presStyleCnt="8"/>
      <dgm:spPr/>
      <dgm:t>
        <a:bodyPr/>
        <a:lstStyle/>
        <a:p>
          <a:endParaRPr lang="en-AU"/>
        </a:p>
      </dgm:t>
    </dgm:pt>
    <dgm:pt modelId="{1114851F-381A-478B-97E3-38747261056D}" type="pres">
      <dgm:prSet presAssocID="{3EC4D03C-234B-4781-A94A-CB9149FB5E83}" presName="connTx" presStyleLbl="parChTrans1D3" presStyleIdx="7" presStyleCnt="8"/>
      <dgm:spPr/>
      <dgm:t>
        <a:bodyPr/>
        <a:lstStyle/>
        <a:p>
          <a:endParaRPr lang="en-AU"/>
        </a:p>
      </dgm:t>
    </dgm:pt>
    <dgm:pt modelId="{9A12456F-903B-49D7-B7DF-E8065352517A}" type="pres">
      <dgm:prSet presAssocID="{7CD48708-2AA9-448B-A50E-22CF2EA07A32}" presName="root2" presStyleCnt="0"/>
      <dgm:spPr/>
      <dgm:t>
        <a:bodyPr/>
        <a:lstStyle/>
        <a:p>
          <a:endParaRPr lang="en-AU"/>
        </a:p>
      </dgm:t>
    </dgm:pt>
    <dgm:pt modelId="{69933B89-4EF2-488F-BDE1-64B1879B1A88}" type="pres">
      <dgm:prSet presAssocID="{7CD48708-2AA9-448B-A50E-22CF2EA07A32}" presName="LevelTwoTextNode" presStyleLbl="node3" presStyleIdx="7" presStyleCnt="8" custScaleX="139788" custScaleY="83026" custLinFactNeighborX="-20695" custLinFactNeighborY="493">
        <dgm:presLayoutVars>
          <dgm:chPref val="3"/>
        </dgm:presLayoutVars>
      </dgm:prSet>
      <dgm:spPr/>
      <dgm:t>
        <a:bodyPr/>
        <a:lstStyle/>
        <a:p>
          <a:endParaRPr lang="en-AU"/>
        </a:p>
      </dgm:t>
    </dgm:pt>
    <dgm:pt modelId="{0112FBEE-123F-435F-A60B-79DEC26817B8}" type="pres">
      <dgm:prSet presAssocID="{7CD48708-2AA9-448B-A50E-22CF2EA07A32}" presName="level3hierChild" presStyleCnt="0"/>
      <dgm:spPr/>
      <dgm:t>
        <a:bodyPr/>
        <a:lstStyle/>
        <a:p>
          <a:endParaRPr lang="en-AU"/>
        </a:p>
      </dgm:t>
    </dgm:pt>
  </dgm:ptLst>
  <dgm:cxnLst>
    <dgm:cxn modelId="{E3AC7BE7-192D-4B46-BE21-BEF7D67C8569}" srcId="{573F5E5B-9A4E-4817-B8D9-BA0A5D601C58}" destId="{641566EA-3187-4081-87F8-45E63FFFF974}" srcOrd="0" destOrd="0" parTransId="{3DCE28EB-B4E2-4F5A-8522-B6A586AC616F}" sibTransId="{0F96C72F-8070-4CA5-9F69-4933B852CB4A}"/>
    <dgm:cxn modelId="{DF903C2D-4D39-4C67-B7DD-2FCEE085A7DB}" type="presOf" srcId="{3276B5FC-C14D-4FC0-9A26-C9F942352EAD}" destId="{F4F75EC2-201A-4F47-83FC-1FE2DFAC26CB}" srcOrd="0" destOrd="0" presId="urn:microsoft.com/office/officeart/2008/layout/HorizontalMultiLevelHierarchy"/>
    <dgm:cxn modelId="{5A1CCF5C-6796-4E43-B1A2-6A9BC9E53929}" type="presOf" srcId="{3DCE28EB-B4E2-4F5A-8522-B6A586AC616F}" destId="{9012B0BC-C04B-4CE0-8634-39C310A8E4CB}" srcOrd="1" destOrd="0" presId="urn:microsoft.com/office/officeart/2008/layout/HorizontalMultiLevelHierarchy"/>
    <dgm:cxn modelId="{CB6E156C-817D-4E5B-9A2B-637BBD15B761}" type="presOf" srcId="{C6933555-DDE0-49D1-82CD-D4BB600F0A85}" destId="{41FF3088-A6A4-4D40-BE1D-25719165410D}" srcOrd="0" destOrd="0" presId="urn:microsoft.com/office/officeart/2008/layout/HorizontalMultiLevelHierarchy"/>
    <dgm:cxn modelId="{10EA71B3-1241-4E2E-B742-66AF7B2B796C}" type="presOf" srcId="{2008BCB2-D019-4091-948C-7E4A25DA69C1}" destId="{8C8A75E8-1905-4A63-9996-25167BE4FBF8}" srcOrd="0" destOrd="0" presId="urn:microsoft.com/office/officeart/2008/layout/HorizontalMultiLevelHierarchy"/>
    <dgm:cxn modelId="{27132A40-A8FB-4EEB-A858-831112AA7088}" type="presOf" srcId="{4132AED4-C4D3-48F3-AE55-C557B52BB351}" destId="{2B40F5A8-89CC-474E-8AB0-177B1F10E279}" srcOrd="0" destOrd="0" presId="urn:microsoft.com/office/officeart/2008/layout/HorizontalMultiLevelHierarchy"/>
    <dgm:cxn modelId="{892E2361-8094-49D2-8009-8380A573E89E}" type="presOf" srcId="{7CD48708-2AA9-448B-A50E-22CF2EA07A32}" destId="{69933B89-4EF2-488F-BDE1-64B1879B1A88}" srcOrd="0" destOrd="0" presId="urn:microsoft.com/office/officeart/2008/layout/HorizontalMultiLevelHierarchy"/>
    <dgm:cxn modelId="{5E97A270-A950-4C97-B837-FCA20D76CD89}" type="presOf" srcId="{A9041107-8055-4041-9853-DB3631C5C1F4}" destId="{3317B3D1-2166-47F1-A7E1-9E0D462207EF}" srcOrd="0" destOrd="0" presId="urn:microsoft.com/office/officeart/2008/layout/HorizontalMultiLevelHierarchy"/>
    <dgm:cxn modelId="{E894CB3A-ACC0-4BCF-B617-0F516474545C}" type="presOf" srcId="{6166618B-765C-4AFF-93BD-7CEF29D3602B}" destId="{A9D0C0F2-E79F-4A2F-BC30-36678B019F4C}" srcOrd="0" destOrd="0" presId="urn:microsoft.com/office/officeart/2008/layout/HorizontalMultiLevelHierarchy"/>
    <dgm:cxn modelId="{0B7F885D-6993-446D-81BF-EF458AC1EC3F}" type="presOf" srcId="{FB6F7711-91B7-4267-9111-27BC1536B943}" destId="{70F1FA37-0D09-45DC-9567-F4F4F9D8053C}" srcOrd="0" destOrd="0" presId="urn:microsoft.com/office/officeart/2008/layout/HorizontalMultiLevelHierarchy"/>
    <dgm:cxn modelId="{E4D4C9E3-B875-47D8-957A-AB584CB40695}" srcId="{B3E9D5CF-A676-45F9-92AD-09E0C8BDFD76}" destId="{7CD48708-2AA9-448B-A50E-22CF2EA07A32}" srcOrd="3" destOrd="0" parTransId="{3EC4D03C-234B-4781-A94A-CB9149FB5E83}" sibTransId="{EA88D982-EFF3-4234-A18C-42AAD923E286}"/>
    <dgm:cxn modelId="{63A276C4-1A3A-44E0-8D73-D2E8D046D7F5}" srcId="{FB6F7711-91B7-4267-9111-27BC1536B943}" destId="{A9041107-8055-4041-9853-DB3631C5C1F4}" srcOrd="0" destOrd="0" parTransId="{A4F33EA4-AC6D-481C-A88A-2614995D6F43}" sibTransId="{5295F1E6-981F-4F42-9D9D-056466D5104E}"/>
    <dgm:cxn modelId="{9BC722CC-D18A-4434-B879-EB0A3F1B8937}" type="presOf" srcId="{05FE344A-EBC8-450D-BBB6-D6D7BA090F8E}" destId="{EE5F1F23-9CEE-4277-A007-50DD2174B194}" srcOrd="0" destOrd="0" presId="urn:microsoft.com/office/officeart/2008/layout/HorizontalMultiLevelHierarchy"/>
    <dgm:cxn modelId="{0DC8FD56-732B-42B6-AD75-00D3075E77BA}" srcId="{B3E9D5CF-A676-45F9-92AD-09E0C8BDFD76}" destId="{E52F90AE-60C3-4F60-83D8-249609ACF691}" srcOrd="0" destOrd="0" parTransId="{2008BCB2-D019-4091-948C-7E4A25DA69C1}" sibTransId="{A5BCF062-97EA-4692-AD9F-A75B7CABDBF7}"/>
    <dgm:cxn modelId="{E2EA6395-6306-4A76-8A1C-6427E5FF6E89}" type="presOf" srcId="{3EC4D03C-234B-4781-A94A-CB9149FB5E83}" destId="{5FD5EE15-7F36-4203-A4ED-8286FB44CF15}" srcOrd="0" destOrd="0" presId="urn:microsoft.com/office/officeart/2008/layout/HorizontalMultiLevelHierarchy"/>
    <dgm:cxn modelId="{6D7BF7C6-8C86-4FCD-8900-EADBBEF86938}" type="presOf" srcId="{3EC4D03C-234B-4781-A94A-CB9149FB5E83}" destId="{1114851F-381A-478B-97E3-38747261056D}" srcOrd="1" destOrd="0" presId="urn:microsoft.com/office/officeart/2008/layout/HorizontalMultiLevelHierarchy"/>
    <dgm:cxn modelId="{2A170DED-967D-4ADC-8CF5-D36DFAB73BB5}" type="presOf" srcId="{2008BCB2-D019-4091-948C-7E4A25DA69C1}" destId="{CFAE2D95-5844-4F61-81A3-7EB7AD2C7EFE}" srcOrd="1" destOrd="0" presId="urn:microsoft.com/office/officeart/2008/layout/HorizontalMultiLevelHierarchy"/>
    <dgm:cxn modelId="{D9BD9671-5F39-4638-88E9-C88E05020ACC}" srcId="{B3E9D5CF-A676-45F9-92AD-09E0C8BDFD76}" destId="{F8AFE45D-6BF6-4CB7-ACCA-6C320E182EBB}" srcOrd="1" destOrd="0" parTransId="{719444D4-A401-4ACD-A8F1-CD28C0065289}" sibTransId="{81F78B4D-0547-4205-9DA3-9DA6DFCD2992}"/>
    <dgm:cxn modelId="{35BAF02B-E9CD-4AF2-B1EF-8FF315525AC8}" type="presOf" srcId="{A71C42B7-57D3-424C-8C50-CB03D678D3AC}" destId="{27137C1B-FDC3-4C95-9F5B-212E28B85CC1}" srcOrd="0" destOrd="0" presId="urn:microsoft.com/office/officeart/2008/layout/HorizontalMultiLevelHierarchy"/>
    <dgm:cxn modelId="{7222016B-6841-4D02-B4A2-6117CB04D91B}" type="presOf" srcId="{3C0A1FC3-D7A3-42D5-9871-2C766F2CE754}" destId="{8D7851DB-315A-4ABA-9663-ACEAEAC781C5}" srcOrd="0" destOrd="0" presId="urn:microsoft.com/office/officeart/2008/layout/HorizontalMultiLevelHierarchy"/>
    <dgm:cxn modelId="{1C6DABA8-97BB-4D2D-A4DB-B1A7EB9A030B}" type="presOf" srcId="{573F5E5B-9A4E-4817-B8D9-BA0A5D601C58}" destId="{49DE9207-3DAE-4078-A402-C17535EC96AF}" srcOrd="0" destOrd="0" presId="urn:microsoft.com/office/officeart/2008/layout/HorizontalMultiLevelHierarchy"/>
    <dgm:cxn modelId="{8E0A78CC-35E0-4D8B-911D-FB0D9870F535}" type="presOf" srcId="{86804F28-573B-46B2-A69C-9546A15FA4CD}" destId="{BF0E6EF9-D429-40AB-88D6-2BCDCE47527B}" srcOrd="1" destOrd="0" presId="urn:microsoft.com/office/officeart/2008/layout/HorizontalMultiLevelHierarchy"/>
    <dgm:cxn modelId="{15BFF07A-514B-435F-994D-63371065A957}" srcId="{044986CC-58FD-411A-B4A2-793E39C0AB92}" destId="{B3E9D5CF-A676-45F9-92AD-09E0C8BDFD76}" srcOrd="4" destOrd="0" parTransId="{05FE344A-EBC8-450D-BBB6-D6D7BA090F8E}" sibTransId="{A4FA828B-82B9-44D5-A68F-6E30AFC2C971}"/>
    <dgm:cxn modelId="{156D95B2-ED99-4026-AB8D-FE1208420E4A}" type="presOf" srcId="{8C507600-FB0F-4891-9B77-0324EC787903}" destId="{D06C34C5-52D3-4D9D-9719-B50C67C6BBAE}" srcOrd="0" destOrd="0" presId="urn:microsoft.com/office/officeart/2008/layout/HorizontalMultiLevelHierarchy"/>
    <dgm:cxn modelId="{6BA4F184-903D-4784-9B7F-A51ED871A985}" type="presOf" srcId="{F8AFE45D-6BF6-4CB7-ACCA-6C320E182EBB}" destId="{FE3AB56C-989B-4E7E-A05D-323D2FC01671}" srcOrd="0" destOrd="0" presId="urn:microsoft.com/office/officeart/2008/layout/HorizontalMultiLevelHierarchy"/>
    <dgm:cxn modelId="{C1E1A5D0-DACC-4C7F-849A-8AC3D36E57BE}" srcId="{044986CC-58FD-411A-B4A2-793E39C0AB92}" destId="{FB6F7711-91B7-4267-9111-27BC1536B943}" srcOrd="1" destOrd="0" parTransId="{6166618B-765C-4AFF-93BD-7CEF29D3602B}" sibTransId="{A001CEB7-5499-492D-BD9C-1B6B1A1859C6}"/>
    <dgm:cxn modelId="{74806E97-BA08-46F7-A841-3E9B3A24142E}" type="presOf" srcId="{9EE6038E-A4DD-477C-A237-51AFC8FBBA02}" destId="{B224955C-1DC3-4915-A6B8-FFAB9A5BAC7D}" srcOrd="0" destOrd="0" presId="urn:microsoft.com/office/officeart/2008/layout/HorizontalMultiLevelHierarchy"/>
    <dgm:cxn modelId="{42D3EED8-7845-41F8-B508-38EEF13A7BF0}" type="presOf" srcId="{9EE6038E-A4DD-477C-A237-51AFC8FBBA02}" destId="{B4967455-B29B-4259-AC03-D48A6051D7FB}" srcOrd="1" destOrd="0" presId="urn:microsoft.com/office/officeart/2008/layout/HorizontalMultiLevelHierarchy"/>
    <dgm:cxn modelId="{837426D0-250F-477C-A989-1820DC43BA31}" srcId="{4132AED4-C4D3-48F3-AE55-C557B52BB351}" destId="{1DCE57F0-557B-425B-88BA-3017A28661E0}" srcOrd="0" destOrd="0" parTransId="{8C507600-FB0F-4891-9B77-0324EC787903}" sibTransId="{E5EFDB5D-DE04-45AD-A5A1-CFC2301A1CBB}"/>
    <dgm:cxn modelId="{C51C7613-5977-4E03-B708-DC6D2E37EA60}" type="presOf" srcId="{3DCE28EB-B4E2-4F5A-8522-B6A586AC616F}" destId="{5B9EFF9B-C3BF-4F9D-8B9D-07B464C38EF4}" srcOrd="0" destOrd="0" presId="urn:microsoft.com/office/officeart/2008/layout/HorizontalMultiLevelHierarchy"/>
    <dgm:cxn modelId="{F5EF6B26-2A7F-4C8A-A220-57FCD0F5F8A9}" srcId="{044986CC-58FD-411A-B4A2-793E39C0AB92}" destId="{3276B5FC-C14D-4FC0-9A26-C9F942352EAD}" srcOrd="3" destOrd="0" parTransId="{A71C42B7-57D3-424C-8C50-CB03D678D3AC}" sibTransId="{8AA54950-4C4A-423B-9F6F-858D0E2DEEB3}"/>
    <dgm:cxn modelId="{77F98E9F-A8CD-4AC1-8355-B950915B4E0D}" srcId="{044986CC-58FD-411A-B4A2-793E39C0AB92}" destId="{573F5E5B-9A4E-4817-B8D9-BA0A5D601C58}" srcOrd="2" destOrd="0" parTransId="{3C0A1FC3-D7A3-42D5-9871-2C766F2CE754}" sibTransId="{1F21DFFD-4B3A-453E-BCE1-6A1258F6E16C}"/>
    <dgm:cxn modelId="{52ADFB73-5DFB-4D26-A74B-B315F0154A15}" srcId="{B3E9D5CF-A676-45F9-92AD-09E0C8BDFD76}" destId="{E152087D-C8C3-44B9-AF40-CC9A5C6E386F}" srcOrd="2" destOrd="0" parTransId="{9EE6038E-A4DD-477C-A237-51AFC8FBBA02}" sibTransId="{49D7D112-F064-41CF-A543-A05E8E5572CA}"/>
    <dgm:cxn modelId="{5B42B373-8C4E-4AF7-9DEA-B9D2FB2BB875}" srcId="{C6933555-DDE0-49D1-82CD-D4BB600F0A85}" destId="{044986CC-58FD-411A-B4A2-793E39C0AB92}" srcOrd="0" destOrd="0" parTransId="{1013BBE0-ACAA-49A5-976E-C1F2330884CF}" sibTransId="{3247C30E-182E-43D7-A85B-2B6FBCFA2009}"/>
    <dgm:cxn modelId="{2111A740-697F-4030-A2F3-E5217F02A9C0}" type="presOf" srcId="{E152087D-C8C3-44B9-AF40-CC9A5C6E386F}" destId="{48FAEF69-B48F-4D32-87D1-1FDE429AB6A2}" srcOrd="0" destOrd="0" presId="urn:microsoft.com/office/officeart/2008/layout/HorizontalMultiLevelHierarchy"/>
    <dgm:cxn modelId="{B3C9AE11-6E4B-4C60-8524-C9B83D4A402E}" type="presOf" srcId="{E52F90AE-60C3-4F60-83D8-249609ACF691}" destId="{F434CC84-8C5C-4B84-8F52-9CB659E41392}" srcOrd="0" destOrd="0" presId="urn:microsoft.com/office/officeart/2008/layout/HorizontalMultiLevelHierarchy"/>
    <dgm:cxn modelId="{357647A3-6C78-4237-A581-89B360FA29CB}" type="presOf" srcId="{05FE344A-EBC8-450D-BBB6-D6D7BA090F8E}" destId="{F86F8EA4-1AB1-4670-9BD3-B3D3F47387BC}" srcOrd="1" destOrd="0" presId="urn:microsoft.com/office/officeart/2008/layout/HorizontalMultiLevelHierarchy"/>
    <dgm:cxn modelId="{1BDA6C1C-D0EC-4335-BC82-E4B35849042D}" type="presOf" srcId="{044986CC-58FD-411A-B4A2-793E39C0AB92}" destId="{192B3A68-772A-4238-A001-EAEBF53641BF}" srcOrd="0" destOrd="0" presId="urn:microsoft.com/office/officeart/2008/layout/HorizontalMultiLevelHierarchy"/>
    <dgm:cxn modelId="{BABBE36E-ABD5-45AF-ACB5-6554056FEA5D}" type="presOf" srcId="{719444D4-A401-4ACD-A8F1-CD28C0065289}" destId="{158EB111-C427-42BB-9222-6F4A8D83F0CC}" srcOrd="0" destOrd="0" presId="urn:microsoft.com/office/officeart/2008/layout/HorizontalMultiLevelHierarchy"/>
    <dgm:cxn modelId="{DDFD5592-6FAA-49BD-B6B4-C0AEC3313823}" type="presOf" srcId="{8650CEA0-2679-4D5B-8C56-0EE0BDD81B41}" destId="{4F904FF1-D731-4DB4-A3D8-3C38A9EFFBFC}" srcOrd="0" destOrd="0" presId="urn:microsoft.com/office/officeart/2008/layout/HorizontalMultiLevelHierarchy"/>
    <dgm:cxn modelId="{21AD3737-57C2-4D83-8332-DDFC936A2A2C}" type="presOf" srcId="{86804F28-573B-46B2-A69C-9546A15FA4CD}" destId="{DA9711CB-104D-40D9-8035-E6487CA0FDDB}" srcOrd="0" destOrd="0" presId="urn:microsoft.com/office/officeart/2008/layout/HorizontalMultiLevelHierarchy"/>
    <dgm:cxn modelId="{71F79E4E-1EA7-4374-A73C-5C1DCD771535}" type="presOf" srcId="{D3B04FB9-8154-4907-AA09-658281748424}" destId="{97F1CF43-B6CF-46E3-82E4-1AD34B7CC540}" srcOrd="1" destOrd="0" presId="urn:microsoft.com/office/officeart/2008/layout/HorizontalMultiLevelHierarchy"/>
    <dgm:cxn modelId="{02F52E7B-D491-4D5D-BC05-051FC36B7AC2}" type="presOf" srcId="{8C507600-FB0F-4891-9B77-0324EC787903}" destId="{FE28914E-A5A0-474D-B64E-B3A2EEBAF342}" srcOrd="1" destOrd="0" presId="urn:microsoft.com/office/officeart/2008/layout/HorizontalMultiLevelHierarchy"/>
    <dgm:cxn modelId="{3DB0258F-95C7-4A32-BB63-B176F74563BD}" srcId="{044986CC-58FD-411A-B4A2-793E39C0AB92}" destId="{4132AED4-C4D3-48F3-AE55-C557B52BB351}" srcOrd="0" destOrd="0" parTransId="{86804F28-573B-46B2-A69C-9546A15FA4CD}" sibTransId="{99A8809F-17C7-460E-8E56-5235D0A92CAF}"/>
    <dgm:cxn modelId="{91C0EBBA-78B8-4D0C-A854-C153192EA902}" type="presOf" srcId="{1DCE57F0-557B-425B-88BA-3017A28661E0}" destId="{66973B4C-FCA6-4B36-B13C-6CF0291D98EC}" srcOrd="0" destOrd="0" presId="urn:microsoft.com/office/officeart/2008/layout/HorizontalMultiLevelHierarchy"/>
    <dgm:cxn modelId="{E9C3BF3F-6565-40E2-8A77-0BF55557041C}" type="presOf" srcId="{D3B04FB9-8154-4907-AA09-658281748424}" destId="{D62F41D9-8BF9-4968-9F76-67C93C225CCD}" srcOrd="0" destOrd="0" presId="urn:microsoft.com/office/officeart/2008/layout/HorizontalMultiLevelHierarchy"/>
    <dgm:cxn modelId="{01CE8785-EBB0-490D-A0A5-E2297A52995E}" type="presOf" srcId="{6166618B-765C-4AFF-93BD-7CEF29D3602B}" destId="{271CDDDD-0FF9-4D5B-B40A-DAAA7F241FE7}" srcOrd="1" destOrd="0" presId="urn:microsoft.com/office/officeart/2008/layout/HorizontalMultiLevelHierarchy"/>
    <dgm:cxn modelId="{82670527-096D-425C-8006-A7260D1E4715}" type="presOf" srcId="{719444D4-A401-4ACD-A8F1-CD28C0065289}" destId="{2D1A6344-23BA-4291-B6A3-6B3C340815F3}" srcOrd="1" destOrd="0" presId="urn:microsoft.com/office/officeart/2008/layout/HorizontalMultiLevelHierarchy"/>
    <dgm:cxn modelId="{B8638A6F-0109-4F10-9508-67052C6EA2EB}" type="presOf" srcId="{A71C42B7-57D3-424C-8C50-CB03D678D3AC}" destId="{9CB503DD-A5F3-42A9-94C0-E81E0EFFE036}" srcOrd="1" destOrd="0" presId="urn:microsoft.com/office/officeart/2008/layout/HorizontalMultiLevelHierarchy"/>
    <dgm:cxn modelId="{8126C75E-63B9-431E-9055-A253375647CA}" srcId="{3276B5FC-C14D-4FC0-9A26-C9F942352EAD}" destId="{8650CEA0-2679-4D5B-8C56-0EE0BDD81B41}" srcOrd="0" destOrd="0" parTransId="{D3B04FB9-8154-4907-AA09-658281748424}" sibTransId="{53E2F114-26C5-41CB-9F20-B18A27F67D4C}"/>
    <dgm:cxn modelId="{A496BAE4-19C5-4B98-BB49-4CCC5A442DA3}" type="presOf" srcId="{641566EA-3187-4081-87F8-45E63FFFF974}" destId="{37483373-16F8-4A42-8485-BDBA1819E101}" srcOrd="0" destOrd="0" presId="urn:microsoft.com/office/officeart/2008/layout/HorizontalMultiLevelHierarchy"/>
    <dgm:cxn modelId="{32955BAD-0AEB-4FBC-8D94-EE5AD2867D0F}" type="presOf" srcId="{A4F33EA4-AC6D-481C-A88A-2614995D6F43}" destId="{1C4A3BF6-6B90-49D3-BC4B-0FA205E4D4CC}" srcOrd="0" destOrd="0" presId="urn:microsoft.com/office/officeart/2008/layout/HorizontalMultiLevelHierarchy"/>
    <dgm:cxn modelId="{2D3FF6DC-FC62-45AA-86FE-EEC6310ADE0D}" type="presOf" srcId="{3C0A1FC3-D7A3-42D5-9871-2C766F2CE754}" destId="{3D017B4D-C3B6-43FF-A8FB-C5DB8DB6AF14}" srcOrd="1" destOrd="0" presId="urn:microsoft.com/office/officeart/2008/layout/HorizontalMultiLevelHierarchy"/>
    <dgm:cxn modelId="{1A86FD0D-0085-4059-942D-B176C1BB9800}" type="presOf" srcId="{A4F33EA4-AC6D-481C-A88A-2614995D6F43}" destId="{5C2C7F1E-D489-4715-B218-B484924D3BCF}" srcOrd="1" destOrd="0" presId="urn:microsoft.com/office/officeart/2008/layout/HorizontalMultiLevelHierarchy"/>
    <dgm:cxn modelId="{5407E999-AD09-407C-8F94-CFBC557FF214}" type="presOf" srcId="{B3E9D5CF-A676-45F9-92AD-09E0C8BDFD76}" destId="{D8C7A3DE-2B4E-4D4E-AA41-8A9E0A5ABA4E}" srcOrd="0" destOrd="0" presId="urn:microsoft.com/office/officeart/2008/layout/HorizontalMultiLevelHierarchy"/>
    <dgm:cxn modelId="{C4FDFF2B-B2CB-41A9-AC51-7CD5EF00DD2E}" type="presParOf" srcId="{41FF3088-A6A4-4D40-BE1D-25719165410D}" destId="{6FC198C4-3E86-401D-9B44-E6EF24E38C4D}" srcOrd="0" destOrd="0" presId="urn:microsoft.com/office/officeart/2008/layout/HorizontalMultiLevelHierarchy"/>
    <dgm:cxn modelId="{BF8EDBE0-E79E-4DDE-A5F9-9D7AE2182ECF}" type="presParOf" srcId="{6FC198C4-3E86-401D-9B44-E6EF24E38C4D}" destId="{192B3A68-772A-4238-A001-EAEBF53641BF}" srcOrd="0" destOrd="0" presId="urn:microsoft.com/office/officeart/2008/layout/HorizontalMultiLevelHierarchy"/>
    <dgm:cxn modelId="{022F3FFA-0B70-4341-8D95-173D845A99A1}" type="presParOf" srcId="{6FC198C4-3E86-401D-9B44-E6EF24E38C4D}" destId="{640032C4-79A6-42A8-AFCC-2A40F62A5345}" srcOrd="1" destOrd="0" presId="urn:microsoft.com/office/officeart/2008/layout/HorizontalMultiLevelHierarchy"/>
    <dgm:cxn modelId="{44EB4F76-FB15-49E4-B3E2-5C96F9D68B2B}" type="presParOf" srcId="{640032C4-79A6-42A8-AFCC-2A40F62A5345}" destId="{DA9711CB-104D-40D9-8035-E6487CA0FDDB}" srcOrd="0" destOrd="0" presId="urn:microsoft.com/office/officeart/2008/layout/HorizontalMultiLevelHierarchy"/>
    <dgm:cxn modelId="{0207E086-16E4-4C7E-8569-275AB4BDEB37}" type="presParOf" srcId="{DA9711CB-104D-40D9-8035-E6487CA0FDDB}" destId="{BF0E6EF9-D429-40AB-88D6-2BCDCE47527B}" srcOrd="0" destOrd="0" presId="urn:microsoft.com/office/officeart/2008/layout/HorizontalMultiLevelHierarchy"/>
    <dgm:cxn modelId="{410282D6-D778-4CA4-A7BC-890C92544FFA}" type="presParOf" srcId="{640032C4-79A6-42A8-AFCC-2A40F62A5345}" destId="{D456F41A-6D8B-446E-A144-B6344EDD38C5}" srcOrd="1" destOrd="0" presId="urn:microsoft.com/office/officeart/2008/layout/HorizontalMultiLevelHierarchy"/>
    <dgm:cxn modelId="{1C59E45B-5D2A-419E-9579-47979F17DA76}" type="presParOf" srcId="{D456F41A-6D8B-446E-A144-B6344EDD38C5}" destId="{2B40F5A8-89CC-474E-8AB0-177B1F10E279}" srcOrd="0" destOrd="0" presId="urn:microsoft.com/office/officeart/2008/layout/HorizontalMultiLevelHierarchy"/>
    <dgm:cxn modelId="{1A0656DA-6E5B-44EA-BEEE-67C122DBCA6A}" type="presParOf" srcId="{D456F41A-6D8B-446E-A144-B6344EDD38C5}" destId="{2C7BA1FF-3C9D-4FBC-97E2-E2FF01B5477B}" srcOrd="1" destOrd="0" presId="urn:microsoft.com/office/officeart/2008/layout/HorizontalMultiLevelHierarchy"/>
    <dgm:cxn modelId="{33E3FB9E-01AF-4338-A29D-418FE4913FDD}" type="presParOf" srcId="{2C7BA1FF-3C9D-4FBC-97E2-E2FF01B5477B}" destId="{D06C34C5-52D3-4D9D-9719-B50C67C6BBAE}" srcOrd="0" destOrd="0" presId="urn:microsoft.com/office/officeart/2008/layout/HorizontalMultiLevelHierarchy"/>
    <dgm:cxn modelId="{D85B47C8-3834-4A73-9B05-BA8434298581}" type="presParOf" srcId="{D06C34C5-52D3-4D9D-9719-B50C67C6BBAE}" destId="{FE28914E-A5A0-474D-B64E-B3A2EEBAF342}" srcOrd="0" destOrd="0" presId="urn:microsoft.com/office/officeart/2008/layout/HorizontalMultiLevelHierarchy"/>
    <dgm:cxn modelId="{D40AC20E-742F-48CA-BFCF-B56E670A4422}" type="presParOf" srcId="{2C7BA1FF-3C9D-4FBC-97E2-E2FF01B5477B}" destId="{1CB34E51-0E91-4377-A126-7C0450F59619}" srcOrd="1" destOrd="0" presId="urn:microsoft.com/office/officeart/2008/layout/HorizontalMultiLevelHierarchy"/>
    <dgm:cxn modelId="{9E959308-02A3-44F5-95EA-2FEE57C1886F}" type="presParOf" srcId="{1CB34E51-0E91-4377-A126-7C0450F59619}" destId="{66973B4C-FCA6-4B36-B13C-6CF0291D98EC}" srcOrd="0" destOrd="0" presId="urn:microsoft.com/office/officeart/2008/layout/HorizontalMultiLevelHierarchy"/>
    <dgm:cxn modelId="{DD81A7B1-ED82-4D89-B2BA-9FE0C9EDC37C}" type="presParOf" srcId="{1CB34E51-0E91-4377-A126-7C0450F59619}" destId="{9976603F-D14A-439E-9BAB-FE8E28B81432}" srcOrd="1" destOrd="0" presId="urn:microsoft.com/office/officeart/2008/layout/HorizontalMultiLevelHierarchy"/>
    <dgm:cxn modelId="{30CEC673-DEC0-4C75-B406-0C333BE90225}" type="presParOf" srcId="{640032C4-79A6-42A8-AFCC-2A40F62A5345}" destId="{A9D0C0F2-E79F-4A2F-BC30-36678B019F4C}" srcOrd="2" destOrd="0" presId="urn:microsoft.com/office/officeart/2008/layout/HorizontalMultiLevelHierarchy"/>
    <dgm:cxn modelId="{36F8C257-B0DD-4DFF-A2AF-C7D10E62994B}" type="presParOf" srcId="{A9D0C0F2-E79F-4A2F-BC30-36678B019F4C}" destId="{271CDDDD-0FF9-4D5B-B40A-DAAA7F241FE7}" srcOrd="0" destOrd="0" presId="urn:microsoft.com/office/officeart/2008/layout/HorizontalMultiLevelHierarchy"/>
    <dgm:cxn modelId="{626375A5-CF76-4343-8B98-C4695A8F5057}" type="presParOf" srcId="{640032C4-79A6-42A8-AFCC-2A40F62A5345}" destId="{E8E03B32-6290-4626-BD30-75A65A503507}" srcOrd="3" destOrd="0" presId="urn:microsoft.com/office/officeart/2008/layout/HorizontalMultiLevelHierarchy"/>
    <dgm:cxn modelId="{BD6CF170-694B-4F60-A4A0-74B2A780EBC4}" type="presParOf" srcId="{E8E03B32-6290-4626-BD30-75A65A503507}" destId="{70F1FA37-0D09-45DC-9567-F4F4F9D8053C}" srcOrd="0" destOrd="0" presId="urn:microsoft.com/office/officeart/2008/layout/HorizontalMultiLevelHierarchy"/>
    <dgm:cxn modelId="{3A5D4CD6-16E8-4744-BF13-967B7D0755B0}" type="presParOf" srcId="{E8E03B32-6290-4626-BD30-75A65A503507}" destId="{AA5DE20B-F325-48C3-8051-C0F9F0810B3E}" srcOrd="1" destOrd="0" presId="urn:microsoft.com/office/officeart/2008/layout/HorizontalMultiLevelHierarchy"/>
    <dgm:cxn modelId="{516095F9-4E57-4D1A-BBDB-E8EA074BCBDE}" type="presParOf" srcId="{AA5DE20B-F325-48C3-8051-C0F9F0810B3E}" destId="{1C4A3BF6-6B90-49D3-BC4B-0FA205E4D4CC}" srcOrd="0" destOrd="0" presId="urn:microsoft.com/office/officeart/2008/layout/HorizontalMultiLevelHierarchy"/>
    <dgm:cxn modelId="{F07DD4EE-DE6C-408F-B2C5-F8CA4CBC61D6}" type="presParOf" srcId="{1C4A3BF6-6B90-49D3-BC4B-0FA205E4D4CC}" destId="{5C2C7F1E-D489-4715-B218-B484924D3BCF}" srcOrd="0" destOrd="0" presId="urn:microsoft.com/office/officeart/2008/layout/HorizontalMultiLevelHierarchy"/>
    <dgm:cxn modelId="{204A1B09-AEF6-466E-A613-A23B7C196676}" type="presParOf" srcId="{AA5DE20B-F325-48C3-8051-C0F9F0810B3E}" destId="{A8D2AD2A-7B7B-472C-A672-E7CDC21AA187}" srcOrd="1" destOrd="0" presId="urn:microsoft.com/office/officeart/2008/layout/HorizontalMultiLevelHierarchy"/>
    <dgm:cxn modelId="{556C5731-01A1-48AB-A72B-E8266F09D1BF}" type="presParOf" srcId="{A8D2AD2A-7B7B-472C-A672-E7CDC21AA187}" destId="{3317B3D1-2166-47F1-A7E1-9E0D462207EF}" srcOrd="0" destOrd="0" presId="urn:microsoft.com/office/officeart/2008/layout/HorizontalMultiLevelHierarchy"/>
    <dgm:cxn modelId="{950BA082-0C4D-410B-A19E-E254D522BF6F}" type="presParOf" srcId="{A8D2AD2A-7B7B-472C-A672-E7CDC21AA187}" destId="{ADBAECA6-03CC-4398-B14D-11274AA4948D}" srcOrd="1" destOrd="0" presId="urn:microsoft.com/office/officeart/2008/layout/HorizontalMultiLevelHierarchy"/>
    <dgm:cxn modelId="{AFC66D26-9BB7-4235-AFEC-A32F511AEEDC}" type="presParOf" srcId="{640032C4-79A6-42A8-AFCC-2A40F62A5345}" destId="{8D7851DB-315A-4ABA-9663-ACEAEAC781C5}" srcOrd="4" destOrd="0" presId="urn:microsoft.com/office/officeart/2008/layout/HorizontalMultiLevelHierarchy"/>
    <dgm:cxn modelId="{40FB77F2-D3F8-4AD6-83DA-0035ACE6DBE7}" type="presParOf" srcId="{8D7851DB-315A-4ABA-9663-ACEAEAC781C5}" destId="{3D017B4D-C3B6-43FF-A8FB-C5DB8DB6AF14}" srcOrd="0" destOrd="0" presId="urn:microsoft.com/office/officeart/2008/layout/HorizontalMultiLevelHierarchy"/>
    <dgm:cxn modelId="{1F583FDC-9CDF-4191-83C9-7BBA0480C916}" type="presParOf" srcId="{640032C4-79A6-42A8-AFCC-2A40F62A5345}" destId="{634BD211-BB09-452E-8E07-E536250393DA}" srcOrd="5" destOrd="0" presId="urn:microsoft.com/office/officeart/2008/layout/HorizontalMultiLevelHierarchy"/>
    <dgm:cxn modelId="{9B7F1A30-5B43-4399-9B4C-ACDAD0A7D122}" type="presParOf" srcId="{634BD211-BB09-452E-8E07-E536250393DA}" destId="{49DE9207-3DAE-4078-A402-C17535EC96AF}" srcOrd="0" destOrd="0" presId="urn:microsoft.com/office/officeart/2008/layout/HorizontalMultiLevelHierarchy"/>
    <dgm:cxn modelId="{32F48CAD-7280-4B5A-A523-67FE6246C031}" type="presParOf" srcId="{634BD211-BB09-452E-8E07-E536250393DA}" destId="{7F4C2CB9-E7A3-4C83-8369-469F196E0D93}" srcOrd="1" destOrd="0" presId="urn:microsoft.com/office/officeart/2008/layout/HorizontalMultiLevelHierarchy"/>
    <dgm:cxn modelId="{28523482-8D8A-4225-8762-148C2DF33010}" type="presParOf" srcId="{7F4C2CB9-E7A3-4C83-8369-469F196E0D93}" destId="{5B9EFF9B-C3BF-4F9D-8B9D-07B464C38EF4}" srcOrd="0" destOrd="0" presId="urn:microsoft.com/office/officeart/2008/layout/HorizontalMultiLevelHierarchy"/>
    <dgm:cxn modelId="{3B34ECF5-E25A-4DF0-A1DD-1FE38A69AFE8}" type="presParOf" srcId="{5B9EFF9B-C3BF-4F9D-8B9D-07B464C38EF4}" destId="{9012B0BC-C04B-4CE0-8634-39C310A8E4CB}" srcOrd="0" destOrd="0" presId="urn:microsoft.com/office/officeart/2008/layout/HorizontalMultiLevelHierarchy"/>
    <dgm:cxn modelId="{D3F563AA-EE2A-47B2-89B5-770F663D5337}" type="presParOf" srcId="{7F4C2CB9-E7A3-4C83-8369-469F196E0D93}" destId="{783882B1-2152-4786-A317-CFBE95F1F229}" srcOrd="1" destOrd="0" presId="urn:microsoft.com/office/officeart/2008/layout/HorizontalMultiLevelHierarchy"/>
    <dgm:cxn modelId="{0A2FEDE0-30F1-4404-9ADF-03A9F01F7C3D}" type="presParOf" srcId="{783882B1-2152-4786-A317-CFBE95F1F229}" destId="{37483373-16F8-4A42-8485-BDBA1819E101}" srcOrd="0" destOrd="0" presId="urn:microsoft.com/office/officeart/2008/layout/HorizontalMultiLevelHierarchy"/>
    <dgm:cxn modelId="{E4BCB4D2-2BE9-4EDE-9A55-8C2621AEB0CF}" type="presParOf" srcId="{783882B1-2152-4786-A317-CFBE95F1F229}" destId="{DF81C32B-B2FD-4F41-89F1-24C9FD1EFA75}" srcOrd="1" destOrd="0" presId="urn:microsoft.com/office/officeart/2008/layout/HorizontalMultiLevelHierarchy"/>
    <dgm:cxn modelId="{19AFF9B4-00F2-4019-AAAF-EB84C2FD1819}" type="presParOf" srcId="{640032C4-79A6-42A8-AFCC-2A40F62A5345}" destId="{27137C1B-FDC3-4C95-9F5B-212E28B85CC1}" srcOrd="6" destOrd="0" presId="urn:microsoft.com/office/officeart/2008/layout/HorizontalMultiLevelHierarchy"/>
    <dgm:cxn modelId="{2DBB8C09-A854-4F6C-A930-8DB77711D1F1}" type="presParOf" srcId="{27137C1B-FDC3-4C95-9F5B-212E28B85CC1}" destId="{9CB503DD-A5F3-42A9-94C0-E81E0EFFE036}" srcOrd="0" destOrd="0" presId="urn:microsoft.com/office/officeart/2008/layout/HorizontalMultiLevelHierarchy"/>
    <dgm:cxn modelId="{6C507626-7F89-4B98-BEC0-E4791CDFC71E}" type="presParOf" srcId="{640032C4-79A6-42A8-AFCC-2A40F62A5345}" destId="{711D3109-D460-46F4-9CD1-C4B925EB4300}" srcOrd="7" destOrd="0" presId="urn:microsoft.com/office/officeart/2008/layout/HorizontalMultiLevelHierarchy"/>
    <dgm:cxn modelId="{2A0BA1DF-9696-43A1-B2ED-2B8F33890A17}" type="presParOf" srcId="{711D3109-D460-46F4-9CD1-C4B925EB4300}" destId="{F4F75EC2-201A-4F47-83FC-1FE2DFAC26CB}" srcOrd="0" destOrd="0" presId="urn:microsoft.com/office/officeart/2008/layout/HorizontalMultiLevelHierarchy"/>
    <dgm:cxn modelId="{692C9936-61B3-4337-9D2E-0E0D18F402A5}" type="presParOf" srcId="{711D3109-D460-46F4-9CD1-C4B925EB4300}" destId="{AE880DEA-F418-4E3A-9974-06D17CF52698}" srcOrd="1" destOrd="0" presId="urn:microsoft.com/office/officeart/2008/layout/HorizontalMultiLevelHierarchy"/>
    <dgm:cxn modelId="{27B96E16-CBA1-4108-96C7-4B8428B3A0B2}" type="presParOf" srcId="{AE880DEA-F418-4E3A-9974-06D17CF52698}" destId="{D62F41D9-8BF9-4968-9F76-67C93C225CCD}" srcOrd="0" destOrd="0" presId="urn:microsoft.com/office/officeart/2008/layout/HorizontalMultiLevelHierarchy"/>
    <dgm:cxn modelId="{5D0868E3-FF37-4149-96E0-3F5AA6AAC89D}" type="presParOf" srcId="{D62F41D9-8BF9-4968-9F76-67C93C225CCD}" destId="{97F1CF43-B6CF-46E3-82E4-1AD34B7CC540}" srcOrd="0" destOrd="0" presId="urn:microsoft.com/office/officeart/2008/layout/HorizontalMultiLevelHierarchy"/>
    <dgm:cxn modelId="{E8E0903B-AC71-45E6-877C-612D6FBAFDD7}" type="presParOf" srcId="{AE880DEA-F418-4E3A-9974-06D17CF52698}" destId="{769F7157-103D-4C26-A935-ECA465668380}" srcOrd="1" destOrd="0" presId="urn:microsoft.com/office/officeart/2008/layout/HorizontalMultiLevelHierarchy"/>
    <dgm:cxn modelId="{49F464C3-9D6D-4B91-9E24-2C9D47BB2117}" type="presParOf" srcId="{769F7157-103D-4C26-A935-ECA465668380}" destId="{4F904FF1-D731-4DB4-A3D8-3C38A9EFFBFC}" srcOrd="0" destOrd="0" presId="urn:microsoft.com/office/officeart/2008/layout/HorizontalMultiLevelHierarchy"/>
    <dgm:cxn modelId="{9E86594A-6AF1-41F8-80F2-78964A7BAB39}" type="presParOf" srcId="{769F7157-103D-4C26-A935-ECA465668380}" destId="{DE732E1D-DCED-4C57-9F04-990FEF2112E6}" srcOrd="1" destOrd="0" presId="urn:microsoft.com/office/officeart/2008/layout/HorizontalMultiLevelHierarchy"/>
    <dgm:cxn modelId="{674AE79D-1372-4A28-A060-A8B3A5F8BBA2}" type="presParOf" srcId="{640032C4-79A6-42A8-AFCC-2A40F62A5345}" destId="{EE5F1F23-9CEE-4277-A007-50DD2174B194}" srcOrd="8" destOrd="0" presId="urn:microsoft.com/office/officeart/2008/layout/HorizontalMultiLevelHierarchy"/>
    <dgm:cxn modelId="{257C18CE-9370-4DFD-8724-0169AFF3650C}" type="presParOf" srcId="{EE5F1F23-9CEE-4277-A007-50DD2174B194}" destId="{F86F8EA4-1AB1-4670-9BD3-B3D3F47387BC}" srcOrd="0" destOrd="0" presId="urn:microsoft.com/office/officeart/2008/layout/HorizontalMultiLevelHierarchy"/>
    <dgm:cxn modelId="{6D9DAA61-B20F-44B9-8ED0-D7343C6EAFE4}" type="presParOf" srcId="{640032C4-79A6-42A8-AFCC-2A40F62A5345}" destId="{89B4CC00-0FA3-432D-A609-CC4E5595C19E}" srcOrd="9" destOrd="0" presId="urn:microsoft.com/office/officeart/2008/layout/HorizontalMultiLevelHierarchy"/>
    <dgm:cxn modelId="{82CA0091-16F7-4041-9903-DADE0471D9BB}" type="presParOf" srcId="{89B4CC00-0FA3-432D-A609-CC4E5595C19E}" destId="{D8C7A3DE-2B4E-4D4E-AA41-8A9E0A5ABA4E}" srcOrd="0" destOrd="0" presId="urn:microsoft.com/office/officeart/2008/layout/HorizontalMultiLevelHierarchy"/>
    <dgm:cxn modelId="{6FD0E2B7-3D1C-4567-8148-9DA610530287}" type="presParOf" srcId="{89B4CC00-0FA3-432D-A609-CC4E5595C19E}" destId="{60D03C12-868B-4326-B0E0-C07E1B22E3F0}" srcOrd="1" destOrd="0" presId="urn:microsoft.com/office/officeart/2008/layout/HorizontalMultiLevelHierarchy"/>
    <dgm:cxn modelId="{95E5BB4D-8C19-4165-B01A-E64BED6AE015}" type="presParOf" srcId="{60D03C12-868B-4326-B0E0-C07E1B22E3F0}" destId="{8C8A75E8-1905-4A63-9996-25167BE4FBF8}" srcOrd="0" destOrd="0" presId="urn:microsoft.com/office/officeart/2008/layout/HorizontalMultiLevelHierarchy"/>
    <dgm:cxn modelId="{918F4CBC-536D-4D73-A4D4-A3498A097EF1}" type="presParOf" srcId="{8C8A75E8-1905-4A63-9996-25167BE4FBF8}" destId="{CFAE2D95-5844-4F61-81A3-7EB7AD2C7EFE}" srcOrd="0" destOrd="0" presId="urn:microsoft.com/office/officeart/2008/layout/HorizontalMultiLevelHierarchy"/>
    <dgm:cxn modelId="{07430FB5-6171-47FD-B6F3-703ABFEEF3F9}" type="presParOf" srcId="{60D03C12-868B-4326-B0E0-C07E1B22E3F0}" destId="{D6730B7C-0272-4E38-9B2E-B4C6F9054A33}" srcOrd="1" destOrd="0" presId="urn:microsoft.com/office/officeart/2008/layout/HorizontalMultiLevelHierarchy"/>
    <dgm:cxn modelId="{601F9683-8914-433C-85FD-EB307EB2571A}" type="presParOf" srcId="{D6730B7C-0272-4E38-9B2E-B4C6F9054A33}" destId="{F434CC84-8C5C-4B84-8F52-9CB659E41392}" srcOrd="0" destOrd="0" presId="urn:microsoft.com/office/officeart/2008/layout/HorizontalMultiLevelHierarchy"/>
    <dgm:cxn modelId="{6198C602-9404-44F0-B028-FAE5946B5D79}" type="presParOf" srcId="{D6730B7C-0272-4E38-9B2E-B4C6F9054A33}" destId="{05547288-6E8B-4DBA-96E1-FE209543F2F8}" srcOrd="1" destOrd="0" presId="urn:microsoft.com/office/officeart/2008/layout/HorizontalMultiLevelHierarchy"/>
    <dgm:cxn modelId="{46F5B10B-B6CE-47F6-882D-FF3E97B52D94}" type="presParOf" srcId="{60D03C12-868B-4326-B0E0-C07E1B22E3F0}" destId="{158EB111-C427-42BB-9222-6F4A8D83F0CC}" srcOrd="2" destOrd="0" presId="urn:microsoft.com/office/officeart/2008/layout/HorizontalMultiLevelHierarchy"/>
    <dgm:cxn modelId="{CD444292-1B5C-4BA3-BB09-925CE85B0587}" type="presParOf" srcId="{158EB111-C427-42BB-9222-6F4A8D83F0CC}" destId="{2D1A6344-23BA-4291-B6A3-6B3C340815F3}" srcOrd="0" destOrd="0" presId="urn:microsoft.com/office/officeart/2008/layout/HorizontalMultiLevelHierarchy"/>
    <dgm:cxn modelId="{18474B56-2674-4A49-8411-2D0F299EE893}" type="presParOf" srcId="{60D03C12-868B-4326-B0E0-C07E1B22E3F0}" destId="{1C545D32-AC98-4B9F-A0B1-7F48D015810C}" srcOrd="3" destOrd="0" presId="urn:microsoft.com/office/officeart/2008/layout/HorizontalMultiLevelHierarchy"/>
    <dgm:cxn modelId="{C1E66D7E-C046-4C12-96AF-FFA354725A20}" type="presParOf" srcId="{1C545D32-AC98-4B9F-A0B1-7F48D015810C}" destId="{FE3AB56C-989B-4E7E-A05D-323D2FC01671}" srcOrd="0" destOrd="0" presId="urn:microsoft.com/office/officeart/2008/layout/HorizontalMultiLevelHierarchy"/>
    <dgm:cxn modelId="{93CA64D6-8193-4920-B7C6-E8AD516B9C29}" type="presParOf" srcId="{1C545D32-AC98-4B9F-A0B1-7F48D015810C}" destId="{FF054AAC-2A78-4FB4-8D24-E261EA5E0A15}" srcOrd="1" destOrd="0" presId="urn:microsoft.com/office/officeart/2008/layout/HorizontalMultiLevelHierarchy"/>
    <dgm:cxn modelId="{6545D007-BB61-4BA4-BB80-1E2BAA1FC258}" type="presParOf" srcId="{60D03C12-868B-4326-B0E0-C07E1B22E3F0}" destId="{B224955C-1DC3-4915-A6B8-FFAB9A5BAC7D}" srcOrd="4" destOrd="0" presId="urn:microsoft.com/office/officeart/2008/layout/HorizontalMultiLevelHierarchy"/>
    <dgm:cxn modelId="{A393D45C-53E1-42D2-B78F-AE42D97F9509}" type="presParOf" srcId="{B224955C-1DC3-4915-A6B8-FFAB9A5BAC7D}" destId="{B4967455-B29B-4259-AC03-D48A6051D7FB}" srcOrd="0" destOrd="0" presId="urn:microsoft.com/office/officeart/2008/layout/HorizontalMultiLevelHierarchy"/>
    <dgm:cxn modelId="{C7753FAD-ED1D-424F-AD4B-32FD32A81C80}" type="presParOf" srcId="{60D03C12-868B-4326-B0E0-C07E1B22E3F0}" destId="{CAF33340-9C97-415D-BDA9-2D9D314FE2B9}" srcOrd="5" destOrd="0" presId="urn:microsoft.com/office/officeart/2008/layout/HorizontalMultiLevelHierarchy"/>
    <dgm:cxn modelId="{DB6F0D2F-426B-48B8-B166-BCFE719FA98D}" type="presParOf" srcId="{CAF33340-9C97-415D-BDA9-2D9D314FE2B9}" destId="{48FAEF69-B48F-4D32-87D1-1FDE429AB6A2}" srcOrd="0" destOrd="0" presId="urn:microsoft.com/office/officeart/2008/layout/HorizontalMultiLevelHierarchy"/>
    <dgm:cxn modelId="{DE5CB787-8978-4344-950F-168C31129C37}" type="presParOf" srcId="{CAF33340-9C97-415D-BDA9-2D9D314FE2B9}" destId="{DD0039E2-991A-4316-BA29-52F3A9273F2E}" srcOrd="1" destOrd="0" presId="urn:microsoft.com/office/officeart/2008/layout/HorizontalMultiLevelHierarchy"/>
    <dgm:cxn modelId="{F50128C1-ED61-485D-84ED-B8A5C3B1CB2A}" type="presParOf" srcId="{60D03C12-868B-4326-B0E0-C07E1B22E3F0}" destId="{5FD5EE15-7F36-4203-A4ED-8286FB44CF15}" srcOrd="6" destOrd="0" presId="urn:microsoft.com/office/officeart/2008/layout/HorizontalMultiLevelHierarchy"/>
    <dgm:cxn modelId="{267F0F6E-6E48-4472-952E-3D08CDEC55D0}" type="presParOf" srcId="{5FD5EE15-7F36-4203-A4ED-8286FB44CF15}" destId="{1114851F-381A-478B-97E3-38747261056D}" srcOrd="0" destOrd="0" presId="urn:microsoft.com/office/officeart/2008/layout/HorizontalMultiLevelHierarchy"/>
    <dgm:cxn modelId="{21B824C4-05CB-4F5C-9049-9006DD81FB66}" type="presParOf" srcId="{60D03C12-868B-4326-B0E0-C07E1B22E3F0}" destId="{9A12456F-903B-49D7-B7DF-E8065352517A}" srcOrd="7" destOrd="0" presId="urn:microsoft.com/office/officeart/2008/layout/HorizontalMultiLevelHierarchy"/>
    <dgm:cxn modelId="{DA00C0D1-9FEC-4C7E-8544-1FD55BA33A2D}" type="presParOf" srcId="{9A12456F-903B-49D7-B7DF-E8065352517A}" destId="{69933B89-4EF2-488F-BDE1-64B1879B1A88}" srcOrd="0" destOrd="0" presId="urn:microsoft.com/office/officeart/2008/layout/HorizontalMultiLevelHierarchy"/>
    <dgm:cxn modelId="{E6090C11-7406-4A47-8785-8975EE50D0A7}" type="presParOf" srcId="{9A12456F-903B-49D7-B7DF-E8065352517A}" destId="{0112FBEE-123F-435F-A60B-79DEC26817B8}" srcOrd="1" destOrd="0" presId="urn:microsoft.com/office/officeart/2008/layout/HorizontalMultiLevelHierarchy"/>
  </dgm:cxnLst>
  <dgm:bg/>
  <dgm:whole/>
  <dgm:extLst>
    <a:ext uri="http://schemas.microsoft.com/office/drawing/2008/diagram">
      <dsp:dataModelExt xmlns:dsp="http://schemas.microsoft.com/office/drawing/2008/diagram" relId="rId6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5A6D0D-CBCC-4004-8BFD-772FF8346BC7}">
      <dsp:nvSpPr>
        <dsp:cNvPr id="0" name=""/>
        <dsp:cNvSpPr/>
      </dsp:nvSpPr>
      <dsp:spPr>
        <a:xfrm>
          <a:off x="2935206" y="1267972"/>
          <a:ext cx="547974" cy="253613"/>
        </a:xfrm>
        <a:custGeom>
          <a:avLst/>
          <a:gdLst/>
          <a:ahLst/>
          <a:cxnLst/>
          <a:rect l="0" t="0" r="0" b="0"/>
          <a:pathLst>
            <a:path>
              <a:moveTo>
                <a:pt x="547974" y="0"/>
              </a:moveTo>
              <a:lnTo>
                <a:pt x="105412" y="0"/>
              </a:lnTo>
              <a:lnTo>
                <a:pt x="105412" y="253613"/>
              </a:lnTo>
              <a:lnTo>
                <a:pt x="0" y="253613"/>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EB98207-970B-4EC6-81BE-EABB89F5FBC0}">
      <dsp:nvSpPr>
        <dsp:cNvPr id="0" name=""/>
        <dsp:cNvSpPr/>
      </dsp:nvSpPr>
      <dsp:spPr>
        <a:xfrm>
          <a:off x="2935206" y="1068314"/>
          <a:ext cx="547974" cy="199658"/>
        </a:xfrm>
        <a:custGeom>
          <a:avLst/>
          <a:gdLst/>
          <a:ahLst/>
          <a:cxnLst/>
          <a:rect l="0" t="0" r="0" b="0"/>
          <a:pathLst>
            <a:path>
              <a:moveTo>
                <a:pt x="547974" y="199658"/>
              </a:moveTo>
              <a:lnTo>
                <a:pt x="105412" y="199658"/>
              </a:lnTo>
              <a:lnTo>
                <a:pt x="105412" y="0"/>
              </a:lnTo>
              <a:lnTo>
                <a:pt x="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1588344-7617-44DC-9180-6A15276930A7}">
      <dsp:nvSpPr>
        <dsp:cNvPr id="0" name=""/>
        <dsp:cNvSpPr/>
      </dsp:nvSpPr>
      <dsp:spPr>
        <a:xfrm>
          <a:off x="2935206" y="382838"/>
          <a:ext cx="547974" cy="232204"/>
        </a:xfrm>
        <a:custGeom>
          <a:avLst/>
          <a:gdLst/>
          <a:ahLst/>
          <a:cxnLst/>
          <a:rect l="0" t="0" r="0" b="0"/>
          <a:pathLst>
            <a:path>
              <a:moveTo>
                <a:pt x="547974" y="0"/>
              </a:moveTo>
              <a:lnTo>
                <a:pt x="105412" y="0"/>
              </a:lnTo>
              <a:lnTo>
                <a:pt x="105412" y="232204"/>
              </a:lnTo>
              <a:lnTo>
                <a:pt x="0" y="23220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19D1DC1-37F2-4818-8F7F-2A25638BC37B}">
      <dsp:nvSpPr>
        <dsp:cNvPr id="0" name=""/>
        <dsp:cNvSpPr/>
      </dsp:nvSpPr>
      <dsp:spPr>
        <a:xfrm>
          <a:off x="2935206" y="161770"/>
          <a:ext cx="547974" cy="221067"/>
        </a:xfrm>
        <a:custGeom>
          <a:avLst/>
          <a:gdLst/>
          <a:ahLst/>
          <a:cxnLst/>
          <a:rect l="0" t="0" r="0" b="0"/>
          <a:pathLst>
            <a:path>
              <a:moveTo>
                <a:pt x="547974" y="221067"/>
              </a:moveTo>
              <a:lnTo>
                <a:pt x="105412" y="221067"/>
              </a:lnTo>
              <a:lnTo>
                <a:pt x="105412" y="0"/>
              </a:lnTo>
              <a:lnTo>
                <a:pt x="0"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14FFCED-0B60-4D40-B290-334FD3C3473F}">
      <dsp:nvSpPr>
        <dsp:cNvPr id="0" name=""/>
        <dsp:cNvSpPr/>
      </dsp:nvSpPr>
      <dsp:spPr>
        <a:xfrm>
          <a:off x="3483181" y="222084"/>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dirty="0">
              <a:solidFill>
                <a:sysClr val="windowText" lastClr="000000"/>
              </a:solidFill>
              <a:latin typeface="Calibri"/>
              <a:ea typeface="+mn-ea"/>
              <a:cs typeface="+mn-cs"/>
            </a:rPr>
            <a:t>Broadband Availability</a:t>
          </a:r>
          <a:endParaRPr lang="en-AU" sz="1050" kern="1200">
            <a:solidFill>
              <a:sysClr val="window" lastClr="FFFFFF"/>
            </a:solidFill>
            <a:latin typeface="Cambria"/>
            <a:ea typeface="+mn-ea"/>
            <a:cs typeface="+mn-cs"/>
          </a:endParaRPr>
        </a:p>
      </dsp:txBody>
      <dsp:txXfrm>
        <a:off x="3483181" y="222084"/>
        <a:ext cx="1054120" cy="321506"/>
      </dsp:txXfrm>
    </dsp:sp>
    <dsp:sp modelId="{ADA76BF6-0FEC-405C-A0AC-39EEB0F801BF}">
      <dsp:nvSpPr>
        <dsp:cNvPr id="0" name=""/>
        <dsp:cNvSpPr/>
      </dsp:nvSpPr>
      <dsp:spPr>
        <a:xfrm>
          <a:off x="1881086" y="1017"/>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dirty="0">
              <a:solidFill>
                <a:sysClr val="windowText" lastClr="000000"/>
              </a:solidFill>
              <a:latin typeface="Calibri"/>
              <a:ea typeface="+mn-ea"/>
              <a:cs typeface="+mn-cs"/>
            </a:rPr>
            <a:t>Network Coverage</a:t>
          </a:r>
        </a:p>
      </dsp:txBody>
      <dsp:txXfrm>
        <a:off x="1881086" y="1017"/>
        <a:ext cx="1054120" cy="321506"/>
      </dsp:txXfrm>
    </dsp:sp>
    <dsp:sp modelId="{98F91F1B-615D-4370-B5C5-B362676D5DFE}">
      <dsp:nvSpPr>
        <dsp:cNvPr id="0" name=""/>
        <dsp:cNvSpPr/>
      </dsp:nvSpPr>
      <dsp:spPr>
        <a:xfrm>
          <a:off x="1881086" y="454289"/>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dirty="0">
              <a:solidFill>
                <a:sysClr val="windowText" lastClr="000000"/>
              </a:solidFill>
              <a:latin typeface="Calibri"/>
              <a:ea typeface="+mn-ea"/>
              <a:cs typeface="+mn-cs"/>
            </a:rPr>
            <a:t>Impediments</a:t>
          </a:r>
        </a:p>
      </dsp:txBody>
      <dsp:txXfrm>
        <a:off x="1881086" y="454289"/>
        <a:ext cx="1054120" cy="321506"/>
      </dsp:txXfrm>
    </dsp:sp>
    <dsp:sp modelId="{740217C9-F257-45EC-BAE2-7E179D123247}">
      <dsp:nvSpPr>
        <dsp:cNvPr id="0" name=""/>
        <dsp:cNvSpPr/>
      </dsp:nvSpPr>
      <dsp:spPr>
        <a:xfrm>
          <a:off x="3483181" y="1107219"/>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dirty="0">
              <a:solidFill>
                <a:sysClr val="windowText" lastClr="000000"/>
              </a:solidFill>
              <a:latin typeface="Calibri"/>
              <a:ea typeface="+mn-ea"/>
              <a:cs typeface="+mn-cs"/>
            </a:rPr>
            <a:t>Broadband Quality</a:t>
          </a:r>
        </a:p>
      </dsp:txBody>
      <dsp:txXfrm>
        <a:off x="3483181" y="1107219"/>
        <a:ext cx="1054120" cy="321506"/>
      </dsp:txXfrm>
    </dsp:sp>
    <dsp:sp modelId="{37F35212-2968-40DE-B6C2-A74011D3B3DD}">
      <dsp:nvSpPr>
        <dsp:cNvPr id="0" name=""/>
        <dsp:cNvSpPr/>
      </dsp:nvSpPr>
      <dsp:spPr>
        <a:xfrm>
          <a:off x="1881086" y="907561"/>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dirty="0">
              <a:solidFill>
                <a:sysClr val="windowText" lastClr="000000"/>
              </a:solidFill>
              <a:latin typeface="Calibri"/>
              <a:ea typeface="+mn-ea"/>
              <a:cs typeface="+mn-cs"/>
            </a:rPr>
            <a:t>Network Coverage</a:t>
          </a:r>
        </a:p>
      </dsp:txBody>
      <dsp:txXfrm>
        <a:off x="1881086" y="907561"/>
        <a:ext cx="1054120" cy="321506"/>
      </dsp:txXfrm>
    </dsp:sp>
    <dsp:sp modelId="{E63C9822-2105-4C41-BDEA-EC1D1E6FFF2E}">
      <dsp:nvSpPr>
        <dsp:cNvPr id="0" name=""/>
        <dsp:cNvSpPr/>
      </dsp:nvSpPr>
      <dsp:spPr>
        <a:xfrm>
          <a:off x="1881086" y="1360833"/>
          <a:ext cx="1054120" cy="321506"/>
        </a:xfrm>
        <a:prstGeom prst="rect">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w="25400" cap="flat" cmpd="sng" algn="ctr">
          <a:no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dirty="0">
              <a:solidFill>
                <a:sysClr val="windowText" lastClr="000000"/>
              </a:solidFill>
              <a:latin typeface="Calibri"/>
              <a:ea typeface="+mn-ea"/>
              <a:cs typeface="+mn-cs"/>
            </a:rPr>
            <a:t>Performance impediments</a:t>
          </a:r>
        </a:p>
      </dsp:txBody>
      <dsp:txXfrm>
        <a:off x="1881086" y="1360833"/>
        <a:ext cx="1054120" cy="3215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56B748-C5D0-4923-8331-8E515F659009}">
      <dsp:nvSpPr>
        <dsp:cNvPr id="0" name=""/>
        <dsp:cNvSpPr/>
      </dsp:nvSpPr>
      <dsp:spPr>
        <a:xfrm>
          <a:off x="2838284" y="2743803"/>
          <a:ext cx="364496" cy="859562"/>
        </a:xfrm>
        <a:custGeom>
          <a:avLst/>
          <a:gdLst/>
          <a:ahLst/>
          <a:cxnLst/>
          <a:rect l="0" t="0" r="0" b="0"/>
          <a:pathLst>
            <a:path>
              <a:moveTo>
                <a:pt x="0" y="0"/>
              </a:moveTo>
              <a:lnTo>
                <a:pt x="182248" y="0"/>
              </a:lnTo>
              <a:lnTo>
                <a:pt x="182248" y="859562"/>
              </a:lnTo>
              <a:lnTo>
                <a:pt x="364496" y="859562"/>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b="0" kern="1200"/>
        </a:p>
      </dsp:txBody>
      <dsp:txXfrm>
        <a:off x="2997190" y="3150243"/>
        <a:ext cx="46682" cy="46682"/>
      </dsp:txXfrm>
    </dsp:sp>
    <dsp:sp modelId="{4B416D02-FA76-4C63-A828-71EBE0F91F4C}">
      <dsp:nvSpPr>
        <dsp:cNvPr id="0" name=""/>
        <dsp:cNvSpPr/>
      </dsp:nvSpPr>
      <dsp:spPr>
        <a:xfrm>
          <a:off x="2838284" y="2743803"/>
          <a:ext cx="364496" cy="431016"/>
        </a:xfrm>
        <a:custGeom>
          <a:avLst/>
          <a:gdLst/>
          <a:ahLst/>
          <a:cxnLst/>
          <a:rect l="0" t="0" r="0" b="0"/>
          <a:pathLst>
            <a:path>
              <a:moveTo>
                <a:pt x="0" y="0"/>
              </a:moveTo>
              <a:lnTo>
                <a:pt x="182248" y="0"/>
              </a:lnTo>
              <a:lnTo>
                <a:pt x="182248" y="431016"/>
              </a:lnTo>
              <a:lnTo>
                <a:pt x="364496" y="43101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b="0" kern="1200"/>
        </a:p>
      </dsp:txBody>
      <dsp:txXfrm>
        <a:off x="3006420" y="2945199"/>
        <a:ext cx="28223" cy="28223"/>
      </dsp:txXfrm>
    </dsp:sp>
    <dsp:sp modelId="{366D882F-4B94-47AB-9BAD-903240148535}">
      <dsp:nvSpPr>
        <dsp:cNvPr id="0" name=""/>
        <dsp:cNvSpPr/>
      </dsp:nvSpPr>
      <dsp:spPr>
        <a:xfrm>
          <a:off x="2838284" y="2698083"/>
          <a:ext cx="364496" cy="91440"/>
        </a:xfrm>
        <a:custGeom>
          <a:avLst/>
          <a:gdLst/>
          <a:ahLst/>
          <a:cxnLst/>
          <a:rect l="0" t="0" r="0" b="0"/>
          <a:pathLst>
            <a:path>
              <a:moveTo>
                <a:pt x="0" y="45720"/>
              </a:moveTo>
              <a:lnTo>
                <a:pt x="182248" y="45720"/>
              </a:lnTo>
              <a:lnTo>
                <a:pt x="182248" y="48191"/>
              </a:lnTo>
              <a:lnTo>
                <a:pt x="364496" y="48191"/>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b="0" kern="1200"/>
        </a:p>
      </dsp:txBody>
      <dsp:txXfrm>
        <a:off x="3011419" y="2734690"/>
        <a:ext cx="18225" cy="18225"/>
      </dsp:txXfrm>
    </dsp:sp>
    <dsp:sp modelId="{E95DFC25-51EE-4F76-99BF-C9535EF3065A}">
      <dsp:nvSpPr>
        <dsp:cNvPr id="0" name=""/>
        <dsp:cNvSpPr/>
      </dsp:nvSpPr>
      <dsp:spPr>
        <a:xfrm>
          <a:off x="2838284" y="2317730"/>
          <a:ext cx="364496" cy="426073"/>
        </a:xfrm>
        <a:custGeom>
          <a:avLst/>
          <a:gdLst/>
          <a:ahLst/>
          <a:cxnLst/>
          <a:rect l="0" t="0" r="0" b="0"/>
          <a:pathLst>
            <a:path>
              <a:moveTo>
                <a:pt x="0" y="426073"/>
              </a:moveTo>
              <a:lnTo>
                <a:pt x="182248" y="426073"/>
              </a:lnTo>
              <a:lnTo>
                <a:pt x="182248" y="0"/>
              </a:lnTo>
              <a:lnTo>
                <a:pt x="364496" y="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b="0" kern="1200"/>
        </a:p>
      </dsp:txBody>
      <dsp:txXfrm>
        <a:off x="3006514" y="2516748"/>
        <a:ext cx="28035" cy="28035"/>
      </dsp:txXfrm>
    </dsp:sp>
    <dsp:sp modelId="{1D637A6E-641B-4C36-8977-5EF446588A3F}">
      <dsp:nvSpPr>
        <dsp:cNvPr id="0" name=""/>
        <dsp:cNvSpPr/>
      </dsp:nvSpPr>
      <dsp:spPr>
        <a:xfrm>
          <a:off x="2838284" y="1889184"/>
          <a:ext cx="364496" cy="854618"/>
        </a:xfrm>
        <a:custGeom>
          <a:avLst/>
          <a:gdLst/>
          <a:ahLst/>
          <a:cxnLst/>
          <a:rect l="0" t="0" r="0" b="0"/>
          <a:pathLst>
            <a:path>
              <a:moveTo>
                <a:pt x="0" y="854618"/>
              </a:moveTo>
              <a:lnTo>
                <a:pt x="182248" y="854618"/>
              </a:lnTo>
              <a:lnTo>
                <a:pt x="182248" y="0"/>
              </a:lnTo>
              <a:lnTo>
                <a:pt x="364496" y="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b="0" kern="1200"/>
        </a:p>
      </dsp:txBody>
      <dsp:txXfrm>
        <a:off x="2997304" y="2293266"/>
        <a:ext cx="46455" cy="46455"/>
      </dsp:txXfrm>
    </dsp:sp>
    <dsp:sp modelId="{632C59AC-74DD-4ECC-B260-090E7BD46C6C}">
      <dsp:nvSpPr>
        <dsp:cNvPr id="0" name=""/>
        <dsp:cNvSpPr/>
      </dsp:nvSpPr>
      <dsp:spPr>
        <a:xfrm>
          <a:off x="1171987" y="1441008"/>
          <a:ext cx="541794" cy="1302795"/>
        </a:xfrm>
        <a:custGeom>
          <a:avLst/>
          <a:gdLst/>
          <a:ahLst/>
          <a:cxnLst/>
          <a:rect l="0" t="0" r="0" b="0"/>
          <a:pathLst>
            <a:path>
              <a:moveTo>
                <a:pt x="0" y="0"/>
              </a:moveTo>
              <a:lnTo>
                <a:pt x="270897" y="0"/>
              </a:lnTo>
              <a:lnTo>
                <a:pt x="270897" y="1302795"/>
              </a:lnTo>
              <a:lnTo>
                <a:pt x="541794" y="1302795"/>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b="0" kern="1200"/>
        </a:p>
      </dsp:txBody>
      <dsp:txXfrm>
        <a:off x="1407610" y="2057131"/>
        <a:ext cx="70548" cy="70548"/>
      </dsp:txXfrm>
    </dsp:sp>
    <dsp:sp modelId="{4E5D0EA5-FD1E-436F-8E37-C9C73F436FAA}">
      <dsp:nvSpPr>
        <dsp:cNvPr id="0" name=""/>
        <dsp:cNvSpPr/>
      </dsp:nvSpPr>
      <dsp:spPr>
        <a:xfrm>
          <a:off x="2838284" y="1414919"/>
          <a:ext cx="364496" cy="91440"/>
        </a:xfrm>
        <a:custGeom>
          <a:avLst/>
          <a:gdLst/>
          <a:ahLst/>
          <a:cxnLst/>
          <a:rect l="0" t="0" r="0" b="0"/>
          <a:pathLst>
            <a:path>
              <a:moveTo>
                <a:pt x="0" y="72080"/>
              </a:moveTo>
              <a:lnTo>
                <a:pt x="182248" y="72080"/>
              </a:lnTo>
              <a:lnTo>
                <a:pt x="182248" y="45720"/>
              </a:lnTo>
              <a:lnTo>
                <a:pt x="364496" y="4572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011395" y="1451503"/>
        <a:ext cx="18272" cy="18272"/>
      </dsp:txXfrm>
    </dsp:sp>
    <dsp:sp modelId="{6FBA22D8-EE7C-4811-9407-38001CD8E7FF}">
      <dsp:nvSpPr>
        <dsp:cNvPr id="0" name=""/>
        <dsp:cNvSpPr/>
      </dsp:nvSpPr>
      <dsp:spPr>
        <a:xfrm>
          <a:off x="1171987" y="1395288"/>
          <a:ext cx="541794" cy="91440"/>
        </a:xfrm>
        <a:custGeom>
          <a:avLst/>
          <a:gdLst/>
          <a:ahLst/>
          <a:cxnLst/>
          <a:rect l="0" t="0" r="0" b="0"/>
          <a:pathLst>
            <a:path>
              <a:moveTo>
                <a:pt x="0" y="45720"/>
              </a:moveTo>
              <a:lnTo>
                <a:pt x="270897" y="45720"/>
              </a:lnTo>
              <a:lnTo>
                <a:pt x="270897" y="91712"/>
              </a:lnTo>
              <a:lnTo>
                <a:pt x="541794" y="91712"/>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429291" y="1427414"/>
        <a:ext cx="27187" cy="27187"/>
      </dsp:txXfrm>
    </dsp:sp>
    <dsp:sp modelId="{A024FE21-538B-4C87-B8AD-86B048BE6049}">
      <dsp:nvSpPr>
        <dsp:cNvPr id="0" name=""/>
        <dsp:cNvSpPr/>
      </dsp:nvSpPr>
      <dsp:spPr>
        <a:xfrm>
          <a:off x="2838284" y="984249"/>
          <a:ext cx="364496" cy="91440"/>
        </a:xfrm>
        <a:custGeom>
          <a:avLst/>
          <a:gdLst/>
          <a:ahLst/>
          <a:cxnLst/>
          <a:rect l="0" t="0" r="0" b="0"/>
          <a:pathLst>
            <a:path>
              <a:moveTo>
                <a:pt x="0" y="45720"/>
              </a:moveTo>
              <a:lnTo>
                <a:pt x="182248" y="45720"/>
              </a:lnTo>
              <a:lnTo>
                <a:pt x="182248" y="47845"/>
              </a:lnTo>
              <a:lnTo>
                <a:pt x="364496" y="4784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011419" y="1020856"/>
        <a:ext cx="18225" cy="18225"/>
      </dsp:txXfrm>
    </dsp:sp>
    <dsp:sp modelId="{5AEFE16E-F078-4348-A441-129ADA9545F5}">
      <dsp:nvSpPr>
        <dsp:cNvPr id="0" name=""/>
        <dsp:cNvSpPr/>
      </dsp:nvSpPr>
      <dsp:spPr>
        <a:xfrm>
          <a:off x="1171987" y="1029969"/>
          <a:ext cx="541794" cy="411038"/>
        </a:xfrm>
        <a:custGeom>
          <a:avLst/>
          <a:gdLst/>
          <a:ahLst/>
          <a:cxnLst/>
          <a:rect l="0" t="0" r="0" b="0"/>
          <a:pathLst>
            <a:path>
              <a:moveTo>
                <a:pt x="0" y="411038"/>
              </a:moveTo>
              <a:lnTo>
                <a:pt x="270897" y="411038"/>
              </a:lnTo>
              <a:lnTo>
                <a:pt x="270897" y="0"/>
              </a:lnTo>
              <a:lnTo>
                <a:pt x="541794"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425882" y="1218486"/>
        <a:ext cx="34003" cy="34003"/>
      </dsp:txXfrm>
    </dsp:sp>
    <dsp:sp modelId="{EF2601E0-F44C-42C5-B410-354038722C26}">
      <dsp:nvSpPr>
        <dsp:cNvPr id="0" name=""/>
        <dsp:cNvSpPr/>
      </dsp:nvSpPr>
      <dsp:spPr>
        <a:xfrm>
          <a:off x="2838284" y="527214"/>
          <a:ext cx="364496" cy="91440"/>
        </a:xfrm>
        <a:custGeom>
          <a:avLst/>
          <a:gdLst/>
          <a:ahLst/>
          <a:cxnLst/>
          <a:rect l="0" t="0" r="0" b="0"/>
          <a:pathLst>
            <a:path>
              <a:moveTo>
                <a:pt x="0" y="45720"/>
              </a:moveTo>
              <a:lnTo>
                <a:pt x="182248" y="45720"/>
              </a:lnTo>
              <a:lnTo>
                <a:pt x="182248" y="76335"/>
              </a:lnTo>
              <a:lnTo>
                <a:pt x="364496" y="7633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b="0" kern="1200"/>
        </a:p>
      </dsp:txBody>
      <dsp:txXfrm>
        <a:off x="3011387" y="563790"/>
        <a:ext cx="18288" cy="18288"/>
      </dsp:txXfrm>
    </dsp:sp>
    <dsp:sp modelId="{D444994F-4931-4B3E-8BC4-3F380317B39A}">
      <dsp:nvSpPr>
        <dsp:cNvPr id="0" name=""/>
        <dsp:cNvSpPr/>
      </dsp:nvSpPr>
      <dsp:spPr>
        <a:xfrm>
          <a:off x="1171987" y="572934"/>
          <a:ext cx="541794" cy="868073"/>
        </a:xfrm>
        <a:custGeom>
          <a:avLst/>
          <a:gdLst/>
          <a:ahLst/>
          <a:cxnLst/>
          <a:rect l="0" t="0" r="0" b="0"/>
          <a:pathLst>
            <a:path>
              <a:moveTo>
                <a:pt x="0" y="868073"/>
              </a:moveTo>
              <a:lnTo>
                <a:pt x="270897" y="868073"/>
              </a:lnTo>
              <a:lnTo>
                <a:pt x="270897" y="0"/>
              </a:lnTo>
              <a:lnTo>
                <a:pt x="541794"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b="0" kern="1200"/>
        </a:p>
      </dsp:txBody>
      <dsp:txXfrm>
        <a:off x="1417302" y="981389"/>
        <a:ext cx="51163" cy="51163"/>
      </dsp:txXfrm>
    </dsp:sp>
    <dsp:sp modelId="{51725F1F-5C34-4852-A523-C78AE92409FF}">
      <dsp:nvSpPr>
        <dsp:cNvPr id="0" name=""/>
        <dsp:cNvSpPr/>
      </dsp:nvSpPr>
      <dsp:spPr>
        <a:xfrm>
          <a:off x="2838284" y="125698"/>
          <a:ext cx="364496" cy="91440"/>
        </a:xfrm>
        <a:custGeom>
          <a:avLst/>
          <a:gdLst/>
          <a:ahLst/>
          <a:cxnLst/>
          <a:rect l="0" t="0" r="0" b="0"/>
          <a:pathLst>
            <a:path>
              <a:moveTo>
                <a:pt x="0" y="45720"/>
              </a:moveTo>
              <a:lnTo>
                <a:pt x="182248" y="45720"/>
              </a:lnTo>
              <a:lnTo>
                <a:pt x="182248" y="49306"/>
              </a:lnTo>
              <a:lnTo>
                <a:pt x="364496" y="4930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b="0" kern="1200"/>
        </a:p>
      </dsp:txBody>
      <dsp:txXfrm>
        <a:off x="3011419" y="162305"/>
        <a:ext cx="18225" cy="18225"/>
      </dsp:txXfrm>
    </dsp:sp>
    <dsp:sp modelId="{B07A0852-961C-47E1-9438-75CA8AAFF52F}">
      <dsp:nvSpPr>
        <dsp:cNvPr id="0" name=""/>
        <dsp:cNvSpPr/>
      </dsp:nvSpPr>
      <dsp:spPr>
        <a:xfrm>
          <a:off x="1171987" y="171418"/>
          <a:ext cx="541794" cy="1269589"/>
        </a:xfrm>
        <a:custGeom>
          <a:avLst/>
          <a:gdLst/>
          <a:ahLst/>
          <a:cxnLst/>
          <a:rect l="0" t="0" r="0" b="0"/>
          <a:pathLst>
            <a:path>
              <a:moveTo>
                <a:pt x="0" y="1269589"/>
              </a:moveTo>
              <a:lnTo>
                <a:pt x="270897" y="1269589"/>
              </a:lnTo>
              <a:lnTo>
                <a:pt x="270897" y="0"/>
              </a:lnTo>
              <a:lnTo>
                <a:pt x="541794"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b="0" kern="1200"/>
        </a:p>
      </dsp:txBody>
      <dsp:txXfrm>
        <a:off x="1408375" y="771704"/>
        <a:ext cx="69018" cy="69018"/>
      </dsp:txXfrm>
    </dsp:sp>
    <dsp:sp modelId="{06CFB051-716C-4F6C-920F-34EE2A03F952}">
      <dsp:nvSpPr>
        <dsp:cNvPr id="0" name=""/>
        <dsp:cNvSpPr/>
      </dsp:nvSpPr>
      <dsp:spPr>
        <a:xfrm>
          <a:off x="228536" y="972800"/>
          <a:ext cx="950485" cy="936415"/>
        </a:xfrm>
        <a:prstGeom prst="rect">
          <a:avLst/>
        </a:prstGeom>
        <a:gradFill rotWithShape="0">
          <a:gsLst>
            <a:gs pos="0">
              <a:schemeClr val="accent1">
                <a:alpha val="80000"/>
                <a:hueOff val="0"/>
                <a:satOff val="0"/>
                <a:lumOff val="0"/>
                <a:alphaOff val="0"/>
                <a:tint val="50000"/>
                <a:satMod val="300000"/>
              </a:schemeClr>
            </a:gs>
            <a:gs pos="35000">
              <a:schemeClr val="accent1">
                <a:alpha val="80000"/>
                <a:hueOff val="0"/>
                <a:satOff val="0"/>
                <a:lumOff val="0"/>
                <a:alphaOff val="0"/>
                <a:tint val="37000"/>
                <a:satMod val="300000"/>
              </a:schemeClr>
            </a:gs>
            <a:gs pos="100000">
              <a:schemeClr val="accent1">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0" kern="1200"/>
            <a:t>Fixed Broadband Availability Rating</a:t>
          </a:r>
        </a:p>
      </dsp:txBody>
      <dsp:txXfrm>
        <a:off x="228536" y="972800"/>
        <a:ext cx="950485" cy="936415"/>
      </dsp:txXfrm>
    </dsp:sp>
    <dsp:sp modelId="{AEBEEF42-2CB5-478C-AD2B-506807639365}">
      <dsp:nvSpPr>
        <dsp:cNvPr id="0" name=""/>
        <dsp:cNvSpPr/>
      </dsp:nvSpPr>
      <dsp:spPr>
        <a:xfrm>
          <a:off x="1713781" y="0"/>
          <a:ext cx="1124502" cy="342836"/>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b="0" kern="1200"/>
            <a:t>FTTP Availability	</a:t>
          </a:r>
        </a:p>
      </dsp:txBody>
      <dsp:txXfrm>
        <a:off x="1713781" y="0"/>
        <a:ext cx="1124502" cy="342836"/>
      </dsp:txXfrm>
    </dsp:sp>
    <dsp:sp modelId="{C69BAC52-0A56-45D9-910B-4761A7E4A834}">
      <dsp:nvSpPr>
        <dsp:cNvPr id="0" name=""/>
        <dsp:cNvSpPr/>
      </dsp:nvSpPr>
      <dsp:spPr>
        <a:xfrm>
          <a:off x="3202780" y="3586"/>
          <a:ext cx="1824471" cy="342836"/>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Proportion of DA with access to FTTP</a:t>
          </a:r>
        </a:p>
      </dsp:txBody>
      <dsp:txXfrm>
        <a:off x="3202780" y="3586"/>
        <a:ext cx="1824471" cy="342836"/>
      </dsp:txXfrm>
    </dsp:sp>
    <dsp:sp modelId="{96C06934-8996-4833-AE5F-DD67145FDFDE}">
      <dsp:nvSpPr>
        <dsp:cNvPr id="0" name=""/>
        <dsp:cNvSpPr/>
      </dsp:nvSpPr>
      <dsp:spPr>
        <a:xfrm>
          <a:off x="1713781" y="401516"/>
          <a:ext cx="1124502" cy="342836"/>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b="0" kern="1200"/>
            <a:t>FTTN Availability</a:t>
          </a:r>
        </a:p>
      </dsp:txBody>
      <dsp:txXfrm>
        <a:off x="1713781" y="401516"/>
        <a:ext cx="1124502" cy="342836"/>
      </dsp:txXfrm>
    </dsp:sp>
    <dsp:sp modelId="{DD834F19-2C52-4231-9469-BAFB63B69F75}">
      <dsp:nvSpPr>
        <dsp:cNvPr id="0" name=""/>
        <dsp:cNvSpPr/>
      </dsp:nvSpPr>
      <dsp:spPr>
        <a:xfrm>
          <a:off x="3202780" y="432131"/>
          <a:ext cx="1824471" cy="342836"/>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Proportion of DA overlapping with an FTTN network</a:t>
          </a:r>
        </a:p>
      </dsp:txBody>
      <dsp:txXfrm>
        <a:off x="3202780" y="432131"/>
        <a:ext cx="1824471" cy="342836"/>
      </dsp:txXfrm>
    </dsp:sp>
    <dsp:sp modelId="{64ED634C-74AC-4DBA-83E7-853911DB8E8E}">
      <dsp:nvSpPr>
        <dsp:cNvPr id="0" name=""/>
        <dsp:cNvSpPr/>
      </dsp:nvSpPr>
      <dsp:spPr>
        <a:xfrm>
          <a:off x="1713781" y="858551"/>
          <a:ext cx="1124502" cy="342836"/>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HFC Availability</a:t>
          </a:r>
        </a:p>
      </dsp:txBody>
      <dsp:txXfrm>
        <a:off x="1713781" y="858551"/>
        <a:ext cx="1124502" cy="342836"/>
      </dsp:txXfrm>
    </dsp:sp>
    <dsp:sp modelId="{5477BFB2-8D53-4320-A4BF-E764352BB7FE}">
      <dsp:nvSpPr>
        <dsp:cNvPr id="0" name=""/>
        <dsp:cNvSpPr/>
      </dsp:nvSpPr>
      <dsp:spPr>
        <a:xfrm>
          <a:off x="3202780" y="860676"/>
          <a:ext cx="1824471" cy="342836"/>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Proportion of DA overlapping with a HFC </a:t>
          </a:r>
        </a:p>
      </dsp:txBody>
      <dsp:txXfrm>
        <a:off x="3202780" y="860676"/>
        <a:ext cx="1824471" cy="342836"/>
      </dsp:txXfrm>
    </dsp:sp>
    <dsp:sp modelId="{77FADCC6-E037-440A-9F36-ABE449790206}">
      <dsp:nvSpPr>
        <dsp:cNvPr id="0" name=""/>
        <dsp:cNvSpPr/>
      </dsp:nvSpPr>
      <dsp:spPr>
        <a:xfrm>
          <a:off x="1713781" y="1315582"/>
          <a:ext cx="1124502" cy="342836"/>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Fixed Wireless Availability</a:t>
          </a:r>
        </a:p>
      </dsp:txBody>
      <dsp:txXfrm>
        <a:off x="1713781" y="1315582"/>
        <a:ext cx="1124502" cy="342836"/>
      </dsp:txXfrm>
    </dsp:sp>
    <dsp:sp modelId="{D243696A-F95B-4336-9EF3-19DA7B223C1A}">
      <dsp:nvSpPr>
        <dsp:cNvPr id="0" name=""/>
        <dsp:cNvSpPr/>
      </dsp:nvSpPr>
      <dsp:spPr>
        <a:xfrm>
          <a:off x="3202780" y="1289221"/>
          <a:ext cx="1824471" cy="342836"/>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Proportion of DA overlapping with NBN Co fixed wireless</a:t>
          </a:r>
        </a:p>
      </dsp:txBody>
      <dsp:txXfrm>
        <a:off x="3202780" y="1289221"/>
        <a:ext cx="1824471" cy="342836"/>
      </dsp:txXfrm>
    </dsp:sp>
    <dsp:sp modelId="{2E78E65E-6D1D-4A56-AD99-440C68716AF2}">
      <dsp:nvSpPr>
        <dsp:cNvPr id="0" name=""/>
        <dsp:cNvSpPr/>
      </dsp:nvSpPr>
      <dsp:spPr>
        <a:xfrm>
          <a:off x="1713781" y="2572385"/>
          <a:ext cx="1124502" cy="342836"/>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ADSL Availability</a:t>
          </a:r>
        </a:p>
      </dsp:txBody>
      <dsp:txXfrm>
        <a:off x="1713781" y="2572385"/>
        <a:ext cx="1124502" cy="342836"/>
      </dsp:txXfrm>
    </dsp:sp>
    <dsp:sp modelId="{CD3877EB-0558-4D9D-BA1E-913A9E97AF1F}">
      <dsp:nvSpPr>
        <dsp:cNvPr id="0" name=""/>
        <dsp:cNvSpPr/>
      </dsp:nvSpPr>
      <dsp:spPr>
        <a:xfrm>
          <a:off x="3202780" y="1717766"/>
          <a:ext cx="1824471" cy="342836"/>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Is DA ADSL enabled area</a:t>
          </a:r>
        </a:p>
      </dsp:txBody>
      <dsp:txXfrm>
        <a:off x="3202780" y="1717766"/>
        <a:ext cx="1824471" cy="342836"/>
      </dsp:txXfrm>
    </dsp:sp>
    <dsp:sp modelId="{F221411C-D86D-4409-910A-37ECBFC6BF16}">
      <dsp:nvSpPr>
        <dsp:cNvPr id="0" name=""/>
        <dsp:cNvSpPr/>
      </dsp:nvSpPr>
      <dsp:spPr>
        <a:xfrm>
          <a:off x="3202780" y="2146312"/>
          <a:ext cx="1824471" cy="342836"/>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Proportion of DA impaired by pair gains</a:t>
          </a:r>
        </a:p>
      </dsp:txBody>
      <dsp:txXfrm>
        <a:off x="3202780" y="2146312"/>
        <a:ext cx="1824471" cy="342836"/>
      </dsp:txXfrm>
    </dsp:sp>
    <dsp:sp modelId="{DED5FDE1-9BEF-4E3C-A73E-575BA5476A40}">
      <dsp:nvSpPr>
        <dsp:cNvPr id="0" name=""/>
        <dsp:cNvSpPr/>
      </dsp:nvSpPr>
      <dsp:spPr>
        <a:xfrm>
          <a:off x="3202780" y="2574857"/>
          <a:ext cx="1824471" cy="342836"/>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Proportion impaired by excessive distance</a:t>
          </a:r>
        </a:p>
      </dsp:txBody>
      <dsp:txXfrm>
        <a:off x="3202780" y="2574857"/>
        <a:ext cx="1824471" cy="342836"/>
      </dsp:txXfrm>
    </dsp:sp>
    <dsp:sp modelId="{40549453-86A9-435C-986F-8CEC9EE8BA09}">
      <dsp:nvSpPr>
        <dsp:cNvPr id="0" name=""/>
        <dsp:cNvSpPr/>
      </dsp:nvSpPr>
      <dsp:spPr>
        <a:xfrm>
          <a:off x="3202780" y="3003402"/>
          <a:ext cx="1824471" cy="342836"/>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Are wholesale ports available</a:t>
          </a:r>
        </a:p>
      </dsp:txBody>
      <dsp:txXfrm>
        <a:off x="3202780" y="3003402"/>
        <a:ext cx="1824471" cy="342836"/>
      </dsp:txXfrm>
    </dsp:sp>
    <dsp:sp modelId="{784EC822-E48B-4D49-A383-AE2C3FC744E1}">
      <dsp:nvSpPr>
        <dsp:cNvPr id="0" name=""/>
        <dsp:cNvSpPr/>
      </dsp:nvSpPr>
      <dsp:spPr>
        <a:xfrm>
          <a:off x="3202780" y="3431947"/>
          <a:ext cx="1824471" cy="342836"/>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Is the exchange capped</a:t>
          </a:r>
        </a:p>
      </dsp:txBody>
      <dsp:txXfrm>
        <a:off x="3202780" y="3431947"/>
        <a:ext cx="1824471" cy="3428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D5EE15-7F36-4203-A4ED-8286FB44CF15}">
      <dsp:nvSpPr>
        <dsp:cNvPr id="0" name=""/>
        <dsp:cNvSpPr/>
      </dsp:nvSpPr>
      <dsp:spPr>
        <a:xfrm>
          <a:off x="2872041" y="2774646"/>
          <a:ext cx="336642" cy="713348"/>
        </a:xfrm>
        <a:custGeom>
          <a:avLst/>
          <a:gdLst/>
          <a:ahLst/>
          <a:cxnLst/>
          <a:rect l="0" t="0" r="0" b="0"/>
          <a:pathLst>
            <a:path>
              <a:moveTo>
                <a:pt x="0" y="0"/>
              </a:moveTo>
              <a:lnTo>
                <a:pt x="168321" y="0"/>
              </a:lnTo>
              <a:lnTo>
                <a:pt x="168321" y="713348"/>
              </a:lnTo>
              <a:lnTo>
                <a:pt x="336642" y="713348"/>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b="0" kern="1200"/>
        </a:p>
      </dsp:txBody>
      <dsp:txXfrm>
        <a:off x="3020643" y="3111601"/>
        <a:ext cx="39439" cy="39439"/>
      </dsp:txXfrm>
    </dsp:sp>
    <dsp:sp modelId="{B224955C-1DC3-4915-A6B8-FFAB9A5BAC7D}">
      <dsp:nvSpPr>
        <dsp:cNvPr id="0" name=""/>
        <dsp:cNvSpPr/>
      </dsp:nvSpPr>
      <dsp:spPr>
        <a:xfrm>
          <a:off x="2872041" y="2774646"/>
          <a:ext cx="336642" cy="251847"/>
        </a:xfrm>
        <a:custGeom>
          <a:avLst/>
          <a:gdLst/>
          <a:ahLst/>
          <a:cxnLst/>
          <a:rect l="0" t="0" r="0" b="0"/>
          <a:pathLst>
            <a:path>
              <a:moveTo>
                <a:pt x="0" y="0"/>
              </a:moveTo>
              <a:lnTo>
                <a:pt x="168321" y="0"/>
              </a:lnTo>
              <a:lnTo>
                <a:pt x="168321" y="251847"/>
              </a:lnTo>
              <a:lnTo>
                <a:pt x="336642" y="251847"/>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b="0" kern="1200"/>
        </a:p>
      </dsp:txBody>
      <dsp:txXfrm>
        <a:off x="3029852" y="2890060"/>
        <a:ext cx="21021" cy="21021"/>
      </dsp:txXfrm>
    </dsp:sp>
    <dsp:sp modelId="{158EB111-C427-42BB-9222-6F4A8D83F0CC}">
      <dsp:nvSpPr>
        <dsp:cNvPr id="0" name=""/>
        <dsp:cNvSpPr/>
      </dsp:nvSpPr>
      <dsp:spPr>
        <a:xfrm>
          <a:off x="2872041" y="2534341"/>
          <a:ext cx="336642" cy="240305"/>
        </a:xfrm>
        <a:custGeom>
          <a:avLst/>
          <a:gdLst/>
          <a:ahLst/>
          <a:cxnLst/>
          <a:rect l="0" t="0" r="0" b="0"/>
          <a:pathLst>
            <a:path>
              <a:moveTo>
                <a:pt x="0" y="240305"/>
              </a:moveTo>
              <a:lnTo>
                <a:pt x="168321" y="240305"/>
              </a:lnTo>
              <a:lnTo>
                <a:pt x="168321" y="0"/>
              </a:lnTo>
              <a:lnTo>
                <a:pt x="336642" y="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p>
      </dsp:txBody>
      <dsp:txXfrm>
        <a:off x="3030022" y="2644153"/>
        <a:ext cx="20680" cy="20680"/>
      </dsp:txXfrm>
    </dsp:sp>
    <dsp:sp modelId="{8C8A75E8-1905-4A63-9996-25167BE4FBF8}">
      <dsp:nvSpPr>
        <dsp:cNvPr id="0" name=""/>
        <dsp:cNvSpPr/>
      </dsp:nvSpPr>
      <dsp:spPr>
        <a:xfrm>
          <a:off x="2872041" y="2109945"/>
          <a:ext cx="336642" cy="664701"/>
        </a:xfrm>
        <a:custGeom>
          <a:avLst/>
          <a:gdLst/>
          <a:ahLst/>
          <a:cxnLst/>
          <a:rect l="0" t="0" r="0" b="0"/>
          <a:pathLst>
            <a:path>
              <a:moveTo>
                <a:pt x="0" y="664701"/>
              </a:moveTo>
              <a:lnTo>
                <a:pt x="168321" y="664701"/>
              </a:lnTo>
              <a:lnTo>
                <a:pt x="168321" y="0"/>
              </a:lnTo>
              <a:lnTo>
                <a:pt x="336642" y="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p>
      </dsp:txBody>
      <dsp:txXfrm>
        <a:off x="3021736" y="2423669"/>
        <a:ext cx="37254" cy="37254"/>
      </dsp:txXfrm>
    </dsp:sp>
    <dsp:sp modelId="{EE5F1F23-9CEE-4277-A007-50DD2174B194}">
      <dsp:nvSpPr>
        <dsp:cNvPr id="0" name=""/>
        <dsp:cNvSpPr/>
      </dsp:nvSpPr>
      <dsp:spPr>
        <a:xfrm>
          <a:off x="1097630" y="1658611"/>
          <a:ext cx="503197" cy="1116035"/>
        </a:xfrm>
        <a:custGeom>
          <a:avLst/>
          <a:gdLst/>
          <a:ahLst/>
          <a:cxnLst/>
          <a:rect l="0" t="0" r="0" b="0"/>
          <a:pathLst>
            <a:path>
              <a:moveTo>
                <a:pt x="0" y="0"/>
              </a:moveTo>
              <a:lnTo>
                <a:pt x="251598" y="0"/>
              </a:lnTo>
              <a:lnTo>
                <a:pt x="251598" y="1116035"/>
              </a:lnTo>
              <a:lnTo>
                <a:pt x="503197" y="1116035"/>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b="0" kern="1200"/>
        </a:p>
      </dsp:txBody>
      <dsp:txXfrm>
        <a:off x="1318623" y="2186023"/>
        <a:ext cx="61211" cy="61211"/>
      </dsp:txXfrm>
    </dsp:sp>
    <dsp:sp modelId="{D62F41D9-8BF9-4968-9F76-67C93C225CCD}">
      <dsp:nvSpPr>
        <dsp:cNvPr id="0" name=""/>
        <dsp:cNvSpPr/>
      </dsp:nvSpPr>
      <dsp:spPr>
        <a:xfrm>
          <a:off x="2872041" y="1577292"/>
          <a:ext cx="298544" cy="91440"/>
        </a:xfrm>
        <a:custGeom>
          <a:avLst/>
          <a:gdLst/>
          <a:ahLst/>
          <a:cxnLst/>
          <a:rect l="0" t="0" r="0" b="0"/>
          <a:pathLst>
            <a:path>
              <a:moveTo>
                <a:pt x="0" y="53936"/>
              </a:moveTo>
              <a:lnTo>
                <a:pt x="149272" y="53936"/>
              </a:lnTo>
              <a:lnTo>
                <a:pt x="149272" y="45720"/>
              </a:lnTo>
              <a:lnTo>
                <a:pt x="298544" y="4572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p>
      </dsp:txBody>
      <dsp:txXfrm>
        <a:off x="3013847" y="1615545"/>
        <a:ext cx="14932" cy="14932"/>
      </dsp:txXfrm>
    </dsp:sp>
    <dsp:sp modelId="{27137C1B-FDC3-4C95-9F5B-212E28B85CC1}">
      <dsp:nvSpPr>
        <dsp:cNvPr id="0" name=""/>
        <dsp:cNvSpPr/>
      </dsp:nvSpPr>
      <dsp:spPr>
        <a:xfrm>
          <a:off x="1097630" y="1585508"/>
          <a:ext cx="503197" cy="91440"/>
        </a:xfrm>
        <a:custGeom>
          <a:avLst/>
          <a:gdLst/>
          <a:ahLst/>
          <a:cxnLst/>
          <a:rect l="0" t="0" r="0" b="0"/>
          <a:pathLst>
            <a:path>
              <a:moveTo>
                <a:pt x="0" y="73102"/>
              </a:moveTo>
              <a:lnTo>
                <a:pt x="251598" y="73102"/>
              </a:lnTo>
              <a:lnTo>
                <a:pt x="251598" y="45720"/>
              </a:lnTo>
              <a:lnTo>
                <a:pt x="503197" y="4572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p>
      </dsp:txBody>
      <dsp:txXfrm>
        <a:off x="1336630" y="1618630"/>
        <a:ext cx="25197" cy="25197"/>
      </dsp:txXfrm>
    </dsp:sp>
    <dsp:sp modelId="{5B9EFF9B-C3BF-4F9D-8B9D-07B464C38EF4}">
      <dsp:nvSpPr>
        <dsp:cNvPr id="0" name=""/>
        <dsp:cNvSpPr/>
      </dsp:nvSpPr>
      <dsp:spPr>
        <a:xfrm>
          <a:off x="2872041" y="1078928"/>
          <a:ext cx="336642" cy="94934"/>
        </a:xfrm>
        <a:custGeom>
          <a:avLst/>
          <a:gdLst/>
          <a:ahLst/>
          <a:cxnLst/>
          <a:rect l="0" t="0" r="0" b="0"/>
          <a:pathLst>
            <a:path>
              <a:moveTo>
                <a:pt x="0" y="94934"/>
              </a:moveTo>
              <a:lnTo>
                <a:pt x="168321" y="94934"/>
              </a:lnTo>
              <a:lnTo>
                <a:pt x="168321" y="0"/>
              </a:lnTo>
              <a:lnTo>
                <a:pt x="336642" y="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p>
      </dsp:txBody>
      <dsp:txXfrm>
        <a:off x="3031618" y="1117651"/>
        <a:ext cx="17488" cy="17488"/>
      </dsp:txXfrm>
    </dsp:sp>
    <dsp:sp modelId="{8D7851DB-315A-4ABA-9663-ACEAEAC781C5}">
      <dsp:nvSpPr>
        <dsp:cNvPr id="0" name=""/>
        <dsp:cNvSpPr/>
      </dsp:nvSpPr>
      <dsp:spPr>
        <a:xfrm>
          <a:off x="1097630" y="1173862"/>
          <a:ext cx="503197" cy="484748"/>
        </a:xfrm>
        <a:custGeom>
          <a:avLst/>
          <a:gdLst/>
          <a:ahLst/>
          <a:cxnLst/>
          <a:rect l="0" t="0" r="0" b="0"/>
          <a:pathLst>
            <a:path>
              <a:moveTo>
                <a:pt x="0" y="484748"/>
              </a:moveTo>
              <a:lnTo>
                <a:pt x="251598" y="484748"/>
              </a:lnTo>
              <a:lnTo>
                <a:pt x="251598" y="0"/>
              </a:lnTo>
              <a:lnTo>
                <a:pt x="503197"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kern="1200"/>
        </a:p>
      </dsp:txBody>
      <dsp:txXfrm>
        <a:off x="1331761" y="1398769"/>
        <a:ext cx="34935" cy="34935"/>
      </dsp:txXfrm>
    </dsp:sp>
    <dsp:sp modelId="{1C4A3BF6-6B90-49D3-BC4B-0FA205E4D4CC}">
      <dsp:nvSpPr>
        <dsp:cNvPr id="0" name=""/>
        <dsp:cNvSpPr/>
      </dsp:nvSpPr>
      <dsp:spPr>
        <a:xfrm>
          <a:off x="2872041" y="620574"/>
          <a:ext cx="336642" cy="95918"/>
        </a:xfrm>
        <a:custGeom>
          <a:avLst/>
          <a:gdLst/>
          <a:ahLst/>
          <a:cxnLst/>
          <a:rect l="0" t="0" r="0" b="0"/>
          <a:pathLst>
            <a:path>
              <a:moveTo>
                <a:pt x="0" y="95918"/>
              </a:moveTo>
              <a:lnTo>
                <a:pt x="168321" y="95918"/>
              </a:lnTo>
              <a:lnTo>
                <a:pt x="168321" y="0"/>
              </a:lnTo>
              <a:lnTo>
                <a:pt x="336642" y="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b="0" kern="1200"/>
        </a:p>
      </dsp:txBody>
      <dsp:txXfrm>
        <a:off x="3031612" y="659783"/>
        <a:ext cx="17502" cy="17502"/>
      </dsp:txXfrm>
    </dsp:sp>
    <dsp:sp modelId="{A9D0C0F2-E79F-4A2F-BC30-36678B019F4C}">
      <dsp:nvSpPr>
        <dsp:cNvPr id="0" name=""/>
        <dsp:cNvSpPr/>
      </dsp:nvSpPr>
      <dsp:spPr>
        <a:xfrm>
          <a:off x="1097630" y="716493"/>
          <a:ext cx="503197" cy="942118"/>
        </a:xfrm>
        <a:custGeom>
          <a:avLst/>
          <a:gdLst/>
          <a:ahLst/>
          <a:cxnLst/>
          <a:rect l="0" t="0" r="0" b="0"/>
          <a:pathLst>
            <a:path>
              <a:moveTo>
                <a:pt x="0" y="942118"/>
              </a:moveTo>
              <a:lnTo>
                <a:pt x="251598" y="942118"/>
              </a:lnTo>
              <a:lnTo>
                <a:pt x="251598" y="0"/>
              </a:lnTo>
              <a:lnTo>
                <a:pt x="503197"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b="0" kern="1200"/>
        </a:p>
      </dsp:txBody>
      <dsp:txXfrm>
        <a:off x="1322527" y="1160850"/>
        <a:ext cx="53403" cy="53403"/>
      </dsp:txXfrm>
    </dsp:sp>
    <dsp:sp modelId="{D06C34C5-52D3-4D9D-9719-B50C67C6BBAE}">
      <dsp:nvSpPr>
        <dsp:cNvPr id="0" name=""/>
        <dsp:cNvSpPr/>
      </dsp:nvSpPr>
      <dsp:spPr>
        <a:xfrm>
          <a:off x="2872041" y="148062"/>
          <a:ext cx="336286" cy="91440"/>
        </a:xfrm>
        <a:custGeom>
          <a:avLst/>
          <a:gdLst/>
          <a:ahLst/>
          <a:cxnLst/>
          <a:rect l="0" t="0" r="0" b="0"/>
          <a:pathLst>
            <a:path>
              <a:moveTo>
                <a:pt x="0" y="45721"/>
              </a:moveTo>
              <a:lnTo>
                <a:pt x="168143" y="45721"/>
              </a:lnTo>
              <a:lnTo>
                <a:pt x="168143" y="45720"/>
              </a:lnTo>
              <a:lnTo>
                <a:pt x="336286" y="4572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b="0" kern="1200"/>
        </a:p>
      </dsp:txBody>
      <dsp:txXfrm>
        <a:off x="3031778" y="185375"/>
        <a:ext cx="16814" cy="16814"/>
      </dsp:txXfrm>
    </dsp:sp>
    <dsp:sp modelId="{DA9711CB-104D-40D9-8035-E6487CA0FDDB}">
      <dsp:nvSpPr>
        <dsp:cNvPr id="0" name=""/>
        <dsp:cNvSpPr/>
      </dsp:nvSpPr>
      <dsp:spPr>
        <a:xfrm>
          <a:off x="1097630" y="193784"/>
          <a:ext cx="503197" cy="1464827"/>
        </a:xfrm>
        <a:custGeom>
          <a:avLst/>
          <a:gdLst/>
          <a:ahLst/>
          <a:cxnLst/>
          <a:rect l="0" t="0" r="0" b="0"/>
          <a:pathLst>
            <a:path>
              <a:moveTo>
                <a:pt x="0" y="1464827"/>
              </a:moveTo>
              <a:lnTo>
                <a:pt x="251598" y="1464827"/>
              </a:lnTo>
              <a:lnTo>
                <a:pt x="251598" y="0"/>
              </a:lnTo>
              <a:lnTo>
                <a:pt x="503197" y="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AU" sz="1000" b="0" kern="1200"/>
        </a:p>
      </dsp:txBody>
      <dsp:txXfrm>
        <a:off x="1310508" y="887476"/>
        <a:ext cx="77442" cy="77442"/>
      </dsp:txXfrm>
    </dsp:sp>
    <dsp:sp modelId="{192B3A68-772A-4238-A001-EAEBF53641BF}">
      <dsp:nvSpPr>
        <dsp:cNvPr id="0" name=""/>
        <dsp:cNvSpPr/>
      </dsp:nvSpPr>
      <dsp:spPr>
        <a:xfrm>
          <a:off x="137354" y="1171971"/>
          <a:ext cx="947270" cy="973280"/>
        </a:xfrm>
        <a:prstGeom prst="rect">
          <a:avLst/>
        </a:prstGeom>
        <a:gradFill rotWithShape="0">
          <a:gsLst>
            <a:gs pos="0">
              <a:schemeClr val="accent1">
                <a:alpha val="80000"/>
                <a:hueOff val="0"/>
                <a:satOff val="0"/>
                <a:lumOff val="0"/>
                <a:alphaOff val="0"/>
                <a:tint val="50000"/>
                <a:satMod val="300000"/>
              </a:schemeClr>
            </a:gs>
            <a:gs pos="35000">
              <a:schemeClr val="accent1">
                <a:alpha val="80000"/>
                <a:hueOff val="0"/>
                <a:satOff val="0"/>
                <a:lumOff val="0"/>
                <a:alphaOff val="0"/>
                <a:tint val="37000"/>
                <a:satMod val="300000"/>
              </a:schemeClr>
            </a:gs>
            <a:gs pos="100000">
              <a:schemeClr val="accent1">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AU" sz="1100" b="0" kern="1200"/>
            <a:t>Fixed Broadband </a:t>
          </a:r>
        </a:p>
        <a:p>
          <a:pPr lvl="0" algn="ctr" defTabSz="488950">
            <a:lnSpc>
              <a:spcPct val="90000"/>
            </a:lnSpc>
            <a:spcBef>
              <a:spcPct val="0"/>
            </a:spcBef>
            <a:spcAft>
              <a:spcPct val="35000"/>
            </a:spcAft>
          </a:pPr>
          <a:r>
            <a:rPr lang="en-AU" sz="1100" b="0" kern="1200"/>
            <a:t>Quality Rating</a:t>
          </a:r>
        </a:p>
      </dsp:txBody>
      <dsp:txXfrm>
        <a:off x="137354" y="1171971"/>
        <a:ext cx="947270" cy="973280"/>
      </dsp:txXfrm>
    </dsp:sp>
    <dsp:sp modelId="{2B40F5A8-89CC-474E-8AB0-177B1F10E279}">
      <dsp:nvSpPr>
        <dsp:cNvPr id="0" name=""/>
        <dsp:cNvSpPr/>
      </dsp:nvSpPr>
      <dsp:spPr>
        <a:xfrm>
          <a:off x="1600827" y="1"/>
          <a:ext cx="1271214" cy="387565"/>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FTTP Quality</a:t>
          </a:r>
        </a:p>
      </dsp:txBody>
      <dsp:txXfrm>
        <a:off x="1600827" y="1"/>
        <a:ext cx="1271214" cy="387565"/>
      </dsp:txXfrm>
    </dsp:sp>
    <dsp:sp modelId="{66973B4C-FCA6-4B36-B13C-6CF0291D98EC}">
      <dsp:nvSpPr>
        <dsp:cNvPr id="0" name=""/>
        <dsp:cNvSpPr/>
      </dsp:nvSpPr>
      <dsp:spPr>
        <a:xfrm>
          <a:off x="3208328" y="0"/>
          <a:ext cx="1777004" cy="387565"/>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Proportion of DA with access to FTTP</a:t>
          </a:r>
        </a:p>
      </dsp:txBody>
      <dsp:txXfrm>
        <a:off x="3208328" y="0"/>
        <a:ext cx="1777004" cy="387565"/>
      </dsp:txXfrm>
    </dsp:sp>
    <dsp:sp modelId="{70F1FA37-0D09-45DC-9567-F4F4F9D8053C}">
      <dsp:nvSpPr>
        <dsp:cNvPr id="0" name=""/>
        <dsp:cNvSpPr/>
      </dsp:nvSpPr>
      <dsp:spPr>
        <a:xfrm>
          <a:off x="1600827" y="522710"/>
          <a:ext cx="1271214" cy="387565"/>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FTTN Quality</a:t>
          </a:r>
        </a:p>
      </dsp:txBody>
      <dsp:txXfrm>
        <a:off x="1600827" y="522710"/>
        <a:ext cx="1271214" cy="387565"/>
      </dsp:txXfrm>
    </dsp:sp>
    <dsp:sp modelId="{3317B3D1-2166-47F1-A7E1-9E0D462207EF}">
      <dsp:nvSpPr>
        <dsp:cNvPr id="0" name=""/>
        <dsp:cNvSpPr/>
      </dsp:nvSpPr>
      <dsp:spPr>
        <a:xfrm>
          <a:off x="3208684" y="426792"/>
          <a:ext cx="1777004" cy="387565"/>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Proportion of DA with access to FTTN</a:t>
          </a:r>
        </a:p>
      </dsp:txBody>
      <dsp:txXfrm>
        <a:off x="3208684" y="426792"/>
        <a:ext cx="1777004" cy="387565"/>
      </dsp:txXfrm>
    </dsp:sp>
    <dsp:sp modelId="{49DE9207-3DAE-4078-A402-C17535EC96AF}">
      <dsp:nvSpPr>
        <dsp:cNvPr id="0" name=""/>
        <dsp:cNvSpPr/>
      </dsp:nvSpPr>
      <dsp:spPr>
        <a:xfrm>
          <a:off x="1600827" y="980080"/>
          <a:ext cx="1271214" cy="387565"/>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HFC Quality</a:t>
          </a:r>
        </a:p>
      </dsp:txBody>
      <dsp:txXfrm>
        <a:off x="1600827" y="980080"/>
        <a:ext cx="1271214" cy="387565"/>
      </dsp:txXfrm>
    </dsp:sp>
    <dsp:sp modelId="{37483373-16F8-4A42-8485-BDBA1819E101}">
      <dsp:nvSpPr>
        <dsp:cNvPr id="0" name=""/>
        <dsp:cNvSpPr/>
      </dsp:nvSpPr>
      <dsp:spPr>
        <a:xfrm>
          <a:off x="3208684" y="885146"/>
          <a:ext cx="1777004" cy="387565"/>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Proportion of DA with access to HFC</a:t>
          </a:r>
        </a:p>
      </dsp:txBody>
      <dsp:txXfrm>
        <a:off x="3208684" y="885146"/>
        <a:ext cx="1777004" cy="387565"/>
      </dsp:txXfrm>
    </dsp:sp>
    <dsp:sp modelId="{F4F75EC2-201A-4F47-83FC-1FE2DFAC26CB}">
      <dsp:nvSpPr>
        <dsp:cNvPr id="0" name=""/>
        <dsp:cNvSpPr/>
      </dsp:nvSpPr>
      <dsp:spPr>
        <a:xfrm>
          <a:off x="1600827" y="1437446"/>
          <a:ext cx="1271214" cy="387565"/>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Fixed Wireless Quality</a:t>
          </a:r>
        </a:p>
      </dsp:txBody>
      <dsp:txXfrm>
        <a:off x="1600827" y="1437446"/>
        <a:ext cx="1271214" cy="387565"/>
      </dsp:txXfrm>
    </dsp:sp>
    <dsp:sp modelId="{4F904FF1-D731-4DB4-A3D8-3C38A9EFFBFC}">
      <dsp:nvSpPr>
        <dsp:cNvPr id="0" name=""/>
        <dsp:cNvSpPr/>
      </dsp:nvSpPr>
      <dsp:spPr>
        <a:xfrm>
          <a:off x="3170586" y="1429229"/>
          <a:ext cx="1777004" cy="387565"/>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Proportion of DA overlapping with NBN Co fixed wireless</a:t>
          </a:r>
        </a:p>
      </dsp:txBody>
      <dsp:txXfrm>
        <a:off x="3170586" y="1429229"/>
        <a:ext cx="1777004" cy="387565"/>
      </dsp:txXfrm>
    </dsp:sp>
    <dsp:sp modelId="{D8C7A3DE-2B4E-4D4E-AA41-8A9E0A5ABA4E}">
      <dsp:nvSpPr>
        <dsp:cNvPr id="0" name=""/>
        <dsp:cNvSpPr/>
      </dsp:nvSpPr>
      <dsp:spPr>
        <a:xfrm>
          <a:off x="1600827" y="2580864"/>
          <a:ext cx="1271214" cy="387565"/>
        </a:xfrm>
        <a:prstGeom prst="rect">
          <a:avLst/>
        </a:prstGeom>
        <a:gradFill rotWithShape="0">
          <a:gsLst>
            <a:gs pos="0">
              <a:schemeClr val="accent1">
                <a:alpha val="70000"/>
                <a:hueOff val="0"/>
                <a:satOff val="0"/>
                <a:lumOff val="0"/>
                <a:alphaOff val="0"/>
                <a:tint val="50000"/>
                <a:satMod val="300000"/>
              </a:schemeClr>
            </a:gs>
            <a:gs pos="35000">
              <a:schemeClr val="accent1">
                <a:alpha val="70000"/>
                <a:hueOff val="0"/>
                <a:satOff val="0"/>
                <a:lumOff val="0"/>
                <a:alphaOff val="0"/>
                <a:tint val="37000"/>
                <a:satMod val="300000"/>
              </a:schemeClr>
            </a:gs>
            <a:gs pos="100000">
              <a:schemeClr val="accent1">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ADSL Quality</a:t>
          </a:r>
        </a:p>
      </dsp:txBody>
      <dsp:txXfrm>
        <a:off x="1600827" y="2580864"/>
        <a:ext cx="1271214" cy="387565"/>
      </dsp:txXfrm>
    </dsp:sp>
    <dsp:sp modelId="{F434CC84-8C5C-4B84-8F52-9CB659E41392}">
      <dsp:nvSpPr>
        <dsp:cNvPr id="0" name=""/>
        <dsp:cNvSpPr/>
      </dsp:nvSpPr>
      <dsp:spPr>
        <a:xfrm>
          <a:off x="3208684" y="1916162"/>
          <a:ext cx="1777004" cy="387565"/>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Is DA ADSL enabled area</a:t>
          </a:r>
        </a:p>
      </dsp:txBody>
      <dsp:txXfrm>
        <a:off x="3208684" y="1916162"/>
        <a:ext cx="1777004" cy="387565"/>
      </dsp:txXfrm>
    </dsp:sp>
    <dsp:sp modelId="{FE3AB56C-989B-4E7E-A05D-323D2FC01671}">
      <dsp:nvSpPr>
        <dsp:cNvPr id="0" name=""/>
        <dsp:cNvSpPr/>
      </dsp:nvSpPr>
      <dsp:spPr>
        <a:xfrm>
          <a:off x="3208684" y="2374516"/>
          <a:ext cx="1777004" cy="319648"/>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ADSL 1 or 2+</a:t>
          </a:r>
        </a:p>
      </dsp:txBody>
      <dsp:txXfrm>
        <a:off x="3208684" y="2374516"/>
        <a:ext cx="1777004" cy="319648"/>
      </dsp:txXfrm>
    </dsp:sp>
    <dsp:sp modelId="{48FAEF69-B48F-4D32-87D1-1FDE429AB6A2}">
      <dsp:nvSpPr>
        <dsp:cNvPr id="0" name=""/>
        <dsp:cNvSpPr/>
      </dsp:nvSpPr>
      <dsp:spPr>
        <a:xfrm>
          <a:off x="3208684" y="2832712"/>
          <a:ext cx="1777004" cy="387565"/>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Distances from individual premises to the exchange</a:t>
          </a:r>
        </a:p>
      </dsp:txBody>
      <dsp:txXfrm>
        <a:off x="3208684" y="2832712"/>
        <a:ext cx="1777004" cy="387565"/>
      </dsp:txXfrm>
    </dsp:sp>
    <dsp:sp modelId="{69933B89-4EF2-488F-BDE1-64B1879B1A88}">
      <dsp:nvSpPr>
        <dsp:cNvPr id="0" name=""/>
        <dsp:cNvSpPr/>
      </dsp:nvSpPr>
      <dsp:spPr>
        <a:xfrm>
          <a:off x="3208684" y="3327105"/>
          <a:ext cx="1777004" cy="321779"/>
        </a:xfrm>
        <a:prstGeom prst="rect">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Equivalent download speed from Rolling median speed</a:t>
          </a:r>
        </a:p>
      </dsp:txBody>
      <dsp:txXfrm>
        <a:off x="3208684" y="3327105"/>
        <a:ext cx="1777004" cy="321779"/>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UDF_String_40 xmlns="4597da67-68a3-4e9d-8803-ba3e1787ab6c" xsi:nil="true"/>
    <TrimUDF_Text_698 xmlns="4597da67-68a3-4e9d-8803-ba3e1787ab6c" xsi:nil="true"/>
    <trimRootDocACLCanUpdateMetadata xmlns="4597da67-68a3-4e9d-8803-ba3e1787ab6c" xsi:nil="true"/>
    <trimRootDocParentURI xmlns="4597da67-68a3-4e9d-8803-ba3e1787ab6c" xsi:nil="true"/>
    <trimRootDocACLCanModifyAccess xmlns="4597da67-68a3-4e9d-8803-ba3e1787ab6c" xsi:nil="true"/>
    <trimRootDocSecurityLevel xmlns="4597da67-68a3-4e9d-8803-ba3e1787ab6c" xsi:nil="true"/>
    <trimRootDocACLCanContributeDocuments xmlns="4597da67-68a3-4e9d-8803-ba3e1787ab6c" xsi:nil="true"/>
    <TaxCatchAll xmlns="4597da67-68a3-4e9d-8803-ba3e1787ab6c"/>
    <dd9c7627a75f4720a6ccce58a35e4d75 xmlns="4597da67-68a3-4e9d-8803-ba3e1787ab6c">
      <Terms xmlns="http://schemas.microsoft.com/office/infopath/2007/PartnerControls"/>
    </dd9c7627a75f4720a6ccce58a35e4d75>
    <ie56bdfdc4a44ef997c05b4ed8c67594 xmlns="4597da67-68a3-4e9d-8803-ba3e1787ab6c">
      <Terms xmlns="http://schemas.microsoft.com/office/infopath/2007/PartnerControls"/>
    </ie56bdfdc4a44ef997c05b4ed8c67594>
    <trimRootDocACLCanUpdateDocument xmlns="4597da67-68a3-4e9d-8803-ba3e1787ab6c" xsi:nil="true"/>
    <TrimUDF_String_696 xmlns="4597da67-68a3-4e9d-8803-ba3e1787ab6c" xsi:nil="true"/>
    <me786d0e3c9949dc83d6a9826d3f7afb xmlns="4597da67-68a3-4e9d-8803-ba3e1787ab6c">
      <Terms xmlns="http://schemas.microsoft.com/office/infopath/2007/PartnerControls"/>
    </me786d0e3c9949dc83d6a9826d3f7afb>
    <trimRootDocACLCanViewMetadata xmlns="4597da67-68a3-4e9d-8803-ba3e1787ab6c" xsi:nil="true"/>
    <l30152c64bc5409cb0d6af5fc7998329 xmlns="4597da67-68a3-4e9d-8803-ba3e1787ab6c">
      <Terms xmlns="http://schemas.microsoft.com/office/infopath/2007/PartnerControls"/>
    </l30152c64bc5409cb0d6af5fc7998329>
    <e74c999a0f514bafbaad1ae53c56eac2 xmlns="4597da67-68a3-4e9d-8803-ba3e1787ab6c">
      <Terms xmlns="http://schemas.microsoft.com/office/infopath/2007/PartnerControls"/>
    </e74c999a0f514bafbaad1ae53c56eac2>
    <a26f7cb41fae41ebb6c8e377b7c30d71 xmlns="4597da67-68a3-4e9d-8803-ba3e1787ab6c">
      <Terms xmlns="http://schemas.microsoft.com/office/infopath/2007/PartnerControls"/>
    </a26f7cb41fae41ebb6c8e377b7c30d71>
    <TrimUDF_Text_706 xmlns="4597da67-68a3-4e9d-8803-ba3e1787ab6c" xsi:nil="true"/>
    <hab31d4ae2264d5c8e77fd86c07e7635 xmlns="4597da67-68a3-4e9d-8803-ba3e1787ab6c">
      <Terms xmlns="http://schemas.microsoft.com/office/infopath/2007/PartnerControls"/>
    </hab31d4ae2264d5c8e77fd86c07e7635>
    <e65fcc6ef396426b9c231bd6b3bc54de xmlns="4597da67-68a3-4e9d-8803-ba3e1787ab6c">
      <Terms xmlns="http://schemas.microsoft.com/office/infopath/2007/PartnerControls"/>
    </e65fcc6ef396426b9c231bd6b3bc54de>
    <l7f7762656034748af4098221ba10b64 xmlns="4597da67-68a3-4e9d-8803-ba3e1787ab6c">
      <Terms xmlns="http://schemas.microsoft.com/office/infopath/2007/PartnerControls"/>
    </l7f7762656034748af4098221ba10b64>
    <TrimUDF_String_39 xmlns="4597da67-68a3-4e9d-8803-ba3e1787ab6c" xsi:nil="true"/>
    <c1aa94c1bcce43cc9138ccb9c7bf6e69 xmlns="4597da67-68a3-4e9d-8803-ba3e1787ab6c">
      <Terms xmlns="http://schemas.microsoft.com/office/infopath/2007/PartnerControls"/>
    </c1aa94c1bcce43cc9138ccb9c7bf6e69>
    <trimRootDocSecurityCaveats xmlns="4597da67-68a3-4e9d-8803-ba3e1787ab6c"/>
    <trimRootDocURI xmlns="4597da67-68a3-4e9d-8803-ba3e1787ab6c" xsi:nil="true"/>
    <trimRootDocNotes xmlns="4597da67-68a3-4e9d-8803-ba3e1787ab6c" xsi:nil="true"/>
    <trimRootDocACLCanViewDocument xmlns="4597da67-68a3-4e9d-8803-ba3e1787ab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EPT DOCUMENT" ma:contentTypeID="0x010100407620DDFF47524F86BCF55EDD39464301000DAC6FA52B3BBA488BBC5FC585C412CB" ma:contentTypeVersion="18" ma:contentTypeDescription="106" ma:contentTypeScope="" ma:versionID="cc0b1f088c1462e89dd26fe3a765f9a8">
  <xsd:schema xmlns:xsd="http://www.w3.org/2001/XMLSchema" xmlns:xs="http://www.w3.org/2001/XMLSchema" xmlns:p="http://schemas.microsoft.com/office/2006/metadata/properties" xmlns:ns2="4597da67-68a3-4e9d-8803-ba3e1787ab6c" targetNamespace="http://schemas.microsoft.com/office/2006/metadata/properties" ma:root="true" ma:fieldsID="7565b05217e68dd819d60f5503df44cc" ns2:_="">
    <xsd:import namespace="4597da67-68a3-4e9d-8803-ba3e1787ab6c"/>
    <xsd:element name="properties">
      <xsd:complexType>
        <xsd:sequence>
          <xsd:element name="documentManagement">
            <xsd:complexType>
              <xsd:all>
                <xsd:element ref="ns2:trimRootDocURI" minOccurs="0"/>
                <xsd:element ref="ns2:trimRootDocParentURI" minOccurs="0"/>
                <xsd:element ref="ns2:trimRootDocSecurityLevel" minOccurs="0"/>
                <xsd:element ref="ns2:trimRootDocSecurityCaveats" minOccurs="0"/>
                <xsd:element ref="ns2:trimRootDocACLCanViewDocument" minOccurs="0"/>
                <xsd:element ref="ns2:trimRootDocACLCanViewMetadata" minOccurs="0"/>
                <xsd:element ref="ns2:trimRootDocACLCanUpdateDocument" minOccurs="0"/>
                <xsd:element ref="ns2:trimRootDocACLCanUpdateMetadata" minOccurs="0"/>
                <xsd:element ref="ns2:trimRootDocACLCanModifyAccess" minOccurs="0"/>
                <xsd:element ref="ns2:trimRootDocNotes" minOccurs="0"/>
                <xsd:element ref="ns2:hab31d4ae2264d5c8e77fd86c07e7635" minOccurs="0"/>
                <xsd:element ref="ns2:c1aa94c1bcce43cc9138ccb9c7bf6e69" minOccurs="0"/>
                <xsd:element ref="ns2:e65fcc6ef396426b9c231bd6b3bc54de" minOccurs="0"/>
                <xsd:element ref="ns2:dd9c7627a75f4720a6ccce58a35e4d75" minOccurs="0"/>
                <xsd:element ref="ns2:trimRootDocACLCanContributeDocuments" minOccurs="0"/>
                <xsd:element ref="ns2:l30152c64bc5409cb0d6af5fc7998329" minOccurs="0"/>
                <xsd:element ref="ns2:TaxCatchAll" minOccurs="0"/>
                <xsd:element ref="ns2:ie56bdfdc4a44ef997c05b4ed8c67594" minOccurs="0"/>
                <xsd:element ref="ns2:TaxCatchAllLabel" minOccurs="0"/>
                <xsd:element ref="ns2:me786d0e3c9949dc83d6a9826d3f7afb" minOccurs="0"/>
                <xsd:element ref="ns2:e74c999a0f514bafbaad1ae53c56eac2" minOccurs="0"/>
                <xsd:element ref="ns2:l7f7762656034748af4098221ba10b64" minOccurs="0"/>
                <xsd:element ref="ns2:a26f7cb41fae41ebb6c8e377b7c30d71" minOccurs="0"/>
                <xsd:element ref="ns2:TrimUDF_String_39" minOccurs="0"/>
                <xsd:element ref="ns2:TrimUDF_String_40" minOccurs="0"/>
                <xsd:element ref="ns2:TrimUDF_String_696" minOccurs="0"/>
                <xsd:element ref="ns2:TrimUDF_Text_698" minOccurs="0"/>
                <xsd:element ref="ns2:TrimUDF_Text_7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da67-68a3-4e9d-8803-ba3e1787ab6c" elementFormDefault="qualified">
    <xsd:import namespace="http://schemas.microsoft.com/office/2006/documentManagement/types"/>
    <xsd:import namespace="http://schemas.microsoft.com/office/infopath/2007/PartnerControls"/>
    <xsd:element name="trimRootDocURI" ma:index="2" nillable="true" ma:displayName="URI" ma:hidden="true" ma:internalName="trimRootDocURI" ma:readOnly="false">
      <xsd:simpleType>
        <xsd:restriction base="dms:Text">
          <xsd:maxLength value="255"/>
        </xsd:restriction>
      </xsd:simpleType>
    </xsd:element>
    <xsd:element name="trimRootDocParentURI" ma:index="3" nillable="true" ma:displayName="Parent URI" ma:internalName="trimRootDocParentURI" ma:readOnly="false">
      <xsd:simpleType>
        <xsd:restriction base="dms:Number"/>
      </xsd:simpleType>
    </xsd:element>
    <xsd:element name="trimRootDocSecurityLevel" ma:index="4" nillable="true" ma:displayName="Security Level" ma:default="For Official Use Only" ma:format="Dropdown" ma:internalName="trimRootDocSecurityLevel" ma:readOnly="false">
      <xsd:simpleType>
        <xsd:restriction base="dms:Choice">
          <xsd:enumeration value="For Official Use Only"/>
          <xsd:enumeration value="Protected"/>
          <xsd:enumeration value="Confidential"/>
          <xsd:enumeration value="Secret"/>
          <xsd:enumeration value="Top Secret"/>
        </xsd:restriction>
      </xsd:simpleType>
    </xsd:element>
    <xsd:element name="trimRootDocSecurityCaveats" ma:index="5" nillable="true" ma:displayName="Security Caveats" ma:default="Departmental Staff" ma:internalName="trimRootDocSecurityCaveats" ma:readOnly="false">
      <xsd:complexType>
        <xsd:complexContent>
          <xsd:extension base="dms:MultiChoice">
            <xsd:sequence>
              <xsd:element name="Value" maxOccurs="unbounded" minOccurs="0" nillable="true">
                <xsd:simpleType>
                  <xsd:restriction base="dms:Choice">
                    <xsd:enumeration value="Commercial"/>
                    <xsd:enumeration value="Departmental Staff"/>
                    <xsd:enumeration value="For-Official-Use-Only"/>
                    <xsd:enumeration value="For-Official-Use-Only: Commercial"/>
                    <xsd:enumeration value="For-Official-Use-Only: Legal"/>
                    <xsd:enumeration value="For-Official-Use-Only: Staff"/>
                    <xsd:enumeration value="Sensitive"/>
                    <xsd:enumeration value="Sensitive: Cabinet"/>
                    <xsd:enumeration value="Sensitive: Legal"/>
                    <xsd:enumeration value="Sensitive: Personal"/>
                    <xsd:enumeration value="Admin"/>
                  </xsd:restriction>
                </xsd:simpleType>
              </xsd:element>
            </xsd:sequence>
          </xsd:extension>
        </xsd:complexContent>
      </xsd:complexType>
    </xsd:element>
    <xsd:element name="trimRootDocACLCanViewDocument" ma:index="6" nillable="true" ma:displayName="Can View Document" ma:format="RadioButtons" ma:internalName="trimRootDocACLCanViewDocument" ma:readOnly="false">
      <xsd:simpleType>
        <xsd:restriction base="dms:Choice">
          <xsd:enumeration value="Inherit"/>
          <xsd:enumeration value="Everyone"/>
          <xsd:enumeration value="Custom"/>
        </xsd:restriction>
      </xsd:simpleType>
    </xsd:element>
    <xsd:element name="trimRootDocACLCanViewMetadata" ma:index="8" nillable="true" ma:displayName="Can View Metadata" ma:format="RadioButtons" ma:internalName="trimRootDocACLCanViewMetadata" ma:readOnly="false">
      <xsd:simpleType>
        <xsd:restriction base="dms:Choice">
          <xsd:enumeration value="Inherit"/>
          <xsd:enumeration value="Everyone"/>
          <xsd:enumeration value="Custom"/>
        </xsd:restriction>
      </xsd:simpleType>
    </xsd:element>
    <xsd:element name="trimRootDocACLCanUpdateDocument" ma:index="10" nillable="true" ma:displayName="Can Update Document" ma:format="RadioButtons" ma:internalName="trimRootDocACLCanUpdateDocument" ma:readOnly="false">
      <xsd:simpleType>
        <xsd:restriction base="dms:Choice">
          <xsd:enumeration value="Inherit"/>
          <xsd:enumeration value="Everyone"/>
          <xsd:enumeration value="Custom"/>
        </xsd:restriction>
      </xsd:simpleType>
    </xsd:element>
    <xsd:element name="trimRootDocACLCanUpdateMetadata" ma:index="12" nillable="true" ma:displayName="Can Update Metadata" ma:format="RadioButtons" ma:internalName="trimRootDocACLCanUpdateMetadata" ma:readOnly="false">
      <xsd:simpleType>
        <xsd:restriction base="dms:Choice">
          <xsd:enumeration value="Inherit"/>
          <xsd:enumeration value="Everyone"/>
          <xsd:enumeration value="Custom"/>
        </xsd:restriction>
      </xsd:simpleType>
    </xsd:element>
    <xsd:element name="trimRootDocACLCanModifyAccess" ma:index="14" nillable="true" ma:displayName="Can Modify Access" ma:format="RadioButtons" ma:internalName="trimRootDocACLCanModifyAccess" ma:readOnly="false">
      <xsd:simpleType>
        <xsd:restriction base="dms:Choice">
          <xsd:enumeration value="Inherit"/>
          <xsd:enumeration value="Everyone"/>
          <xsd:enumeration value="Custom"/>
        </xsd:restriction>
      </xsd:simpleType>
    </xsd:element>
    <xsd:element name="trimRootDocNotes" ma:index="16" nillable="true" ma:displayName="Notes" ma:internalName="trimRootDocNotes" ma:readOnly="false">
      <xsd:simpleType>
        <xsd:restriction base="dms:Note"/>
      </xsd:simpleType>
    </xsd:element>
    <xsd:element name="hab31d4ae2264d5c8e77fd86c07e7635" ma:index="18" nillable="true" ma:taxonomy="true" ma:internalName="hab31d4ae2264d5c8e77fd86c07e7635" ma:taxonomyFieldName="trimRootDocACLCanViewMetadata_List" ma:displayName="Can View Metadata List" ma:readOnly="false" ma:fieldId="{1ab31d4a-e226-4d5c-8e77-fd86c07e763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c1aa94c1bcce43cc9138ccb9c7bf6e69" ma:index="21" nillable="true" ma:taxonomy="true" ma:internalName="c1aa94c1bcce43cc9138ccb9c7bf6e69" ma:taxonomyFieldName="trimRootDocACLCanUpdateDocument_List" ma:displayName="Can Update Document List" ma:readOnly="false" ma:fieldId="{c1aa94c1-bcce-43cc-9138-ccb9c7bf6e6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65fcc6ef396426b9c231bd6b3bc54de" ma:index="24" nillable="true" ma:taxonomy="true" ma:internalName="e65fcc6ef396426b9c231bd6b3bc54de" ma:taxonomyFieldName="trimRootDocACLCanUpdateMetadata_List" ma:displayName="Can Update Metadata List" ma:readOnly="false" ma:fieldId="{e65fcc6e-f396-426b-9c23-1bd6b3bc54de}"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dd9c7627a75f4720a6ccce58a35e4d75" ma:index="25" nillable="true" ma:taxonomy="true" ma:internalName="dd9c7627a75f4720a6ccce58a35e4d75" ma:taxonomyFieldName="trimRootDocACLCanViewDocument_List" ma:displayName="Can View Document List" ma:readOnly="false" ma:fieldId="{dd9c7627-a75f-4720-a6cc-ce58a35e4d7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ACLCanContributeDocuments" ma:index="26" nillable="true" ma:displayName="Can Contribute Content" ma:format="RadioButtons" ma:hidden="true" ma:internalName="trimRootDocACLCanContributeDocuments" ma:readOnly="false">
      <xsd:simpleType>
        <xsd:restriction base="dms:Choice">
          <xsd:enumeration value="Inherit"/>
          <xsd:enumeration value="Everyone"/>
          <xsd:enumeration value="Custom"/>
        </xsd:restriction>
      </xsd:simpleType>
    </xsd:element>
    <xsd:element name="l30152c64bc5409cb0d6af5fc7998329" ma:index="27" nillable="true" ma:taxonomy="true" ma:internalName="l30152c64bc5409cb0d6af5fc7998329" ma:taxonomyFieldName="trimRootDocACLCanContributeDocuments_List" ma:displayName="Can Contribute Content List" ma:readOnly="false" ma:default="" ma:fieldId="{530152c6-4bc5-409c-b0d6-af5fc799832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e1313e33-0c45-43da-8861-564a4ba3a667}" ma:internalName="TaxCatchAll" ma:showField="CatchAllData"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ie56bdfdc4a44ef997c05b4ed8c67594" ma:index="30" nillable="true" ma:taxonomy="true" ma:internalName="ie56bdfdc4a44ef997c05b4ed8c67594" ma:taxonomyFieldName="trimRootDocACLCanModifyAccess_List" ma:displayName="Can Modify Access List" ma:readOnly="false" ma:fieldId="{2e56bdfd-c4a4-4ef9-97c0-5b4ed8c67594}"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Label" ma:index="32" nillable="true" ma:displayName="Taxonomy Catch All Column1" ma:hidden="true" ma:list="{e1313e33-0c45-43da-8861-564a4ba3a667}" ma:internalName="TaxCatchAllLabel" ma:readOnly="true" ma:showField="CatchAllDataLabel"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me786d0e3c9949dc83d6a9826d3f7afb" ma:index="33" nillable="true" ma:taxonomy="true" ma:internalName="me786d0e3c9949dc83d6a9826d3f7afb" ma:taxonomyFieldName="trimRootDocOwnerLocation" ma:displayName="Owner" ma:readOnly="false" ma:fieldId="{6e786d0e-3c99-49dc-83d6-a9826d3f7afb}"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74c999a0f514bafbaad1ae53c56eac2" ma:index="35" nillable="true" ma:taxonomy="true" ma:internalName="e74c999a0f514bafbaad1ae53c56eac2" ma:taxonomyFieldName="trimRootDocOtherContactLocation" ma:displayName="Other Contact" ma:readOnly="false" ma:default="" ma:fieldId="{e74c999a-0f51-4baf-baad-1ae53c56eac2}"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l7f7762656034748af4098221ba10b64" ma:index="37" nillable="true" ma:taxonomy="true" ma:internalName="l7f7762656034748af4098221ba10b64" ma:taxonomyFieldName="trimRootDocAssigneeLocation" ma:displayName="Assignee" ma:readOnly="false" ma:default="" ma:fieldId="{57f77626-5603-4748-af40-98221ba10b64}"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a26f7cb41fae41ebb6c8e377b7c30d71" ma:index="39" nillable="true" ma:taxonomy="true" ma:internalName="a26f7cb41fae41ebb6c8e377b7c30d71" ma:taxonomyFieldName="trimRootDocClassification" ma:displayName="Classification" ma:readOnly="false" ma:default="" ma:fieldId="{a26f7cb4-1fae-41eb-b6c8-e377b7c30d71}" ma:sspId="2f9937d8-ded5-4646-b9c0-07a4c210d204" ma:termSetId="f9a750e0-e20a-43c2-89a6-4c381f79f1c1" ma:anchorId="00000000-0000-0000-0000-000000000000" ma:open="false" ma:isKeyword="false">
      <xsd:complexType>
        <xsd:sequence>
          <xsd:element ref="pc:Terms" minOccurs="0" maxOccurs="1"/>
        </xsd:sequence>
      </xsd:complexType>
    </xsd:element>
    <xsd:element name="TrimUDF_String_39" ma:index="41" nillable="true" ma:displayName="Document Type" ma:format="Dropdown" ma:hidden="true" ma:internalName="TrimUDF_String_39" ma:readOnly="false">
      <xsd:simpleType>
        <xsd:restriction base="dms:Choice">
          <xsd:enumeration value="COMMUNITY RELATIONS"/>
          <xsd:enumeration value="EQUIPMENT, STORES AND VECHICLES"/>
          <xsd:enumeration value="FINANCIAL MANAGEMENT"/>
          <xsd:enumeration value="GOVERNMENT AND IT &amp; T"/>
          <xsd:enumeration value="GOVERNMENT RELATIONS"/>
          <xsd:enumeration value="INDUSTRY DEVELOPMENT"/>
          <xsd:enumeration value="INFORMATION MANAGEMENT"/>
          <xsd:enumeration value="INFORMATION SYSTEMS"/>
          <xsd:enumeration value="LEGAL SERVICES"/>
          <xsd:enumeration value="PROPERTY MANAGEMENT"/>
          <xsd:enumeration value="RESEARCH AND STATISTICS"/>
          <xsd:enumeration value="STRATEGIC MANAGEMENT"/>
        </xsd:restriction>
      </xsd:simpleType>
    </xsd:element>
    <xsd:element name="TrimUDF_String_40" ma:index="42" nillable="true" ma:displayName="Classification 2" ma:format="Dropdown" ma:hidden="true" ma:internalName="TrimUDF_String_40" ma:readOnly="false">
      <xsd:simpleType>
        <xsd:restriction base="dms:Choice">
          <xsd:enumeration value="ACCESS AND EQUITY"/>
          <xsd:enumeration value="ACQUISITION AND DISPOSAL"/>
          <xsd:enumeration value="ASSET MANAGEMENT"/>
          <xsd:enumeration value="AUDITS"/>
          <xsd:enumeration value="BUDGETING"/>
          <xsd:enumeration value="BUSINESS IMPROVEMENT"/>
          <xsd:enumeration value="INTERGOVERNMENT LIAISON"/>
          <xsd:enumeration value="LEASING"/>
          <xsd:enumeration value="LEGAL ADVICE"/>
          <xsd:enumeration value="MAINTENANCE"/>
          <xsd:enumeration value="MEDIA RELATIONS"/>
          <xsd:enumeration value="PRIVACY"/>
          <xsd:enumeration value="PROJECTS"/>
          <xsd:enumeration value="PUBLIC REACTION"/>
          <xsd:enumeration value="REVIEWS"/>
          <xsd:enumeration value="RISK MANAGEMENT"/>
          <xsd:enumeration value="SECURITY"/>
          <xsd:enumeration value="STATISTICS"/>
        </xsd:restriction>
      </xsd:simpleType>
    </xsd:element>
    <xsd:element name="TrimUDF_String_696" ma:index="43" nillable="true" ma:displayName="Delete" ma:format="Dropdown" ma:hidden="true" ma:internalName="TrimUDF_String_696" ma:readOnly="false">
      <xsd:simpleType>
        <xsd:restriction base="dms:Choice">
          <xsd:enumeration value="Copy"/>
          <xsd:enumeration value="Draft"/>
          <xsd:enumeration value="Personal"/>
          <xsd:enumeration value="Published"/>
          <xsd:enumeration value="Transitory"/>
          <xsd:enumeration value="Working Paper"/>
        </xsd:restriction>
      </xsd:simpleType>
    </xsd:element>
    <xsd:element name="TrimUDF_Text_698" ma:index="44" nillable="true" ma:displayName="IMS Display" ma:hidden="true" ma:internalName="TrimUDF_Text_698" ma:readOnly="false">
      <xsd:simpleType>
        <xsd:restriction base="dms:Note"/>
      </xsd:simpleType>
    </xsd:element>
    <xsd:element name="TrimUDF_Text_706" ma:index="45" nillable="true" ma:displayName="Published" ma:hidden="true" ma:internalName="TrimUDF_Text_706"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4597A-91D6-44BA-BCE3-51964A2BBD54}">
  <ds:schemaRefs>
    <ds:schemaRef ds:uri="http://www.w3.org/XML/1998/namespace"/>
    <ds:schemaRef ds:uri="http://purl.org/dc/elements/1.1/"/>
    <ds:schemaRef ds:uri="http://purl.org/dc/terms/"/>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4597da67-68a3-4e9d-8803-ba3e1787ab6c"/>
  </ds:schemaRefs>
</ds:datastoreItem>
</file>

<file path=customXml/itemProps2.xml><?xml version="1.0" encoding="utf-8"?>
<ds:datastoreItem xmlns:ds="http://schemas.openxmlformats.org/officeDocument/2006/customXml" ds:itemID="{6C41E90D-0482-46AA-BB23-88B4198AD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da67-68a3-4e9d-8803-ba3e1787a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4DEDE-C00D-4A5F-BF4D-5F9AA6B8A5E7}">
  <ds:schemaRefs>
    <ds:schemaRef ds:uri="http://schemas.microsoft.com/sharepoint/v3/contenttype/forms"/>
  </ds:schemaRefs>
</ds:datastoreItem>
</file>

<file path=customXml/itemProps4.xml><?xml version="1.0" encoding="utf-8"?>
<ds:datastoreItem xmlns:ds="http://schemas.openxmlformats.org/officeDocument/2006/customXml" ds:itemID="{A68AC57D-FB70-46B6-A66C-1A1A664D5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768126D0</Template>
  <TotalTime>0</TotalTime>
  <Pages>56</Pages>
  <Words>15348</Words>
  <Characters>87485</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2014-08-19T02:59:00Z</dcterms:created>
  <dcterms:modified xsi:type="dcterms:W3CDTF">2014-08-19T02:59:00Z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0x010100407620DDFF47524F86BCF55EDD39464301000DAC6FA52B3BBA488BBC5FC585C412CB</vt:lpwstr>
  </property>
  <property fmtid="{D5CDD505-2E9C-101B-9397-08002B2CF9AE}" pid="3" name="TrimRevisionNumber">
    <vt:i4>106</vt:i4>
  </property>
  <property fmtid="{D5CDD505-2E9C-101B-9397-08002B2CF9AE}" pid="4" name="trimRootDocClassification">
    <vt:lpwstr/>
  </property>
  <property fmtid="{D5CDD505-2E9C-101B-9397-08002B2CF9AE}" pid="5" name="trimRootDocAssigneeLocation">
    <vt:lpwstr/>
  </property>
  <property fmtid="{D5CDD505-2E9C-101B-9397-08002B2CF9AE}" pid="6" name="trimRootDocOtherContactLocation">
    <vt:lpwstr/>
  </property>
  <property fmtid="{D5CDD505-2E9C-101B-9397-08002B2CF9AE}" pid="7" name="trimRootDocACLCanUpdateMetadata_List">
    <vt:lpwstr/>
  </property>
  <property fmtid="{D5CDD505-2E9C-101B-9397-08002B2CF9AE}" pid="8" name="trimRootDocACLCanModifyAccess_List">
    <vt:lpwstr/>
  </property>
  <property fmtid="{D5CDD505-2E9C-101B-9397-08002B2CF9AE}" pid="9" name="trimRootDocACLCanUpdateDocument_List">
    <vt:lpwstr/>
  </property>
  <property fmtid="{D5CDD505-2E9C-101B-9397-08002B2CF9AE}" pid="10" name="trimRootDocACLCanViewMetadata_List">
    <vt:lpwstr/>
  </property>
  <property fmtid="{D5CDD505-2E9C-101B-9397-08002B2CF9AE}" pid="11" name="uri">
    <vt:lpwstr>3816261</vt:lpwstr>
  </property>
  <property fmtid="{D5CDD505-2E9C-101B-9397-08002B2CF9AE}" pid="12" name="trimRootDocACLCanViewDocument_List">
    <vt:lpwstr/>
  </property>
  <property fmtid="{D5CDD505-2E9C-101B-9397-08002B2CF9AE}" pid="13" name="trimRootDocOwnerLocation">
    <vt:lpwstr/>
  </property>
  <property fmtid="{D5CDD505-2E9C-101B-9397-08002B2CF9AE}" pid="14" name="trimRootDocACLCanContributeDocuments_List">
    <vt:lpwstr/>
  </property>
</Properties>
</file>