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223B0A" w14:textId="198CFFDD" w:rsidR="00B940EE" w:rsidRDefault="00603136" w:rsidP="00A872E5">
      <w:pPr>
        <w:pStyle w:val="DBCDElogo"/>
      </w:pPr>
      <w:bookmarkStart w:id="0" w:name="_GoBack"/>
      <w:bookmarkEnd w:id="0"/>
      <w:r>
        <w:drawing>
          <wp:inline distT="0" distB="0" distL="0" distR="0" wp14:anchorId="7035092A" wp14:editId="18C34EBA">
            <wp:extent cx="2895600" cy="1170829"/>
            <wp:effectExtent l="0" t="0" r="0" b="0"/>
            <wp:docPr id="2" name="Picture 2" descr="Logo: Australian Government, Department of Communications and the Arts.&#10;&#10;Bureau of Communications Research.&#10;&#10;Twitter: #CommsAuBCR.&#10;communications.gov.au/BCR&#10;&#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t of Comms &amp; the Arts-Reg-Stacked-Press.png"/>
                    <pic:cNvPicPr/>
                  </pic:nvPicPr>
                  <pic:blipFill>
                    <a:blip r:embed="rId11">
                      <a:extLst>
                        <a:ext uri="{28A0092B-C50C-407E-A947-70E740481C1C}">
                          <a14:useLocalDpi xmlns:a14="http://schemas.microsoft.com/office/drawing/2010/main" val="0"/>
                        </a:ext>
                      </a:extLst>
                    </a:blip>
                    <a:stretch>
                      <a:fillRect/>
                    </a:stretch>
                  </pic:blipFill>
                  <pic:spPr>
                    <a:xfrm>
                      <a:off x="0" y="0"/>
                      <a:ext cx="2924593" cy="1182552"/>
                    </a:xfrm>
                    <a:prstGeom prst="rect">
                      <a:avLst/>
                    </a:prstGeom>
                  </pic:spPr>
                </pic:pic>
              </a:graphicData>
            </a:graphic>
          </wp:inline>
        </w:drawing>
      </w:r>
    </w:p>
    <w:p w14:paraId="51407F2D" w14:textId="77777777" w:rsidR="00A872E5" w:rsidRDefault="00A872E5" w:rsidP="00603136">
      <w:pPr>
        <w:pStyle w:val="Titlesub-heading"/>
        <w:spacing w:before="3000"/>
        <w:jc w:val="center"/>
        <w:rPr>
          <w:rStyle w:val="TitleheadingChar"/>
          <w:color w:val="auto"/>
        </w:rPr>
      </w:pPr>
    </w:p>
    <w:p w14:paraId="07C18051" w14:textId="77777777" w:rsidR="00603136" w:rsidRDefault="00603136" w:rsidP="00603136">
      <w:pPr>
        <w:pStyle w:val="Titlesub-heading"/>
        <w:spacing w:before="3000"/>
        <w:jc w:val="center"/>
        <w:rPr>
          <w:rStyle w:val="TitleheadingChar"/>
          <w:color w:val="auto"/>
        </w:rPr>
      </w:pPr>
      <w:r>
        <w:rPr>
          <w:rStyle w:val="TitleheadingChar"/>
          <w:color w:val="auto"/>
        </w:rPr>
        <w:t xml:space="preserve">IT use and </w:t>
      </w:r>
    </w:p>
    <w:p w14:paraId="256466DD" w14:textId="77777777" w:rsidR="00603136" w:rsidRDefault="00603136" w:rsidP="00603136">
      <w:pPr>
        <w:pStyle w:val="Titlesub-heading"/>
        <w:jc w:val="center"/>
        <w:rPr>
          <w:rStyle w:val="TitleheadingChar"/>
          <w:color w:val="auto"/>
        </w:rPr>
      </w:pPr>
      <w:r>
        <w:rPr>
          <w:rStyle w:val="TitleheadingChar"/>
          <w:color w:val="auto"/>
        </w:rPr>
        <w:t xml:space="preserve">Australia’s productivity: </w:t>
      </w:r>
    </w:p>
    <w:p w14:paraId="17CAF20C" w14:textId="77777777" w:rsidR="00603136" w:rsidRDefault="00603136" w:rsidP="00603136">
      <w:pPr>
        <w:pStyle w:val="Titlesub-heading"/>
        <w:jc w:val="center"/>
        <w:rPr>
          <w:rStyle w:val="TitleheadingChar"/>
          <w:color w:val="auto"/>
        </w:rPr>
      </w:pPr>
      <w:r>
        <w:rPr>
          <w:rStyle w:val="TitleheadingChar"/>
          <w:color w:val="auto"/>
        </w:rPr>
        <w:t>Where are we now?</w:t>
      </w:r>
    </w:p>
    <w:p w14:paraId="50B666EC" w14:textId="77777777" w:rsidR="00603136" w:rsidRDefault="00603136" w:rsidP="00603136">
      <w:pPr>
        <w:pStyle w:val="Titlesub-heading"/>
        <w:jc w:val="center"/>
        <w:sectPr w:rsidR="00603136" w:rsidSect="00603136">
          <w:headerReference w:type="default" r:id="rId12"/>
          <w:footerReference w:type="even" r:id="rId13"/>
          <w:footerReference w:type="default" r:id="rId14"/>
          <w:headerReference w:type="first" r:id="rId15"/>
          <w:footerReference w:type="first" r:id="rId16"/>
          <w:endnotePr>
            <w:numFmt w:val="lowerLetter"/>
          </w:endnotePr>
          <w:pgSz w:w="11906" w:h="16838" w:code="9"/>
          <w:pgMar w:top="568" w:right="1440" w:bottom="1276" w:left="1440" w:header="510" w:footer="454" w:gutter="0"/>
          <w:pgNumType w:fmt="lowerRoman" w:start="1"/>
          <w:cols w:space="708"/>
          <w:titlePg/>
          <w:docGrid w:linePitch="360"/>
        </w:sectPr>
      </w:pPr>
      <w:r w:rsidRPr="00603136">
        <w:t>February 2016</w:t>
      </w:r>
    </w:p>
    <w:p w14:paraId="68A37645" w14:textId="77777777" w:rsidR="00274AFF" w:rsidRDefault="00274AFF">
      <w:pPr>
        <w:spacing w:after="120"/>
        <w:ind w:left="1021" w:hanging="1021"/>
        <w:rPr>
          <w:rFonts w:ascii="Arial" w:eastAsia="Times New Roman" w:hAnsi="Arial" w:cs="Geogrotesque-Light"/>
          <w:color w:val="AB0F14" w:themeColor="text1"/>
          <w:sz w:val="28"/>
          <w:szCs w:val="33"/>
        </w:rPr>
      </w:pPr>
      <w:r>
        <w:rPr>
          <w:sz w:val="28"/>
        </w:rPr>
        <w:lastRenderedPageBreak/>
        <w:br w:type="page"/>
      </w:r>
    </w:p>
    <w:p w14:paraId="22FFD8D8" w14:textId="0B80D621" w:rsidR="002675D5" w:rsidRPr="0013252D" w:rsidRDefault="002675D5" w:rsidP="002675D5">
      <w:pPr>
        <w:pStyle w:val="copyrightHeading2Styles"/>
        <w:spacing w:before="360"/>
        <w:rPr>
          <w:sz w:val="28"/>
        </w:rPr>
      </w:pPr>
      <w:r>
        <w:rPr>
          <w:sz w:val="28"/>
        </w:rPr>
        <w:lastRenderedPageBreak/>
        <w:t>A</w:t>
      </w:r>
      <w:r w:rsidRPr="0013252D">
        <w:rPr>
          <w:sz w:val="28"/>
        </w:rPr>
        <w:t>bout this report</w:t>
      </w:r>
    </w:p>
    <w:p w14:paraId="4C2E8D8A" w14:textId="77777777" w:rsidR="002675D5" w:rsidRPr="00BC7B61" w:rsidRDefault="002675D5" w:rsidP="002675D5">
      <w:pPr>
        <w:pStyle w:val="copyrighttextStyles"/>
      </w:pPr>
      <w:r w:rsidRPr="00BC7B61">
        <w:rPr>
          <w:b/>
        </w:rPr>
        <w:t xml:space="preserve">IT use and Australia’s productivity: </w:t>
      </w:r>
      <w:r w:rsidRPr="00BC7B61">
        <w:rPr>
          <w:b/>
          <w:i/>
        </w:rPr>
        <w:t>Where are we now?</w:t>
      </w:r>
      <w:r>
        <w:rPr>
          <w:b/>
          <w:i/>
        </w:rPr>
        <w:t xml:space="preserve"> </w:t>
      </w:r>
      <w:r w:rsidRPr="00BC7B61">
        <w:t xml:space="preserve">is published by </w:t>
      </w:r>
      <w:r>
        <w:t>t</w:t>
      </w:r>
      <w:r w:rsidRPr="00BC7B61">
        <w:t>he Australian Government’s Department of Communications</w:t>
      </w:r>
      <w:r w:rsidR="00BD1E06">
        <w:t xml:space="preserve"> and the Arts</w:t>
      </w:r>
      <w:r w:rsidRPr="00BC7B61">
        <w:t xml:space="preserve"> – Bureau of Communications Research</w:t>
      </w:r>
      <w:r>
        <w:t xml:space="preserve">. </w:t>
      </w:r>
      <w:r w:rsidRPr="00BC7B61">
        <w:t>For further information about this report, please contact:</w:t>
      </w:r>
    </w:p>
    <w:p w14:paraId="30F8D461" w14:textId="77777777" w:rsidR="002675D5" w:rsidRPr="006E1D25" w:rsidRDefault="002675D5" w:rsidP="002675D5">
      <w:pPr>
        <w:pStyle w:val="copyrighttextStyles"/>
        <w:ind w:left="720"/>
      </w:pPr>
      <w:r w:rsidRPr="00BC7B61">
        <w:t>The Chief Economist</w:t>
      </w:r>
      <w:r w:rsidRPr="00BC7B61">
        <w:br/>
        <w:t>Bureau of Communications Research</w:t>
      </w:r>
      <w:r>
        <w:t xml:space="preserve"> - </w:t>
      </w:r>
      <w:r w:rsidRPr="00BC7B61">
        <w:t>Department of Communications</w:t>
      </w:r>
      <w:r w:rsidR="003B10E7">
        <w:t xml:space="preserve"> and the Arts</w:t>
      </w:r>
      <w:r>
        <w:br/>
      </w:r>
      <w:r w:rsidRPr="006E1D25">
        <w:t>Canberra Office: 38 Sydney Avenue, Forrest ACT 2603 Australia</w:t>
      </w:r>
      <w:r>
        <w:br/>
      </w:r>
      <w:r w:rsidRPr="006E1D25">
        <w:t>Sydney Office: Level 18, 31 Market Street, Sydney NSW 2000 Australia</w:t>
      </w:r>
      <w:r>
        <w:br/>
      </w:r>
      <w:r w:rsidRPr="006E1D25">
        <w:t xml:space="preserve">email: </w:t>
      </w:r>
      <w:hyperlink r:id="rId17" w:history="1">
        <w:r w:rsidR="00B23578" w:rsidRPr="003331A2">
          <w:rPr>
            <w:rStyle w:val="Hyperlink"/>
          </w:rPr>
          <w:t>bcr@communications.gov.au</w:t>
        </w:r>
      </w:hyperlink>
    </w:p>
    <w:p w14:paraId="54F860A2" w14:textId="77777777" w:rsidR="002675D5" w:rsidRPr="00553514" w:rsidRDefault="002675D5" w:rsidP="002675D5">
      <w:pPr>
        <w:pStyle w:val="copyrighttextStyles"/>
      </w:pPr>
      <w:r w:rsidRPr="00553514">
        <w:t xml:space="preserve">This report is available online at </w:t>
      </w:r>
      <w:hyperlink r:id="rId18" w:history="1">
        <w:r w:rsidRPr="00CC394E">
          <w:rPr>
            <w:i/>
          </w:rPr>
          <w:t>www.communications.gov.au/bcr</w:t>
        </w:r>
      </w:hyperlink>
    </w:p>
    <w:p w14:paraId="57A0070F" w14:textId="016E01D6" w:rsidR="002675D5" w:rsidRPr="00553514" w:rsidRDefault="00A71585" w:rsidP="002675D5">
      <w:pPr>
        <w:pStyle w:val="copyrighttextStyles"/>
      </w:pPr>
      <w:r>
        <w:t>Project t</w:t>
      </w:r>
      <w:r w:rsidR="002675D5" w:rsidRPr="00553514">
        <w:t>eam</w:t>
      </w:r>
      <w:r w:rsidR="002675D5">
        <w:t xml:space="preserve">: Dean Parham and </w:t>
      </w:r>
      <w:r w:rsidR="002675D5" w:rsidRPr="00553514">
        <w:t>Peace Segarajasekeran</w:t>
      </w:r>
    </w:p>
    <w:p w14:paraId="313BACFB" w14:textId="77777777" w:rsidR="002675D5" w:rsidRPr="0013252D" w:rsidRDefault="002675D5" w:rsidP="002675D5">
      <w:pPr>
        <w:pStyle w:val="copyrightHeading2Styles"/>
        <w:spacing w:before="360"/>
        <w:rPr>
          <w:sz w:val="28"/>
        </w:rPr>
      </w:pPr>
      <w:r w:rsidRPr="0013252D">
        <w:rPr>
          <w:sz w:val="28"/>
        </w:rPr>
        <w:t>Disclaimer</w:t>
      </w:r>
    </w:p>
    <w:p w14:paraId="5967ED8D" w14:textId="77777777" w:rsidR="002675D5" w:rsidRDefault="002675D5" w:rsidP="002675D5">
      <w:pPr>
        <w:pStyle w:val="copyrighttextStyles"/>
      </w:pPr>
      <w:r w:rsidRPr="001C5FDD">
        <w:t xml:space="preserve">The material in this </w:t>
      </w:r>
      <w:r>
        <w:t>report</w:t>
      </w:r>
      <w:r w:rsidRPr="001C5FDD">
        <w:t xml:space="preserve"> is of a general nature and should not be regarded as legal advice or relied on for assistance in any particular circumstance or emergency situation. In any important matter, you should seek appropriate independent professional advice in relation to your own circumstances.</w:t>
      </w:r>
    </w:p>
    <w:p w14:paraId="0311284C" w14:textId="77777777" w:rsidR="002675D5" w:rsidRPr="001C5FDD" w:rsidRDefault="002675D5" w:rsidP="002675D5">
      <w:pPr>
        <w:pStyle w:val="copyrighttextStyles"/>
      </w:pPr>
      <w:r w:rsidRPr="001C5FDD">
        <w:t xml:space="preserve">The Commonwealth accepts no responsibility or liability for any damage, loss or expense incurred as a result of the reliance on information contained in this </w:t>
      </w:r>
      <w:r>
        <w:t>report</w:t>
      </w:r>
      <w:r w:rsidRPr="001C5FDD">
        <w:t>.</w:t>
      </w:r>
    </w:p>
    <w:p w14:paraId="44439891" w14:textId="77777777" w:rsidR="002675D5" w:rsidRPr="00F818F8" w:rsidRDefault="002675D5" w:rsidP="002675D5">
      <w:pPr>
        <w:pStyle w:val="copyrighttextStyles"/>
      </w:pPr>
      <w:r w:rsidRPr="001C5FDD">
        <w:t xml:space="preserve">This </w:t>
      </w:r>
      <w:r>
        <w:t>report</w:t>
      </w:r>
      <w:r w:rsidRPr="001C5FDD">
        <w:t xml:space="preserve"> has been prepared for </w:t>
      </w:r>
      <w:r>
        <w:t>information</w:t>
      </w:r>
      <w:r w:rsidRPr="001C5FDD">
        <w:t xml:space="preserve"> only and does not indicate the Commonwealth’s commitment to a particular course of action. Additionally, any third party views or recommendations included in this </w:t>
      </w:r>
      <w:r>
        <w:t>report</w:t>
      </w:r>
      <w:r w:rsidRPr="001C5FDD">
        <w:t xml:space="preserve"> do not reflect the views of the Commonwealth, or indicate its commitment to a particular course of action.</w:t>
      </w:r>
    </w:p>
    <w:p w14:paraId="7040CBEA" w14:textId="77777777" w:rsidR="002675D5" w:rsidRPr="0013252D" w:rsidRDefault="002675D5" w:rsidP="002675D5">
      <w:pPr>
        <w:pStyle w:val="copyrightHeading2Styles"/>
        <w:spacing w:before="360"/>
        <w:rPr>
          <w:sz w:val="28"/>
        </w:rPr>
      </w:pPr>
      <w:r w:rsidRPr="0013252D">
        <w:rPr>
          <w:sz w:val="28"/>
        </w:rPr>
        <w:t>Copyright</w:t>
      </w:r>
    </w:p>
    <w:p w14:paraId="00DBCDAB" w14:textId="2360360D" w:rsidR="002675D5" w:rsidRDefault="002675D5" w:rsidP="00616E8C">
      <w:pPr>
        <w:pStyle w:val="copyrighttextStyles"/>
        <w:tabs>
          <w:tab w:val="left" w:pos="3560"/>
        </w:tabs>
        <w:rPr>
          <w:rFonts w:ascii="Calibri" w:hAnsi="Calibri" w:cs="Calibri"/>
          <w:color w:val="auto"/>
          <w:lang w:eastAsia="en-AU"/>
        </w:rPr>
      </w:pPr>
      <w:bookmarkStart w:id="1" w:name="_Toc356292516"/>
      <w:r>
        <w:rPr>
          <w:lang w:eastAsia="en-AU"/>
        </w:rPr>
        <w:t>© Commonwealth of Australia 201</w:t>
      </w:r>
      <w:bookmarkEnd w:id="1"/>
      <w:r w:rsidR="006F4CD7">
        <w:rPr>
          <w:lang w:eastAsia="en-AU"/>
        </w:rPr>
        <w:t>6</w:t>
      </w:r>
      <w:r>
        <w:rPr>
          <w:lang w:eastAsia="en-AU"/>
        </w:rPr>
        <w:t xml:space="preserve"> </w:t>
      </w:r>
      <w:r w:rsidR="00616E8C">
        <w:rPr>
          <w:lang w:eastAsia="en-AU"/>
        </w:rPr>
        <w:tab/>
      </w:r>
    </w:p>
    <w:p w14:paraId="0B6DBDC4" w14:textId="77777777" w:rsidR="002675D5" w:rsidRDefault="002675D5" w:rsidP="002675D5">
      <w:pPr>
        <w:pStyle w:val="copyrighttextStyles"/>
        <w:rPr>
          <w:lang w:eastAsia="en-AU"/>
        </w:rPr>
      </w:pPr>
      <w:bookmarkStart w:id="2" w:name="_Toc356292517"/>
      <w:r>
        <w:rPr>
          <w:noProof/>
          <w:lang w:eastAsia="en-AU"/>
        </w:rPr>
        <w:drawing>
          <wp:inline distT="0" distB="0" distL="0" distR="0" wp14:anchorId="4A12C28A" wp14:editId="4CBE0DBC">
            <wp:extent cx="836930" cy="293370"/>
            <wp:effectExtent l="0" t="0" r="1270" b="0"/>
            <wp:docPr id="1" name="Picture 1" title="Creative Commons Attribution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2"/>
      <w:r>
        <w:rPr>
          <w:lang w:eastAsia="en-AU"/>
        </w:rPr>
        <w:t>  The material in this report is licensed under a Creative Commons Attribution—3.0 Australia license, with the exception of:</w:t>
      </w:r>
      <w:r>
        <w:rPr>
          <w:lang w:eastAsia="en-AU"/>
        </w:rPr>
        <w:br/>
      </w:r>
    </w:p>
    <w:p w14:paraId="0C15B4DD" w14:textId="77777777" w:rsidR="002675D5" w:rsidRDefault="002675D5" w:rsidP="002675D5">
      <w:pPr>
        <w:pStyle w:val="copyrighttextStyles"/>
        <w:numPr>
          <w:ilvl w:val="0"/>
          <w:numId w:val="22"/>
        </w:numPr>
        <w:spacing w:before="0" w:line="240" w:lineRule="auto"/>
        <w:ind w:left="714" w:hanging="357"/>
        <w:rPr>
          <w:lang w:eastAsia="en-AU"/>
        </w:rPr>
      </w:pPr>
      <w:bookmarkStart w:id="3" w:name="_Toc356292518"/>
      <w:r>
        <w:rPr>
          <w:lang w:eastAsia="en-AU"/>
        </w:rPr>
        <w:t>the Commonwealth Coat of Arms</w:t>
      </w:r>
      <w:bookmarkEnd w:id="3"/>
      <w:r>
        <w:rPr>
          <w:lang w:eastAsia="en-AU"/>
        </w:rPr>
        <w:t>;</w:t>
      </w:r>
    </w:p>
    <w:p w14:paraId="37C84B27" w14:textId="77777777" w:rsidR="002675D5" w:rsidRDefault="002675D5" w:rsidP="002675D5">
      <w:pPr>
        <w:pStyle w:val="copyrighttextStyles"/>
        <w:numPr>
          <w:ilvl w:val="0"/>
          <w:numId w:val="22"/>
        </w:numPr>
        <w:spacing w:before="0" w:line="240" w:lineRule="auto"/>
        <w:ind w:left="714" w:hanging="357"/>
        <w:rPr>
          <w:lang w:eastAsia="en-AU"/>
        </w:rPr>
      </w:pPr>
      <w:bookmarkStart w:id="4" w:name="_Toc356292519"/>
      <w:r>
        <w:rPr>
          <w:lang w:eastAsia="en-AU"/>
        </w:rPr>
        <w:t>this Department’s logo</w:t>
      </w:r>
      <w:bookmarkEnd w:id="4"/>
      <w:r>
        <w:rPr>
          <w:lang w:eastAsia="en-AU"/>
        </w:rPr>
        <w:t>;</w:t>
      </w:r>
    </w:p>
    <w:p w14:paraId="19F7F697" w14:textId="77777777" w:rsidR="002675D5" w:rsidRDefault="002675D5" w:rsidP="002675D5">
      <w:pPr>
        <w:pStyle w:val="copyrighttextStyles"/>
        <w:numPr>
          <w:ilvl w:val="0"/>
          <w:numId w:val="22"/>
        </w:numPr>
        <w:spacing w:before="0" w:line="240" w:lineRule="auto"/>
        <w:ind w:left="714" w:hanging="357"/>
        <w:rPr>
          <w:lang w:eastAsia="en-AU"/>
        </w:rPr>
      </w:pPr>
      <w:r>
        <w:rPr>
          <w:lang w:eastAsia="en-AU"/>
        </w:rPr>
        <w:t>any third party material;</w:t>
      </w:r>
    </w:p>
    <w:p w14:paraId="58BBD1BA" w14:textId="77777777" w:rsidR="002675D5" w:rsidRDefault="002675D5" w:rsidP="002675D5">
      <w:pPr>
        <w:pStyle w:val="copyrighttextStyles"/>
        <w:numPr>
          <w:ilvl w:val="0"/>
          <w:numId w:val="22"/>
        </w:numPr>
        <w:spacing w:before="0" w:line="240" w:lineRule="auto"/>
        <w:ind w:left="714" w:hanging="357"/>
        <w:rPr>
          <w:lang w:eastAsia="en-AU"/>
        </w:rPr>
      </w:pPr>
      <w:r>
        <w:rPr>
          <w:lang w:eastAsia="en-AU"/>
        </w:rPr>
        <w:t>any material protected by a trademark; and</w:t>
      </w:r>
    </w:p>
    <w:p w14:paraId="3869A25D" w14:textId="77777777" w:rsidR="002675D5" w:rsidRDefault="002675D5" w:rsidP="002675D5">
      <w:pPr>
        <w:pStyle w:val="copyrighttextStyles"/>
        <w:numPr>
          <w:ilvl w:val="0"/>
          <w:numId w:val="22"/>
        </w:numPr>
        <w:spacing w:before="0" w:line="240" w:lineRule="auto"/>
        <w:ind w:left="714" w:hanging="357"/>
        <w:rPr>
          <w:lang w:eastAsia="en-AU"/>
        </w:rPr>
      </w:pPr>
      <w:r>
        <w:rPr>
          <w:lang w:eastAsia="en-AU"/>
        </w:rPr>
        <w:t>any images and/or photographs.</w:t>
      </w:r>
    </w:p>
    <w:p w14:paraId="4786A2CD" w14:textId="77777777" w:rsidR="002675D5" w:rsidRPr="006241BB" w:rsidRDefault="002675D5" w:rsidP="002675D5">
      <w:pPr>
        <w:pStyle w:val="copyrighttextStyles"/>
      </w:pPr>
      <w:bookmarkStart w:id="5" w:name="_Toc356292520"/>
      <w:r w:rsidRPr="006241BB">
        <w:t>More information on this CC BY license is set out at</w:t>
      </w:r>
      <w:r>
        <w:t xml:space="preserve"> the creative commons website:</w:t>
      </w:r>
      <w:r w:rsidRPr="006241BB">
        <w:t xml:space="preserve"> </w:t>
      </w:r>
      <w:bookmarkEnd w:id="5"/>
      <w:r>
        <w:fldChar w:fldCharType="begin"/>
      </w:r>
      <w:r>
        <w:instrText xml:space="preserve"> HYPERLINK "http://www.creativecommons.org/licenses/by/3.0/au/" </w:instrText>
      </w:r>
      <w:r>
        <w:fldChar w:fldCharType="separate"/>
      </w:r>
      <w:r w:rsidRPr="006241BB">
        <w:rPr>
          <w:rStyle w:val="Hyperlink"/>
        </w:rPr>
        <w:t>www.creativecommons.org/licenses/by/3.0/au/</w:t>
      </w:r>
      <w:r>
        <w:fldChar w:fldCharType="end"/>
      </w:r>
      <w:r>
        <w:t xml:space="preserve">. </w:t>
      </w:r>
      <w:r w:rsidRPr="006241BB">
        <w:t xml:space="preserve">Enquiries about this license and any use of this </w:t>
      </w:r>
      <w:r>
        <w:t>report</w:t>
      </w:r>
      <w:r w:rsidRPr="006241BB">
        <w:t xml:space="preserve"> can be sent to: </w:t>
      </w:r>
      <w:r>
        <w:t>National Security and International Branch</w:t>
      </w:r>
      <w:r w:rsidRPr="006241BB">
        <w:t>, Department of Communications, GPO Box 2154, Canberra, ACT, 2601.</w:t>
      </w:r>
    </w:p>
    <w:p w14:paraId="13206439" w14:textId="77777777" w:rsidR="002675D5" w:rsidRDefault="002675D5" w:rsidP="002675D5">
      <w:pPr>
        <w:pStyle w:val="copyrighttextStyles"/>
        <w:rPr>
          <w:b/>
          <w:bCs/>
          <w:lang w:eastAsia="en-AU"/>
        </w:rPr>
      </w:pPr>
      <w:bookmarkStart w:id="6" w:name="_Toc356292521"/>
      <w:r>
        <w:rPr>
          <w:b/>
          <w:bCs/>
          <w:lang w:eastAsia="en-AU"/>
        </w:rPr>
        <w:t>Attribution</w:t>
      </w:r>
      <w:bookmarkEnd w:id="6"/>
    </w:p>
    <w:p w14:paraId="5CB198B3" w14:textId="77777777" w:rsidR="002675D5" w:rsidRDefault="002675D5" w:rsidP="002675D5">
      <w:pPr>
        <w:pStyle w:val="copyrighttextStyles"/>
        <w:rPr>
          <w:lang w:eastAsia="en-AU"/>
        </w:rPr>
      </w:pPr>
      <w:bookmarkStart w:id="7" w:name="_Toc356292522"/>
      <w:r>
        <w:rPr>
          <w:lang w:eastAsia="en-AU"/>
        </w:rPr>
        <w:t>Use of all or part of this report must include the following attribution:</w:t>
      </w:r>
      <w:bookmarkEnd w:id="7"/>
    </w:p>
    <w:p w14:paraId="243BFB7F" w14:textId="77777777" w:rsidR="002675D5" w:rsidRDefault="002675D5" w:rsidP="002675D5">
      <w:pPr>
        <w:pStyle w:val="copyrighttextStyles"/>
        <w:ind w:left="720"/>
        <w:rPr>
          <w:lang w:eastAsia="en-AU"/>
        </w:rPr>
      </w:pPr>
      <w:bookmarkStart w:id="8" w:name="_Toc356292523"/>
      <w:r>
        <w:rPr>
          <w:lang w:eastAsia="en-AU"/>
        </w:rPr>
        <w:t>© Commonwealth of Australia 201</w:t>
      </w:r>
      <w:bookmarkEnd w:id="8"/>
      <w:r>
        <w:rPr>
          <w:lang w:eastAsia="en-AU"/>
        </w:rPr>
        <w:t>5</w:t>
      </w:r>
    </w:p>
    <w:p w14:paraId="2C2C0344" w14:textId="77777777" w:rsidR="002675D5" w:rsidRDefault="002675D5" w:rsidP="002675D5">
      <w:pPr>
        <w:pStyle w:val="copyrighttextStyles"/>
        <w:rPr>
          <w:b/>
          <w:bCs/>
          <w:lang w:eastAsia="en-AU"/>
        </w:rPr>
      </w:pPr>
      <w:bookmarkStart w:id="9" w:name="_Toc356292524"/>
      <w:r>
        <w:rPr>
          <w:b/>
          <w:bCs/>
          <w:lang w:eastAsia="en-AU"/>
        </w:rPr>
        <w:t>Using the Commonwealth Coat of Arms</w:t>
      </w:r>
      <w:bookmarkEnd w:id="9"/>
    </w:p>
    <w:p w14:paraId="2F861029" w14:textId="77777777" w:rsidR="002675D5" w:rsidRPr="006241BB" w:rsidRDefault="002675D5" w:rsidP="002675D5">
      <w:pPr>
        <w:pStyle w:val="copyrighttextStyles"/>
      </w:pPr>
      <w:bookmarkStart w:id="10" w:name="_Toc356292525"/>
      <w:r w:rsidRPr="006241BB">
        <w:t xml:space="preserve">The terms of use for the Coat of Arms are available from the </w:t>
      </w:r>
      <w:r w:rsidRPr="006241BB">
        <w:rPr>
          <w:i/>
        </w:rPr>
        <w:t xml:space="preserve">It’s an Honour </w:t>
      </w:r>
      <w:r w:rsidRPr="006241BB">
        <w:t xml:space="preserve">website </w:t>
      </w:r>
      <w:r w:rsidRPr="006241BB">
        <w:br/>
        <w:t xml:space="preserve">(see </w:t>
      </w:r>
      <w:bookmarkEnd w:id="10"/>
      <w:r>
        <w:fldChar w:fldCharType="begin"/>
      </w:r>
      <w:r>
        <w:instrText xml:space="preserve"> HYPERLINK "http://www.itsanhonour.gov.au/" </w:instrText>
      </w:r>
      <w:r>
        <w:fldChar w:fldCharType="separate"/>
      </w:r>
      <w:r w:rsidRPr="006241BB">
        <w:rPr>
          <w:rStyle w:val="Hyperlink"/>
        </w:rPr>
        <w:t>www.itsanhonour.gov.au</w:t>
      </w:r>
      <w:r>
        <w:fldChar w:fldCharType="end"/>
      </w:r>
      <w:r w:rsidRPr="006241BB">
        <w:t xml:space="preserve"> and click ‘Commonwealth Coat of Arms’).</w:t>
      </w:r>
    </w:p>
    <w:p w14:paraId="4526C12C" w14:textId="77777777" w:rsidR="009462B0" w:rsidRDefault="009462B0" w:rsidP="006241BB">
      <w:pPr>
        <w:pStyle w:val="copyrighttextStyles"/>
        <w:sectPr w:rsidR="009462B0" w:rsidSect="00274AFF">
          <w:headerReference w:type="default" r:id="rId21"/>
          <w:footerReference w:type="default" r:id="rId22"/>
          <w:endnotePr>
            <w:numFmt w:val="lowerLetter"/>
          </w:endnotePr>
          <w:type w:val="continuous"/>
          <w:pgSz w:w="11906" w:h="16838" w:code="9"/>
          <w:pgMar w:top="1843" w:right="1440" w:bottom="1276" w:left="1440" w:header="0" w:footer="454" w:gutter="0"/>
          <w:pgNumType w:fmt="lowerRoman" w:start="1"/>
          <w:cols w:space="708"/>
          <w:titlePg/>
          <w:docGrid w:linePitch="360"/>
        </w:sectPr>
      </w:pPr>
    </w:p>
    <w:p w14:paraId="7ACD8B60" w14:textId="77777777" w:rsidR="00375729" w:rsidRPr="006F4CD7" w:rsidRDefault="00375729" w:rsidP="006F4CD7">
      <w:pPr>
        <w:pStyle w:val="BCRTOCHeading1"/>
      </w:pPr>
      <w:bookmarkStart w:id="11" w:name="_Toc437423870"/>
      <w:bookmarkStart w:id="12" w:name="_Toc437613062"/>
      <w:bookmarkStart w:id="13" w:name="_Toc442259394"/>
      <w:bookmarkStart w:id="14" w:name="_Toc442448179"/>
      <w:r w:rsidRPr="006F4CD7">
        <w:lastRenderedPageBreak/>
        <w:t>Contents</w:t>
      </w:r>
      <w:bookmarkEnd w:id="11"/>
      <w:bookmarkEnd w:id="12"/>
      <w:bookmarkEnd w:id="13"/>
      <w:bookmarkEnd w:id="14"/>
    </w:p>
    <w:p w14:paraId="45A99DAF" w14:textId="6A6F555C" w:rsidR="006F4CD7" w:rsidRDefault="00375729">
      <w:pPr>
        <w:pStyle w:val="TOC1"/>
        <w:rPr>
          <w:rFonts w:asciiTheme="minorHAnsi" w:eastAsiaTheme="minorEastAsia" w:hAnsiTheme="minorHAnsi"/>
          <w:b w:val="0"/>
          <w:sz w:val="22"/>
          <w:lang w:eastAsia="en-AU"/>
        </w:rPr>
      </w:pPr>
      <w:r w:rsidRPr="00CF3D6E">
        <w:rPr>
          <w:rFonts w:asciiTheme="minorHAnsi" w:hAnsiTheme="minorHAnsi"/>
          <w:sz w:val="22"/>
        </w:rPr>
        <w:fldChar w:fldCharType="begin"/>
      </w:r>
      <w:r w:rsidRPr="00CF3D6E">
        <w:rPr>
          <w:rFonts w:asciiTheme="minorHAnsi" w:hAnsiTheme="minorHAnsi"/>
          <w:sz w:val="22"/>
        </w:rPr>
        <w:instrText xml:space="preserve"> TOC \o "1-1" \h \z \t "Heading 2,2,Heading 3,3" </w:instrText>
      </w:r>
      <w:r w:rsidRPr="00CF3D6E">
        <w:rPr>
          <w:rFonts w:asciiTheme="minorHAnsi" w:hAnsiTheme="minorHAnsi"/>
          <w:sz w:val="22"/>
        </w:rPr>
        <w:fldChar w:fldCharType="separate"/>
      </w:r>
    </w:p>
    <w:p w14:paraId="17132E79" w14:textId="77777777" w:rsidR="006F4CD7" w:rsidRDefault="00375FD5" w:rsidP="006F4CD7">
      <w:pPr>
        <w:pStyle w:val="TOC1"/>
        <w:ind w:left="0" w:firstLine="0"/>
        <w:rPr>
          <w:rFonts w:asciiTheme="minorHAnsi" w:eastAsiaTheme="minorEastAsia" w:hAnsiTheme="minorHAnsi"/>
          <w:b w:val="0"/>
          <w:sz w:val="22"/>
          <w:lang w:eastAsia="en-AU"/>
        </w:rPr>
      </w:pPr>
      <w:hyperlink w:anchor="_Toc442448180" w:history="1">
        <w:r w:rsidR="006F4CD7" w:rsidRPr="003D52EE">
          <w:rPr>
            <w:rStyle w:val="Hyperlink"/>
          </w:rPr>
          <w:t>Executive summary</w:t>
        </w:r>
        <w:r w:rsidR="006F4CD7">
          <w:rPr>
            <w:webHidden/>
          </w:rPr>
          <w:tab/>
        </w:r>
        <w:r w:rsidR="006F4CD7">
          <w:rPr>
            <w:webHidden/>
          </w:rPr>
          <w:fldChar w:fldCharType="begin"/>
        </w:r>
        <w:r w:rsidR="006F4CD7">
          <w:rPr>
            <w:webHidden/>
          </w:rPr>
          <w:instrText xml:space="preserve"> PAGEREF _Toc442448180 \h </w:instrText>
        </w:r>
        <w:r w:rsidR="006F4CD7">
          <w:rPr>
            <w:webHidden/>
          </w:rPr>
        </w:r>
        <w:r w:rsidR="006F4CD7">
          <w:rPr>
            <w:webHidden/>
          </w:rPr>
          <w:fldChar w:fldCharType="separate"/>
        </w:r>
        <w:r w:rsidR="006F4CD7">
          <w:rPr>
            <w:webHidden/>
          </w:rPr>
          <w:t>1</w:t>
        </w:r>
        <w:r w:rsidR="006F4CD7">
          <w:rPr>
            <w:webHidden/>
          </w:rPr>
          <w:fldChar w:fldCharType="end"/>
        </w:r>
      </w:hyperlink>
    </w:p>
    <w:p w14:paraId="55EAA103" w14:textId="77777777" w:rsidR="006F4CD7" w:rsidRDefault="00375FD5">
      <w:pPr>
        <w:pStyle w:val="TOC1"/>
        <w:rPr>
          <w:rFonts w:asciiTheme="minorHAnsi" w:eastAsiaTheme="minorEastAsia" w:hAnsiTheme="minorHAnsi"/>
          <w:b w:val="0"/>
          <w:sz w:val="22"/>
          <w:lang w:eastAsia="en-AU"/>
        </w:rPr>
      </w:pPr>
      <w:hyperlink w:anchor="_Toc442448181" w:history="1">
        <w:r w:rsidR="006F4CD7" w:rsidRPr="003D52EE">
          <w:rPr>
            <w:rStyle w:val="Hyperlink"/>
          </w:rPr>
          <w:t>1</w:t>
        </w:r>
        <w:r w:rsidR="006F4CD7">
          <w:rPr>
            <w:rFonts w:asciiTheme="minorHAnsi" w:eastAsiaTheme="minorEastAsia" w:hAnsiTheme="minorHAnsi"/>
            <w:b w:val="0"/>
            <w:sz w:val="22"/>
            <w:lang w:eastAsia="en-AU"/>
          </w:rPr>
          <w:tab/>
        </w:r>
        <w:r w:rsidR="006F4CD7" w:rsidRPr="003D52EE">
          <w:rPr>
            <w:rStyle w:val="Hyperlink"/>
          </w:rPr>
          <w:t>Introduction</w:t>
        </w:r>
        <w:r w:rsidR="006F4CD7">
          <w:rPr>
            <w:webHidden/>
          </w:rPr>
          <w:tab/>
        </w:r>
        <w:r w:rsidR="006F4CD7">
          <w:rPr>
            <w:webHidden/>
          </w:rPr>
          <w:fldChar w:fldCharType="begin"/>
        </w:r>
        <w:r w:rsidR="006F4CD7">
          <w:rPr>
            <w:webHidden/>
          </w:rPr>
          <w:instrText xml:space="preserve"> PAGEREF _Toc442448181 \h </w:instrText>
        </w:r>
        <w:r w:rsidR="006F4CD7">
          <w:rPr>
            <w:webHidden/>
          </w:rPr>
        </w:r>
        <w:r w:rsidR="006F4CD7">
          <w:rPr>
            <w:webHidden/>
          </w:rPr>
          <w:fldChar w:fldCharType="separate"/>
        </w:r>
        <w:r w:rsidR="006F4CD7">
          <w:rPr>
            <w:webHidden/>
          </w:rPr>
          <w:t>4</w:t>
        </w:r>
        <w:r w:rsidR="006F4CD7">
          <w:rPr>
            <w:webHidden/>
          </w:rPr>
          <w:fldChar w:fldCharType="end"/>
        </w:r>
      </w:hyperlink>
    </w:p>
    <w:p w14:paraId="252FCDC1" w14:textId="77777777" w:rsidR="006F4CD7" w:rsidRDefault="00375FD5">
      <w:pPr>
        <w:pStyle w:val="TOC1"/>
        <w:rPr>
          <w:rFonts w:asciiTheme="minorHAnsi" w:eastAsiaTheme="minorEastAsia" w:hAnsiTheme="minorHAnsi"/>
          <w:b w:val="0"/>
          <w:sz w:val="22"/>
          <w:lang w:eastAsia="en-AU"/>
        </w:rPr>
      </w:pPr>
      <w:hyperlink w:anchor="_Toc442448182" w:history="1">
        <w:r w:rsidR="006F4CD7" w:rsidRPr="003D52EE">
          <w:rPr>
            <w:rStyle w:val="Hyperlink"/>
          </w:rPr>
          <w:t>2</w:t>
        </w:r>
        <w:r w:rsidR="006F4CD7">
          <w:rPr>
            <w:rFonts w:asciiTheme="minorHAnsi" w:eastAsiaTheme="minorEastAsia" w:hAnsiTheme="minorHAnsi"/>
            <w:b w:val="0"/>
            <w:sz w:val="22"/>
            <w:lang w:eastAsia="en-AU"/>
          </w:rPr>
          <w:tab/>
        </w:r>
        <w:r w:rsidR="006F4CD7" w:rsidRPr="003D52EE">
          <w:rPr>
            <w:rStyle w:val="Hyperlink"/>
          </w:rPr>
          <w:t>How ICTs affect productivity</w:t>
        </w:r>
        <w:r w:rsidR="006F4CD7">
          <w:rPr>
            <w:webHidden/>
          </w:rPr>
          <w:tab/>
        </w:r>
        <w:r w:rsidR="006F4CD7">
          <w:rPr>
            <w:webHidden/>
          </w:rPr>
          <w:fldChar w:fldCharType="begin"/>
        </w:r>
        <w:r w:rsidR="006F4CD7">
          <w:rPr>
            <w:webHidden/>
          </w:rPr>
          <w:instrText xml:space="preserve"> PAGEREF _Toc442448182 \h </w:instrText>
        </w:r>
        <w:r w:rsidR="006F4CD7">
          <w:rPr>
            <w:webHidden/>
          </w:rPr>
        </w:r>
        <w:r w:rsidR="006F4CD7">
          <w:rPr>
            <w:webHidden/>
          </w:rPr>
          <w:fldChar w:fldCharType="separate"/>
        </w:r>
        <w:r w:rsidR="006F4CD7">
          <w:rPr>
            <w:webHidden/>
          </w:rPr>
          <w:t>7</w:t>
        </w:r>
        <w:r w:rsidR="006F4CD7">
          <w:rPr>
            <w:webHidden/>
          </w:rPr>
          <w:fldChar w:fldCharType="end"/>
        </w:r>
      </w:hyperlink>
    </w:p>
    <w:p w14:paraId="35F51A8A" w14:textId="77777777" w:rsidR="006F4CD7" w:rsidRDefault="00375FD5">
      <w:pPr>
        <w:pStyle w:val="TOC1"/>
        <w:rPr>
          <w:rFonts w:asciiTheme="minorHAnsi" w:eastAsiaTheme="minorEastAsia" w:hAnsiTheme="minorHAnsi"/>
          <w:b w:val="0"/>
          <w:sz w:val="22"/>
          <w:lang w:eastAsia="en-AU"/>
        </w:rPr>
      </w:pPr>
      <w:hyperlink w:anchor="_Toc442448183" w:history="1">
        <w:r w:rsidR="006F4CD7" w:rsidRPr="003D52EE">
          <w:rPr>
            <w:rStyle w:val="Hyperlink"/>
          </w:rPr>
          <w:t>3</w:t>
        </w:r>
        <w:r w:rsidR="006F4CD7">
          <w:rPr>
            <w:rFonts w:asciiTheme="minorHAnsi" w:eastAsiaTheme="minorEastAsia" w:hAnsiTheme="minorHAnsi"/>
            <w:b w:val="0"/>
            <w:sz w:val="22"/>
            <w:lang w:eastAsia="en-AU"/>
          </w:rPr>
          <w:tab/>
        </w:r>
        <w:r w:rsidR="006F4CD7" w:rsidRPr="003D52EE">
          <w:rPr>
            <w:rStyle w:val="Hyperlink"/>
          </w:rPr>
          <w:t>Setting the scene: trends in IT use and productivity</w:t>
        </w:r>
        <w:r w:rsidR="006F4CD7">
          <w:rPr>
            <w:webHidden/>
          </w:rPr>
          <w:tab/>
        </w:r>
        <w:r w:rsidR="006F4CD7">
          <w:rPr>
            <w:webHidden/>
          </w:rPr>
          <w:fldChar w:fldCharType="begin"/>
        </w:r>
        <w:r w:rsidR="006F4CD7">
          <w:rPr>
            <w:webHidden/>
          </w:rPr>
          <w:instrText xml:space="preserve"> PAGEREF _Toc442448183 \h </w:instrText>
        </w:r>
        <w:r w:rsidR="006F4CD7">
          <w:rPr>
            <w:webHidden/>
          </w:rPr>
        </w:r>
        <w:r w:rsidR="006F4CD7">
          <w:rPr>
            <w:webHidden/>
          </w:rPr>
          <w:fldChar w:fldCharType="separate"/>
        </w:r>
        <w:r w:rsidR="006F4CD7">
          <w:rPr>
            <w:webHidden/>
          </w:rPr>
          <w:t>11</w:t>
        </w:r>
        <w:r w:rsidR="006F4CD7">
          <w:rPr>
            <w:webHidden/>
          </w:rPr>
          <w:fldChar w:fldCharType="end"/>
        </w:r>
      </w:hyperlink>
    </w:p>
    <w:p w14:paraId="1707E72B" w14:textId="77777777" w:rsidR="006F4CD7" w:rsidRDefault="00375FD5">
      <w:pPr>
        <w:pStyle w:val="TOC1"/>
        <w:rPr>
          <w:rFonts w:asciiTheme="minorHAnsi" w:eastAsiaTheme="minorEastAsia" w:hAnsiTheme="minorHAnsi"/>
          <w:b w:val="0"/>
          <w:sz w:val="22"/>
          <w:lang w:eastAsia="en-AU"/>
        </w:rPr>
      </w:pPr>
      <w:hyperlink w:anchor="_Toc442448184" w:history="1">
        <w:r w:rsidR="006F4CD7" w:rsidRPr="003D52EE">
          <w:rPr>
            <w:rStyle w:val="Hyperlink"/>
          </w:rPr>
          <w:t>4</w:t>
        </w:r>
        <w:r w:rsidR="006F4CD7">
          <w:rPr>
            <w:rFonts w:asciiTheme="minorHAnsi" w:eastAsiaTheme="minorEastAsia" w:hAnsiTheme="minorHAnsi"/>
            <w:b w:val="0"/>
            <w:sz w:val="22"/>
            <w:lang w:eastAsia="en-AU"/>
          </w:rPr>
          <w:tab/>
        </w:r>
        <w:r w:rsidR="006F4CD7" w:rsidRPr="003D52EE">
          <w:rPr>
            <w:rStyle w:val="Hyperlink"/>
          </w:rPr>
          <w:t>The growth accounting approach</w:t>
        </w:r>
        <w:r w:rsidR="006F4CD7">
          <w:rPr>
            <w:webHidden/>
          </w:rPr>
          <w:tab/>
        </w:r>
        <w:r w:rsidR="006F4CD7">
          <w:rPr>
            <w:webHidden/>
          </w:rPr>
          <w:fldChar w:fldCharType="begin"/>
        </w:r>
        <w:r w:rsidR="006F4CD7">
          <w:rPr>
            <w:webHidden/>
          </w:rPr>
          <w:instrText xml:space="preserve"> PAGEREF _Toc442448184 \h </w:instrText>
        </w:r>
        <w:r w:rsidR="006F4CD7">
          <w:rPr>
            <w:webHidden/>
          </w:rPr>
        </w:r>
        <w:r w:rsidR="006F4CD7">
          <w:rPr>
            <w:webHidden/>
          </w:rPr>
          <w:fldChar w:fldCharType="separate"/>
        </w:r>
        <w:r w:rsidR="006F4CD7">
          <w:rPr>
            <w:webHidden/>
          </w:rPr>
          <w:t>23</w:t>
        </w:r>
        <w:r w:rsidR="006F4CD7">
          <w:rPr>
            <w:webHidden/>
          </w:rPr>
          <w:fldChar w:fldCharType="end"/>
        </w:r>
      </w:hyperlink>
    </w:p>
    <w:p w14:paraId="253C1797" w14:textId="77777777" w:rsidR="006F4CD7" w:rsidRDefault="00375FD5">
      <w:pPr>
        <w:pStyle w:val="TOC1"/>
        <w:rPr>
          <w:rFonts w:asciiTheme="minorHAnsi" w:eastAsiaTheme="minorEastAsia" w:hAnsiTheme="minorHAnsi"/>
          <w:b w:val="0"/>
          <w:sz w:val="22"/>
          <w:lang w:eastAsia="en-AU"/>
        </w:rPr>
      </w:pPr>
      <w:hyperlink w:anchor="_Toc442448185" w:history="1">
        <w:r w:rsidR="006F4CD7" w:rsidRPr="003D52EE">
          <w:rPr>
            <w:rStyle w:val="Hyperlink"/>
          </w:rPr>
          <w:t>5.</w:t>
        </w:r>
        <w:r w:rsidR="006F4CD7">
          <w:rPr>
            <w:rFonts w:asciiTheme="minorHAnsi" w:eastAsiaTheme="minorEastAsia" w:hAnsiTheme="minorHAnsi"/>
            <w:b w:val="0"/>
            <w:sz w:val="22"/>
            <w:lang w:eastAsia="en-AU"/>
          </w:rPr>
          <w:tab/>
        </w:r>
        <w:r w:rsidR="006F4CD7" w:rsidRPr="003D52EE">
          <w:rPr>
            <w:rStyle w:val="Hyperlink"/>
          </w:rPr>
          <w:t>Data</w:t>
        </w:r>
        <w:r w:rsidR="006F4CD7">
          <w:rPr>
            <w:webHidden/>
          </w:rPr>
          <w:tab/>
        </w:r>
        <w:r w:rsidR="006F4CD7">
          <w:rPr>
            <w:webHidden/>
          </w:rPr>
          <w:fldChar w:fldCharType="begin"/>
        </w:r>
        <w:r w:rsidR="006F4CD7">
          <w:rPr>
            <w:webHidden/>
          </w:rPr>
          <w:instrText xml:space="preserve"> PAGEREF _Toc442448185 \h </w:instrText>
        </w:r>
        <w:r w:rsidR="006F4CD7">
          <w:rPr>
            <w:webHidden/>
          </w:rPr>
        </w:r>
        <w:r w:rsidR="006F4CD7">
          <w:rPr>
            <w:webHidden/>
          </w:rPr>
          <w:fldChar w:fldCharType="separate"/>
        </w:r>
        <w:r w:rsidR="006F4CD7">
          <w:rPr>
            <w:webHidden/>
          </w:rPr>
          <w:t>29</w:t>
        </w:r>
        <w:r w:rsidR="006F4CD7">
          <w:rPr>
            <w:webHidden/>
          </w:rPr>
          <w:fldChar w:fldCharType="end"/>
        </w:r>
      </w:hyperlink>
    </w:p>
    <w:p w14:paraId="0D61D3D3" w14:textId="77777777" w:rsidR="006F4CD7" w:rsidRDefault="00375FD5">
      <w:pPr>
        <w:pStyle w:val="TOC1"/>
        <w:rPr>
          <w:rFonts w:asciiTheme="minorHAnsi" w:eastAsiaTheme="minorEastAsia" w:hAnsiTheme="minorHAnsi"/>
          <w:b w:val="0"/>
          <w:sz w:val="22"/>
          <w:lang w:eastAsia="en-AU"/>
        </w:rPr>
      </w:pPr>
      <w:hyperlink w:anchor="_Toc442448186" w:history="1">
        <w:r w:rsidR="006F4CD7" w:rsidRPr="003D52EE">
          <w:rPr>
            <w:rStyle w:val="Hyperlink"/>
          </w:rPr>
          <w:t>6</w:t>
        </w:r>
        <w:r w:rsidR="006F4CD7">
          <w:rPr>
            <w:rFonts w:asciiTheme="minorHAnsi" w:eastAsiaTheme="minorEastAsia" w:hAnsiTheme="minorHAnsi"/>
            <w:b w:val="0"/>
            <w:sz w:val="22"/>
            <w:lang w:eastAsia="en-AU"/>
          </w:rPr>
          <w:tab/>
        </w:r>
        <w:r w:rsidR="006F4CD7" w:rsidRPr="003D52EE">
          <w:rPr>
            <w:rStyle w:val="Hyperlink"/>
          </w:rPr>
          <w:t>Key findings</w:t>
        </w:r>
        <w:r w:rsidR="006F4CD7">
          <w:rPr>
            <w:webHidden/>
          </w:rPr>
          <w:tab/>
        </w:r>
        <w:r w:rsidR="006F4CD7">
          <w:rPr>
            <w:webHidden/>
          </w:rPr>
          <w:fldChar w:fldCharType="begin"/>
        </w:r>
        <w:r w:rsidR="006F4CD7">
          <w:rPr>
            <w:webHidden/>
          </w:rPr>
          <w:instrText xml:space="preserve"> PAGEREF _Toc442448186 \h </w:instrText>
        </w:r>
        <w:r w:rsidR="006F4CD7">
          <w:rPr>
            <w:webHidden/>
          </w:rPr>
        </w:r>
        <w:r w:rsidR="006F4CD7">
          <w:rPr>
            <w:webHidden/>
          </w:rPr>
          <w:fldChar w:fldCharType="separate"/>
        </w:r>
        <w:r w:rsidR="006F4CD7">
          <w:rPr>
            <w:webHidden/>
          </w:rPr>
          <w:t>32</w:t>
        </w:r>
        <w:r w:rsidR="006F4CD7">
          <w:rPr>
            <w:webHidden/>
          </w:rPr>
          <w:fldChar w:fldCharType="end"/>
        </w:r>
      </w:hyperlink>
    </w:p>
    <w:p w14:paraId="7D080291" w14:textId="77777777" w:rsidR="006F4CD7" w:rsidRDefault="00375FD5">
      <w:pPr>
        <w:pStyle w:val="TOC1"/>
        <w:rPr>
          <w:rFonts w:asciiTheme="minorHAnsi" w:eastAsiaTheme="minorEastAsia" w:hAnsiTheme="minorHAnsi"/>
          <w:b w:val="0"/>
          <w:sz w:val="22"/>
          <w:lang w:eastAsia="en-AU"/>
        </w:rPr>
      </w:pPr>
      <w:hyperlink w:anchor="_Toc442448187" w:history="1">
        <w:r w:rsidR="006F4CD7" w:rsidRPr="003D52EE">
          <w:rPr>
            <w:rStyle w:val="Hyperlink"/>
          </w:rPr>
          <w:t>7</w:t>
        </w:r>
        <w:r w:rsidR="006F4CD7">
          <w:rPr>
            <w:rFonts w:asciiTheme="minorHAnsi" w:eastAsiaTheme="minorEastAsia" w:hAnsiTheme="minorHAnsi"/>
            <w:b w:val="0"/>
            <w:sz w:val="22"/>
            <w:lang w:eastAsia="en-AU"/>
          </w:rPr>
          <w:tab/>
        </w:r>
        <w:r w:rsidR="006F4CD7" w:rsidRPr="003D52EE">
          <w:rPr>
            <w:rStyle w:val="Hyperlink"/>
          </w:rPr>
          <w:t>Conclusions</w:t>
        </w:r>
        <w:r w:rsidR="006F4CD7">
          <w:rPr>
            <w:webHidden/>
          </w:rPr>
          <w:tab/>
        </w:r>
        <w:r w:rsidR="006F4CD7">
          <w:rPr>
            <w:webHidden/>
          </w:rPr>
          <w:fldChar w:fldCharType="begin"/>
        </w:r>
        <w:r w:rsidR="006F4CD7">
          <w:rPr>
            <w:webHidden/>
          </w:rPr>
          <w:instrText xml:space="preserve"> PAGEREF _Toc442448187 \h </w:instrText>
        </w:r>
        <w:r w:rsidR="006F4CD7">
          <w:rPr>
            <w:webHidden/>
          </w:rPr>
        </w:r>
        <w:r w:rsidR="006F4CD7">
          <w:rPr>
            <w:webHidden/>
          </w:rPr>
          <w:fldChar w:fldCharType="separate"/>
        </w:r>
        <w:r w:rsidR="006F4CD7">
          <w:rPr>
            <w:webHidden/>
          </w:rPr>
          <w:t>52</w:t>
        </w:r>
        <w:r w:rsidR="006F4CD7">
          <w:rPr>
            <w:webHidden/>
          </w:rPr>
          <w:fldChar w:fldCharType="end"/>
        </w:r>
      </w:hyperlink>
    </w:p>
    <w:p w14:paraId="3757685E" w14:textId="77777777" w:rsidR="006F4CD7" w:rsidRDefault="00375FD5">
      <w:pPr>
        <w:pStyle w:val="TOC1"/>
        <w:rPr>
          <w:rFonts w:asciiTheme="minorHAnsi" w:eastAsiaTheme="minorEastAsia" w:hAnsiTheme="minorHAnsi"/>
          <w:b w:val="0"/>
          <w:sz w:val="22"/>
          <w:lang w:eastAsia="en-AU"/>
        </w:rPr>
      </w:pPr>
      <w:hyperlink w:anchor="_Toc442448188" w:history="1">
        <w:r w:rsidR="006F4CD7" w:rsidRPr="003D52EE">
          <w:rPr>
            <w:rStyle w:val="Hyperlink"/>
          </w:rPr>
          <w:t>References</w:t>
        </w:r>
        <w:r w:rsidR="006F4CD7">
          <w:rPr>
            <w:webHidden/>
          </w:rPr>
          <w:tab/>
        </w:r>
        <w:r w:rsidR="006F4CD7">
          <w:rPr>
            <w:webHidden/>
          </w:rPr>
          <w:fldChar w:fldCharType="begin"/>
        </w:r>
        <w:r w:rsidR="006F4CD7">
          <w:rPr>
            <w:webHidden/>
          </w:rPr>
          <w:instrText xml:space="preserve"> PAGEREF _Toc442448188 \h </w:instrText>
        </w:r>
        <w:r w:rsidR="006F4CD7">
          <w:rPr>
            <w:webHidden/>
          </w:rPr>
        </w:r>
        <w:r w:rsidR="006F4CD7">
          <w:rPr>
            <w:webHidden/>
          </w:rPr>
          <w:fldChar w:fldCharType="separate"/>
        </w:r>
        <w:r w:rsidR="006F4CD7">
          <w:rPr>
            <w:webHidden/>
          </w:rPr>
          <w:t>54</w:t>
        </w:r>
        <w:r w:rsidR="006F4CD7">
          <w:rPr>
            <w:webHidden/>
          </w:rPr>
          <w:fldChar w:fldCharType="end"/>
        </w:r>
      </w:hyperlink>
    </w:p>
    <w:p w14:paraId="2F4BA302" w14:textId="77777777" w:rsidR="006F4CD7" w:rsidRDefault="00375FD5">
      <w:pPr>
        <w:pStyle w:val="TOC1"/>
        <w:rPr>
          <w:rFonts w:asciiTheme="minorHAnsi" w:eastAsiaTheme="minorEastAsia" w:hAnsiTheme="minorHAnsi"/>
          <w:b w:val="0"/>
          <w:sz w:val="22"/>
          <w:lang w:eastAsia="en-AU"/>
        </w:rPr>
      </w:pPr>
      <w:hyperlink w:anchor="_Toc442448189" w:history="1">
        <w:r w:rsidR="006F4CD7" w:rsidRPr="003D52EE">
          <w:rPr>
            <w:rStyle w:val="Hyperlink"/>
          </w:rPr>
          <w:t>A.</w:t>
        </w:r>
        <w:r w:rsidR="006F4CD7">
          <w:rPr>
            <w:rFonts w:asciiTheme="minorHAnsi" w:eastAsiaTheme="minorEastAsia" w:hAnsiTheme="minorHAnsi"/>
            <w:b w:val="0"/>
            <w:sz w:val="22"/>
            <w:lang w:eastAsia="en-AU"/>
          </w:rPr>
          <w:tab/>
        </w:r>
        <w:r w:rsidR="006F4CD7" w:rsidRPr="003D52EE">
          <w:rPr>
            <w:rStyle w:val="Hyperlink"/>
          </w:rPr>
          <w:t>Manufacturing</w:t>
        </w:r>
        <w:r w:rsidR="006F4CD7">
          <w:rPr>
            <w:webHidden/>
          </w:rPr>
          <w:tab/>
        </w:r>
        <w:r w:rsidR="006F4CD7">
          <w:rPr>
            <w:webHidden/>
          </w:rPr>
          <w:fldChar w:fldCharType="begin"/>
        </w:r>
        <w:r w:rsidR="006F4CD7">
          <w:rPr>
            <w:webHidden/>
          </w:rPr>
          <w:instrText xml:space="preserve"> PAGEREF _Toc442448189 \h </w:instrText>
        </w:r>
        <w:r w:rsidR="006F4CD7">
          <w:rPr>
            <w:webHidden/>
          </w:rPr>
        </w:r>
        <w:r w:rsidR="006F4CD7">
          <w:rPr>
            <w:webHidden/>
          </w:rPr>
          <w:fldChar w:fldCharType="separate"/>
        </w:r>
        <w:r w:rsidR="006F4CD7">
          <w:rPr>
            <w:webHidden/>
          </w:rPr>
          <w:t>55</w:t>
        </w:r>
        <w:r w:rsidR="006F4CD7">
          <w:rPr>
            <w:webHidden/>
          </w:rPr>
          <w:fldChar w:fldCharType="end"/>
        </w:r>
      </w:hyperlink>
    </w:p>
    <w:p w14:paraId="03B95ACC" w14:textId="77777777" w:rsidR="006F4CD7" w:rsidRDefault="00375FD5">
      <w:pPr>
        <w:pStyle w:val="TOC1"/>
        <w:rPr>
          <w:rFonts w:asciiTheme="minorHAnsi" w:eastAsiaTheme="minorEastAsia" w:hAnsiTheme="minorHAnsi"/>
          <w:b w:val="0"/>
          <w:sz w:val="22"/>
          <w:lang w:eastAsia="en-AU"/>
        </w:rPr>
      </w:pPr>
      <w:hyperlink w:anchor="_Toc442448190" w:history="1">
        <w:r w:rsidR="006F4CD7" w:rsidRPr="003D52EE">
          <w:rPr>
            <w:rStyle w:val="Hyperlink"/>
          </w:rPr>
          <w:t>B.</w:t>
        </w:r>
        <w:r w:rsidR="006F4CD7">
          <w:rPr>
            <w:rFonts w:asciiTheme="minorHAnsi" w:eastAsiaTheme="minorEastAsia" w:hAnsiTheme="minorHAnsi"/>
            <w:b w:val="0"/>
            <w:sz w:val="22"/>
            <w:lang w:eastAsia="en-AU"/>
          </w:rPr>
          <w:tab/>
        </w:r>
        <w:r w:rsidR="006F4CD7" w:rsidRPr="003D52EE">
          <w:rPr>
            <w:rStyle w:val="Hyperlink"/>
          </w:rPr>
          <w:t>Electricity, gas, water and waste services</w:t>
        </w:r>
        <w:r w:rsidR="006F4CD7">
          <w:rPr>
            <w:webHidden/>
          </w:rPr>
          <w:tab/>
        </w:r>
        <w:r w:rsidR="006F4CD7">
          <w:rPr>
            <w:webHidden/>
          </w:rPr>
          <w:fldChar w:fldCharType="begin"/>
        </w:r>
        <w:r w:rsidR="006F4CD7">
          <w:rPr>
            <w:webHidden/>
          </w:rPr>
          <w:instrText xml:space="preserve"> PAGEREF _Toc442448190 \h </w:instrText>
        </w:r>
        <w:r w:rsidR="006F4CD7">
          <w:rPr>
            <w:webHidden/>
          </w:rPr>
        </w:r>
        <w:r w:rsidR="006F4CD7">
          <w:rPr>
            <w:webHidden/>
          </w:rPr>
          <w:fldChar w:fldCharType="separate"/>
        </w:r>
        <w:r w:rsidR="006F4CD7">
          <w:rPr>
            <w:webHidden/>
          </w:rPr>
          <w:t>66</w:t>
        </w:r>
        <w:r w:rsidR="006F4CD7">
          <w:rPr>
            <w:webHidden/>
          </w:rPr>
          <w:fldChar w:fldCharType="end"/>
        </w:r>
      </w:hyperlink>
    </w:p>
    <w:p w14:paraId="78DCFA21" w14:textId="77777777" w:rsidR="006F4CD7" w:rsidRDefault="00375FD5">
      <w:pPr>
        <w:pStyle w:val="TOC1"/>
        <w:rPr>
          <w:rFonts w:asciiTheme="minorHAnsi" w:eastAsiaTheme="minorEastAsia" w:hAnsiTheme="minorHAnsi"/>
          <w:b w:val="0"/>
          <w:sz w:val="22"/>
          <w:lang w:eastAsia="en-AU"/>
        </w:rPr>
      </w:pPr>
      <w:hyperlink w:anchor="_Toc442448191" w:history="1">
        <w:r w:rsidR="006F4CD7" w:rsidRPr="003D52EE">
          <w:rPr>
            <w:rStyle w:val="Hyperlink"/>
          </w:rPr>
          <w:t>C.</w:t>
        </w:r>
        <w:r w:rsidR="006F4CD7">
          <w:rPr>
            <w:rFonts w:asciiTheme="minorHAnsi" w:eastAsiaTheme="minorEastAsia" w:hAnsiTheme="minorHAnsi"/>
            <w:b w:val="0"/>
            <w:sz w:val="22"/>
            <w:lang w:eastAsia="en-AU"/>
          </w:rPr>
          <w:tab/>
        </w:r>
        <w:r w:rsidR="006F4CD7" w:rsidRPr="003D52EE">
          <w:rPr>
            <w:rStyle w:val="Hyperlink"/>
          </w:rPr>
          <w:t>Wholesale trade</w:t>
        </w:r>
        <w:r w:rsidR="006F4CD7">
          <w:rPr>
            <w:webHidden/>
          </w:rPr>
          <w:tab/>
        </w:r>
        <w:r w:rsidR="006F4CD7">
          <w:rPr>
            <w:webHidden/>
          </w:rPr>
          <w:fldChar w:fldCharType="begin"/>
        </w:r>
        <w:r w:rsidR="006F4CD7">
          <w:rPr>
            <w:webHidden/>
          </w:rPr>
          <w:instrText xml:space="preserve"> PAGEREF _Toc442448191 \h </w:instrText>
        </w:r>
        <w:r w:rsidR="006F4CD7">
          <w:rPr>
            <w:webHidden/>
          </w:rPr>
        </w:r>
        <w:r w:rsidR="006F4CD7">
          <w:rPr>
            <w:webHidden/>
          </w:rPr>
          <w:fldChar w:fldCharType="separate"/>
        </w:r>
        <w:r w:rsidR="006F4CD7">
          <w:rPr>
            <w:webHidden/>
          </w:rPr>
          <w:t>76</w:t>
        </w:r>
        <w:r w:rsidR="006F4CD7">
          <w:rPr>
            <w:webHidden/>
          </w:rPr>
          <w:fldChar w:fldCharType="end"/>
        </w:r>
      </w:hyperlink>
    </w:p>
    <w:p w14:paraId="5074C2C4" w14:textId="77777777" w:rsidR="006F4CD7" w:rsidRDefault="00375FD5">
      <w:pPr>
        <w:pStyle w:val="TOC1"/>
        <w:rPr>
          <w:rFonts w:asciiTheme="minorHAnsi" w:eastAsiaTheme="minorEastAsia" w:hAnsiTheme="minorHAnsi"/>
          <w:b w:val="0"/>
          <w:sz w:val="22"/>
          <w:lang w:eastAsia="en-AU"/>
        </w:rPr>
      </w:pPr>
      <w:hyperlink w:anchor="_Toc442448192" w:history="1">
        <w:r w:rsidR="006F4CD7" w:rsidRPr="003D52EE">
          <w:rPr>
            <w:rStyle w:val="Hyperlink"/>
          </w:rPr>
          <w:t>D.</w:t>
        </w:r>
        <w:r w:rsidR="006F4CD7">
          <w:rPr>
            <w:rFonts w:asciiTheme="minorHAnsi" w:eastAsiaTheme="minorEastAsia" w:hAnsiTheme="minorHAnsi"/>
            <w:b w:val="0"/>
            <w:sz w:val="22"/>
            <w:lang w:eastAsia="en-AU"/>
          </w:rPr>
          <w:tab/>
        </w:r>
        <w:r w:rsidR="006F4CD7" w:rsidRPr="003D52EE">
          <w:rPr>
            <w:rStyle w:val="Hyperlink"/>
          </w:rPr>
          <w:t>Retail trade</w:t>
        </w:r>
        <w:r w:rsidR="006F4CD7">
          <w:rPr>
            <w:webHidden/>
          </w:rPr>
          <w:tab/>
        </w:r>
        <w:r w:rsidR="006F4CD7">
          <w:rPr>
            <w:webHidden/>
          </w:rPr>
          <w:fldChar w:fldCharType="begin"/>
        </w:r>
        <w:r w:rsidR="006F4CD7">
          <w:rPr>
            <w:webHidden/>
          </w:rPr>
          <w:instrText xml:space="preserve"> PAGEREF _Toc442448192 \h </w:instrText>
        </w:r>
        <w:r w:rsidR="006F4CD7">
          <w:rPr>
            <w:webHidden/>
          </w:rPr>
        </w:r>
        <w:r w:rsidR="006F4CD7">
          <w:rPr>
            <w:webHidden/>
          </w:rPr>
          <w:fldChar w:fldCharType="separate"/>
        </w:r>
        <w:r w:rsidR="006F4CD7">
          <w:rPr>
            <w:webHidden/>
          </w:rPr>
          <w:t>89</w:t>
        </w:r>
        <w:r w:rsidR="006F4CD7">
          <w:rPr>
            <w:webHidden/>
          </w:rPr>
          <w:fldChar w:fldCharType="end"/>
        </w:r>
      </w:hyperlink>
    </w:p>
    <w:p w14:paraId="2A60BFEE" w14:textId="77777777" w:rsidR="006F4CD7" w:rsidRDefault="00375FD5">
      <w:pPr>
        <w:pStyle w:val="TOC1"/>
        <w:rPr>
          <w:rFonts w:asciiTheme="minorHAnsi" w:eastAsiaTheme="minorEastAsia" w:hAnsiTheme="minorHAnsi"/>
          <w:b w:val="0"/>
          <w:sz w:val="22"/>
          <w:lang w:eastAsia="en-AU"/>
        </w:rPr>
      </w:pPr>
      <w:hyperlink w:anchor="_Toc442448193" w:history="1">
        <w:r w:rsidR="006F4CD7" w:rsidRPr="003D52EE">
          <w:rPr>
            <w:rStyle w:val="Hyperlink"/>
          </w:rPr>
          <w:t>E.</w:t>
        </w:r>
        <w:r w:rsidR="006F4CD7">
          <w:rPr>
            <w:rFonts w:asciiTheme="minorHAnsi" w:eastAsiaTheme="minorEastAsia" w:hAnsiTheme="minorHAnsi"/>
            <w:b w:val="0"/>
            <w:sz w:val="22"/>
            <w:lang w:eastAsia="en-AU"/>
          </w:rPr>
          <w:tab/>
        </w:r>
        <w:r w:rsidR="006F4CD7" w:rsidRPr="003D52EE">
          <w:rPr>
            <w:rStyle w:val="Hyperlink"/>
          </w:rPr>
          <w:t>Transport, postal and warehousing</w:t>
        </w:r>
        <w:r w:rsidR="006F4CD7">
          <w:rPr>
            <w:webHidden/>
          </w:rPr>
          <w:tab/>
        </w:r>
        <w:r w:rsidR="006F4CD7">
          <w:rPr>
            <w:webHidden/>
          </w:rPr>
          <w:fldChar w:fldCharType="begin"/>
        </w:r>
        <w:r w:rsidR="006F4CD7">
          <w:rPr>
            <w:webHidden/>
          </w:rPr>
          <w:instrText xml:space="preserve"> PAGEREF _Toc442448193 \h </w:instrText>
        </w:r>
        <w:r w:rsidR="006F4CD7">
          <w:rPr>
            <w:webHidden/>
          </w:rPr>
        </w:r>
        <w:r w:rsidR="006F4CD7">
          <w:rPr>
            <w:webHidden/>
          </w:rPr>
          <w:fldChar w:fldCharType="separate"/>
        </w:r>
        <w:r w:rsidR="006F4CD7">
          <w:rPr>
            <w:webHidden/>
          </w:rPr>
          <w:t>103</w:t>
        </w:r>
        <w:r w:rsidR="006F4CD7">
          <w:rPr>
            <w:webHidden/>
          </w:rPr>
          <w:fldChar w:fldCharType="end"/>
        </w:r>
      </w:hyperlink>
    </w:p>
    <w:p w14:paraId="5CAFE86C" w14:textId="77777777" w:rsidR="006F4CD7" w:rsidRDefault="00375FD5">
      <w:pPr>
        <w:pStyle w:val="TOC1"/>
        <w:rPr>
          <w:rFonts w:asciiTheme="minorHAnsi" w:eastAsiaTheme="minorEastAsia" w:hAnsiTheme="minorHAnsi"/>
          <w:b w:val="0"/>
          <w:sz w:val="22"/>
          <w:lang w:eastAsia="en-AU"/>
        </w:rPr>
      </w:pPr>
      <w:hyperlink w:anchor="_Toc442448194" w:history="1">
        <w:r w:rsidR="006F4CD7" w:rsidRPr="003D52EE">
          <w:rPr>
            <w:rStyle w:val="Hyperlink"/>
          </w:rPr>
          <w:t>F.</w:t>
        </w:r>
        <w:r w:rsidR="006F4CD7">
          <w:rPr>
            <w:rFonts w:asciiTheme="minorHAnsi" w:eastAsiaTheme="minorEastAsia" w:hAnsiTheme="minorHAnsi"/>
            <w:b w:val="0"/>
            <w:sz w:val="22"/>
            <w:lang w:eastAsia="en-AU"/>
          </w:rPr>
          <w:tab/>
        </w:r>
        <w:r w:rsidR="006F4CD7" w:rsidRPr="003D52EE">
          <w:rPr>
            <w:rStyle w:val="Hyperlink"/>
          </w:rPr>
          <w:t>Information, media and telecommunications (IMT)</w:t>
        </w:r>
        <w:r w:rsidR="006F4CD7">
          <w:rPr>
            <w:webHidden/>
          </w:rPr>
          <w:tab/>
        </w:r>
        <w:r w:rsidR="006F4CD7">
          <w:rPr>
            <w:webHidden/>
          </w:rPr>
          <w:fldChar w:fldCharType="begin"/>
        </w:r>
        <w:r w:rsidR="006F4CD7">
          <w:rPr>
            <w:webHidden/>
          </w:rPr>
          <w:instrText xml:space="preserve"> PAGEREF _Toc442448194 \h </w:instrText>
        </w:r>
        <w:r w:rsidR="006F4CD7">
          <w:rPr>
            <w:webHidden/>
          </w:rPr>
        </w:r>
        <w:r w:rsidR="006F4CD7">
          <w:rPr>
            <w:webHidden/>
          </w:rPr>
          <w:fldChar w:fldCharType="separate"/>
        </w:r>
        <w:r w:rsidR="006F4CD7">
          <w:rPr>
            <w:webHidden/>
          </w:rPr>
          <w:t>113</w:t>
        </w:r>
        <w:r w:rsidR="006F4CD7">
          <w:rPr>
            <w:webHidden/>
          </w:rPr>
          <w:fldChar w:fldCharType="end"/>
        </w:r>
      </w:hyperlink>
    </w:p>
    <w:p w14:paraId="637464B4" w14:textId="77777777" w:rsidR="006F4CD7" w:rsidRDefault="00375FD5">
      <w:pPr>
        <w:pStyle w:val="TOC1"/>
        <w:rPr>
          <w:rFonts w:asciiTheme="minorHAnsi" w:eastAsiaTheme="minorEastAsia" w:hAnsiTheme="minorHAnsi"/>
          <w:b w:val="0"/>
          <w:sz w:val="22"/>
          <w:lang w:eastAsia="en-AU"/>
        </w:rPr>
      </w:pPr>
      <w:hyperlink w:anchor="_Toc442448195" w:history="1">
        <w:r w:rsidR="006F4CD7" w:rsidRPr="003D52EE">
          <w:rPr>
            <w:rStyle w:val="Hyperlink"/>
          </w:rPr>
          <w:t>G.</w:t>
        </w:r>
        <w:r w:rsidR="006F4CD7">
          <w:rPr>
            <w:rFonts w:asciiTheme="minorHAnsi" w:eastAsiaTheme="minorEastAsia" w:hAnsiTheme="minorHAnsi"/>
            <w:b w:val="0"/>
            <w:sz w:val="22"/>
            <w:lang w:eastAsia="en-AU"/>
          </w:rPr>
          <w:tab/>
        </w:r>
        <w:r w:rsidR="006F4CD7" w:rsidRPr="003D52EE">
          <w:rPr>
            <w:rStyle w:val="Hyperlink"/>
          </w:rPr>
          <w:t>Financial and insurance services</w:t>
        </w:r>
        <w:r w:rsidR="006F4CD7">
          <w:rPr>
            <w:webHidden/>
          </w:rPr>
          <w:tab/>
        </w:r>
        <w:r w:rsidR="006F4CD7">
          <w:rPr>
            <w:webHidden/>
          </w:rPr>
          <w:fldChar w:fldCharType="begin"/>
        </w:r>
        <w:r w:rsidR="006F4CD7">
          <w:rPr>
            <w:webHidden/>
          </w:rPr>
          <w:instrText xml:space="preserve"> PAGEREF _Toc442448195 \h </w:instrText>
        </w:r>
        <w:r w:rsidR="006F4CD7">
          <w:rPr>
            <w:webHidden/>
          </w:rPr>
        </w:r>
        <w:r w:rsidR="006F4CD7">
          <w:rPr>
            <w:webHidden/>
          </w:rPr>
          <w:fldChar w:fldCharType="separate"/>
        </w:r>
        <w:r w:rsidR="006F4CD7">
          <w:rPr>
            <w:webHidden/>
          </w:rPr>
          <w:t>126</w:t>
        </w:r>
        <w:r w:rsidR="006F4CD7">
          <w:rPr>
            <w:webHidden/>
          </w:rPr>
          <w:fldChar w:fldCharType="end"/>
        </w:r>
      </w:hyperlink>
    </w:p>
    <w:p w14:paraId="034835B2" w14:textId="77777777" w:rsidR="006F4CD7" w:rsidRDefault="00375FD5">
      <w:pPr>
        <w:pStyle w:val="TOC1"/>
        <w:rPr>
          <w:rFonts w:asciiTheme="minorHAnsi" w:eastAsiaTheme="minorEastAsia" w:hAnsiTheme="minorHAnsi"/>
          <w:b w:val="0"/>
          <w:sz w:val="22"/>
          <w:lang w:eastAsia="en-AU"/>
        </w:rPr>
      </w:pPr>
      <w:hyperlink w:anchor="_Toc442448196" w:history="1">
        <w:r w:rsidR="006F4CD7" w:rsidRPr="003D52EE">
          <w:rPr>
            <w:rStyle w:val="Hyperlink"/>
          </w:rPr>
          <w:t>H.</w:t>
        </w:r>
        <w:r w:rsidR="006F4CD7">
          <w:rPr>
            <w:rFonts w:asciiTheme="minorHAnsi" w:eastAsiaTheme="minorEastAsia" w:hAnsiTheme="minorHAnsi"/>
            <w:b w:val="0"/>
            <w:sz w:val="22"/>
            <w:lang w:eastAsia="en-AU"/>
          </w:rPr>
          <w:tab/>
        </w:r>
        <w:r w:rsidR="006F4CD7" w:rsidRPr="003D52EE">
          <w:rPr>
            <w:rStyle w:val="Hyperlink"/>
          </w:rPr>
          <w:t>Rental, hiring and real estate services</w:t>
        </w:r>
        <w:r w:rsidR="006F4CD7">
          <w:rPr>
            <w:webHidden/>
          </w:rPr>
          <w:tab/>
        </w:r>
        <w:r w:rsidR="006F4CD7">
          <w:rPr>
            <w:webHidden/>
          </w:rPr>
          <w:fldChar w:fldCharType="begin"/>
        </w:r>
        <w:r w:rsidR="006F4CD7">
          <w:rPr>
            <w:webHidden/>
          </w:rPr>
          <w:instrText xml:space="preserve"> PAGEREF _Toc442448196 \h </w:instrText>
        </w:r>
        <w:r w:rsidR="006F4CD7">
          <w:rPr>
            <w:webHidden/>
          </w:rPr>
        </w:r>
        <w:r w:rsidR="006F4CD7">
          <w:rPr>
            <w:webHidden/>
          </w:rPr>
          <w:fldChar w:fldCharType="separate"/>
        </w:r>
        <w:r w:rsidR="006F4CD7">
          <w:rPr>
            <w:webHidden/>
          </w:rPr>
          <w:t>139</w:t>
        </w:r>
        <w:r w:rsidR="006F4CD7">
          <w:rPr>
            <w:webHidden/>
          </w:rPr>
          <w:fldChar w:fldCharType="end"/>
        </w:r>
      </w:hyperlink>
    </w:p>
    <w:p w14:paraId="04409B26" w14:textId="77777777" w:rsidR="006F4CD7" w:rsidRDefault="00375FD5">
      <w:pPr>
        <w:pStyle w:val="TOC1"/>
        <w:rPr>
          <w:rFonts w:asciiTheme="minorHAnsi" w:eastAsiaTheme="minorEastAsia" w:hAnsiTheme="minorHAnsi"/>
          <w:b w:val="0"/>
          <w:sz w:val="22"/>
          <w:lang w:eastAsia="en-AU"/>
        </w:rPr>
      </w:pPr>
      <w:hyperlink w:anchor="_Toc442448197" w:history="1">
        <w:r w:rsidR="006F4CD7" w:rsidRPr="003D52EE">
          <w:rPr>
            <w:rStyle w:val="Hyperlink"/>
          </w:rPr>
          <w:t>I.</w:t>
        </w:r>
        <w:r w:rsidR="006F4CD7">
          <w:rPr>
            <w:rFonts w:asciiTheme="minorHAnsi" w:eastAsiaTheme="minorEastAsia" w:hAnsiTheme="minorHAnsi"/>
            <w:b w:val="0"/>
            <w:sz w:val="22"/>
            <w:lang w:eastAsia="en-AU"/>
          </w:rPr>
          <w:tab/>
        </w:r>
        <w:r w:rsidR="006F4CD7" w:rsidRPr="003D52EE">
          <w:rPr>
            <w:rStyle w:val="Hyperlink"/>
          </w:rPr>
          <w:t>Professional, scientific and technical services</w:t>
        </w:r>
        <w:r w:rsidR="006F4CD7">
          <w:rPr>
            <w:webHidden/>
          </w:rPr>
          <w:tab/>
        </w:r>
        <w:r w:rsidR="006F4CD7">
          <w:rPr>
            <w:webHidden/>
          </w:rPr>
          <w:fldChar w:fldCharType="begin"/>
        </w:r>
        <w:r w:rsidR="006F4CD7">
          <w:rPr>
            <w:webHidden/>
          </w:rPr>
          <w:instrText xml:space="preserve"> PAGEREF _Toc442448197 \h </w:instrText>
        </w:r>
        <w:r w:rsidR="006F4CD7">
          <w:rPr>
            <w:webHidden/>
          </w:rPr>
        </w:r>
        <w:r w:rsidR="006F4CD7">
          <w:rPr>
            <w:webHidden/>
          </w:rPr>
          <w:fldChar w:fldCharType="separate"/>
        </w:r>
        <w:r w:rsidR="006F4CD7">
          <w:rPr>
            <w:webHidden/>
          </w:rPr>
          <w:t>150</w:t>
        </w:r>
        <w:r w:rsidR="006F4CD7">
          <w:rPr>
            <w:webHidden/>
          </w:rPr>
          <w:fldChar w:fldCharType="end"/>
        </w:r>
      </w:hyperlink>
    </w:p>
    <w:p w14:paraId="283EC9D1" w14:textId="77777777" w:rsidR="006F4CD7" w:rsidRDefault="00375729" w:rsidP="00F37FA2">
      <w:pPr>
        <w:pStyle w:val="BCRHead1"/>
        <w:rPr>
          <w:rFonts w:asciiTheme="minorHAnsi" w:hAnsiTheme="minorHAnsi"/>
          <w:noProof/>
          <w:color w:val="auto"/>
          <w:sz w:val="22"/>
          <w:szCs w:val="22"/>
        </w:rPr>
        <w:sectPr w:rsidR="006F4CD7" w:rsidSect="006F4CD7">
          <w:footerReference w:type="default" r:id="rId23"/>
          <w:headerReference w:type="first" r:id="rId24"/>
          <w:footerReference w:type="first" r:id="rId25"/>
          <w:endnotePr>
            <w:numFmt w:val="lowerLetter"/>
          </w:endnotePr>
          <w:type w:val="continuous"/>
          <w:pgSz w:w="11906" w:h="16838" w:code="9"/>
          <w:pgMar w:top="2410" w:right="1440" w:bottom="1276" w:left="1440" w:header="142" w:footer="481" w:gutter="0"/>
          <w:pgNumType w:fmt="lowerRoman"/>
          <w:cols w:space="708"/>
          <w:titlePg/>
          <w:docGrid w:linePitch="360"/>
        </w:sectPr>
      </w:pPr>
      <w:r w:rsidRPr="00CF3D6E">
        <w:rPr>
          <w:rFonts w:asciiTheme="minorHAnsi" w:hAnsiTheme="minorHAnsi"/>
          <w:noProof/>
          <w:color w:val="auto"/>
          <w:sz w:val="22"/>
          <w:szCs w:val="22"/>
        </w:rPr>
        <w:fldChar w:fldCharType="end"/>
      </w:r>
    </w:p>
    <w:p w14:paraId="13135DEE" w14:textId="370A7BDE" w:rsidR="00375729" w:rsidRPr="00835F2C" w:rsidRDefault="00375729" w:rsidP="00F37FA2">
      <w:pPr>
        <w:pStyle w:val="BCRHead1"/>
      </w:pPr>
      <w:bookmarkStart w:id="15" w:name="_Toc442448180"/>
      <w:r w:rsidRPr="00835F2C">
        <w:t>Executive summary</w:t>
      </w:r>
      <w:bookmarkEnd w:id="15"/>
    </w:p>
    <w:p w14:paraId="690724D6" w14:textId="77777777" w:rsidR="00375729" w:rsidRDefault="00375729" w:rsidP="00375729">
      <w:pPr>
        <w:pStyle w:val="BodyTextNoIndent"/>
      </w:pPr>
      <w:r>
        <w:t xml:space="preserve">Digital technologies such as fast computers, portable devices, remote sensors, and ‘smart’ machines are key foundations for the transformation of businesses in almost all industries. They provide a platform for innovation and growth. </w:t>
      </w:r>
    </w:p>
    <w:p w14:paraId="521D1A7B" w14:textId="77777777" w:rsidR="00375729" w:rsidRDefault="00375729" w:rsidP="00375729">
      <w:pPr>
        <w:pStyle w:val="BodyTextNoIndent"/>
      </w:pPr>
      <w:r>
        <w:t xml:space="preserve">Earlier research at the Productivity Commission showed the accelerated use of computers brought substantial productivity gains in the 1990s. Australia was one of the first countries to realise productivity gains from the innovative use of information and communication technologies (ICTs). </w:t>
      </w:r>
    </w:p>
    <w:p w14:paraId="418DBA5F" w14:textId="77777777" w:rsidR="00375729" w:rsidRDefault="00375729" w:rsidP="00375729">
      <w:pPr>
        <w:pStyle w:val="BodyTextNoIndent"/>
      </w:pPr>
      <w:r>
        <w:t>Measuring productivity gains from ICTs is now more challenging, as digital technologies are no longer primarily confined to ‘connected computers’, but are embedded in all sorts of machinery, equipment and household goods. Changes in products and processes can be significant, but their productivity effects can be difficult to quantify. More sophisticated data and analysis, and a multifaceted approach, are required.</w:t>
      </w:r>
    </w:p>
    <w:p w14:paraId="7533B89B" w14:textId="77777777" w:rsidR="00375729" w:rsidRDefault="00375729" w:rsidP="00375729">
      <w:pPr>
        <w:pStyle w:val="BodyTextNoIndent"/>
      </w:pPr>
      <w:r>
        <w:t xml:space="preserve">This paper takes a first step by revisiting the earlier Productivity Commission work. Like the earlier work, this paper covers computer hardware and software only, as the necessary data from the Australian Bureau of Statistics (ABS) do not allow separate identification of digital communications equipment. This paper generally refers to ‘information technology’ (IT) rather than information and communications technology (ICT). </w:t>
      </w:r>
    </w:p>
    <w:p w14:paraId="5C3E1A4D" w14:textId="77777777" w:rsidR="00375729" w:rsidRDefault="00375729" w:rsidP="00375729">
      <w:pPr>
        <w:pStyle w:val="BodyTextNoIndent"/>
      </w:pPr>
      <w:r>
        <w:t xml:space="preserve">Growth accounting, which attributes Australia’s labour productivity growth to various components, identifies contributions from </w:t>
      </w:r>
      <w:r w:rsidR="006A530A">
        <w:t>‘</w:t>
      </w:r>
      <w:r>
        <w:t>capital deepening</w:t>
      </w:r>
      <w:r w:rsidR="006A530A">
        <w:t>’</w:t>
      </w:r>
      <w:r>
        <w:t xml:space="preserve"> (use of capital assets such as buildings, plant, machinery and equipment increases more rapidly than labour) and </w:t>
      </w:r>
      <w:r w:rsidR="006A530A">
        <w:t>‘</w:t>
      </w:r>
      <w:r>
        <w:t>multi-factor productivity</w:t>
      </w:r>
      <w:r w:rsidR="006A530A">
        <w:t>’</w:t>
      </w:r>
      <w:r>
        <w:t xml:space="preserve"> (MFP; MFP growth comes through innovation in business products and processes). </w:t>
      </w:r>
    </w:p>
    <w:p w14:paraId="5583EFE3" w14:textId="77777777" w:rsidR="00375729" w:rsidRDefault="00375729" w:rsidP="00375729">
      <w:pPr>
        <w:spacing w:before="100" w:beforeAutospacing="1" w:after="100" w:afterAutospacing="1"/>
      </w:pPr>
      <w:r>
        <w:t xml:space="preserve">Computers, and ICT in general, are labour-saving. They can substitute for </w:t>
      </w:r>
      <w:r w:rsidRPr="00BF50A7">
        <w:t xml:space="preserve">existing use of labour or use of them can grow more rapidly, relative to growth in labour, as output expands. </w:t>
      </w:r>
      <w:r w:rsidRPr="00B875DC">
        <w:t xml:space="preserve">Either way, </w:t>
      </w:r>
      <w:r w:rsidRPr="00BF50A7">
        <w:t>the ratio of IT capital to labour increas</w:t>
      </w:r>
      <w:r w:rsidRPr="00B875DC">
        <w:t>es, which is capital deepening. C</w:t>
      </w:r>
      <w:r w:rsidRPr="00BF50A7">
        <w:t xml:space="preserve">omputers increase </w:t>
      </w:r>
      <w:r>
        <w:t>labour productivity by adding to the capital available to labour.</w:t>
      </w:r>
    </w:p>
    <w:p w14:paraId="4196B13B" w14:textId="77777777" w:rsidR="00375729" w:rsidRDefault="00375729" w:rsidP="00375729">
      <w:pPr>
        <w:pStyle w:val="BodyTextNoIndent"/>
      </w:pPr>
      <w:r>
        <w:t>The contribution of computers to capital deepening can be separated from the contribution of other forms of capital. Computers (and ICT) can also influence MFP growth. They provide a platform upon which users can develop product and process innovations. These computer-based innovations cannot be separated from other types of innovations in the growth accounting framework.</w:t>
      </w:r>
    </w:p>
    <w:p w14:paraId="4D19EF23" w14:textId="77777777" w:rsidR="00375729" w:rsidRDefault="00375729" w:rsidP="00375729">
      <w:pPr>
        <w:pStyle w:val="BodyTextNoIndent"/>
      </w:pPr>
      <w:r>
        <w:t>The paper also adds an important extension to the earlier work. The analysis focusses on the possibility that IT can also have a capital-saving effect. That is, IT can reduce the requirements for other forms of capital in the production of goods and services, which also means a lift in (non-IT) capital productivity.</w:t>
      </w:r>
    </w:p>
    <w:p w14:paraId="76F7EF39" w14:textId="77777777" w:rsidR="00375729" w:rsidRDefault="00375729" w:rsidP="00F37FA2">
      <w:pPr>
        <w:pStyle w:val="BCRHead2"/>
      </w:pPr>
      <w:r>
        <w:t>Key findings</w:t>
      </w:r>
    </w:p>
    <w:p w14:paraId="20A151EC" w14:textId="77777777" w:rsidR="00375729" w:rsidRDefault="00375729" w:rsidP="00375729">
      <w:pPr>
        <w:pStyle w:val="BodyTextNoIndent"/>
      </w:pPr>
      <w:r>
        <w:t>The key findings below generally identify statistical associations rather than the causal mechanisms:</w:t>
      </w:r>
    </w:p>
    <w:p w14:paraId="67D09A15" w14:textId="4A743AA2" w:rsidR="00375729" w:rsidRDefault="00375729" w:rsidP="00F37FA2">
      <w:pPr>
        <w:pStyle w:val="Highlighttext"/>
      </w:pPr>
      <w:r>
        <w:t xml:space="preserve">Growth in the stocks of IT—as </w:t>
      </w:r>
      <w:r w:rsidR="00332A4E">
        <w:t>measured by the ABS—has slowed.</w:t>
      </w:r>
    </w:p>
    <w:p w14:paraId="48B3FF2E" w14:textId="77777777" w:rsidR="00375729" w:rsidRDefault="00375729" w:rsidP="00012248">
      <w:pPr>
        <w:pStyle w:val="Bodybullet-Level2"/>
      </w:pPr>
      <w:r>
        <w:t>From 2003-04, the rate of growth over the following ten years was about 60 per cent of the rate of growth over the previous decade (from 1993-94).</w:t>
      </w:r>
    </w:p>
    <w:p w14:paraId="3C516299" w14:textId="77777777" w:rsidR="00375729" w:rsidRDefault="00375729" w:rsidP="00012248">
      <w:pPr>
        <w:pStyle w:val="Bodybullet-Level2"/>
      </w:pPr>
      <w:r>
        <w:t>A sharp slowdown in the growth of computer hardware from 2007-08 was a large factor.</w:t>
      </w:r>
    </w:p>
    <w:p w14:paraId="19406E16" w14:textId="77777777" w:rsidR="00375729" w:rsidRDefault="00375729" w:rsidP="00F37FA2">
      <w:pPr>
        <w:pStyle w:val="Highlighttext"/>
      </w:pPr>
      <w:r>
        <w:t>The rate of IT capital deepening has declined.</w:t>
      </w:r>
    </w:p>
    <w:p w14:paraId="57CC080D" w14:textId="77777777" w:rsidR="00375729" w:rsidRDefault="00375729" w:rsidP="00012248">
      <w:pPr>
        <w:pStyle w:val="Bodybullet-Level2"/>
      </w:pPr>
      <w:r>
        <w:t>This has meant a slower rate of IT capital deepening or substitution of computers for people. Importantly, the rate of growth in labour has been about the same in both decades. The decline came from slower growth in IT.</w:t>
      </w:r>
    </w:p>
    <w:p w14:paraId="495DAE31" w14:textId="77777777" w:rsidR="00375729" w:rsidRDefault="00375729" w:rsidP="00012248">
      <w:pPr>
        <w:pStyle w:val="Bodybullet-Level2"/>
      </w:pPr>
      <w:r>
        <w:t>IT capital deepening contributed about 0.5 of a percentage point to annual labour productivity growth in the decade from 2003-04, compared with 0.8 of a percentage point in the decade from 1993-94.</w:t>
      </w:r>
    </w:p>
    <w:p w14:paraId="29F074FB" w14:textId="77777777" w:rsidR="00375729" w:rsidRDefault="00375729" w:rsidP="00012248">
      <w:pPr>
        <w:pStyle w:val="Bodybullet-Level2"/>
      </w:pPr>
      <w:r>
        <w:t>This represented about 25 per cent of both the 3.1 per cent a year growth in labour productivity in the earlier decade and the 2.1 per cent a year growth in labour productivity in the latter decade.</w:t>
      </w:r>
    </w:p>
    <w:p w14:paraId="08C4793C" w14:textId="77777777" w:rsidR="00375729" w:rsidRDefault="00375729" w:rsidP="00F37FA2">
      <w:pPr>
        <w:pStyle w:val="Highlighttext"/>
      </w:pPr>
      <w:r>
        <w:t>There is a wide variation in the size of IT capital deepening effects across industries.</w:t>
      </w:r>
    </w:p>
    <w:p w14:paraId="746BA12D" w14:textId="77777777" w:rsidR="00375729" w:rsidRDefault="00375729" w:rsidP="00012248">
      <w:pPr>
        <w:pStyle w:val="Bodybullet-Level2"/>
      </w:pPr>
      <w:r>
        <w:t xml:space="preserve">The strongest substitution of IT for labour occurred in the finance industry, followed by the information, media </w:t>
      </w:r>
      <w:r w:rsidR="003B10E7">
        <w:t>and</w:t>
      </w:r>
      <w:r>
        <w:t xml:space="preserve"> telecommunications industry, wholesaling and construction.</w:t>
      </w:r>
    </w:p>
    <w:p w14:paraId="601325E5" w14:textId="77777777" w:rsidR="00375729" w:rsidRDefault="00375729" w:rsidP="00F37FA2">
      <w:pPr>
        <w:pStyle w:val="Highlighttext"/>
      </w:pPr>
      <w:r>
        <w:t xml:space="preserve">Evidence supports the view that IT also has a capital-saving effect. </w:t>
      </w:r>
    </w:p>
    <w:p w14:paraId="59A1A76B" w14:textId="77777777" w:rsidR="00375729" w:rsidRDefault="00375729" w:rsidP="00012248">
      <w:pPr>
        <w:pStyle w:val="Bodybullet-Level2"/>
      </w:pPr>
      <w:r>
        <w:t xml:space="preserve">Increased IT use is correlated with improvements in the productivity of other assets. </w:t>
      </w:r>
    </w:p>
    <w:p w14:paraId="29A09CEC" w14:textId="77777777" w:rsidR="00375729" w:rsidRDefault="00375729" w:rsidP="00012248">
      <w:pPr>
        <w:pStyle w:val="Bodybullet-Level2"/>
      </w:pPr>
      <w:r>
        <w:t>The clearest case of a potential link is that IT may have enabled a reduction in the use of land and buildings. Further research is needed to provide firm evidence.</w:t>
      </w:r>
    </w:p>
    <w:p w14:paraId="11B0D68A" w14:textId="77777777" w:rsidR="00375729" w:rsidRDefault="00375729" w:rsidP="00012248">
      <w:pPr>
        <w:pStyle w:val="Bodybullet-Level2"/>
      </w:pPr>
      <w:r>
        <w:t>There are also possibilities across a range of individual assets and individual industries. The finance industry showed the strongest rise in non-IT capital productivity.</w:t>
      </w:r>
    </w:p>
    <w:p w14:paraId="48232694" w14:textId="77777777" w:rsidR="00375729" w:rsidRDefault="00375729" w:rsidP="00F37FA2">
      <w:pPr>
        <w:pStyle w:val="Highlighttext"/>
      </w:pPr>
      <w:r>
        <w:t xml:space="preserve">IT and skilled labour appear to be complements. </w:t>
      </w:r>
    </w:p>
    <w:p w14:paraId="078BC952" w14:textId="77777777" w:rsidR="00375729" w:rsidRDefault="00375729" w:rsidP="00012248">
      <w:pPr>
        <w:pStyle w:val="Bodybullet-Level2"/>
      </w:pPr>
      <w:r>
        <w:t xml:space="preserve">While IT substitutes for unskilled labour, skilled labour is able to use IT to positive effect. The finance industry is a prime case in point.  </w:t>
      </w:r>
    </w:p>
    <w:p w14:paraId="18B70231" w14:textId="77777777" w:rsidR="00375729" w:rsidRDefault="00375729" w:rsidP="00F37FA2">
      <w:pPr>
        <w:pStyle w:val="BCRHead2"/>
      </w:pPr>
      <w:r>
        <w:t>Conclusion</w:t>
      </w:r>
    </w:p>
    <w:p w14:paraId="3FDBDC81" w14:textId="77777777" w:rsidR="00375729" w:rsidRDefault="00375729" w:rsidP="00375729">
      <w:pPr>
        <w:pStyle w:val="BodyTextNoIndent"/>
      </w:pPr>
      <w:r>
        <w:t xml:space="preserve">The effects of IT use on Australia’s productivity through a labour-saving effect seem to have diminished. </w:t>
      </w:r>
    </w:p>
    <w:p w14:paraId="70A71E5F" w14:textId="77777777" w:rsidR="00375729" w:rsidRDefault="00375729" w:rsidP="00375729">
      <w:pPr>
        <w:pStyle w:val="BodyTextNoIndent"/>
      </w:pPr>
      <w:r>
        <w:t>However, further information and analysis are required before coming to a firm conclusion on this. The slowdown in investment in computer hardware from 2007-08 needs to be better understood. It could be a temporary pause because of the uncertainty created by the global financial crisis, or it could be that more of computers’ work is now being performed by smart phones and similar devices, which are not included in this analysis due to data limitations. A strong pickup in IT growth in recent times seems at least consistent with the ‘temporary pause’ explanation.</w:t>
      </w:r>
    </w:p>
    <w:p w14:paraId="564516B9" w14:textId="77777777" w:rsidR="00375729" w:rsidRDefault="00375729" w:rsidP="00375729">
      <w:pPr>
        <w:pStyle w:val="BodyTextNoIndent"/>
      </w:pPr>
      <w:r>
        <w:t xml:space="preserve">The effects of IT use on labour are complex. While there are substitution effects, there is also a complementarity between IT and skilled labour. This implies that obtaining qualifications and developing IT-related skills could help reduce the possibility of becoming displaced from work in the digital age. </w:t>
      </w:r>
    </w:p>
    <w:p w14:paraId="3385ACEC" w14:textId="77777777" w:rsidR="00375729" w:rsidRDefault="00375729" w:rsidP="00375729">
      <w:pPr>
        <w:pStyle w:val="BodyTextNoIndent"/>
      </w:pPr>
      <w:r>
        <w:t xml:space="preserve">IT use also has the potential to generate productivity-enhancing effects through capital saving. Better coordination and information processing achieved through use of IT enable businesses to conserve on their use of other assets, such as land and buildings. Examples are the closure of bank branches and the transformation of the wholesaling function from storage-based operations to minimum-handling logistics. Vehicles and machinery can be used more sparingly. </w:t>
      </w:r>
    </w:p>
    <w:p w14:paraId="2A479AEC" w14:textId="77777777" w:rsidR="00375729" w:rsidRDefault="00375729" w:rsidP="00375729">
      <w:pPr>
        <w:pStyle w:val="BodyTextNoIndent"/>
      </w:pPr>
      <w:r>
        <w:t xml:space="preserve">Overall, the use of information technology is still generating productivity effects in Australia—in different ways, in different industries. IT also complements skilled labour and saves certain forms of capital. </w:t>
      </w:r>
    </w:p>
    <w:p w14:paraId="180F2AA0" w14:textId="77777777" w:rsidR="00375729" w:rsidRDefault="00375729" w:rsidP="00375729">
      <w:pPr>
        <w:pStyle w:val="BodyTextNoIndent"/>
      </w:pPr>
      <w:r>
        <w:t>The transformation of businesses based on digital technologies is a complex story with many variations. Analysis of how digital technologies affect productivity needs to take account of variations in production and investment strategies at the level of firms. Government policies need to ensure the business environment is geared in general ways to stimulate and enable innovation based on digital technologies. The widespread, multifaceted and ‘organic’ way in which ICT-based innovation takes place runs counter to the notion of specific policies directed in specific areas.</w:t>
      </w:r>
    </w:p>
    <w:p w14:paraId="18E2FC44" w14:textId="77777777" w:rsidR="00375729" w:rsidRDefault="00375729" w:rsidP="00012248">
      <w:pPr>
        <w:pStyle w:val="BodyText"/>
      </w:pPr>
      <w:r>
        <w:br w:type="page"/>
      </w:r>
    </w:p>
    <w:p w14:paraId="56F482C3" w14:textId="77777777" w:rsidR="00375729" w:rsidRPr="00185E7D" w:rsidRDefault="00375729" w:rsidP="00F37FA2">
      <w:pPr>
        <w:pStyle w:val="BCRHead1"/>
      </w:pPr>
      <w:bookmarkStart w:id="16" w:name="_Toc442448181"/>
      <w:r>
        <w:t>1</w:t>
      </w:r>
      <w:r>
        <w:tab/>
      </w:r>
      <w:r w:rsidRPr="00185E7D">
        <w:t>Introduction</w:t>
      </w:r>
      <w:bookmarkEnd w:id="16"/>
    </w:p>
    <w:p w14:paraId="7D49464E" w14:textId="77777777" w:rsidR="00375729" w:rsidRPr="00185E7D" w:rsidRDefault="00375729" w:rsidP="00F37FA2">
      <w:pPr>
        <w:pStyle w:val="BCRHead2"/>
      </w:pPr>
      <w:bookmarkStart w:id="17" w:name="_Toc436920412"/>
      <w:r>
        <w:t>1.1</w:t>
      </w:r>
      <w:r>
        <w:tab/>
      </w:r>
      <w:r w:rsidRPr="00185E7D">
        <w:t>Background</w:t>
      </w:r>
      <w:bookmarkEnd w:id="17"/>
    </w:p>
    <w:p w14:paraId="7F1B2BDF" w14:textId="77777777" w:rsidR="00375729" w:rsidRPr="00185E7D" w:rsidRDefault="00375729" w:rsidP="00375729">
      <w:pPr>
        <w:pStyle w:val="BodyTextNoIndent"/>
      </w:pPr>
      <w:r w:rsidRPr="00185E7D">
        <w:t>Australia’s productivity growth surged in the 1990s. Multifactor productivity growth rose to a record high of 2.6 per cent a year in the mid-to</w:t>
      </w:r>
      <w:r w:rsidR="00147A7A">
        <w:t>-</w:t>
      </w:r>
      <w:r w:rsidRPr="00185E7D">
        <w:t>late</w:t>
      </w:r>
      <w:r w:rsidR="009B1144">
        <w:t xml:space="preserve"> </w:t>
      </w:r>
      <w:r w:rsidRPr="00185E7D">
        <w:t>1990s, compared with a long-term average of 0.9</w:t>
      </w:r>
      <w:r w:rsidR="009245E7">
        <w:t> </w:t>
      </w:r>
      <w:r w:rsidRPr="00185E7D">
        <w:t>per</w:t>
      </w:r>
      <w:r w:rsidR="009245E7">
        <w:t> </w:t>
      </w:r>
      <w:r w:rsidRPr="00185E7D">
        <w:t>cent a year.</w:t>
      </w:r>
      <w:r w:rsidRPr="00185E7D">
        <w:rPr>
          <w:rStyle w:val="FootnoteReference"/>
          <w:rFonts w:ascii="Cambria" w:hAnsi="Cambria" w:cs="Calibri"/>
        </w:rPr>
        <w:footnoteReference w:id="2"/>
      </w:r>
      <w:r w:rsidRPr="00185E7D">
        <w:t xml:space="preserve">  </w:t>
      </w:r>
    </w:p>
    <w:p w14:paraId="506F0EDC" w14:textId="77777777" w:rsidR="00375729" w:rsidRPr="00185E7D" w:rsidRDefault="00375729" w:rsidP="00375729">
      <w:pPr>
        <w:pStyle w:val="BodyTextNoIndent"/>
      </w:pPr>
      <w:r w:rsidRPr="00185E7D">
        <w:t>Information and communications technologies were shown to have played an important part in this surge. Productivity gains came from innovative uses of ICTs and were most obvious in services</w:t>
      </w:r>
      <w:r w:rsidR="009B1144">
        <w:t xml:space="preserve"> </w:t>
      </w:r>
      <w:r w:rsidRPr="00185E7D">
        <w:t>industries including wholesale trade, retail trade and finance.</w:t>
      </w:r>
      <w:r w:rsidR="001F400B">
        <w:rPr>
          <w:rStyle w:val="EndnoteReference"/>
        </w:rPr>
        <w:endnoteReference w:id="2"/>
      </w:r>
    </w:p>
    <w:p w14:paraId="4F99E9B5" w14:textId="77777777" w:rsidR="00375729" w:rsidRPr="00185E7D" w:rsidRDefault="00375729" w:rsidP="00375729">
      <w:pPr>
        <w:pStyle w:val="BodyTextNoIndent"/>
      </w:pPr>
      <w:r w:rsidRPr="00185E7D">
        <w:t xml:space="preserve">It became evident internationally that ICTs were bringing potential productivity gains, although they were not realised uniformly. Along with the US, Australia was early to access gains from ICT use. </w:t>
      </w:r>
    </w:p>
    <w:p w14:paraId="5EA7B226" w14:textId="77777777" w:rsidR="00375729" w:rsidRPr="00185E7D" w:rsidRDefault="00375729" w:rsidP="00375729">
      <w:pPr>
        <w:pStyle w:val="BodyTextNoIndent"/>
      </w:pPr>
      <w:r w:rsidRPr="00185E7D">
        <w:t>The apparent inability of some countries to access productivity gains led to careful international analysis.</w:t>
      </w:r>
      <w:r w:rsidRPr="00185E7D">
        <w:rPr>
          <w:rStyle w:val="FootnoteReference"/>
          <w:rFonts w:ascii="Cambria" w:hAnsi="Cambria" w:cs="Calibri"/>
        </w:rPr>
        <w:footnoteReference w:id="3"/>
      </w:r>
      <w:r w:rsidRPr="00185E7D">
        <w:t xml:space="preserve"> The business environment firms operate in was found to matter. Countries with strong competitive pressures and institutions that allowed rapid change in organisational structures had the drivers and flexibility to introduce new business models that ICTs enabled.</w:t>
      </w:r>
    </w:p>
    <w:p w14:paraId="626A3D22" w14:textId="77777777" w:rsidR="00375729" w:rsidRPr="00185E7D" w:rsidRDefault="00375729" w:rsidP="00375729">
      <w:pPr>
        <w:pStyle w:val="BodyTextNoIndent"/>
      </w:pPr>
      <w:r w:rsidRPr="00185E7D">
        <w:t>In this regard, the series of microeconomic reforms introduced in Australia are seen as an important precursor to the innovative use of ICTs. The reforms sharpened competitive pressures, opened the economy—including to technologies developed overseas—stimulated industry restructuring and allowed more flexibility to introduce new production arrangements.</w:t>
      </w:r>
    </w:p>
    <w:p w14:paraId="20B83FAF" w14:textId="77777777" w:rsidR="00375729" w:rsidRPr="00185E7D" w:rsidRDefault="00375729" w:rsidP="00375729">
      <w:pPr>
        <w:pStyle w:val="BodyTextNoIndent"/>
      </w:pPr>
      <w:r w:rsidRPr="00185E7D">
        <w:t>It was also found that innovative use of ICTs needed other complementary investments.</w:t>
      </w:r>
      <w:r w:rsidRPr="00185E7D">
        <w:rPr>
          <w:rStyle w:val="FootnoteReference"/>
          <w:rFonts w:ascii="Cambria" w:hAnsi="Cambria" w:cs="Calibri"/>
        </w:rPr>
        <w:footnoteReference w:id="4"/>
      </w:r>
      <w:r w:rsidRPr="00185E7D">
        <w:t xml:space="preserve"> The firms achieving success in innovative use of ICTs were also investing in intangibles. That is, they invested in firm-specific skills; organisational structures and means of linking closely to markets so they could better define directions for productive change.</w:t>
      </w:r>
    </w:p>
    <w:p w14:paraId="576FD97D" w14:textId="77777777" w:rsidR="00375729" w:rsidRPr="00185E7D" w:rsidRDefault="00375729" w:rsidP="00F37FA2">
      <w:pPr>
        <w:pStyle w:val="BCRHead3"/>
      </w:pPr>
      <w:bookmarkStart w:id="18" w:name="_Toc436909133"/>
      <w:bookmarkStart w:id="19" w:name="_Toc436920413"/>
      <w:r>
        <w:t>1.1.1</w:t>
      </w:r>
      <w:r>
        <w:tab/>
      </w:r>
      <w:r w:rsidRPr="00185E7D">
        <w:t>Research focus</w:t>
      </w:r>
      <w:bookmarkEnd w:id="18"/>
      <w:bookmarkEnd w:id="19"/>
    </w:p>
    <w:p w14:paraId="78F78419" w14:textId="77777777" w:rsidR="00375729" w:rsidRPr="00185E7D" w:rsidRDefault="00375729" w:rsidP="00375729">
      <w:pPr>
        <w:pStyle w:val="BodyTextNoIndent"/>
      </w:pPr>
      <w:r w:rsidRPr="00185E7D">
        <w:t>Australia’s productivity growth slumped in the 2000s and MFP growth has even been negative over an extended period.</w:t>
      </w:r>
    </w:p>
    <w:p w14:paraId="4A939E4E" w14:textId="77777777" w:rsidR="00375729" w:rsidRPr="00185E7D" w:rsidRDefault="00375729" w:rsidP="00375729">
      <w:pPr>
        <w:pStyle w:val="BodyTextNoIndent"/>
      </w:pPr>
      <w:r w:rsidRPr="00185E7D">
        <w:t>To a large extent, the slump is due to some extraneous factors including the mining boom and increased capital requirements in the utilities sector.</w:t>
      </w:r>
      <w:r w:rsidRPr="00185E7D">
        <w:rPr>
          <w:rStyle w:val="FootnoteReference"/>
          <w:rFonts w:ascii="Cambria" w:hAnsi="Cambria" w:cs="Calibri"/>
        </w:rPr>
        <w:footnoteReference w:id="5"/>
      </w:r>
      <w:r w:rsidRPr="00185E7D">
        <w:t xml:space="preserve"> The slump is not expected to go on indefinitely but productivity growth is unlikely to return to its surge rates.</w:t>
      </w:r>
    </w:p>
    <w:p w14:paraId="1C2CED7B" w14:textId="77777777" w:rsidR="00375729" w:rsidRPr="00185E7D" w:rsidRDefault="00375729" w:rsidP="00375729">
      <w:pPr>
        <w:pStyle w:val="BodyTextNoIndent"/>
      </w:pPr>
      <w:r w:rsidRPr="00185E7D">
        <w:t xml:space="preserve">Nevertheless, it is possible that fewer gains have been realised from the use of ICTs. Some of the opportunities for innovative use may have been exhausted or the business environment may have become less conducive to innovative use. </w:t>
      </w:r>
    </w:p>
    <w:p w14:paraId="029F44AE" w14:textId="77777777" w:rsidR="00375729" w:rsidRPr="00185E7D" w:rsidRDefault="00375729" w:rsidP="00375729">
      <w:pPr>
        <w:pStyle w:val="BodyTextNoIndent"/>
      </w:pPr>
      <w:r w:rsidRPr="00185E7D">
        <w:t>On the other hand, ICTs continue to be more pervasive and exist in new forms, which could have opened up new productivity opportunities. Productivity gains may be there but may have been swamped by other productivity developments, or do not show up because they do not fit standard measurement techniques</w:t>
      </w:r>
      <w:r w:rsidR="007412CC">
        <w:t>.</w:t>
      </w:r>
    </w:p>
    <w:p w14:paraId="331A7525" w14:textId="77777777" w:rsidR="00375729" w:rsidRPr="00185E7D" w:rsidRDefault="00375729" w:rsidP="00375729">
      <w:pPr>
        <w:pStyle w:val="BodyTextNoIndent"/>
      </w:pPr>
      <w:r w:rsidRPr="00185E7D">
        <w:t xml:space="preserve">These were the key questions raised in the initiation of </w:t>
      </w:r>
      <w:r w:rsidR="007412CC">
        <w:t>Bureau of Communications Research</w:t>
      </w:r>
      <w:r w:rsidR="007412CC" w:rsidRPr="00185E7D">
        <w:t>’s</w:t>
      </w:r>
      <w:r w:rsidR="007412CC">
        <w:t xml:space="preserve"> (BCR)</w:t>
      </w:r>
      <w:r w:rsidR="007412CC" w:rsidRPr="00185E7D">
        <w:t xml:space="preserve"> </w:t>
      </w:r>
      <w:r w:rsidRPr="00185E7D">
        <w:t>Digital Productivity Project.</w:t>
      </w:r>
      <w:r w:rsidRPr="00185E7D">
        <w:rPr>
          <w:rStyle w:val="FootnoteReference"/>
          <w:rFonts w:ascii="Cambria" w:hAnsi="Cambria" w:cs="Calibri"/>
        </w:rPr>
        <w:footnoteReference w:id="6"/>
      </w:r>
      <w:r w:rsidRPr="00185E7D">
        <w:t xml:space="preserve"> BCR commenced the project at the time of its establishment in 2014 to further economic analysis in this </w:t>
      </w:r>
      <w:r w:rsidRPr="00F03BC8">
        <w:t>area,</w:t>
      </w:r>
      <w:r w:rsidR="001737AC" w:rsidRPr="00F03BC8">
        <w:t xml:space="preserve"> and</w:t>
      </w:r>
      <w:r w:rsidRPr="00F03BC8">
        <w:t xml:space="preserve"> in order to better understand the economic impact of digital development in Australia.</w:t>
      </w:r>
    </w:p>
    <w:p w14:paraId="190CCD2F" w14:textId="77777777" w:rsidR="00375729" w:rsidRPr="00185E7D" w:rsidRDefault="00375729" w:rsidP="00375729">
      <w:pPr>
        <w:pStyle w:val="BodyTextNoIndent"/>
      </w:pPr>
      <w:r w:rsidRPr="00185E7D">
        <w:t>This current paper was envisaged as the first of a number</w:t>
      </w:r>
      <w:r w:rsidR="00BC1719">
        <w:t xml:space="preserve"> of initiatives</w:t>
      </w:r>
      <w:r w:rsidRPr="00185E7D">
        <w:t xml:space="preserve"> to be carried out as part of </w:t>
      </w:r>
      <w:r w:rsidR="00053BDC">
        <w:t xml:space="preserve">the Digital Productivity </w:t>
      </w:r>
      <w:r w:rsidRPr="00185E7D">
        <w:t xml:space="preserve">Project. However, with changes to the Machinery of Government in October 2015, the BCR no longer has ongoing responsibility for analysis of digital productivity and this paper will be the last </w:t>
      </w:r>
      <w:r w:rsidR="00BC1719">
        <w:t>initiative in the project.</w:t>
      </w:r>
      <w:r w:rsidRPr="00185E7D">
        <w:t xml:space="preserve"> </w:t>
      </w:r>
    </w:p>
    <w:p w14:paraId="1B284C28" w14:textId="77777777" w:rsidR="00375729" w:rsidRPr="00185E7D" w:rsidRDefault="00375729" w:rsidP="00F37FA2">
      <w:pPr>
        <w:pStyle w:val="BCRHead2"/>
      </w:pPr>
      <w:bookmarkStart w:id="20" w:name="_Toc436920414"/>
      <w:r>
        <w:t>1.2</w:t>
      </w:r>
      <w:r>
        <w:tab/>
      </w:r>
      <w:r w:rsidRPr="00185E7D">
        <w:t>Analysing digital productivity</w:t>
      </w:r>
      <w:bookmarkEnd w:id="20"/>
      <w:r w:rsidRPr="00185E7D">
        <w:t xml:space="preserve"> </w:t>
      </w:r>
    </w:p>
    <w:p w14:paraId="73FE6A54" w14:textId="77777777" w:rsidR="00375729" w:rsidRPr="00185E7D" w:rsidRDefault="00375729" w:rsidP="00375729">
      <w:pPr>
        <w:pStyle w:val="BodyTextNoIndent"/>
      </w:pPr>
      <w:r w:rsidRPr="00185E7D">
        <w:t>Measuring the effect ICTs and digital technologies have on productivity has become a lot harder as they have become more sophisticated and pervasive.</w:t>
      </w:r>
    </w:p>
    <w:p w14:paraId="02420384" w14:textId="77777777" w:rsidR="00375729" w:rsidRPr="00185E7D" w:rsidRDefault="00375729" w:rsidP="00375729">
      <w:pPr>
        <w:pStyle w:val="BodyTextNoIndent"/>
      </w:pPr>
      <w:r w:rsidRPr="00185E7D">
        <w:t xml:space="preserve">Around the late 1990s and early 2000s, analysis of digital productivity was confined to the productivity effects of hardware and </w:t>
      </w:r>
      <w:r w:rsidR="008374C6" w:rsidRPr="00185E7D">
        <w:t>software that</w:t>
      </w:r>
      <w:r w:rsidRPr="00185E7D">
        <w:t xml:space="preserve"> is computers, because it was just after desktop computers became widely available and were connected through the Internet. </w:t>
      </w:r>
    </w:p>
    <w:p w14:paraId="398DA11E" w14:textId="77777777" w:rsidR="00375729" w:rsidRPr="00185E7D" w:rsidRDefault="00375729" w:rsidP="00375729">
      <w:pPr>
        <w:pStyle w:val="BodyTextNoIndent"/>
      </w:pPr>
      <w:r w:rsidRPr="00185E7D">
        <w:t>Back then, communications networks and services, computer services, and various embedded digital technologies such as on-board computers in motor vehicles, and the ‘internet of things’, that is machines communicating with machines were not included. But they are now pervasive and very much a part of the digital transformation taking place throughout the economy.</w:t>
      </w:r>
    </w:p>
    <w:p w14:paraId="096ABE4A" w14:textId="77777777" w:rsidR="00375729" w:rsidRPr="00185E7D" w:rsidRDefault="00375729" w:rsidP="00375729">
      <w:pPr>
        <w:pStyle w:val="BodyTextNoIndent"/>
      </w:pPr>
      <w:r w:rsidRPr="00185E7D">
        <w:t>This paper was conceived as an initial foray into the broad area of digital productivity. In essence, it is an update of the Productivity Commission work in the early 2000s and asks ‘</w:t>
      </w:r>
      <w:r w:rsidRPr="009B73B4">
        <w:rPr>
          <w:i/>
        </w:rPr>
        <w:t>Where are we now?</w:t>
      </w:r>
      <w:r w:rsidR="008374C6" w:rsidRPr="00185E7D">
        <w:t>’</w:t>
      </w:r>
      <w:r w:rsidRPr="00185E7D">
        <w:t xml:space="preserve"> The same scope of digitisation, that is ‘connected computers’, is used. We realise the analysis of digital productivity is now much broader, has many conceptual challenges and requires confrontation of difficult measurement issues, but those issues are beyond the scope of this paper.</w:t>
      </w:r>
    </w:p>
    <w:p w14:paraId="5F12E4D0" w14:textId="77777777" w:rsidR="00375729" w:rsidRPr="00185E7D" w:rsidRDefault="00375729" w:rsidP="00375729">
      <w:pPr>
        <w:pStyle w:val="BodyTextNoIndent"/>
      </w:pPr>
      <w:r w:rsidRPr="00185E7D">
        <w:t xml:space="preserve">Traditional growth accounting is the centrepiece of this current investigation. Being based on national accounts data, it takes the traditional scope of digital technologies that encompasses computer hardware and software. Like previous analysis, it does not include communications equipment or infrastructure. </w:t>
      </w:r>
    </w:p>
    <w:p w14:paraId="72E0E7C9" w14:textId="77777777" w:rsidR="00375729" w:rsidRPr="00185E7D" w:rsidRDefault="00375729" w:rsidP="00375729">
      <w:pPr>
        <w:pStyle w:val="BodyTextNoIndent"/>
      </w:pPr>
      <w:r w:rsidRPr="00185E7D">
        <w:t>In section 2, we will refer to ICTs in setting up the analytical framework as that is where the principles apply. The implementation in subsequent sections, however, is restricted to information technology.</w:t>
      </w:r>
    </w:p>
    <w:p w14:paraId="3928FD43" w14:textId="77777777" w:rsidR="00375729" w:rsidRPr="00185E7D" w:rsidRDefault="00375729" w:rsidP="00375729">
      <w:pPr>
        <w:pStyle w:val="BodyTextNoIndent"/>
      </w:pPr>
      <w:r w:rsidRPr="00185E7D">
        <w:t>We introduce some new perspectives and provide some new insights in this paper. Traditional analysis has focused on the relationships between IT, labour and labour productivity. Here, we also consider relationships between IT, other forms of capital and capital productivity.</w:t>
      </w:r>
    </w:p>
    <w:p w14:paraId="7488B4E6" w14:textId="77777777" w:rsidR="00375729" w:rsidRPr="00185E7D" w:rsidRDefault="00375729" w:rsidP="00375729">
      <w:pPr>
        <w:pStyle w:val="BodyTextNoIndent"/>
      </w:pPr>
      <w:r w:rsidRPr="00185E7D">
        <w:t xml:space="preserve">The growth accounting approach can only tell part of the digital productivity story, as will be explained in section 4. But we regard it as a good place to start. </w:t>
      </w:r>
    </w:p>
    <w:p w14:paraId="3B90D949" w14:textId="77777777" w:rsidR="00375729" w:rsidRPr="00185E7D" w:rsidRDefault="00375729" w:rsidP="00F37FA2">
      <w:pPr>
        <w:pStyle w:val="BCRHead1"/>
      </w:pPr>
      <w:r w:rsidRPr="00185E7D">
        <w:br w:type="page"/>
      </w:r>
      <w:bookmarkStart w:id="21" w:name="_Toc436920415"/>
      <w:bookmarkStart w:id="22" w:name="_Toc442448182"/>
      <w:r>
        <w:t>2</w:t>
      </w:r>
      <w:r>
        <w:tab/>
      </w:r>
      <w:r w:rsidRPr="00185E7D">
        <w:t>How ICTs affect productivity</w:t>
      </w:r>
      <w:bookmarkEnd w:id="21"/>
      <w:bookmarkEnd w:id="22"/>
    </w:p>
    <w:p w14:paraId="3EEC9791" w14:textId="77777777" w:rsidR="00375729" w:rsidRPr="00185E7D" w:rsidRDefault="00375729" w:rsidP="00375729">
      <w:pPr>
        <w:pStyle w:val="BodyTextNoIndent"/>
      </w:pPr>
      <w:r w:rsidRPr="00185E7D">
        <w:t xml:space="preserve">In this section, we set out a conceptual framework for analysing the effects ICTs can have on productivity. </w:t>
      </w:r>
    </w:p>
    <w:p w14:paraId="157F6B8C" w14:textId="77777777" w:rsidR="00375729" w:rsidRPr="00185E7D" w:rsidRDefault="00375729" w:rsidP="00F37FA2">
      <w:pPr>
        <w:pStyle w:val="BCRHead2"/>
      </w:pPr>
      <w:bookmarkStart w:id="23" w:name="_Toc436920416"/>
      <w:r w:rsidRPr="00185E7D">
        <w:t>2.1</w:t>
      </w:r>
      <w:r w:rsidRPr="00185E7D">
        <w:tab/>
        <w:t>Links between ICTs and productivity</w:t>
      </w:r>
      <w:bookmarkEnd w:id="23"/>
    </w:p>
    <w:p w14:paraId="544D937A" w14:textId="77777777" w:rsidR="00375729" w:rsidRPr="00185E7D" w:rsidRDefault="00375729" w:rsidP="00375729">
      <w:pPr>
        <w:pStyle w:val="BodyTextNoIndent"/>
      </w:pPr>
      <w:r w:rsidRPr="00185E7D">
        <w:t>There are three ways ICTs can affect labour productivity.</w:t>
      </w:r>
    </w:p>
    <w:p w14:paraId="3F1FA34F" w14:textId="77777777" w:rsidR="00375729" w:rsidRPr="00185E7D" w:rsidRDefault="00375729" w:rsidP="00F37FA2">
      <w:pPr>
        <w:pStyle w:val="BCRHead3"/>
      </w:pPr>
      <w:bookmarkStart w:id="24" w:name="_Toc436909137"/>
      <w:bookmarkStart w:id="25" w:name="_Toc436920417"/>
      <w:r w:rsidRPr="00185E7D">
        <w:t>2.1.1</w:t>
      </w:r>
      <w:r w:rsidRPr="00185E7D">
        <w:tab/>
        <w:t>MFP gains in the production of ICTs</w:t>
      </w:r>
      <w:bookmarkEnd w:id="24"/>
      <w:bookmarkEnd w:id="25"/>
    </w:p>
    <w:p w14:paraId="3BC8EE6F" w14:textId="77777777" w:rsidR="00375729" w:rsidRPr="00185E7D" w:rsidRDefault="00375729" w:rsidP="00375729">
      <w:pPr>
        <w:pStyle w:val="BodyTextNoIndent"/>
      </w:pPr>
      <w:r w:rsidRPr="00185E7D">
        <w:t xml:space="preserve">Producers of ICT equipment can add product enhancements such as more powerful processors and more on‐board storage in computers. When they do this, they make higher-quality products (increase their output) without increasing their use of inputs by much, if at all. </w:t>
      </w:r>
    </w:p>
    <w:p w14:paraId="266FDEE9" w14:textId="77777777" w:rsidR="00375729" w:rsidRPr="00185E7D" w:rsidRDefault="00375729" w:rsidP="00375729">
      <w:pPr>
        <w:pStyle w:val="BodyTextNoIndent"/>
      </w:pPr>
      <w:r w:rsidRPr="00185E7D">
        <w:t xml:space="preserve">This is an example of a multifactor productivity (MFP) gain in ICT-producing industries. </w:t>
      </w:r>
    </w:p>
    <w:p w14:paraId="2CC7482B" w14:textId="77777777" w:rsidR="00375729" w:rsidRPr="00185E7D" w:rsidRDefault="00375729" w:rsidP="00375729">
      <w:pPr>
        <w:pStyle w:val="BodyTextNoIndent"/>
      </w:pPr>
      <w:r w:rsidRPr="00185E7D">
        <w:t>Figure 2.1 illustrates the nature of an MFP gain. The starting point is a production function that combines labour (L) and capital (K) to generate output of goods and services (Y). It can be written as:</w:t>
      </w:r>
    </w:p>
    <w:p w14:paraId="742863F2" w14:textId="77777777" w:rsidR="00375729" w:rsidRPr="00185E7D" w:rsidRDefault="00375729" w:rsidP="00375729">
      <w:pPr>
        <w:pStyle w:val="BodyTextNoIndent"/>
      </w:pPr>
      <w:r w:rsidRPr="00185E7D">
        <w:tab/>
      </w:r>
      <m:oMath>
        <m:r>
          <w:rPr>
            <w:rFonts w:ascii="Cambria Math" w:hAnsi="Cambria Math"/>
          </w:rPr>
          <m:t>Y</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L</m:t>
            </m:r>
          </m:e>
        </m:d>
        <m:r>
          <m:rPr>
            <m:sty m:val="p"/>
          </m:rPr>
          <w:rPr>
            <w:rFonts w:ascii="Cambria Math" w:hAnsi="Cambria Math"/>
          </w:rPr>
          <m:t>.</m:t>
        </m:r>
        <m:r>
          <w:rPr>
            <w:rFonts w:ascii="Cambria Math" w:hAnsi="Cambria Math"/>
          </w:rPr>
          <m:t>M</m:t>
        </m:r>
      </m:oMath>
      <w:r w:rsidRPr="00185E7D">
        <w:t xml:space="preserve"> </w:t>
      </w:r>
      <w:r w:rsidRPr="00185E7D">
        <w:tab/>
        <w:t xml:space="preserve">where </w:t>
      </w:r>
      <m:oMath>
        <m:r>
          <w:rPr>
            <w:rFonts w:ascii="Cambria Math" w:hAnsi="Cambria Math"/>
          </w:rPr>
          <m:t>f</m:t>
        </m:r>
        <m:d>
          <m:dPr>
            <m:ctrlPr>
              <w:rPr>
                <w:rFonts w:ascii="Cambria Math" w:hAnsi="Cambria Math"/>
              </w:rPr>
            </m:ctrlPr>
          </m:dPr>
          <m:e>
            <m:r>
              <m:rPr>
                <m:sty m:val="p"/>
              </m:rPr>
              <w:rPr>
                <w:rFonts w:ascii="Cambria Math" w:hAnsi="Cambria Math"/>
              </w:rPr>
              <m:t>.</m:t>
            </m:r>
          </m:e>
        </m:d>
      </m:oMath>
      <w:r w:rsidRPr="00185E7D">
        <w:t xml:space="preserve"> represents an unspecified function and </w:t>
      </w:r>
      <m:oMath>
        <m:r>
          <w:rPr>
            <w:rFonts w:ascii="Cambria Math" w:hAnsi="Cambria Math"/>
          </w:rPr>
          <m:t>M</m:t>
        </m:r>
      </m:oMath>
      <w:r w:rsidRPr="00185E7D">
        <w:t xml:space="preserve"> is MFP.</w:t>
      </w:r>
    </w:p>
    <w:p w14:paraId="4C8F424F" w14:textId="77777777" w:rsidR="00375729" w:rsidRPr="00185E7D" w:rsidRDefault="00375729" w:rsidP="00375729">
      <w:pPr>
        <w:pStyle w:val="BodyTextNoIndent"/>
      </w:pPr>
      <w:r w:rsidRPr="00185E7D">
        <w:t>Dividing both sides of the equation by L:</w:t>
      </w:r>
    </w:p>
    <w:p w14:paraId="2EEFB33B" w14:textId="77777777" w:rsidR="00375729" w:rsidRPr="00185E7D" w:rsidRDefault="00375729" w:rsidP="00375729">
      <w:pPr>
        <w:pStyle w:val="BodyTextNoIndent"/>
      </w:pPr>
      <w:r w:rsidRPr="00185E7D">
        <w:tab/>
      </w:r>
      <m:oMath>
        <m:f>
          <m:fPr>
            <m:ctrlPr>
              <w:rPr>
                <w:rFonts w:ascii="Cambria Math" w:hAnsi="Cambria Math"/>
              </w:rPr>
            </m:ctrlPr>
          </m:fPr>
          <m:num>
            <m:r>
              <w:rPr>
                <w:rFonts w:ascii="Cambria Math" w:hAnsi="Cambria Math"/>
              </w:rPr>
              <m:t>Y</m:t>
            </m:r>
          </m:num>
          <m:den>
            <m:r>
              <w:rPr>
                <w:rFonts w:ascii="Cambria Math" w:hAnsi="Cambria Math"/>
              </w:rPr>
              <m:t>L</m:t>
            </m:r>
          </m:den>
        </m:f>
        <m:r>
          <m:rPr>
            <m:sty m:val="p"/>
          </m:rPr>
          <w:rPr>
            <w:rFonts w:ascii="Cambria Math" w:hAnsi="Cambria Math"/>
          </w:rPr>
          <m:t>=</m:t>
        </m:r>
        <m:r>
          <w:rPr>
            <w:rFonts w:ascii="Cambria Math" w:hAnsi="Cambria Math"/>
          </w:rPr>
          <m:t>f</m:t>
        </m:r>
        <m:d>
          <m:dPr>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L</m:t>
                </m:r>
              </m:den>
            </m:f>
            <m:r>
              <m:rPr>
                <m:sty m:val="p"/>
              </m:rPr>
              <w:rPr>
                <w:rFonts w:ascii="Cambria Math" w:hAnsi="Cambria Math"/>
              </w:rPr>
              <m:t>,1</m:t>
            </m:r>
          </m:e>
        </m:d>
        <m:r>
          <m:rPr>
            <m:sty m:val="p"/>
          </m:rPr>
          <w:rPr>
            <w:rFonts w:ascii="Cambria Math" w:hAnsi="Cambria Math"/>
          </w:rPr>
          <m:t>.</m:t>
        </m:r>
        <m:r>
          <w:rPr>
            <w:rFonts w:ascii="Cambria Math" w:hAnsi="Cambria Math"/>
          </w:rPr>
          <m:t>M</m:t>
        </m:r>
      </m:oMath>
    </w:p>
    <w:p w14:paraId="3CBBB2CE" w14:textId="77777777" w:rsidR="00375729" w:rsidRPr="00185E7D" w:rsidRDefault="00375729" w:rsidP="00375729">
      <w:pPr>
        <w:pStyle w:val="BodyTextNoIndent"/>
      </w:pPr>
      <w:r w:rsidRPr="00185E7D">
        <w:t>This says labour productivity (</w:t>
      </w:r>
      <m:oMath>
        <m:f>
          <m:fPr>
            <m:type m:val="skw"/>
            <m:ctrlPr>
              <w:rPr>
                <w:rFonts w:ascii="Cambria Math" w:hAnsi="Cambria Math"/>
              </w:rPr>
            </m:ctrlPr>
          </m:fPr>
          <m:num>
            <m:r>
              <w:rPr>
                <w:rFonts w:ascii="Cambria Math" w:hAnsi="Cambria Math"/>
              </w:rPr>
              <m:t>Y</m:t>
            </m:r>
          </m:num>
          <m:den>
            <m:r>
              <w:rPr>
                <w:rFonts w:ascii="Cambria Math" w:hAnsi="Cambria Math"/>
              </w:rPr>
              <m:t>L</m:t>
            </m:r>
          </m:den>
        </m:f>
        <m:r>
          <m:rPr>
            <m:sty m:val="p"/>
          </m:rPr>
          <w:rPr>
            <w:rFonts w:ascii="Cambria Math" w:hAnsi="Cambria Math"/>
          </w:rPr>
          <m:t>)</m:t>
        </m:r>
      </m:oMath>
      <w:r w:rsidRPr="00185E7D">
        <w:t xml:space="preserve"> is a function of the capital-labour ratio and MFP.</w:t>
      </w:r>
    </w:p>
    <w:p w14:paraId="07C7508C" w14:textId="77777777" w:rsidR="00375729" w:rsidRPr="00185E7D" w:rsidRDefault="00375729" w:rsidP="00375729">
      <w:pPr>
        <w:pStyle w:val="BodyTextNoIndent"/>
      </w:pPr>
      <w:r w:rsidRPr="00185E7D">
        <w:t xml:space="preserve">In Figure 2.1, the capital-labour ratio is on the horizontal axis and labour productivity on the vertical axis. With MFP at its initial level the initial production function is shown as </w:t>
      </w:r>
      <m:oMath>
        <m:sSub>
          <m:sSubPr>
            <m:ctrlPr>
              <w:rPr>
                <w:rFonts w:ascii="Cambria Math" w:hAnsi="Cambria Math"/>
              </w:rPr>
            </m:ctrlPr>
          </m:sSubPr>
          <m:e>
            <m:r>
              <w:rPr>
                <w:rFonts w:ascii="Cambria Math" w:hAnsi="Cambria Math"/>
              </w:rPr>
              <m:t>PF</m:t>
            </m:r>
          </m:e>
          <m:sub>
            <m:r>
              <m:rPr>
                <m:sty m:val="p"/>
              </m:rPr>
              <w:rPr>
                <w:rFonts w:ascii="Cambria Math" w:hAnsi="Cambria Math"/>
              </w:rPr>
              <m:t>0</m:t>
            </m:r>
          </m:sub>
        </m:sSub>
      </m:oMath>
      <w:r w:rsidRPr="00185E7D">
        <w:t xml:space="preserve">. With an initial capital-labour ratio of </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K</m:t>
                    </m:r>
                  </m:num>
                  <m:den>
                    <m:r>
                      <w:rPr>
                        <w:rFonts w:ascii="Cambria Math" w:hAnsi="Cambria Math"/>
                      </w:rPr>
                      <m:t>L</m:t>
                    </m:r>
                  </m:den>
                </m:f>
              </m:e>
            </m:d>
          </m:e>
          <m:sub>
            <m:r>
              <m:rPr>
                <m:sty m:val="p"/>
              </m:rPr>
              <w:rPr>
                <w:rFonts w:ascii="Cambria Math" w:hAnsi="Cambria Math"/>
              </w:rPr>
              <m:t>1</m:t>
            </m:r>
          </m:sub>
        </m:sSub>
      </m:oMath>
      <w:r w:rsidRPr="00185E7D">
        <w:t xml:space="preserve"> output produced per unit of labour, or labour productivity, is </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Y</m:t>
                    </m:r>
                  </m:num>
                  <m:den>
                    <m:r>
                      <w:rPr>
                        <w:rFonts w:ascii="Cambria Math" w:hAnsi="Cambria Math"/>
                      </w:rPr>
                      <m:t>L</m:t>
                    </m:r>
                  </m:den>
                </m:f>
              </m:e>
            </m:d>
          </m:e>
          <m:sub>
            <m:r>
              <m:rPr>
                <m:sty m:val="p"/>
              </m:rPr>
              <w:rPr>
                <w:rFonts w:ascii="Cambria Math" w:hAnsi="Cambria Math"/>
              </w:rPr>
              <m:t>1</m:t>
            </m:r>
          </m:sub>
        </m:sSub>
      </m:oMath>
      <w:r w:rsidRPr="00185E7D">
        <w:t>.</w:t>
      </w:r>
    </w:p>
    <w:p w14:paraId="0469B7D2" w14:textId="77777777" w:rsidR="00375729" w:rsidRPr="00185E7D" w:rsidRDefault="00375729" w:rsidP="00375729">
      <w:pPr>
        <w:pStyle w:val="BodyTextNoIndent"/>
      </w:pPr>
      <w:r w:rsidRPr="00185E7D">
        <w:t xml:space="preserve">The ability of ICT producers to produce more powerful computers is a technological advance or increase in MFP represented as a shift in the production function to </w:t>
      </w:r>
      <m:oMath>
        <m:sSub>
          <m:sSubPr>
            <m:ctrlPr>
              <w:rPr>
                <w:rFonts w:ascii="Cambria Math" w:hAnsi="Cambria Math"/>
              </w:rPr>
            </m:ctrlPr>
          </m:sSubPr>
          <m:e>
            <m:r>
              <w:rPr>
                <w:rFonts w:ascii="Cambria Math" w:hAnsi="Cambria Math"/>
              </w:rPr>
              <m:t>PF</m:t>
            </m:r>
          </m:e>
          <m:sub>
            <m:r>
              <m:rPr>
                <m:sty m:val="p"/>
              </m:rPr>
              <w:rPr>
                <w:rFonts w:ascii="Cambria Math" w:hAnsi="Cambria Math"/>
              </w:rPr>
              <m:t>1</m:t>
            </m:r>
          </m:sub>
        </m:sSub>
      </m:oMath>
      <w:r w:rsidRPr="00185E7D">
        <w:t xml:space="preserve">. With the same input ratio of </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K</m:t>
                    </m:r>
                  </m:num>
                  <m:den>
                    <m:r>
                      <w:rPr>
                        <w:rFonts w:ascii="Cambria Math" w:hAnsi="Cambria Math"/>
                      </w:rPr>
                      <m:t>L</m:t>
                    </m:r>
                  </m:den>
                </m:f>
              </m:e>
            </m:d>
          </m:e>
          <m:sub>
            <m:r>
              <m:rPr>
                <m:sty m:val="p"/>
              </m:rPr>
              <w:rPr>
                <w:rFonts w:ascii="Cambria Math" w:hAnsi="Cambria Math"/>
              </w:rPr>
              <m:t>1</m:t>
            </m:r>
          </m:sub>
        </m:sSub>
      </m:oMath>
      <w:r w:rsidRPr="00185E7D">
        <w:t xml:space="preserve"> labour productivity increases to </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Y</m:t>
                    </m:r>
                  </m:num>
                  <m:den>
                    <m:r>
                      <w:rPr>
                        <w:rFonts w:ascii="Cambria Math" w:hAnsi="Cambria Math"/>
                      </w:rPr>
                      <m:t>L</m:t>
                    </m:r>
                  </m:den>
                </m:f>
              </m:e>
            </m:d>
          </m:e>
          <m:sub>
            <m:r>
              <m:rPr>
                <m:sty m:val="p"/>
              </m:rPr>
              <w:rPr>
                <w:rFonts w:ascii="Cambria Math" w:hAnsi="Cambria Math"/>
              </w:rPr>
              <m:t>2</m:t>
            </m:r>
          </m:sub>
        </m:sSub>
        <m:r>
          <m:rPr>
            <m:sty m:val="p"/>
          </m:rPr>
          <w:rPr>
            <w:rFonts w:ascii="Cambria Math" w:hAnsi="Cambria Math"/>
          </w:rPr>
          <m:t>.</m:t>
        </m:r>
      </m:oMath>
    </w:p>
    <w:p w14:paraId="66BDA62A" w14:textId="77777777" w:rsidR="00375729" w:rsidRPr="00185E7D" w:rsidRDefault="00375729" w:rsidP="00375729">
      <w:pPr>
        <w:pStyle w:val="BodyTextNoIndent"/>
        <w:rPr>
          <w:rFonts w:ascii="Cambria" w:eastAsiaTheme="minorEastAsia" w:hAnsi="Cambria" w:cs="Calibri"/>
        </w:rPr>
      </w:pPr>
    </w:p>
    <w:p w14:paraId="149C7FEA" w14:textId="77777777" w:rsidR="00375729" w:rsidRPr="00185E7D" w:rsidRDefault="00375729" w:rsidP="00375729">
      <w:pPr>
        <w:pStyle w:val="BodyTextNoIndent"/>
        <w:rPr>
          <w:rFonts w:ascii="Cambria" w:eastAsiaTheme="minorEastAsia" w:hAnsi="Cambria" w:cs="Calibri"/>
        </w:rPr>
      </w:pPr>
      <w:r w:rsidRPr="00185E7D">
        <w:rPr>
          <w:rFonts w:ascii="Cambria" w:eastAsiaTheme="minorEastAsia" w:hAnsi="Cambria" w:cs="Calibri"/>
        </w:rPr>
        <w:br w:type="page"/>
      </w:r>
    </w:p>
    <w:p w14:paraId="52E3E1A3" w14:textId="77777777" w:rsidR="00375729" w:rsidRPr="00185E7D" w:rsidRDefault="00375729" w:rsidP="00B722ED">
      <w:pPr>
        <w:pStyle w:val="Figurecaption"/>
      </w:pPr>
      <w:r w:rsidRPr="00185E7D">
        <w:t xml:space="preserve">Figure 2.1 Illustration </w:t>
      </w:r>
      <w:r w:rsidR="00E7497A">
        <w:t xml:space="preserve">of </w:t>
      </w:r>
      <w:r w:rsidR="00E7497A" w:rsidRPr="00185E7D">
        <w:t>how</w:t>
      </w:r>
      <w:r w:rsidRPr="00185E7D">
        <w:t xml:space="preserve"> ICT production and use can affect productivity</w:t>
      </w:r>
    </w:p>
    <w:p w14:paraId="0B541BCF" w14:textId="538FACF3" w:rsidR="00375729" w:rsidRPr="00185E7D" w:rsidRDefault="00B722ED" w:rsidP="00375729">
      <w:pPr>
        <w:pStyle w:val="BodyTextNoIndent"/>
        <w:rPr>
          <w:rFonts w:ascii="Cambria" w:eastAsiaTheme="majorEastAsia" w:hAnsi="Cambria" w:cstheme="majorBidi"/>
          <w:sz w:val="26"/>
          <w:szCs w:val="26"/>
        </w:rPr>
      </w:pPr>
      <w:r w:rsidRPr="00B722ED">
        <w:rPr>
          <w:noProof/>
          <w:lang w:eastAsia="en-AU"/>
        </w:rPr>
        <w:drawing>
          <wp:inline distT="0" distB="0" distL="0" distR="0" wp14:anchorId="629699B6" wp14:editId="32CBE7FD">
            <wp:extent cx="5730240" cy="3589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3589020"/>
                    </a:xfrm>
                    <a:prstGeom prst="rect">
                      <a:avLst/>
                    </a:prstGeom>
                    <a:noFill/>
                    <a:ln>
                      <a:noFill/>
                    </a:ln>
                  </pic:spPr>
                </pic:pic>
              </a:graphicData>
            </a:graphic>
          </wp:inline>
        </w:drawing>
      </w:r>
    </w:p>
    <w:p w14:paraId="34BB95C3" w14:textId="77777777" w:rsidR="00375729" w:rsidRPr="00185E7D" w:rsidRDefault="00375729" w:rsidP="00F37FA2">
      <w:pPr>
        <w:pStyle w:val="BCRHead3"/>
      </w:pPr>
      <w:bookmarkStart w:id="26" w:name="_Toc436909138"/>
      <w:bookmarkStart w:id="27" w:name="_Toc436920418"/>
      <w:r w:rsidRPr="00185E7D">
        <w:t>2.1.2</w:t>
      </w:r>
      <w:r w:rsidRPr="00185E7D">
        <w:tab/>
        <w:t>Capital deepening in using industries</w:t>
      </w:r>
      <w:bookmarkEnd w:id="26"/>
      <w:bookmarkEnd w:id="27"/>
    </w:p>
    <w:p w14:paraId="1B6D3135" w14:textId="77777777" w:rsidR="00375729" w:rsidRPr="00886ECF" w:rsidRDefault="00375729" w:rsidP="00375729">
      <w:pPr>
        <w:pStyle w:val="BodyTextNoIndent"/>
      </w:pPr>
      <w:r w:rsidRPr="00886ECF">
        <w:t>We now move to the productivity gains that can be derived through the use of ICTs. Since Australia does not produce a lot of ICTs, gains from using them are much more pertinent for us.</w:t>
      </w:r>
    </w:p>
    <w:p w14:paraId="47059027" w14:textId="77777777" w:rsidR="00375729" w:rsidRPr="00886ECF" w:rsidRDefault="00375729" w:rsidP="00375729">
      <w:pPr>
        <w:pStyle w:val="BodyTextNoIndent"/>
      </w:pPr>
      <w:r w:rsidRPr="00886ECF">
        <w:t xml:space="preserve">ICTs can offer businesses opportunities to invest in them, rather than employ labour when it comes to routine tasks. For example, computers can perform routine account-keeping tasks that used to be performed by staff. </w:t>
      </w:r>
    </w:p>
    <w:p w14:paraId="3B77F01A" w14:textId="77777777" w:rsidR="00375729" w:rsidRPr="00886ECF" w:rsidRDefault="00375729" w:rsidP="00375729">
      <w:pPr>
        <w:pStyle w:val="BodyTextNoIndent"/>
      </w:pPr>
      <w:r w:rsidRPr="00886ECF">
        <w:t xml:space="preserve">That is substitution of capital for labour, or capital deepening. It is represented in Figure 2.1 as an increase in the capital-labour ratio from </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K</m:t>
                    </m:r>
                  </m:num>
                  <m:den>
                    <m:r>
                      <w:rPr>
                        <w:rFonts w:ascii="Cambria Math" w:hAnsi="Cambria Math"/>
                      </w:rPr>
                      <m:t>L</m:t>
                    </m:r>
                  </m:den>
                </m:f>
              </m:e>
            </m:d>
          </m:e>
          <m:sub>
            <m:r>
              <m:rPr>
                <m:sty m:val="p"/>
              </m:rPr>
              <w:rPr>
                <w:rFonts w:ascii="Cambria Math" w:hAnsi="Cambria Math"/>
              </w:rPr>
              <m:t>0</m:t>
            </m:r>
          </m:sub>
        </m:sSub>
        <m:r>
          <w:rPr>
            <w:rFonts w:ascii="Cambria Math" w:hAnsi="Cambria Math"/>
          </w:rPr>
          <m:t xml:space="preserve"> </m:t>
        </m:r>
      </m:oMath>
      <w:r w:rsidRPr="00886ECF">
        <w:t>to</w:t>
      </w:r>
      <m:oMath>
        <m:sSub>
          <m:sSubPr>
            <m:ctrlPr>
              <w:rPr>
                <w:rFonts w:ascii="Cambria Math" w:hAnsi="Cambria Math"/>
              </w:rPr>
            </m:ctrlPr>
          </m:sSubPr>
          <m:e>
            <m:r>
              <w:rPr>
                <w:rFonts w:ascii="Cambria Math" w:hAnsi="Cambria Math"/>
              </w:rPr>
              <m:t xml:space="preserve"> </m:t>
            </m:r>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K</m:t>
                    </m:r>
                  </m:num>
                  <m:den>
                    <m:r>
                      <w:rPr>
                        <w:rFonts w:ascii="Cambria Math" w:hAnsi="Cambria Math"/>
                      </w:rPr>
                      <m:t>L</m:t>
                    </m:r>
                  </m:den>
                </m:f>
              </m:e>
            </m:d>
          </m:e>
          <m:sub>
            <m:r>
              <m:rPr>
                <m:sty m:val="p"/>
              </m:rPr>
              <w:rPr>
                <w:rFonts w:ascii="Cambria Math" w:hAnsi="Cambria Math"/>
              </w:rPr>
              <m:t>1</m:t>
            </m:r>
          </m:sub>
        </m:sSub>
      </m:oMath>
      <w:r w:rsidRPr="00886ECF">
        <w:t xml:space="preserve">. Since there is no change in MFP, production is read off the original production </w:t>
      </w:r>
      <w:r w:rsidR="00673AED" w:rsidRPr="00886ECF">
        <w:t>function</w:t>
      </w:r>
      <m:oMath>
        <m:r>
          <w:rPr>
            <w:rFonts w:ascii="Cambria Math" w:hAnsi="Cambria Math"/>
          </w:rPr>
          <m:t xml:space="preserve"> </m:t>
        </m:r>
        <m:sSub>
          <m:sSubPr>
            <m:ctrlPr>
              <w:rPr>
                <w:rFonts w:ascii="Cambria Math" w:hAnsi="Cambria Math"/>
              </w:rPr>
            </m:ctrlPr>
          </m:sSubPr>
          <m:e>
            <m:r>
              <w:rPr>
                <w:rFonts w:ascii="Cambria Math" w:hAnsi="Cambria Math"/>
              </w:rPr>
              <m:t>PF</m:t>
            </m:r>
          </m:e>
          <m:sub>
            <m:r>
              <m:rPr>
                <m:sty m:val="p"/>
              </m:rPr>
              <w:rPr>
                <w:rFonts w:ascii="Cambria Math" w:hAnsi="Cambria Math"/>
              </w:rPr>
              <m:t>0</m:t>
            </m:r>
          </m:sub>
        </m:sSub>
      </m:oMath>
      <w:r w:rsidRPr="00886ECF">
        <w:t xml:space="preserve">. Labour productivity rises from </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Y</m:t>
                    </m:r>
                  </m:num>
                  <m:den>
                    <m:r>
                      <w:rPr>
                        <w:rFonts w:ascii="Cambria Math" w:hAnsi="Cambria Math"/>
                      </w:rPr>
                      <m:t>L</m:t>
                    </m:r>
                  </m:den>
                </m:f>
              </m:e>
            </m:d>
          </m:e>
          <m:sub>
            <m:r>
              <m:rPr>
                <m:sty m:val="p"/>
              </m:rPr>
              <w:rPr>
                <w:rFonts w:ascii="Cambria Math" w:hAnsi="Cambria Math"/>
              </w:rPr>
              <m:t>0</m:t>
            </m:r>
          </m:sub>
        </m:sSub>
      </m:oMath>
      <w:r w:rsidRPr="00886ECF">
        <w:t xml:space="preserve"> to</w:t>
      </w:r>
      <m:oMath>
        <m:sSub>
          <m:sSubPr>
            <m:ctrlPr>
              <w:rPr>
                <w:rFonts w:ascii="Cambria Math" w:hAnsi="Cambria Math"/>
              </w:rPr>
            </m:ctrlPr>
          </m:sSubPr>
          <m:e>
            <m:d>
              <m:dPr>
                <m:begChr m:val="["/>
                <m:endChr m:val="]"/>
                <m:ctrlPr>
                  <w:rPr>
                    <w:rFonts w:ascii="Cambria Math" w:hAnsi="Cambria Math"/>
                  </w:rPr>
                </m:ctrlPr>
              </m:dPr>
              <m:e>
                <m:f>
                  <m:fPr>
                    <m:type m:val="skw"/>
                    <m:ctrlPr>
                      <w:rPr>
                        <w:rFonts w:ascii="Cambria Math" w:hAnsi="Cambria Math"/>
                      </w:rPr>
                    </m:ctrlPr>
                  </m:fPr>
                  <m:num>
                    <m:r>
                      <w:rPr>
                        <w:rFonts w:ascii="Cambria Math" w:hAnsi="Cambria Math"/>
                      </w:rPr>
                      <m:t>Y</m:t>
                    </m:r>
                  </m:num>
                  <m:den>
                    <m:r>
                      <w:rPr>
                        <w:rFonts w:ascii="Cambria Math" w:hAnsi="Cambria Math"/>
                      </w:rPr>
                      <m:t>L</m:t>
                    </m:r>
                  </m:den>
                </m:f>
              </m:e>
            </m:d>
          </m:e>
          <m:sub>
            <m:r>
              <m:rPr>
                <m:sty m:val="p"/>
              </m:rPr>
              <w:rPr>
                <w:rFonts w:ascii="Cambria Math" w:hAnsi="Cambria Math"/>
              </w:rPr>
              <m:t>1</m:t>
            </m:r>
          </m:sub>
        </m:sSub>
      </m:oMath>
      <w:r w:rsidRPr="00886ECF">
        <w:t>.</w:t>
      </w:r>
    </w:p>
    <w:p w14:paraId="0342D750" w14:textId="77777777" w:rsidR="00375729" w:rsidRPr="00886ECF" w:rsidRDefault="00375729" w:rsidP="00375729">
      <w:pPr>
        <w:pStyle w:val="BodyTextNoIndent"/>
      </w:pPr>
      <w:r w:rsidRPr="00886ECF">
        <w:t xml:space="preserve">Constant MFP means there is no fundamental change in products or processes. Firms are essentially going about the same business in the same way. There is a shift around the same production function. </w:t>
      </w:r>
    </w:p>
    <w:p w14:paraId="364ABE94" w14:textId="77777777" w:rsidR="00375729" w:rsidRPr="00886ECF" w:rsidRDefault="00375729" w:rsidP="00375729">
      <w:pPr>
        <w:pStyle w:val="BodyTextNoIndent"/>
      </w:pPr>
      <w:r w:rsidRPr="00886ECF">
        <w:t xml:space="preserve">The capital-deepening mechanism—ICTs substitute for labour—comes about because ICTs provide a cheaper way of doing essentially the same things. As computers and related technologies have become more powerful, cheaper and easier to use, businesses have chosen to use more of them, relative to the amount of labour they use, to produce their goods and services. </w:t>
      </w:r>
    </w:p>
    <w:p w14:paraId="6C7DF52E" w14:textId="77777777" w:rsidR="00375729" w:rsidRPr="00185E7D" w:rsidRDefault="00375729" w:rsidP="00F37FA2">
      <w:pPr>
        <w:pStyle w:val="BCRHead3"/>
      </w:pPr>
      <w:bookmarkStart w:id="28" w:name="_Toc436909139"/>
      <w:bookmarkStart w:id="29" w:name="_Toc436920419"/>
      <w:r>
        <w:t>2.1.3</w:t>
      </w:r>
      <w:r>
        <w:tab/>
      </w:r>
      <w:r w:rsidRPr="00185E7D">
        <w:t>MFP gains in using industries</w:t>
      </w:r>
      <w:bookmarkEnd w:id="28"/>
      <w:bookmarkEnd w:id="29"/>
    </w:p>
    <w:p w14:paraId="3733C625" w14:textId="77777777" w:rsidR="00375729" w:rsidRPr="00886ECF" w:rsidRDefault="00375729" w:rsidP="00375729">
      <w:pPr>
        <w:pStyle w:val="BodyTextNoIndent"/>
      </w:pPr>
      <w:r w:rsidRPr="00886ECF">
        <w:t xml:space="preserve">ICTs can provide further opportunities for productivity gains by providing a platform for using firms to develop and introduce innovations in their own products and processes. For example: </w:t>
      </w:r>
    </w:p>
    <w:p w14:paraId="58454A96" w14:textId="77777777" w:rsidR="00375729" w:rsidRPr="00886ECF" w:rsidRDefault="00375729" w:rsidP="00CF3D6E">
      <w:pPr>
        <w:pStyle w:val="BodyTextNoIndent"/>
        <w:numPr>
          <w:ilvl w:val="0"/>
          <w:numId w:val="33"/>
        </w:numPr>
      </w:pPr>
      <w:r w:rsidRPr="00886ECF">
        <w:t xml:space="preserve">New products—businesses have used ICTs to produce information-hungry financial products, provide the convenience of automatic teller machines, sell travel and accommodation bookings to widely-dispersed customers via the internet and coordinate and sell real-time back loading of transport vehicles. </w:t>
      </w:r>
    </w:p>
    <w:p w14:paraId="754B51D4" w14:textId="77777777" w:rsidR="00375729" w:rsidRPr="00886ECF" w:rsidRDefault="00375729" w:rsidP="00CF3D6E">
      <w:pPr>
        <w:pStyle w:val="BodyTextNoIndent"/>
        <w:numPr>
          <w:ilvl w:val="0"/>
          <w:numId w:val="33"/>
        </w:numPr>
      </w:pPr>
      <w:r w:rsidRPr="00886ECF">
        <w:t xml:space="preserve">New processes—businesses have used ICTs to better coordinate activities in different locations, streamline business processes, provide remote sensing, gather more information and carry out more analysis to improve efficiency and reduce waste. </w:t>
      </w:r>
    </w:p>
    <w:p w14:paraId="658F1D16" w14:textId="77777777" w:rsidR="00375729" w:rsidRPr="00886ECF" w:rsidRDefault="00375729" w:rsidP="00375729">
      <w:pPr>
        <w:pStyle w:val="BodyTextNoIndent"/>
      </w:pPr>
      <w:r w:rsidRPr="00886ECF">
        <w:t>This is represented as a shift of the production function akin to the case presented above for producers of ICTs. This time, however, the reference is to producers of other goods and services.</w:t>
      </w:r>
    </w:p>
    <w:p w14:paraId="3E5BC490" w14:textId="77777777" w:rsidR="00375729" w:rsidRPr="00886ECF" w:rsidRDefault="00375729" w:rsidP="00375729">
      <w:pPr>
        <w:pStyle w:val="BodyTextNoIndent"/>
      </w:pPr>
      <w:r w:rsidRPr="00886ECF">
        <w:t>In practice, innovative use of ICTs is likely to combine both elements—a shift around the production function with cheaper ICTs and a shift of the production function with the new product or process.</w:t>
      </w:r>
    </w:p>
    <w:p w14:paraId="61908D8B" w14:textId="77777777" w:rsidR="00375729" w:rsidRPr="00185E7D" w:rsidRDefault="00375729" w:rsidP="00F37FA2">
      <w:pPr>
        <w:pStyle w:val="BCRHead2"/>
      </w:pPr>
      <w:bookmarkStart w:id="30" w:name="_Toc436920420"/>
      <w:r w:rsidRPr="00185E7D">
        <w:t xml:space="preserve">2.2 </w:t>
      </w:r>
      <w:r w:rsidRPr="00185E7D">
        <w:tab/>
        <w:t>ICTs as a disruptive general-purpose technology</w:t>
      </w:r>
      <w:bookmarkEnd w:id="30"/>
      <w:r w:rsidRPr="00185E7D">
        <w:t xml:space="preserve"> </w:t>
      </w:r>
    </w:p>
    <w:p w14:paraId="01930769" w14:textId="77777777" w:rsidR="00375729" w:rsidRPr="00886ECF" w:rsidRDefault="00375729" w:rsidP="00375729">
      <w:pPr>
        <w:pStyle w:val="BodyTextNoIndent"/>
      </w:pPr>
      <w:r w:rsidRPr="00886ECF">
        <w:t>The sorts of innovations ICTs have enabled are not just incremental. They can require and enable fundamental change in a firm’s operation. That is why they are often linked to new business models—producing quite different products and in quite different ways. Because of the fundamental changes they can bring they are also referred to as disruptive technologies.</w:t>
      </w:r>
    </w:p>
    <w:p w14:paraId="008FE891" w14:textId="77777777" w:rsidR="00375729" w:rsidRPr="00886ECF" w:rsidRDefault="00375729" w:rsidP="00375729">
      <w:pPr>
        <w:pStyle w:val="BodyTextNoIndent"/>
      </w:pPr>
      <w:r w:rsidRPr="00886ECF">
        <w:t>ICTs have brought widespread as well as disruptive change throughout the economy, and because of this combination, many have classed them as a general-purpose technology. A general-purpose technology rewrites the way production in an economy is structured and organised. Examples of general-purpose technologies include the steam engine, electricity and the motor vehicle.</w:t>
      </w:r>
      <w:r w:rsidR="001F400B">
        <w:rPr>
          <w:rStyle w:val="EndnoteReference"/>
        </w:rPr>
        <w:endnoteReference w:id="3"/>
      </w:r>
    </w:p>
    <w:p w14:paraId="2BD9B69B" w14:textId="77777777" w:rsidR="00375729" w:rsidRPr="00185E7D" w:rsidRDefault="00375729" w:rsidP="00F37FA2">
      <w:pPr>
        <w:pStyle w:val="BCRHead2"/>
      </w:pPr>
      <w:bookmarkStart w:id="31" w:name="_Toc436920421"/>
      <w:r w:rsidRPr="00185E7D">
        <w:t xml:space="preserve">2.3 </w:t>
      </w:r>
      <w:r w:rsidRPr="00185E7D">
        <w:tab/>
        <w:t>The need for complementary investments</w:t>
      </w:r>
      <w:bookmarkEnd w:id="31"/>
      <w:r w:rsidRPr="00185E7D">
        <w:t xml:space="preserve"> </w:t>
      </w:r>
    </w:p>
    <w:p w14:paraId="5A3F1290" w14:textId="77777777" w:rsidR="00375729" w:rsidRPr="00886ECF" w:rsidRDefault="00375729" w:rsidP="00375729">
      <w:pPr>
        <w:pStyle w:val="BCRBodytext"/>
      </w:pPr>
      <w:r w:rsidRPr="00886ECF">
        <w:t xml:space="preserve">The innovation gains from ICTs normally need deep change—disruption, transformation and development of new business models—which can be costly. </w:t>
      </w:r>
    </w:p>
    <w:p w14:paraId="40B7FCFC" w14:textId="77777777" w:rsidR="00375729" w:rsidRPr="00886ECF" w:rsidRDefault="00375729" w:rsidP="00375729">
      <w:pPr>
        <w:pStyle w:val="BCRBodytext"/>
      </w:pPr>
      <w:r w:rsidRPr="00886ECF">
        <w:t xml:space="preserve">Other complementary investments are needed to bring about all the changes required to realise productivity improvements. Complementary investments could be in: research and development to develop suitable software systems, gathering customer information and setting up databases, training staff in the use of new information systems, restructuring an organisation and reassigning tasks and responsibilities. </w:t>
      </w:r>
    </w:p>
    <w:p w14:paraId="6D712975" w14:textId="77777777" w:rsidR="00375729" w:rsidRPr="00886ECF" w:rsidRDefault="00375729" w:rsidP="00375729">
      <w:pPr>
        <w:pStyle w:val="BCRBodytext"/>
      </w:pPr>
      <w:r w:rsidRPr="00886ECF">
        <w:t>Recognition of the importance of complementary investments has led to recent research interest in investments in intangibles.</w:t>
      </w:r>
      <w:r w:rsidRPr="00716BA8">
        <w:rPr>
          <w:rStyle w:val="FootnoteReference"/>
        </w:rPr>
        <w:footnoteReference w:id="7"/>
      </w:r>
      <w:r w:rsidRPr="00716BA8">
        <w:rPr>
          <w:vertAlign w:val="superscript"/>
        </w:rPr>
        <w:t xml:space="preserve"> </w:t>
      </w:r>
      <w:r w:rsidRPr="00886ECF">
        <w:t>The intangibles that are commonly measured are:</w:t>
      </w:r>
    </w:p>
    <w:p w14:paraId="29506C82" w14:textId="77777777" w:rsidR="00375729" w:rsidRPr="00886ECF" w:rsidRDefault="00375729" w:rsidP="00CF3D6E">
      <w:pPr>
        <w:pStyle w:val="BCRBodytext"/>
        <w:numPr>
          <w:ilvl w:val="0"/>
          <w:numId w:val="32"/>
        </w:numPr>
      </w:pPr>
      <w:r w:rsidRPr="00886ECF">
        <w:t>Computerised information—software and computerised databases.</w:t>
      </w:r>
    </w:p>
    <w:p w14:paraId="0D5F8C93" w14:textId="77777777" w:rsidR="00375729" w:rsidRPr="00886ECF" w:rsidRDefault="00375729" w:rsidP="00CF3D6E">
      <w:pPr>
        <w:pStyle w:val="BCRBodytext"/>
        <w:numPr>
          <w:ilvl w:val="0"/>
          <w:numId w:val="32"/>
        </w:numPr>
      </w:pPr>
      <w:r w:rsidRPr="00886ECF">
        <w:t>Innovative property—scientific and non-scientific R&amp;D and design.</w:t>
      </w:r>
    </w:p>
    <w:p w14:paraId="25A0929C" w14:textId="77777777" w:rsidR="00375729" w:rsidRPr="00886ECF" w:rsidRDefault="00375729" w:rsidP="00CF3D6E">
      <w:pPr>
        <w:pStyle w:val="BCRBodytext"/>
        <w:numPr>
          <w:ilvl w:val="0"/>
          <w:numId w:val="32"/>
        </w:numPr>
      </w:pPr>
      <w:r w:rsidRPr="00886ECF">
        <w:t>Economic competencies—brand equity, firm-specific human capital and organisational capital.</w:t>
      </w:r>
    </w:p>
    <w:p w14:paraId="1C252EC9" w14:textId="77777777" w:rsidR="00375729" w:rsidRPr="00886ECF" w:rsidRDefault="00375729" w:rsidP="00375729">
      <w:pPr>
        <w:pStyle w:val="BCRBodytext"/>
      </w:pPr>
      <w:r w:rsidRPr="00886ECF">
        <w:t>Barnes and McClure</w:t>
      </w:r>
      <w:r w:rsidRPr="00716BA8">
        <w:rPr>
          <w:rStyle w:val="FootnoteReference"/>
        </w:rPr>
        <w:footnoteReference w:id="8"/>
      </w:r>
      <w:r w:rsidRPr="00716BA8">
        <w:rPr>
          <w:vertAlign w:val="superscript"/>
        </w:rPr>
        <w:t xml:space="preserve"> </w:t>
      </w:r>
      <w:r w:rsidRPr="00886ECF">
        <w:t>found that about one-third of Australia’s investment in 2005–06 was in intangibles. Elnasri and Fox</w:t>
      </w:r>
      <w:r w:rsidRPr="00716BA8">
        <w:rPr>
          <w:rStyle w:val="FootnoteReference"/>
        </w:rPr>
        <w:footnoteReference w:id="9"/>
      </w:r>
      <w:r w:rsidRPr="00716BA8">
        <w:rPr>
          <w:vertAlign w:val="superscript"/>
        </w:rPr>
        <w:t xml:space="preserve"> </w:t>
      </w:r>
      <w:r w:rsidRPr="00886ECF">
        <w:t>found the share had slipped to about a quarter by 2012–13, largely due to growth in tangible investment in the mining industry. They also noted the ABS national accounts data covered only 42 per cent of total intangible investment in 2012–13.</w:t>
      </w:r>
    </w:p>
    <w:p w14:paraId="59808CC4" w14:textId="77777777" w:rsidR="00375729" w:rsidRPr="00886ECF" w:rsidRDefault="00375729" w:rsidP="00375729">
      <w:pPr>
        <w:pStyle w:val="BCRBodytext"/>
      </w:pPr>
      <w:r w:rsidRPr="00886ECF">
        <w:br w:type="page"/>
      </w:r>
    </w:p>
    <w:p w14:paraId="33A51A70" w14:textId="77777777" w:rsidR="00375729" w:rsidRPr="00185E7D" w:rsidRDefault="00375729" w:rsidP="00375729">
      <w:pPr>
        <w:pStyle w:val="H1"/>
      </w:pPr>
      <w:bookmarkStart w:id="32" w:name="_Toc436920422"/>
      <w:bookmarkStart w:id="33" w:name="_Toc442448183"/>
      <w:r>
        <w:t>3</w:t>
      </w:r>
      <w:r>
        <w:tab/>
      </w:r>
      <w:r w:rsidRPr="00185E7D">
        <w:t>Setting the scene: trends in IT use and productivity</w:t>
      </w:r>
      <w:bookmarkEnd w:id="32"/>
      <w:bookmarkEnd w:id="33"/>
    </w:p>
    <w:p w14:paraId="5FF40F5B" w14:textId="77777777" w:rsidR="00375729" w:rsidRPr="00185E7D" w:rsidRDefault="00375729" w:rsidP="00375729">
      <w:pPr>
        <w:pStyle w:val="BCRBodytext"/>
      </w:pPr>
      <w:r w:rsidRPr="00185E7D">
        <w:t>This section presents trends in investment in, and holdings of, IT assets throughout the Australian economy during the 1990s and 2000s. The decades before and after 2003–04 are compared. These correspond broadly to a high productivity growth period (1993–94 to 2003–04) and a low productivity growth period (2003–04 to 2013–14).</w:t>
      </w:r>
    </w:p>
    <w:p w14:paraId="30FDF9A4" w14:textId="77777777" w:rsidR="00375729" w:rsidRPr="00185E7D" w:rsidRDefault="00375729" w:rsidP="00375729">
      <w:pPr>
        <w:pStyle w:val="BCRBodytext"/>
      </w:pPr>
      <w:r w:rsidRPr="00185E7D">
        <w:t>A specific objective is to identify industries that are heavy or growing users of IT and those that have had strong productivity growth. These industries warrant closer attention in the growth accounting.</w:t>
      </w:r>
    </w:p>
    <w:p w14:paraId="1A5ECB6B" w14:textId="77777777" w:rsidR="00375729" w:rsidRPr="00185E7D" w:rsidRDefault="00375729" w:rsidP="00375729">
      <w:pPr>
        <w:pStyle w:val="BCRBodytext"/>
      </w:pPr>
      <w:r w:rsidRPr="00185E7D">
        <w:t>The data in this section covers three assets included by the ABS in information technology, as presented in the Australian System of National Accounts</w:t>
      </w:r>
      <w:r w:rsidRPr="00185E7D">
        <w:rPr>
          <w:rStyle w:val="FootnoteReference"/>
          <w:rFonts w:ascii="Cambria" w:hAnsi="Cambria"/>
        </w:rPr>
        <w:footnoteReference w:id="10"/>
      </w:r>
      <w:r w:rsidRPr="00185E7D">
        <w:t xml:space="preserve">: </w:t>
      </w:r>
    </w:p>
    <w:p w14:paraId="41AE7C3F" w14:textId="77777777" w:rsidR="00375729" w:rsidRPr="00185E7D" w:rsidRDefault="00375729" w:rsidP="00012248">
      <w:pPr>
        <w:pStyle w:val="Bodybullet-Level2"/>
      </w:pPr>
      <w:r w:rsidRPr="00185E7D">
        <w:t>computers and peripherals</w:t>
      </w:r>
    </w:p>
    <w:p w14:paraId="5DE15573" w14:textId="77777777" w:rsidR="00375729" w:rsidRPr="00185E7D" w:rsidRDefault="00375729" w:rsidP="00012248">
      <w:pPr>
        <w:pStyle w:val="Bodybullet-Level2"/>
      </w:pPr>
      <w:r w:rsidRPr="00185E7D">
        <w:t>electrical and electronic equipment</w:t>
      </w:r>
      <w:r w:rsidR="00CB5FC5">
        <w:t>, and</w:t>
      </w:r>
    </w:p>
    <w:p w14:paraId="28981171" w14:textId="77777777" w:rsidR="00375729" w:rsidRPr="00185E7D" w:rsidRDefault="00375729" w:rsidP="00012248">
      <w:pPr>
        <w:pStyle w:val="Bodybullet-Level2"/>
      </w:pPr>
      <w:r w:rsidRPr="00185E7D">
        <w:t>computer software.</w:t>
      </w:r>
    </w:p>
    <w:p w14:paraId="6CE1EEC5" w14:textId="77777777" w:rsidR="00375729" w:rsidRPr="00185E7D" w:rsidRDefault="00375729" w:rsidP="00375729">
      <w:pPr>
        <w:pStyle w:val="BodyTextNoIndent"/>
      </w:pPr>
      <w:r w:rsidRPr="00185E7D">
        <w:t>Electrical and electronic equipment includes communications equipment that is ‘analogue’ rather than digital, as well as other equipment not related to communications. Electrical and electronic (E&amp;E) equipment is included here, but excluded from the growth accounting presented in later sections.</w:t>
      </w:r>
    </w:p>
    <w:p w14:paraId="3291E9C9" w14:textId="77777777" w:rsidR="00375729" w:rsidRPr="00185E7D" w:rsidRDefault="00375729" w:rsidP="00F37FA2">
      <w:pPr>
        <w:pStyle w:val="BCRHead2"/>
      </w:pPr>
      <w:bookmarkStart w:id="34" w:name="_Toc436920423"/>
      <w:r w:rsidRPr="00185E7D">
        <w:t>3.1</w:t>
      </w:r>
      <w:r w:rsidRPr="00185E7D">
        <w:tab/>
        <w:t>IT use in Australia</w:t>
      </w:r>
      <w:bookmarkEnd w:id="34"/>
    </w:p>
    <w:p w14:paraId="22C2A55A" w14:textId="77777777" w:rsidR="00375729" w:rsidRPr="00185E7D" w:rsidRDefault="008960A4" w:rsidP="00375729">
      <w:pPr>
        <w:pStyle w:val="BodyTextNoIndent"/>
      </w:pPr>
      <w:r>
        <w:t>Figure 3.</w:t>
      </w:r>
      <w:r w:rsidR="00C33AD9">
        <w:t>1</w:t>
      </w:r>
      <w:r w:rsidR="00375729" w:rsidRPr="00185E7D">
        <w:t xml:space="preserve"> (below) shows the very strong investment there has been in IT. Annual investment in all three forms of technology was below $2 billion (in 2012–13 dollars) in the early 1990s but is now at $16.9 billion for software, $12.7 billion for hardware and $9.9 billion for E&amp;E equipment. </w:t>
      </w:r>
    </w:p>
    <w:p w14:paraId="204E45AA" w14:textId="77777777" w:rsidR="00375729" w:rsidRPr="00185E7D" w:rsidRDefault="00375729" w:rsidP="00375729">
      <w:pPr>
        <w:pStyle w:val="BodyTextNoIndent"/>
      </w:pPr>
      <w:bookmarkStart w:id="35" w:name="_Ref423883829"/>
      <w:r w:rsidRPr="00185E7D">
        <w:t xml:space="preserve">The rate of growth in investment eased in the 2000s. Growth in software investment slowed from a very rapid 30 per cent a year in the decade before 2003–04 to 16 per cent a year in the decade after. Over the same periods, growth in hardware investment slowed from 13 to eight per cent a year. </w:t>
      </w:r>
    </w:p>
    <w:p w14:paraId="75D347AC" w14:textId="77777777" w:rsidR="00375729" w:rsidRPr="00185E7D" w:rsidRDefault="008960A4" w:rsidP="00375729">
      <w:pPr>
        <w:pStyle w:val="BodyTextNoIndent"/>
      </w:pPr>
      <w:r>
        <w:t>Figure 3.</w:t>
      </w:r>
      <w:r w:rsidR="00C33AD9">
        <w:t>1</w:t>
      </w:r>
      <w:r w:rsidR="00375729" w:rsidRPr="00185E7D">
        <w:t xml:space="preserve"> shows investment in E&amp;E equipment stalled in the mid-2000s, but then resumed growth in the 2010s. The average rate of growth in the two periods was 15 and six per cent a year respectively.</w:t>
      </w:r>
    </w:p>
    <w:p w14:paraId="4571852C" w14:textId="77777777" w:rsidR="00375729" w:rsidRPr="00185E7D" w:rsidRDefault="00375729" w:rsidP="00375729">
      <w:pPr>
        <w:pStyle w:val="BodyTextNoIndent"/>
      </w:pPr>
      <w:r w:rsidRPr="00185E7D">
        <w:t xml:space="preserve">The rate of growth in hardware investment has been variable since the mid-2000s. It slowed considerably after a brief acceleration in 2007–08, which may have been prompted by the global financial crisis. There was a 40 per cent rise in hardware investment in 2013–14, which could possibly be catch-up after deferred investment.  </w:t>
      </w:r>
    </w:p>
    <w:p w14:paraId="2F0ED435" w14:textId="77777777" w:rsidR="00375729" w:rsidRPr="00375729" w:rsidRDefault="00375729" w:rsidP="00B722ED">
      <w:pPr>
        <w:pStyle w:val="Figurecaption"/>
        <w:rPr>
          <w:rFonts w:cs="Calibri"/>
        </w:rPr>
      </w:pPr>
      <w:r w:rsidRPr="00185E7D">
        <w:br w:type="page"/>
      </w:r>
      <w:r w:rsidR="008960A4">
        <w:t>Figure 3</w:t>
      </w:r>
      <w:r w:rsidRPr="0095221A">
        <w:t>.1</w:t>
      </w:r>
      <w:bookmarkEnd w:id="35"/>
      <w:r w:rsidRPr="0095221A">
        <w:t>: Investment in computers, electrical and electronic equipment and software, all industries ($ billion, cvm, reference year 2012–13)</w:t>
      </w:r>
    </w:p>
    <w:p w14:paraId="66EFCC52" w14:textId="4B74D4FE"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7FFEFDC5" wp14:editId="645C7EAE">
            <wp:extent cx="4352925" cy="26155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2615565"/>
                    </a:xfrm>
                    <a:prstGeom prst="rect">
                      <a:avLst/>
                    </a:prstGeom>
                    <a:noFill/>
                  </pic:spPr>
                </pic:pic>
              </a:graphicData>
            </a:graphic>
          </wp:inline>
        </w:drawing>
      </w:r>
    </w:p>
    <w:p w14:paraId="187E422E" w14:textId="77777777" w:rsidR="00375729" w:rsidRPr="00185E7D" w:rsidRDefault="00375729" w:rsidP="00012248">
      <w:pPr>
        <w:pStyle w:val="SourceNotes"/>
      </w:pPr>
      <w:r w:rsidRPr="00185E7D">
        <w:t>Source: ABS Cat. No. 5204.0, Table 70 (Gross Fixed Capital Formation)</w:t>
      </w:r>
    </w:p>
    <w:p w14:paraId="3EBD90C3" w14:textId="77777777" w:rsidR="00375729" w:rsidRPr="00886ECF" w:rsidRDefault="008960A4" w:rsidP="00375729">
      <w:pPr>
        <w:pStyle w:val="BodyTextNoIndent"/>
      </w:pPr>
      <w:r>
        <w:t>Figure 3.</w:t>
      </w:r>
      <w:r w:rsidR="00375729" w:rsidRPr="00886ECF">
        <w:t>2 shows that strong growth in investment has led to strong growth in capital stocks. Net capital stocks have grown from below $10 billion in the early 1990s (and less than $300 million in the case of computers) to $51 billion in software, $26 billion in hardware and $58 billion for E&amp;E equipment.</w:t>
      </w:r>
    </w:p>
    <w:p w14:paraId="09676F92" w14:textId="77777777" w:rsidR="00375729" w:rsidRPr="00185E7D" w:rsidRDefault="008960A4" w:rsidP="00B722ED">
      <w:pPr>
        <w:pStyle w:val="Figurecaption"/>
      </w:pPr>
      <w:r>
        <w:t>Figure 3</w:t>
      </w:r>
      <w:r w:rsidR="00375729" w:rsidRPr="00185E7D">
        <w:t>.2: Net capital stocks of computers, electrical and electronic equipmen</w:t>
      </w:r>
      <w:r w:rsidR="00375729">
        <w:t xml:space="preserve">t and software, all industries </w:t>
      </w:r>
      <w:r w:rsidR="00375729" w:rsidRPr="00185E7D">
        <w:t>($ billion, cvm, reference year 2012–13)</w:t>
      </w:r>
    </w:p>
    <w:p w14:paraId="602FE8A3" w14:textId="67983081"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682B45EB" wp14:editId="4605CD0C">
            <wp:extent cx="4401820" cy="2646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1820" cy="2646045"/>
                    </a:xfrm>
                    <a:prstGeom prst="rect">
                      <a:avLst/>
                    </a:prstGeom>
                    <a:noFill/>
                  </pic:spPr>
                </pic:pic>
              </a:graphicData>
            </a:graphic>
          </wp:inline>
        </w:drawing>
      </w:r>
    </w:p>
    <w:p w14:paraId="28FCA2B0" w14:textId="77777777" w:rsidR="00375729" w:rsidRPr="00B722ED" w:rsidRDefault="00375729" w:rsidP="00B722ED">
      <w:pPr>
        <w:pStyle w:val="SourceNotes"/>
      </w:pPr>
      <w:r w:rsidRPr="00B722ED">
        <w:t>Source: ABS Cat. No. 5204.0, Table 69</w:t>
      </w:r>
    </w:p>
    <w:p w14:paraId="7EF9FBDF" w14:textId="77777777" w:rsidR="00375729" w:rsidRDefault="008960A4" w:rsidP="00375729">
      <w:pPr>
        <w:pStyle w:val="BodyTextNoIndent"/>
        <w:rPr>
          <w:rFonts w:ascii="Cambria" w:hAnsi="Cambria"/>
          <w:i/>
          <w:sz w:val="18"/>
          <w:szCs w:val="18"/>
        </w:rPr>
      </w:pPr>
      <w:r>
        <w:t>Table 3.</w:t>
      </w:r>
      <w:r w:rsidR="00375729" w:rsidRPr="00886ECF">
        <w:t xml:space="preserve">1 shows the rate of growth in capital stocks slowed after 2003–04 (first two columns), and the growth in stocks of hardware and E&amp;E equipment slowed in the second half of the 2000s (last two columns). Growth in hardware slowed after 2007–08 and </w:t>
      </w:r>
      <w:r w:rsidR="00375729">
        <w:t>in E&amp;E equipment after 2008–09.</w:t>
      </w:r>
    </w:p>
    <w:p w14:paraId="57409438" w14:textId="77777777" w:rsidR="00375729" w:rsidRPr="00B722ED" w:rsidRDefault="003B011F" w:rsidP="00B722ED">
      <w:pPr>
        <w:pStyle w:val="Figurecaption"/>
      </w:pPr>
      <w:r w:rsidRPr="00B722ED">
        <w:t xml:space="preserve">Table </w:t>
      </w:r>
      <w:r w:rsidR="008960A4" w:rsidRPr="00B722ED">
        <w:t>3.</w:t>
      </w:r>
      <w:r w:rsidR="00375729" w:rsidRPr="00B722ED">
        <w:t>1: Average annual rate of growth in net capital stocks of computers, electrical and electronic equipment and software, all industries, before and after 2003–04 (% pa)</w:t>
      </w:r>
    </w:p>
    <w:tbl>
      <w:tblPr>
        <w:tblStyle w:val="TableGrid"/>
        <w:tblW w:w="0" w:type="auto"/>
        <w:tblLook w:val="04A0" w:firstRow="1" w:lastRow="0" w:firstColumn="1" w:lastColumn="0" w:noHBand="0" w:noVBand="1"/>
      </w:tblPr>
      <w:tblGrid>
        <w:gridCol w:w="2405"/>
        <w:gridCol w:w="1488"/>
        <w:gridCol w:w="1489"/>
        <w:gridCol w:w="1489"/>
        <w:gridCol w:w="1489"/>
      </w:tblGrid>
      <w:tr w:rsidR="00375729" w:rsidRPr="00185E7D" w14:paraId="72EBFE2A" w14:textId="77777777" w:rsidTr="0058764D">
        <w:trPr>
          <w:tblHeader/>
        </w:trPr>
        <w:tc>
          <w:tcPr>
            <w:tcW w:w="2405" w:type="dxa"/>
          </w:tcPr>
          <w:p w14:paraId="63830C12" w14:textId="77777777" w:rsidR="00375729" w:rsidRPr="00B722ED" w:rsidRDefault="00375729" w:rsidP="006C4B85">
            <w:pPr>
              <w:pStyle w:val="Tablecellheading"/>
            </w:pPr>
          </w:p>
        </w:tc>
        <w:tc>
          <w:tcPr>
            <w:tcW w:w="1488" w:type="dxa"/>
          </w:tcPr>
          <w:p w14:paraId="357305AD" w14:textId="77777777" w:rsidR="00375729" w:rsidRPr="00B722ED" w:rsidRDefault="00375729" w:rsidP="006C4B85">
            <w:pPr>
              <w:pStyle w:val="Tablecellheading"/>
            </w:pPr>
            <w:r w:rsidRPr="00B722ED">
              <w:t>1993–94 to 2003–04</w:t>
            </w:r>
          </w:p>
        </w:tc>
        <w:tc>
          <w:tcPr>
            <w:tcW w:w="1489" w:type="dxa"/>
            <w:tcBorders>
              <w:right w:val="double" w:sz="4" w:space="0" w:color="auto"/>
            </w:tcBorders>
          </w:tcPr>
          <w:p w14:paraId="18AD9059" w14:textId="77777777" w:rsidR="00375729" w:rsidRPr="00B722ED" w:rsidRDefault="00375729" w:rsidP="006C4B85">
            <w:pPr>
              <w:pStyle w:val="Tablecellheading"/>
            </w:pPr>
            <w:r w:rsidRPr="00B722ED">
              <w:t>2003–04 to 2013–14</w:t>
            </w:r>
          </w:p>
        </w:tc>
        <w:tc>
          <w:tcPr>
            <w:tcW w:w="1489" w:type="dxa"/>
            <w:tcBorders>
              <w:left w:val="double" w:sz="4" w:space="0" w:color="auto"/>
            </w:tcBorders>
          </w:tcPr>
          <w:p w14:paraId="55875948" w14:textId="77777777" w:rsidR="00375729" w:rsidRPr="00B722ED" w:rsidRDefault="00375729" w:rsidP="006C4B85">
            <w:pPr>
              <w:pStyle w:val="Tablecellheading"/>
            </w:pPr>
            <w:r w:rsidRPr="00B722ED">
              <w:t>2003–04 to 2007–08</w:t>
            </w:r>
          </w:p>
        </w:tc>
        <w:tc>
          <w:tcPr>
            <w:tcW w:w="1489" w:type="dxa"/>
          </w:tcPr>
          <w:p w14:paraId="44790CC7" w14:textId="77777777" w:rsidR="00375729" w:rsidRPr="00B722ED" w:rsidRDefault="00375729" w:rsidP="006C4B85">
            <w:pPr>
              <w:pStyle w:val="Tablecellheading"/>
            </w:pPr>
            <w:r w:rsidRPr="00B722ED">
              <w:t>2007–08 to 2013–14</w:t>
            </w:r>
          </w:p>
        </w:tc>
      </w:tr>
      <w:tr w:rsidR="00375729" w:rsidRPr="00185E7D" w14:paraId="11FE7665" w14:textId="77777777" w:rsidTr="00301886">
        <w:trPr>
          <w:trHeight w:val="397"/>
        </w:trPr>
        <w:tc>
          <w:tcPr>
            <w:tcW w:w="2405" w:type="dxa"/>
            <w:tcBorders>
              <w:bottom w:val="nil"/>
            </w:tcBorders>
          </w:tcPr>
          <w:p w14:paraId="62828339" w14:textId="77777777" w:rsidR="00375729" w:rsidRPr="00B722ED" w:rsidRDefault="00375729" w:rsidP="006C4B85">
            <w:pPr>
              <w:pStyle w:val="Tablecellheading"/>
            </w:pPr>
            <w:r w:rsidRPr="00B722ED">
              <w:t xml:space="preserve">Computers </w:t>
            </w:r>
          </w:p>
        </w:tc>
        <w:tc>
          <w:tcPr>
            <w:tcW w:w="1488" w:type="dxa"/>
            <w:tcBorders>
              <w:bottom w:val="nil"/>
            </w:tcBorders>
          </w:tcPr>
          <w:p w14:paraId="43F10630" w14:textId="77777777" w:rsidR="00375729" w:rsidRPr="00886ECF" w:rsidRDefault="00375729" w:rsidP="00B722ED">
            <w:pPr>
              <w:pStyle w:val="Tabletext"/>
            </w:pPr>
            <w:r w:rsidRPr="00886ECF">
              <w:t>29.0</w:t>
            </w:r>
          </w:p>
        </w:tc>
        <w:tc>
          <w:tcPr>
            <w:tcW w:w="1489" w:type="dxa"/>
            <w:tcBorders>
              <w:bottom w:val="nil"/>
              <w:right w:val="double" w:sz="4" w:space="0" w:color="auto"/>
            </w:tcBorders>
          </w:tcPr>
          <w:p w14:paraId="1087292C" w14:textId="77777777" w:rsidR="00375729" w:rsidRPr="00886ECF" w:rsidRDefault="00375729" w:rsidP="00B722ED">
            <w:pPr>
              <w:pStyle w:val="Tabletext"/>
            </w:pPr>
            <w:r w:rsidRPr="00886ECF">
              <w:t>17.5</w:t>
            </w:r>
          </w:p>
        </w:tc>
        <w:tc>
          <w:tcPr>
            <w:tcW w:w="1489" w:type="dxa"/>
            <w:tcBorders>
              <w:left w:val="double" w:sz="4" w:space="0" w:color="auto"/>
              <w:bottom w:val="nil"/>
            </w:tcBorders>
          </w:tcPr>
          <w:p w14:paraId="2C432645" w14:textId="77777777" w:rsidR="00375729" w:rsidRPr="00886ECF" w:rsidRDefault="00375729" w:rsidP="00B722ED">
            <w:pPr>
              <w:pStyle w:val="Tabletext"/>
            </w:pPr>
            <w:r w:rsidRPr="00886ECF">
              <w:t>28.4</w:t>
            </w:r>
          </w:p>
        </w:tc>
        <w:tc>
          <w:tcPr>
            <w:tcW w:w="1489" w:type="dxa"/>
            <w:tcBorders>
              <w:bottom w:val="nil"/>
            </w:tcBorders>
          </w:tcPr>
          <w:p w14:paraId="27200221" w14:textId="77777777" w:rsidR="00375729" w:rsidRPr="00886ECF" w:rsidRDefault="00375729" w:rsidP="00B722ED">
            <w:pPr>
              <w:pStyle w:val="Tabletext"/>
            </w:pPr>
            <w:r w:rsidRPr="00886ECF">
              <w:t>10.8</w:t>
            </w:r>
          </w:p>
        </w:tc>
      </w:tr>
      <w:tr w:rsidR="00375729" w:rsidRPr="00185E7D" w14:paraId="26DBBA22" w14:textId="77777777" w:rsidTr="00301886">
        <w:trPr>
          <w:trHeight w:val="397"/>
        </w:trPr>
        <w:tc>
          <w:tcPr>
            <w:tcW w:w="2405" w:type="dxa"/>
            <w:tcBorders>
              <w:top w:val="nil"/>
              <w:bottom w:val="nil"/>
            </w:tcBorders>
          </w:tcPr>
          <w:p w14:paraId="6A10C254" w14:textId="77777777" w:rsidR="00375729" w:rsidRPr="00B722ED" w:rsidRDefault="00375729" w:rsidP="006C4B85">
            <w:pPr>
              <w:pStyle w:val="Tablecellheading"/>
            </w:pPr>
            <w:r w:rsidRPr="00B722ED">
              <w:t xml:space="preserve">E&amp;E equipment </w:t>
            </w:r>
          </w:p>
        </w:tc>
        <w:tc>
          <w:tcPr>
            <w:tcW w:w="1488" w:type="dxa"/>
            <w:tcBorders>
              <w:top w:val="nil"/>
              <w:bottom w:val="nil"/>
            </w:tcBorders>
          </w:tcPr>
          <w:p w14:paraId="1FFBEEDA" w14:textId="77777777" w:rsidR="00375729" w:rsidRPr="00886ECF" w:rsidRDefault="00375729" w:rsidP="00B722ED">
            <w:pPr>
              <w:pStyle w:val="Tabletext"/>
            </w:pPr>
            <w:r w:rsidRPr="00886ECF">
              <w:t>10.5</w:t>
            </w:r>
          </w:p>
        </w:tc>
        <w:tc>
          <w:tcPr>
            <w:tcW w:w="1489" w:type="dxa"/>
            <w:tcBorders>
              <w:top w:val="nil"/>
              <w:bottom w:val="nil"/>
              <w:right w:val="double" w:sz="4" w:space="0" w:color="auto"/>
            </w:tcBorders>
          </w:tcPr>
          <w:p w14:paraId="1F06EEF9" w14:textId="77777777" w:rsidR="00375729" w:rsidRPr="00886ECF" w:rsidRDefault="00375729" w:rsidP="00B722ED">
            <w:pPr>
              <w:pStyle w:val="Tabletext"/>
            </w:pPr>
            <w:r w:rsidRPr="00886ECF">
              <w:t>9.5</w:t>
            </w:r>
          </w:p>
        </w:tc>
        <w:tc>
          <w:tcPr>
            <w:tcW w:w="1489" w:type="dxa"/>
            <w:tcBorders>
              <w:top w:val="nil"/>
              <w:left w:val="double" w:sz="4" w:space="0" w:color="auto"/>
              <w:bottom w:val="nil"/>
            </w:tcBorders>
          </w:tcPr>
          <w:p w14:paraId="680A8EC3" w14:textId="77777777" w:rsidR="00375729" w:rsidRPr="00886ECF" w:rsidRDefault="00375729" w:rsidP="00B722ED">
            <w:pPr>
              <w:pStyle w:val="Tabletext"/>
            </w:pPr>
            <w:r w:rsidRPr="00886ECF">
              <w:t>14.6</w:t>
            </w:r>
          </w:p>
        </w:tc>
        <w:tc>
          <w:tcPr>
            <w:tcW w:w="1489" w:type="dxa"/>
            <w:tcBorders>
              <w:top w:val="nil"/>
              <w:bottom w:val="nil"/>
            </w:tcBorders>
          </w:tcPr>
          <w:p w14:paraId="7813B38A" w14:textId="77777777" w:rsidR="00375729" w:rsidRPr="00886ECF" w:rsidRDefault="00375729" w:rsidP="00B722ED">
            <w:pPr>
              <w:pStyle w:val="Tabletext"/>
            </w:pPr>
            <w:r w:rsidRPr="00886ECF">
              <w:t>6.3</w:t>
            </w:r>
          </w:p>
        </w:tc>
      </w:tr>
      <w:tr w:rsidR="00375729" w:rsidRPr="00185E7D" w14:paraId="45E1EA70" w14:textId="77777777" w:rsidTr="00301886">
        <w:trPr>
          <w:trHeight w:val="397"/>
        </w:trPr>
        <w:tc>
          <w:tcPr>
            <w:tcW w:w="2405" w:type="dxa"/>
            <w:tcBorders>
              <w:top w:val="nil"/>
            </w:tcBorders>
          </w:tcPr>
          <w:p w14:paraId="56806DB6" w14:textId="77777777" w:rsidR="00375729" w:rsidRPr="00B722ED" w:rsidRDefault="00375729" w:rsidP="006C4B85">
            <w:pPr>
              <w:pStyle w:val="Tablecellheading"/>
            </w:pPr>
            <w:r w:rsidRPr="00B722ED">
              <w:t xml:space="preserve">Software </w:t>
            </w:r>
          </w:p>
        </w:tc>
        <w:tc>
          <w:tcPr>
            <w:tcW w:w="1488" w:type="dxa"/>
            <w:tcBorders>
              <w:top w:val="nil"/>
            </w:tcBorders>
          </w:tcPr>
          <w:p w14:paraId="17FDC446" w14:textId="77777777" w:rsidR="00375729" w:rsidRPr="00886ECF" w:rsidRDefault="00375729" w:rsidP="00B722ED">
            <w:pPr>
              <w:pStyle w:val="Tabletext"/>
            </w:pPr>
            <w:r w:rsidRPr="00886ECF">
              <w:t>13.1</w:t>
            </w:r>
          </w:p>
        </w:tc>
        <w:tc>
          <w:tcPr>
            <w:tcW w:w="1489" w:type="dxa"/>
            <w:tcBorders>
              <w:top w:val="nil"/>
              <w:right w:val="double" w:sz="4" w:space="0" w:color="auto"/>
            </w:tcBorders>
          </w:tcPr>
          <w:p w14:paraId="7D5F6D25" w14:textId="77777777" w:rsidR="00375729" w:rsidRPr="00886ECF" w:rsidRDefault="00375729" w:rsidP="00B722ED">
            <w:pPr>
              <w:pStyle w:val="Tabletext"/>
            </w:pPr>
            <w:r w:rsidRPr="00886ECF">
              <w:t>8.3</w:t>
            </w:r>
          </w:p>
        </w:tc>
        <w:tc>
          <w:tcPr>
            <w:tcW w:w="1489" w:type="dxa"/>
            <w:tcBorders>
              <w:top w:val="nil"/>
              <w:left w:val="double" w:sz="4" w:space="0" w:color="auto"/>
            </w:tcBorders>
          </w:tcPr>
          <w:p w14:paraId="50EB1BBA" w14:textId="77777777" w:rsidR="00375729" w:rsidRPr="00886ECF" w:rsidRDefault="00375729" w:rsidP="00B722ED">
            <w:pPr>
              <w:pStyle w:val="Tabletext"/>
            </w:pPr>
            <w:r w:rsidRPr="00886ECF">
              <w:t>8.4</w:t>
            </w:r>
          </w:p>
        </w:tc>
        <w:tc>
          <w:tcPr>
            <w:tcW w:w="1489" w:type="dxa"/>
            <w:tcBorders>
              <w:top w:val="nil"/>
            </w:tcBorders>
          </w:tcPr>
          <w:p w14:paraId="66938F00" w14:textId="77777777" w:rsidR="00375729" w:rsidRPr="00886ECF" w:rsidRDefault="00375729" w:rsidP="00B722ED">
            <w:pPr>
              <w:pStyle w:val="Tabletext"/>
            </w:pPr>
            <w:r w:rsidRPr="00886ECF">
              <w:t>8.2</w:t>
            </w:r>
          </w:p>
        </w:tc>
      </w:tr>
    </w:tbl>
    <w:p w14:paraId="06EB92B3" w14:textId="77777777" w:rsidR="00375729" w:rsidRPr="00185E7D" w:rsidRDefault="00375729" w:rsidP="00012248">
      <w:pPr>
        <w:pStyle w:val="SourceNotes"/>
      </w:pPr>
      <w:r w:rsidRPr="00185E7D">
        <w:t>Source: Author estimates</w:t>
      </w:r>
    </w:p>
    <w:p w14:paraId="16677F7F" w14:textId="77777777" w:rsidR="00375729" w:rsidRPr="00185E7D" w:rsidRDefault="00375729" w:rsidP="00F37FA2">
      <w:pPr>
        <w:pStyle w:val="BCRHead2"/>
      </w:pPr>
      <w:bookmarkStart w:id="36" w:name="_Toc436920424"/>
      <w:r w:rsidRPr="00185E7D">
        <w:t>3.2</w:t>
      </w:r>
      <w:r w:rsidRPr="00185E7D">
        <w:tab/>
        <w:t>Industry trends</w:t>
      </w:r>
      <w:bookmarkEnd w:id="36"/>
    </w:p>
    <w:p w14:paraId="1B92F3E5" w14:textId="77777777" w:rsidR="00375729" w:rsidRPr="00886ECF" w:rsidRDefault="00375729" w:rsidP="00375729">
      <w:pPr>
        <w:pStyle w:val="BodyTextNoIndent"/>
      </w:pPr>
      <w:r w:rsidRPr="00886ECF">
        <w:t>During the 1990s and 2000s, the growth in IT assets was fairly evenly spread across industries, while their distribution remained skewed.</w:t>
      </w:r>
    </w:p>
    <w:p w14:paraId="6FA359FA" w14:textId="77777777" w:rsidR="00375729" w:rsidRPr="00886ECF" w:rsidRDefault="00375729" w:rsidP="00F37FA2">
      <w:pPr>
        <w:pStyle w:val="BCRHead3"/>
      </w:pPr>
      <w:bookmarkStart w:id="37" w:name="_Toc436909145"/>
      <w:bookmarkStart w:id="38" w:name="_Toc436920425"/>
      <w:r w:rsidRPr="00886ECF">
        <w:t>3.2.1</w:t>
      </w:r>
      <w:r w:rsidRPr="00886ECF">
        <w:tab/>
        <w:t>Computers</w:t>
      </w:r>
      <w:bookmarkEnd w:id="37"/>
      <w:bookmarkEnd w:id="38"/>
    </w:p>
    <w:p w14:paraId="68BFB817" w14:textId="77777777" w:rsidR="00375729" w:rsidRPr="00886ECF" w:rsidRDefault="008960A4" w:rsidP="00375729">
      <w:pPr>
        <w:pStyle w:val="BodyTextNoIndent"/>
      </w:pPr>
      <w:r>
        <w:t>Figure 3.</w:t>
      </w:r>
      <w:r w:rsidR="00375729" w:rsidRPr="00886ECF">
        <w:t xml:space="preserve">3 shows the industry growth in computer hardware in the two decades from 1993–94. The two industries that stand out, with over 40 per cent average annual growth in the 10 years to 2003–04, are administrative and support services, and electricity, gas, water and waste services. </w:t>
      </w:r>
    </w:p>
    <w:p w14:paraId="1E063654" w14:textId="77777777" w:rsidR="00375729" w:rsidRPr="00886ECF" w:rsidRDefault="00375729" w:rsidP="00375729">
      <w:pPr>
        <w:pStyle w:val="BodyTextNoIndent"/>
      </w:pPr>
      <w:r w:rsidRPr="00886ECF">
        <w:t>That aside, growth was fairly even across industries. The slowdown in growth from the first to the second decade was also fairly evenly spread across industries.</w:t>
      </w:r>
    </w:p>
    <w:p w14:paraId="6F5F0489" w14:textId="77777777" w:rsidR="00375729" w:rsidRPr="00185E7D" w:rsidRDefault="00DA4768" w:rsidP="00B722ED">
      <w:pPr>
        <w:pStyle w:val="Figurecaption"/>
      </w:pPr>
      <w:r>
        <w:t>Figur</w:t>
      </w:r>
      <w:r w:rsidR="008960A4">
        <w:t>e 3.</w:t>
      </w:r>
      <w:r w:rsidR="00375729" w:rsidRPr="00185E7D">
        <w:t>3: Annual average growth rates in net capital stocks of computers, 1993–94 to 2003–04 and 2003–04 to 2013</w:t>
      </w:r>
      <w:r w:rsidR="00375729">
        <w:t xml:space="preserve">–14, </w:t>
      </w:r>
      <w:r w:rsidR="00375729" w:rsidRPr="00185E7D">
        <w:t>by industry (% pa)</w:t>
      </w:r>
    </w:p>
    <w:p w14:paraId="03ECD1BA" w14:textId="07F3E76A" w:rsidR="00375729" w:rsidRPr="00185E7D" w:rsidRDefault="00B722ED" w:rsidP="00012248">
      <w:pPr>
        <w:pStyle w:val="SourceNotes"/>
      </w:pPr>
      <w:r>
        <w:rPr>
          <w:noProof/>
          <w:lang w:eastAsia="en-AU"/>
        </w:rPr>
        <w:drawing>
          <wp:inline distT="0" distB="0" distL="0" distR="0" wp14:anchorId="48A0F0FF" wp14:editId="70159B4E">
            <wp:extent cx="5456555" cy="3267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6555" cy="3267710"/>
                    </a:xfrm>
                    <a:prstGeom prst="rect">
                      <a:avLst/>
                    </a:prstGeom>
                    <a:noFill/>
                  </pic:spPr>
                </pic:pic>
              </a:graphicData>
            </a:graphic>
          </wp:inline>
        </w:drawing>
      </w:r>
      <w:r w:rsidR="00375729" w:rsidRPr="00185E7D">
        <w:t>Source: Author estimates</w:t>
      </w:r>
    </w:p>
    <w:p w14:paraId="2F3670B0" w14:textId="77777777" w:rsidR="00375729" w:rsidRPr="00886ECF" w:rsidRDefault="00375729" w:rsidP="00375729">
      <w:pPr>
        <w:pStyle w:val="BodyTextNoIndent"/>
      </w:pPr>
      <w:r w:rsidRPr="00886ECF">
        <w:t>While growth in stocks was fairly evenly spread, the distribution of computers is concentrated in some industries. Figure 3.4 shows the distribution in 2013–14. The biggest holdings are in services industries—public administration, financial and insurance services (FIS), rental, hiring and real estate services (RHRE) and professional scientific and technical services (PST). The stocks of computers in RHRE include assets that are leased out to other industries.</w:t>
      </w:r>
    </w:p>
    <w:p w14:paraId="568DD88B" w14:textId="77777777" w:rsidR="00375729" w:rsidRPr="00185E7D" w:rsidRDefault="00375729" w:rsidP="00B722ED">
      <w:pPr>
        <w:pStyle w:val="Figurecaption"/>
      </w:pPr>
      <w:r w:rsidRPr="00185E7D">
        <w:t>Figure 3.4: Industry distribution of net capital stocks of computers in 2013–14</w:t>
      </w:r>
    </w:p>
    <w:p w14:paraId="1AB926B6" w14:textId="5A76757C" w:rsidR="00375729" w:rsidRPr="00855EC7" w:rsidRDefault="00B722ED" w:rsidP="00375729">
      <w:pPr>
        <w:pStyle w:val="BodyTextNoIndent"/>
        <w:rPr>
          <w:rFonts w:ascii="Cambria" w:hAnsi="Cambria"/>
        </w:rPr>
      </w:pPr>
      <w:r>
        <w:rPr>
          <w:rFonts w:ascii="Cambria" w:hAnsi="Cambria"/>
          <w:noProof/>
          <w:lang w:eastAsia="en-AU"/>
        </w:rPr>
        <w:drawing>
          <wp:inline distT="0" distB="0" distL="0" distR="0" wp14:anchorId="28A3486F" wp14:editId="16B936C2">
            <wp:extent cx="4267835" cy="2566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835" cy="2566670"/>
                    </a:xfrm>
                    <a:prstGeom prst="rect">
                      <a:avLst/>
                    </a:prstGeom>
                    <a:noFill/>
                  </pic:spPr>
                </pic:pic>
              </a:graphicData>
            </a:graphic>
          </wp:inline>
        </w:drawing>
      </w:r>
    </w:p>
    <w:p w14:paraId="4C0EE244" w14:textId="77777777" w:rsidR="00375729" w:rsidRPr="00855EC7" w:rsidRDefault="00375729" w:rsidP="00012248">
      <w:pPr>
        <w:pStyle w:val="SourceNotes"/>
      </w:pPr>
      <w:r w:rsidRPr="00855EC7">
        <w:t>Source: Author estimates</w:t>
      </w:r>
      <w:r w:rsidR="009F5056" w:rsidRPr="00855EC7">
        <w:t xml:space="preserve"> based on ABS national accounts data</w:t>
      </w:r>
    </w:p>
    <w:p w14:paraId="720B35D9" w14:textId="77777777" w:rsidR="00375729" w:rsidRPr="00855EC7" w:rsidRDefault="00375729" w:rsidP="00F37FA2">
      <w:pPr>
        <w:pStyle w:val="BCRHead3"/>
      </w:pPr>
      <w:bookmarkStart w:id="39" w:name="_Toc436909146"/>
      <w:bookmarkStart w:id="40" w:name="_Toc436920426"/>
      <w:r w:rsidRPr="00855EC7">
        <w:t>3.2.2</w:t>
      </w:r>
      <w:r w:rsidRPr="00855EC7">
        <w:tab/>
        <w:t>Software</w:t>
      </w:r>
      <w:bookmarkEnd w:id="39"/>
      <w:bookmarkEnd w:id="40"/>
    </w:p>
    <w:p w14:paraId="331DBC4B" w14:textId="77777777" w:rsidR="00375729" w:rsidRPr="00886ECF" w:rsidRDefault="00375729" w:rsidP="00375729">
      <w:pPr>
        <w:pStyle w:val="BodyTextNoIndent"/>
      </w:pPr>
      <w:r w:rsidRPr="00855EC7">
        <w:t xml:space="preserve">Figure 3.5 shows the growth of stocks of software was evenly distributed </w:t>
      </w:r>
      <w:r w:rsidR="009F5056" w:rsidRPr="00855EC7">
        <w:t xml:space="preserve">(with two main exceptions) </w:t>
      </w:r>
      <w:r w:rsidRPr="00855EC7">
        <w:t xml:space="preserve">and the slowdown in growth in the second decade was almost universal. The utilities sector, made up of electricity, gas, water and waste services (EGWWS), was </w:t>
      </w:r>
      <w:r w:rsidR="009F5056" w:rsidRPr="00855EC7">
        <w:t xml:space="preserve">one </w:t>
      </w:r>
      <w:r w:rsidRPr="00855EC7">
        <w:t xml:space="preserve">exception with minimal growth up to 2003–04 and much stronger growth after that. The </w:t>
      </w:r>
      <w:r w:rsidR="009F5056" w:rsidRPr="00855EC7">
        <w:t>very strong</w:t>
      </w:r>
      <w:r w:rsidRPr="00855EC7">
        <w:t xml:space="preserve"> growth in software of over 20</w:t>
      </w:r>
      <w:r w:rsidR="00F13502" w:rsidRPr="00855EC7">
        <w:t> </w:t>
      </w:r>
      <w:r w:rsidRPr="00855EC7">
        <w:t>per</w:t>
      </w:r>
      <w:r w:rsidR="00F13502" w:rsidRPr="00855EC7">
        <w:t> </w:t>
      </w:r>
      <w:r w:rsidRPr="00855EC7">
        <w:t>cent a year in retail trade in the earlier decade</w:t>
      </w:r>
      <w:r w:rsidR="009F5056" w:rsidRPr="00855EC7">
        <w:t xml:space="preserve"> is the other standout exception</w:t>
      </w:r>
      <w:r w:rsidRPr="00855EC7">
        <w:t>.</w:t>
      </w:r>
      <w:r w:rsidRPr="00886ECF">
        <w:t xml:space="preserve"> </w:t>
      </w:r>
    </w:p>
    <w:p w14:paraId="16CD69D5" w14:textId="77777777" w:rsidR="00375729" w:rsidRPr="00185E7D" w:rsidRDefault="00375729" w:rsidP="00B722ED">
      <w:pPr>
        <w:pStyle w:val="Figurecaption"/>
      </w:pPr>
      <w:r w:rsidRPr="00185E7D">
        <w:t>Figure 3.5: Annual average growth rates in net capital stocks of software, 1993–94 to 2</w:t>
      </w:r>
      <w:r>
        <w:t xml:space="preserve">003–04 and 2003–04 to 2013–14, </w:t>
      </w:r>
      <w:r w:rsidRPr="00185E7D">
        <w:t>by industry (% pa)</w:t>
      </w:r>
    </w:p>
    <w:p w14:paraId="6161C906" w14:textId="37097C6C"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3A6DDE1E" wp14:editId="001EC21D">
            <wp:extent cx="3993515" cy="292036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3515" cy="2920365"/>
                    </a:xfrm>
                    <a:prstGeom prst="rect">
                      <a:avLst/>
                    </a:prstGeom>
                    <a:noFill/>
                  </pic:spPr>
                </pic:pic>
              </a:graphicData>
            </a:graphic>
          </wp:inline>
        </w:drawing>
      </w:r>
    </w:p>
    <w:p w14:paraId="7F69D14E" w14:textId="77777777" w:rsidR="00375729" w:rsidRPr="00185E7D" w:rsidRDefault="00375729" w:rsidP="00012248">
      <w:pPr>
        <w:pStyle w:val="SourceNotes"/>
      </w:pPr>
      <w:r w:rsidRPr="00185E7D">
        <w:t>Source: Author estimates</w:t>
      </w:r>
      <w:r w:rsidR="009F5056">
        <w:t xml:space="preserve"> </w:t>
      </w:r>
      <w:r w:rsidR="009F5056" w:rsidRPr="00F03BC8">
        <w:t>based on ABS national accounts data</w:t>
      </w:r>
    </w:p>
    <w:p w14:paraId="198F8D48" w14:textId="77777777" w:rsidR="00375729" w:rsidRPr="00886ECF" w:rsidRDefault="00375729" w:rsidP="00375729">
      <w:pPr>
        <w:pStyle w:val="BodyTextNoIndent"/>
      </w:pPr>
      <w:r w:rsidRPr="00886ECF">
        <w:t>Figure 3.6 shows the financial sector is the biggest user of software. Public administration, professional scientific and technical services</w:t>
      </w:r>
      <w:r w:rsidRPr="00886ECF" w:rsidDel="0096193A">
        <w:t xml:space="preserve"> </w:t>
      </w:r>
      <w:r w:rsidRPr="00886ECF">
        <w:t>and information, media and telecommunications (IMT), which are large users of hardware, are also large users of software. Transport postal and warehousing looms as an important software user.</w:t>
      </w:r>
    </w:p>
    <w:p w14:paraId="332BC505" w14:textId="77777777" w:rsidR="00375729" w:rsidRPr="00185E7D" w:rsidRDefault="00375729" w:rsidP="00B722ED">
      <w:pPr>
        <w:pStyle w:val="Figurecaption"/>
      </w:pPr>
      <w:r w:rsidRPr="00185E7D">
        <w:t>Figure 3.6: Industry distribution of net capital stocks of software in 2013–14</w:t>
      </w:r>
    </w:p>
    <w:p w14:paraId="31321DB2" w14:textId="3DF8725A"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1D99DDBC" wp14:editId="17269395">
            <wp:extent cx="4584700" cy="2755900"/>
            <wp:effectExtent l="0" t="0" r="635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A9F713" w14:textId="77777777" w:rsidR="00375729" w:rsidRPr="00185E7D" w:rsidRDefault="00375729" w:rsidP="00012248">
      <w:pPr>
        <w:pStyle w:val="SourceNotes"/>
      </w:pPr>
      <w:r w:rsidRPr="00185E7D">
        <w:t>Source: Author estimates</w:t>
      </w:r>
      <w:r w:rsidR="009F5056">
        <w:t xml:space="preserve"> </w:t>
      </w:r>
      <w:r w:rsidR="009F5056" w:rsidRPr="00F03BC8">
        <w:t>based on ABS national accounts data</w:t>
      </w:r>
    </w:p>
    <w:p w14:paraId="157883B3" w14:textId="77777777" w:rsidR="00375729" w:rsidRPr="00185E7D" w:rsidRDefault="00375729" w:rsidP="00F37FA2">
      <w:pPr>
        <w:pStyle w:val="BCRHead3"/>
      </w:pPr>
      <w:bookmarkStart w:id="41" w:name="_Toc436909147"/>
      <w:bookmarkStart w:id="42" w:name="_Toc436920427"/>
      <w:r w:rsidRPr="00185E7D">
        <w:t>3.2.3</w:t>
      </w:r>
      <w:r w:rsidRPr="00185E7D">
        <w:tab/>
        <w:t>Electrical and electronic equipment</w:t>
      </w:r>
      <w:bookmarkEnd w:id="41"/>
      <w:bookmarkEnd w:id="42"/>
    </w:p>
    <w:p w14:paraId="4B611DCD" w14:textId="77777777" w:rsidR="00375729" w:rsidRPr="00886ECF" w:rsidRDefault="00375729" w:rsidP="00375729">
      <w:pPr>
        <w:pStyle w:val="BodyTextNoIndent"/>
      </w:pPr>
      <w:r w:rsidRPr="00886ECF">
        <w:t xml:space="preserve">Figure 3.7 shows that of IT assets, growth in E&amp;E equipment has perhaps been the most even across </w:t>
      </w:r>
      <w:r w:rsidRPr="00F03BC8">
        <w:t>industries</w:t>
      </w:r>
      <w:r w:rsidR="00492917" w:rsidRPr="00F03BC8">
        <w:t xml:space="preserve"> </w:t>
      </w:r>
      <w:r w:rsidR="009F5056" w:rsidRPr="00F03BC8">
        <w:t>from</w:t>
      </w:r>
      <w:r w:rsidR="00492917" w:rsidRPr="00F03BC8">
        <w:t xml:space="preserve"> 2003-04 to 2013-14</w:t>
      </w:r>
      <w:r w:rsidRPr="00F03BC8">
        <w:t>. Administrative and support services and the government dominated areas of health</w:t>
      </w:r>
      <w:r w:rsidRPr="00886ECF">
        <w:t xml:space="preserve"> care and social assistance, and education and training stand out for their growth in E&amp;E equipment in the earlier 10-year period (1993–94 to 2003–04).</w:t>
      </w:r>
    </w:p>
    <w:p w14:paraId="67C12F04" w14:textId="77777777" w:rsidR="00375729" w:rsidRPr="00886ECF" w:rsidRDefault="00375729" w:rsidP="00375729">
      <w:pPr>
        <w:pStyle w:val="BodyTextNoIndent"/>
      </w:pPr>
      <w:r w:rsidRPr="00886ECF">
        <w:t xml:space="preserve">More industries had stronger growth in the second decade </w:t>
      </w:r>
      <w:r w:rsidR="00D07DDF">
        <w:t xml:space="preserve">relative to the first decade </w:t>
      </w:r>
      <w:r w:rsidRPr="00886ECF">
        <w:t>in this category—mining</w:t>
      </w:r>
      <w:r w:rsidR="0016625C">
        <w:t>;</w:t>
      </w:r>
      <w:r w:rsidRPr="00886ECF">
        <w:t xml:space="preserve"> </w:t>
      </w:r>
      <w:r w:rsidR="0016625C" w:rsidRPr="00886ECF">
        <w:t xml:space="preserve">electricity, gas, water and waste services </w:t>
      </w:r>
      <w:r w:rsidR="0016625C">
        <w:t>(</w:t>
      </w:r>
      <w:r w:rsidRPr="00886ECF">
        <w:t>EGWWS</w:t>
      </w:r>
      <w:r w:rsidR="0016625C">
        <w:t>)</w:t>
      </w:r>
      <w:r w:rsidRPr="00886ECF">
        <w:t>, construction, retail, and finance.</w:t>
      </w:r>
    </w:p>
    <w:p w14:paraId="79359BB8" w14:textId="77777777" w:rsidR="00375729" w:rsidRPr="00886ECF" w:rsidRDefault="00375729" w:rsidP="00375729">
      <w:pPr>
        <w:pStyle w:val="BodyTextNoIndent"/>
      </w:pPr>
      <w:r w:rsidRPr="00886ECF">
        <w:t>Figure 3.8 (below) shows two industries take large shares of electrical and electronic equipment—EGWWS and</w:t>
      </w:r>
      <w:r w:rsidR="0016625C">
        <w:t xml:space="preserve"> information, media, and telecommunications</w:t>
      </w:r>
      <w:r w:rsidRPr="00886ECF">
        <w:t xml:space="preserve">. The dominance of EGWWS perhaps illustrates more than anything else that the E&amp;E equipment category includes more than communications equipment. </w:t>
      </w:r>
    </w:p>
    <w:p w14:paraId="18A3D7EF" w14:textId="77777777" w:rsidR="00375729" w:rsidRPr="00886ECF" w:rsidRDefault="00375729" w:rsidP="00375729">
      <w:pPr>
        <w:pStyle w:val="BodyTextNoIndent"/>
      </w:pPr>
      <w:r w:rsidRPr="00886ECF">
        <w:t>It seems very possible that communications equipment would be a large part of IMT’s holding. However, that could be switching equipment and the like, which presumably forms a large part of communications infrastructure. If so, it would not be part of the converging IT and communications technologies embedded in devices that are in common use in production activities.</w:t>
      </w:r>
    </w:p>
    <w:p w14:paraId="609FA97D" w14:textId="77777777" w:rsidR="00375729" w:rsidRPr="00886ECF" w:rsidRDefault="00375729" w:rsidP="00375729">
      <w:pPr>
        <w:pStyle w:val="BodyTextNoIndent"/>
      </w:pPr>
      <w:r w:rsidRPr="00886ECF">
        <w:t>Those two industries aside, the distribution across other industries is fairly even.</w:t>
      </w:r>
      <w:r w:rsidRPr="00886ECF">
        <w:br w:type="page"/>
      </w:r>
    </w:p>
    <w:p w14:paraId="68360D0E" w14:textId="77777777" w:rsidR="00375729" w:rsidRPr="00185E7D" w:rsidRDefault="00375729" w:rsidP="00B722ED">
      <w:pPr>
        <w:pStyle w:val="Figurecaption"/>
      </w:pPr>
      <w:r w:rsidRPr="00185E7D">
        <w:t xml:space="preserve">Figure 3.7: Annual average growth rates in net capital stocks of E&amp;E equipment, 1993–94 to 2003–04 and </w:t>
      </w:r>
      <w:r w:rsidRPr="00185E7D">
        <w:br/>
        <w:t>2003–04 to 2013–14, by industry (% pa)</w:t>
      </w:r>
    </w:p>
    <w:p w14:paraId="7C9FBA75" w14:textId="42FA1D0E"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635BA656" wp14:editId="465B989A">
            <wp:extent cx="4584700" cy="3566160"/>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3566160"/>
                    </a:xfrm>
                    <a:prstGeom prst="rect">
                      <a:avLst/>
                    </a:prstGeom>
                    <a:noFill/>
                  </pic:spPr>
                </pic:pic>
              </a:graphicData>
            </a:graphic>
          </wp:inline>
        </w:drawing>
      </w:r>
    </w:p>
    <w:p w14:paraId="16C11BAF" w14:textId="77777777" w:rsidR="00375729" w:rsidRPr="00185E7D" w:rsidRDefault="00375729" w:rsidP="00012248">
      <w:pPr>
        <w:pStyle w:val="SourceNotes"/>
      </w:pPr>
      <w:r w:rsidRPr="00185E7D">
        <w:t xml:space="preserve">Source: Author </w:t>
      </w:r>
      <w:r w:rsidRPr="00F03BC8">
        <w:t>estimates</w:t>
      </w:r>
      <w:r w:rsidR="00A433D1" w:rsidRPr="00F03BC8">
        <w:t xml:space="preserve"> based on ABS national accounts data</w:t>
      </w:r>
    </w:p>
    <w:p w14:paraId="094FC1C0" w14:textId="77777777" w:rsidR="00375729" w:rsidRPr="00185E7D" w:rsidRDefault="00375729" w:rsidP="00B722ED">
      <w:pPr>
        <w:pStyle w:val="Figurecaption"/>
      </w:pPr>
      <w:r w:rsidRPr="00185E7D">
        <w:t>Figure 3.8: Industry distribution of net capital stocks of E&amp;E equipment in 2013–14</w:t>
      </w:r>
    </w:p>
    <w:p w14:paraId="53C88691" w14:textId="1BD9DF19"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534ED218" wp14:editId="01F7D603">
            <wp:extent cx="4919980" cy="2737485"/>
            <wp:effectExtent l="0" t="0" r="0" b="57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9980" cy="2737485"/>
                    </a:xfrm>
                    <a:prstGeom prst="rect">
                      <a:avLst/>
                    </a:prstGeom>
                    <a:noFill/>
                  </pic:spPr>
                </pic:pic>
              </a:graphicData>
            </a:graphic>
          </wp:inline>
        </w:drawing>
      </w:r>
    </w:p>
    <w:p w14:paraId="4EDF3BC5" w14:textId="77777777" w:rsidR="00375729" w:rsidRPr="00185E7D" w:rsidRDefault="00375729" w:rsidP="00012248">
      <w:pPr>
        <w:pStyle w:val="SourceNotes"/>
      </w:pPr>
      <w:r w:rsidRPr="00185E7D">
        <w:t>Source: Author estimates</w:t>
      </w:r>
      <w:r w:rsidR="00A433D1">
        <w:t xml:space="preserve"> </w:t>
      </w:r>
      <w:r w:rsidR="00A433D1" w:rsidRPr="00F03BC8">
        <w:t>based on ABS national accounts data</w:t>
      </w:r>
    </w:p>
    <w:p w14:paraId="6504DF43" w14:textId="77777777" w:rsidR="00375729" w:rsidRDefault="00375729" w:rsidP="00375729">
      <w:pPr>
        <w:spacing w:after="120"/>
        <w:ind w:left="1021" w:hanging="1021"/>
        <w:rPr>
          <w:rFonts w:ascii="Cambria" w:eastAsiaTheme="majorEastAsia" w:hAnsi="Cambria" w:cstheme="majorBidi"/>
          <w:b/>
          <w:bCs/>
          <w:color w:val="5F5F5F" w:themeColor="text2"/>
        </w:rPr>
      </w:pPr>
      <w:bookmarkStart w:id="43" w:name="_Toc436909148"/>
      <w:bookmarkStart w:id="44" w:name="_Toc436920428"/>
      <w:r>
        <w:br w:type="page"/>
      </w:r>
    </w:p>
    <w:p w14:paraId="06F6005C" w14:textId="77777777" w:rsidR="00375729" w:rsidRPr="00185E7D" w:rsidRDefault="00375729" w:rsidP="00F37FA2">
      <w:pPr>
        <w:pStyle w:val="BCRHead3"/>
      </w:pPr>
      <w:r w:rsidRPr="00185E7D">
        <w:t xml:space="preserve">3.2.4 </w:t>
      </w:r>
      <w:r w:rsidRPr="00185E7D">
        <w:tab/>
        <w:t>Industries to watch</w:t>
      </w:r>
      <w:bookmarkEnd w:id="43"/>
      <w:bookmarkEnd w:id="44"/>
    </w:p>
    <w:p w14:paraId="267875EE" w14:textId="77777777" w:rsidR="00375729" w:rsidRPr="00886ECF" w:rsidRDefault="00375729" w:rsidP="00375729">
      <w:pPr>
        <w:pStyle w:val="BodyTextNoIndent"/>
      </w:pPr>
      <w:r w:rsidRPr="00886ECF">
        <w:t>Table 3.2 summarises the prominent industries when it comes to IT characteristics.</w:t>
      </w:r>
    </w:p>
    <w:p w14:paraId="76510140" w14:textId="77777777" w:rsidR="00375729" w:rsidRPr="00886ECF" w:rsidRDefault="00375729" w:rsidP="00375729">
      <w:pPr>
        <w:pStyle w:val="BodyTextNoIndent"/>
      </w:pPr>
      <w:r w:rsidRPr="00886ECF">
        <w:t>Considering the number of ticks and first and second places, the industries that appear to be the most important users of hardware and software are:</w:t>
      </w:r>
    </w:p>
    <w:p w14:paraId="1CA9F3A1" w14:textId="77777777" w:rsidR="00375729" w:rsidRPr="00886ECF" w:rsidRDefault="00375729" w:rsidP="00012248">
      <w:pPr>
        <w:pStyle w:val="Bodybullet-Level2"/>
      </w:pPr>
      <w:r w:rsidRPr="00886ECF">
        <w:t>electricity, gas, water and waste services</w:t>
      </w:r>
    </w:p>
    <w:p w14:paraId="3EF4393C" w14:textId="77777777" w:rsidR="00375729" w:rsidRPr="00886ECF" w:rsidRDefault="00375729" w:rsidP="00012248">
      <w:pPr>
        <w:pStyle w:val="Bodybullet-Level2"/>
      </w:pPr>
      <w:r w:rsidRPr="00886ECF">
        <w:t>transport, postal and warehousing</w:t>
      </w:r>
    </w:p>
    <w:p w14:paraId="3A449328" w14:textId="77777777" w:rsidR="00375729" w:rsidRPr="00886ECF" w:rsidRDefault="00375729" w:rsidP="00012248">
      <w:pPr>
        <w:pStyle w:val="Bodybullet-Level2"/>
      </w:pPr>
      <w:r w:rsidRPr="00886ECF">
        <w:t>information media and telecommunications</w:t>
      </w:r>
    </w:p>
    <w:p w14:paraId="73CE2FA2" w14:textId="77777777" w:rsidR="00375729" w:rsidRPr="00886ECF" w:rsidRDefault="00375729" w:rsidP="00012248">
      <w:pPr>
        <w:pStyle w:val="Bodybullet-Level2"/>
      </w:pPr>
      <w:r w:rsidRPr="00886ECF">
        <w:t>financial and insurance services</w:t>
      </w:r>
    </w:p>
    <w:p w14:paraId="48064C58" w14:textId="77777777" w:rsidR="00375729" w:rsidRPr="00886ECF" w:rsidRDefault="00375729" w:rsidP="00012248">
      <w:pPr>
        <w:pStyle w:val="Bodybullet-Level2"/>
      </w:pPr>
      <w:r w:rsidRPr="00886ECF">
        <w:t>rental, hiring and real estate services (although it is distorted by holding assets for lease)</w:t>
      </w:r>
    </w:p>
    <w:p w14:paraId="34AB946D" w14:textId="77777777" w:rsidR="00375729" w:rsidRPr="00886ECF" w:rsidRDefault="00375729" w:rsidP="00012248">
      <w:pPr>
        <w:pStyle w:val="Bodybullet-Level2"/>
      </w:pPr>
      <w:r w:rsidRPr="00886ECF">
        <w:t>professional, scientific and technical services</w:t>
      </w:r>
      <w:r w:rsidR="00B3478C">
        <w:t>, and</w:t>
      </w:r>
    </w:p>
    <w:p w14:paraId="3569E5E0" w14:textId="77777777" w:rsidR="00375729" w:rsidRPr="00886ECF" w:rsidRDefault="00375729" w:rsidP="00012248">
      <w:pPr>
        <w:pStyle w:val="Bodybullet-Level2"/>
      </w:pPr>
      <w:r w:rsidRPr="00886ECF">
        <w:t>public administration.</w:t>
      </w:r>
    </w:p>
    <w:p w14:paraId="3AA498C5" w14:textId="77777777" w:rsidR="00375729" w:rsidRPr="00185E7D" w:rsidRDefault="00375729" w:rsidP="00B722ED">
      <w:pPr>
        <w:pStyle w:val="Figurecaption"/>
      </w:pPr>
      <w:r w:rsidRPr="00185E7D">
        <w:t xml:space="preserve">Table 3.2: Summary of industries that feature in characteristics of computer and software use </w:t>
      </w:r>
      <w:r w:rsidRPr="00185E7D">
        <w:rPr>
          <w:i/>
          <w:iCs/>
          <w:color w:val="474747" w:themeColor="text2" w:themeShade="BF"/>
          <w:sz w:val="20"/>
          <w:szCs w:val="20"/>
        </w:rPr>
        <w:fldChar w:fldCharType="begin"/>
      </w:r>
      <w:r w:rsidRPr="00185E7D">
        <w:instrText xml:space="preserve"> LINK Excel.Sheet.12 "\\\\dept.gov.au\\DFS\\Home\\dparham\\Desktop\\Docs\\1. GA project\\Report\\Productivity and stuff 151022.xlsx" Sheet1!R2C1:R22C7 \a \f 4 \h  \* MERGEFORMAT </w:instrText>
      </w:r>
      <w:r w:rsidRPr="00185E7D">
        <w:rPr>
          <w:i/>
          <w:iCs/>
          <w:color w:val="474747" w:themeColor="text2" w:themeShade="BF"/>
          <w:sz w:val="20"/>
          <w:szCs w:val="20"/>
        </w:rPr>
        <w:fldChar w:fldCharType="separate"/>
      </w:r>
    </w:p>
    <w:p w14:paraId="5785819A" w14:textId="7573DF13" w:rsidR="00375729" w:rsidRDefault="00375729" w:rsidP="00375729">
      <w:pPr>
        <w:pStyle w:val="Chartandfiguresheading"/>
      </w:pPr>
      <w:r w:rsidRPr="00185E7D">
        <w:fldChar w:fldCharType="end"/>
      </w:r>
      <w:r w:rsidR="00B722ED">
        <w:rPr>
          <w:noProof/>
          <w:lang w:eastAsia="en-AU"/>
        </w:rPr>
        <w:drawing>
          <wp:inline distT="0" distB="0" distL="0" distR="0" wp14:anchorId="246240C4" wp14:editId="21C09DD6">
            <wp:extent cx="5005070" cy="4590415"/>
            <wp:effectExtent l="0" t="0" r="508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5070" cy="4590415"/>
                    </a:xfrm>
                    <a:prstGeom prst="rect">
                      <a:avLst/>
                    </a:prstGeom>
                    <a:noFill/>
                  </pic:spPr>
                </pic:pic>
              </a:graphicData>
            </a:graphic>
          </wp:inline>
        </w:drawing>
      </w:r>
    </w:p>
    <w:p w14:paraId="37C9C816" w14:textId="77777777" w:rsidR="00375729" w:rsidRPr="00446497" w:rsidRDefault="00375729" w:rsidP="00B722ED">
      <w:pPr>
        <w:pStyle w:val="BCRBodytext"/>
        <w:rPr>
          <w:rFonts w:ascii="Wingdings" w:hAnsi="Wingdings"/>
          <w:lang w:eastAsia="en-AU"/>
        </w:rPr>
      </w:pPr>
      <w:r>
        <w:t xml:space="preserve">Note: importance is denoted by </w:t>
      </w:r>
      <w:r w:rsidRPr="008676FB">
        <w:rPr>
          <w:rFonts w:ascii="Wingdings" w:hAnsi="Wingdings"/>
          <w:lang w:eastAsia="en-AU"/>
        </w:rPr>
        <w:t></w:t>
      </w:r>
      <w:r>
        <w:rPr>
          <w:lang w:eastAsia="en-AU"/>
        </w:rPr>
        <w:t xml:space="preserve">, whereas the numbers denote scores </w:t>
      </w:r>
    </w:p>
    <w:p w14:paraId="530DD759" w14:textId="77777777" w:rsidR="00375729" w:rsidRPr="00185E7D" w:rsidRDefault="00375729" w:rsidP="00F37FA2">
      <w:pPr>
        <w:pStyle w:val="BCRHead2"/>
      </w:pPr>
      <w:bookmarkStart w:id="45" w:name="_Toc436920429"/>
      <w:r w:rsidRPr="00185E7D">
        <w:t>3.3 Productivity</w:t>
      </w:r>
      <w:bookmarkEnd w:id="45"/>
      <w:r w:rsidRPr="00185E7D">
        <w:t xml:space="preserve"> </w:t>
      </w:r>
    </w:p>
    <w:p w14:paraId="550B45A0" w14:textId="77777777" w:rsidR="00375729" w:rsidRPr="00446497" w:rsidRDefault="00375729" w:rsidP="00375729">
      <w:pPr>
        <w:pStyle w:val="BodyTextNoIndent"/>
        <w:rPr>
          <w:rFonts w:ascii="Cambria" w:hAnsi="Cambria"/>
        </w:rPr>
      </w:pPr>
      <w:r w:rsidRPr="00886ECF">
        <w:t xml:space="preserve">Figure 3.9 shows the decade between 1993–94 and 2003–04 was a relatively high productivity growth period while the second one, 2003–04 to 2013–14, was low. The two 10-year periods before and after 2003–04 were chosen to highlight differences in productivity performance. </w:t>
      </w:r>
    </w:p>
    <w:p w14:paraId="2C7AF23A" w14:textId="77777777" w:rsidR="00375729" w:rsidRPr="00185E7D" w:rsidRDefault="00375729" w:rsidP="00B722ED">
      <w:pPr>
        <w:pStyle w:val="Figurecaption"/>
      </w:pPr>
      <w:r w:rsidRPr="00185E7D">
        <w:t>Figure 3.9: Productivity in Australia’s 12-industry market sector, 1984–85 to 2013–14 (index, 2003–04</w:t>
      </w:r>
      <w:r w:rsidR="006A530A">
        <w:t xml:space="preserve"> = </w:t>
      </w:r>
      <w:r w:rsidRPr="00185E7D">
        <w:t>100)</w:t>
      </w:r>
    </w:p>
    <w:p w14:paraId="03AB7284" w14:textId="54680D86" w:rsidR="00375729" w:rsidRPr="00185E7D" w:rsidRDefault="00B722ED" w:rsidP="00375729">
      <w:pPr>
        <w:pStyle w:val="BodyTextNoIndent"/>
        <w:rPr>
          <w:rFonts w:ascii="Cambria" w:hAnsi="Cambria"/>
          <w:i/>
          <w:sz w:val="18"/>
          <w:szCs w:val="18"/>
        </w:rPr>
      </w:pPr>
      <w:r>
        <w:rPr>
          <w:rFonts w:ascii="Cambria" w:hAnsi="Cambria"/>
          <w:i/>
          <w:noProof/>
          <w:sz w:val="18"/>
          <w:szCs w:val="18"/>
          <w:lang w:eastAsia="en-AU"/>
        </w:rPr>
        <w:drawing>
          <wp:inline distT="0" distB="0" distL="0" distR="0" wp14:anchorId="02702703" wp14:editId="09F9EF90">
            <wp:extent cx="4584700" cy="27559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354E474" w14:textId="77777777" w:rsidR="00375729" w:rsidRPr="00185E7D" w:rsidRDefault="00375729" w:rsidP="00012248">
      <w:pPr>
        <w:pStyle w:val="SourceNotes"/>
      </w:pPr>
      <w:r w:rsidRPr="00185E7D">
        <w:t>Source: ABS Cat. No. 5260.0.55.002</w:t>
      </w:r>
    </w:p>
    <w:p w14:paraId="4ACD2050" w14:textId="77777777" w:rsidR="00375729" w:rsidRPr="00886ECF" w:rsidRDefault="00375729" w:rsidP="00375729">
      <w:pPr>
        <w:pStyle w:val="BodyTextNoIndent"/>
      </w:pPr>
      <w:r w:rsidRPr="00886ECF">
        <w:t>After 2003–04, labour productivity slowed from 3.2 per cent a year to 2.1 per cent, capital productivity turned negative and multifactor productivity, which can be viewed as weighted average of labour productivity and capital productivity, stagnated.</w:t>
      </w:r>
    </w:p>
    <w:p w14:paraId="3A5D85AA" w14:textId="77777777" w:rsidR="00375729" w:rsidRDefault="00375729" w:rsidP="00375729">
      <w:pPr>
        <w:spacing w:after="120"/>
        <w:ind w:left="1021" w:hanging="1021"/>
      </w:pPr>
      <w:r>
        <w:br w:type="page"/>
      </w:r>
    </w:p>
    <w:p w14:paraId="30DD941D" w14:textId="77777777" w:rsidR="00375729" w:rsidRDefault="00375729" w:rsidP="00375729">
      <w:pPr>
        <w:pStyle w:val="BodyTextNoIndent"/>
      </w:pPr>
      <w:r w:rsidRPr="00886ECF">
        <w:t xml:space="preserve">Table 3.3 illustrates how productivity growth varied widely across industries. </w:t>
      </w:r>
    </w:p>
    <w:p w14:paraId="3F87EFB5" w14:textId="77777777" w:rsidR="00375729" w:rsidRPr="00B722ED" w:rsidRDefault="00375729" w:rsidP="00A872E5">
      <w:pPr>
        <w:pStyle w:val="Tablecaption"/>
      </w:pPr>
      <w:r w:rsidRPr="00B722ED">
        <w:t>Table 3.3: Productivity growth rates by industry, 1993–94 to 2003–04 and 2003–04 to 2013–14 (% pa)</w:t>
      </w:r>
      <w:r w:rsidRPr="00855EC7">
        <w:rPr>
          <w:rFonts w:ascii="Cambria" w:eastAsiaTheme="majorEastAsia" w:hAnsi="Cambria" w:cstheme="majorBidi"/>
          <w:i/>
          <w:szCs w:val="20"/>
        </w:rPr>
        <w:fldChar w:fldCharType="begin"/>
      </w:r>
      <w:r w:rsidRPr="00B722ED">
        <w:instrText xml:space="preserve"> LINK Excel.Sheet.12 "\\\\dept.gov.au\\DFS\\Home\\dparham\\Desktop\\Docs\\1. GA project\\Report\\Productivity and stuff 151022.xlsx" "industry!R25C1:R45C7" \a \f 4 \h  \* MERGEFORMAT </w:instrText>
      </w:r>
      <w:r w:rsidRPr="00855EC7">
        <w:rPr>
          <w:rFonts w:ascii="Cambria" w:eastAsiaTheme="majorEastAsia" w:hAnsi="Cambria" w:cstheme="majorBidi"/>
          <w:i/>
          <w:szCs w:val="20"/>
        </w:rPr>
        <w:fldChar w:fldCharType="separate"/>
      </w:r>
    </w:p>
    <w:tbl>
      <w:tblPr>
        <w:tblW w:w="89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05"/>
        <w:gridCol w:w="1086"/>
        <w:gridCol w:w="1087"/>
        <w:gridCol w:w="1087"/>
        <w:gridCol w:w="1087"/>
        <w:gridCol w:w="1087"/>
        <w:gridCol w:w="1087"/>
      </w:tblGrid>
      <w:tr w:rsidR="00B722ED" w:rsidRPr="00B722ED" w14:paraId="30DF2914" w14:textId="77777777" w:rsidTr="00301886">
        <w:trPr>
          <w:trHeight w:val="300"/>
        </w:trPr>
        <w:tc>
          <w:tcPr>
            <w:tcW w:w="2405" w:type="dxa"/>
            <w:tcBorders>
              <w:top w:val="single" w:sz="4" w:space="0" w:color="auto"/>
              <w:left w:val="nil"/>
              <w:bottom w:val="nil"/>
              <w:right w:val="single" w:sz="4" w:space="0" w:color="auto"/>
            </w:tcBorders>
            <w:shd w:val="clear" w:color="auto" w:fill="auto"/>
            <w:noWrap/>
            <w:vAlign w:val="bottom"/>
            <w:hideMark/>
          </w:tcPr>
          <w:p w14:paraId="5D03BE0E" w14:textId="77777777" w:rsidR="00375729" w:rsidRPr="00B722ED" w:rsidRDefault="00375729" w:rsidP="00A872E5">
            <w:pPr>
              <w:pStyle w:val="Tabletext"/>
            </w:pPr>
          </w:p>
        </w:tc>
        <w:tc>
          <w:tcPr>
            <w:tcW w:w="21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F0DFA" w14:textId="77777777" w:rsidR="00375729" w:rsidRPr="00B722ED" w:rsidRDefault="00375729" w:rsidP="00A872E5">
            <w:pPr>
              <w:pStyle w:val="Tablecellheading"/>
            </w:pPr>
            <w:r w:rsidRPr="00B722ED">
              <w:t>Labour productivity</w:t>
            </w:r>
          </w:p>
        </w:tc>
        <w:tc>
          <w:tcPr>
            <w:tcW w:w="21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8296E" w14:textId="77777777" w:rsidR="00375729" w:rsidRPr="00B722ED" w:rsidRDefault="00375729" w:rsidP="00A872E5">
            <w:pPr>
              <w:pStyle w:val="Tablecellheading"/>
            </w:pPr>
            <w:r w:rsidRPr="00B722ED">
              <w:t>Multifactor productivity</w:t>
            </w:r>
          </w:p>
        </w:tc>
        <w:tc>
          <w:tcPr>
            <w:tcW w:w="2174" w:type="dxa"/>
            <w:gridSpan w:val="2"/>
            <w:tcBorders>
              <w:top w:val="single" w:sz="4" w:space="0" w:color="auto"/>
              <w:left w:val="single" w:sz="4" w:space="0" w:color="auto"/>
              <w:bottom w:val="single" w:sz="4" w:space="0" w:color="auto"/>
              <w:right w:val="nil"/>
            </w:tcBorders>
            <w:shd w:val="clear" w:color="auto" w:fill="auto"/>
            <w:noWrap/>
            <w:vAlign w:val="center"/>
            <w:hideMark/>
          </w:tcPr>
          <w:p w14:paraId="608A334E" w14:textId="77777777" w:rsidR="00375729" w:rsidRPr="00B722ED" w:rsidRDefault="00375729" w:rsidP="00A872E5">
            <w:pPr>
              <w:pStyle w:val="Tablecellheading"/>
            </w:pPr>
            <w:r w:rsidRPr="00B722ED">
              <w:t>Capital productivity</w:t>
            </w:r>
          </w:p>
        </w:tc>
      </w:tr>
      <w:tr w:rsidR="00B722ED" w:rsidRPr="00B722ED" w14:paraId="206D74B2" w14:textId="77777777" w:rsidTr="00301886">
        <w:trPr>
          <w:trHeight w:val="495"/>
        </w:trPr>
        <w:tc>
          <w:tcPr>
            <w:tcW w:w="2405" w:type="dxa"/>
            <w:tcBorders>
              <w:top w:val="nil"/>
              <w:left w:val="nil"/>
              <w:bottom w:val="single" w:sz="4" w:space="0" w:color="auto"/>
              <w:right w:val="single" w:sz="4" w:space="0" w:color="auto"/>
            </w:tcBorders>
            <w:shd w:val="clear" w:color="auto" w:fill="auto"/>
            <w:noWrap/>
            <w:vAlign w:val="bottom"/>
            <w:hideMark/>
          </w:tcPr>
          <w:p w14:paraId="7C37B3C3" w14:textId="77777777" w:rsidR="00375729" w:rsidRPr="00B722ED" w:rsidRDefault="00375729" w:rsidP="00A872E5">
            <w:pPr>
              <w:pStyle w:val="Tabletext"/>
            </w:pPr>
          </w:p>
        </w:tc>
        <w:tc>
          <w:tcPr>
            <w:tcW w:w="1086" w:type="dxa"/>
            <w:tcBorders>
              <w:top w:val="single" w:sz="4" w:space="0" w:color="auto"/>
              <w:left w:val="single" w:sz="4" w:space="0" w:color="auto"/>
              <w:bottom w:val="single" w:sz="4" w:space="0" w:color="auto"/>
            </w:tcBorders>
            <w:shd w:val="clear" w:color="auto" w:fill="auto"/>
            <w:vAlign w:val="bottom"/>
            <w:hideMark/>
          </w:tcPr>
          <w:p w14:paraId="7FF83553" w14:textId="77777777" w:rsidR="00375729" w:rsidRPr="00B722ED" w:rsidRDefault="00375729" w:rsidP="00A872E5">
            <w:pPr>
              <w:pStyle w:val="Tabletext"/>
            </w:pPr>
            <w:r w:rsidRPr="00B722ED">
              <w:t>1993–94 to 2003–04</w:t>
            </w:r>
          </w:p>
        </w:tc>
        <w:tc>
          <w:tcPr>
            <w:tcW w:w="1087" w:type="dxa"/>
            <w:tcBorders>
              <w:top w:val="single" w:sz="4" w:space="0" w:color="auto"/>
              <w:bottom w:val="single" w:sz="4" w:space="0" w:color="auto"/>
              <w:right w:val="single" w:sz="4" w:space="0" w:color="auto"/>
            </w:tcBorders>
            <w:shd w:val="clear" w:color="auto" w:fill="auto"/>
            <w:vAlign w:val="bottom"/>
            <w:hideMark/>
          </w:tcPr>
          <w:p w14:paraId="7022AA29" w14:textId="77777777" w:rsidR="00375729" w:rsidRPr="00B722ED" w:rsidRDefault="00375729" w:rsidP="00A872E5">
            <w:pPr>
              <w:pStyle w:val="Tablecellheading"/>
            </w:pPr>
            <w:r w:rsidRPr="00B722ED">
              <w:t>2003–04 to 2013–14</w:t>
            </w:r>
          </w:p>
        </w:tc>
        <w:tc>
          <w:tcPr>
            <w:tcW w:w="1087" w:type="dxa"/>
            <w:tcBorders>
              <w:top w:val="single" w:sz="4" w:space="0" w:color="auto"/>
              <w:left w:val="single" w:sz="4" w:space="0" w:color="auto"/>
              <w:bottom w:val="single" w:sz="4" w:space="0" w:color="auto"/>
            </w:tcBorders>
            <w:shd w:val="clear" w:color="auto" w:fill="auto"/>
            <w:vAlign w:val="bottom"/>
            <w:hideMark/>
          </w:tcPr>
          <w:p w14:paraId="7CE6CE38" w14:textId="77777777" w:rsidR="00375729" w:rsidRPr="00B722ED" w:rsidRDefault="00375729" w:rsidP="00A872E5">
            <w:pPr>
              <w:pStyle w:val="Tablecellheading"/>
            </w:pPr>
            <w:r w:rsidRPr="00B722ED">
              <w:t>1993–94 to 2003–04</w:t>
            </w:r>
          </w:p>
        </w:tc>
        <w:tc>
          <w:tcPr>
            <w:tcW w:w="1087" w:type="dxa"/>
            <w:tcBorders>
              <w:top w:val="single" w:sz="4" w:space="0" w:color="auto"/>
              <w:bottom w:val="single" w:sz="4" w:space="0" w:color="auto"/>
              <w:right w:val="single" w:sz="4" w:space="0" w:color="auto"/>
            </w:tcBorders>
            <w:shd w:val="clear" w:color="auto" w:fill="auto"/>
            <w:vAlign w:val="bottom"/>
            <w:hideMark/>
          </w:tcPr>
          <w:p w14:paraId="3D8226C4" w14:textId="77777777" w:rsidR="00375729" w:rsidRPr="00B722ED" w:rsidRDefault="00375729" w:rsidP="00A872E5">
            <w:pPr>
              <w:pStyle w:val="Tablecellheading"/>
            </w:pPr>
            <w:r w:rsidRPr="00B722ED">
              <w:t>2003–04 to 2013–14</w:t>
            </w:r>
          </w:p>
        </w:tc>
        <w:tc>
          <w:tcPr>
            <w:tcW w:w="1087" w:type="dxa"/>
            <w:tcBorders>
              <w:top w:val="single" w:sz="4" w:space="0" w:color="auto"/>
              <w:left w:val="single" w:sz="4" w:space="0" w:color="auto"/>
              <w:bottom w:val="single" w:sz="4" w:space="0" w:color="auto"/>
            </w:tcBorders>
            <w:shd w:val="clear" w:color="auto" w:fill="auto"/>
            <w:vAlign w:val="bottom"/>
            <w:hideMark/>
          </w:tcPr>
          <w:p w14:paraId="451600C0" w14:textId="77777777" w:rsidR="00375729" w:rsidRPr="00B722ED" w:rsidRDefault="00375729" w:rsidP="00A872E5">
            <w:pPr>
              <w:pStyle w:val="Tablecellheading"/>
            </w:pPr>
            <w:r w:rsidRPr="00B722ED">
              <w:t>1993–94 to 2003–04</w:t>
            </w:r>
          </w:p>
        </w:tc>
        <w:tc>
          <w:tcPr>
            <w:tcW w:w="1087" w:type="dxa"/>
            <w:tcBorders>
              <w:top w:val="single" w:sz="4" w:space="0" w:color="auto"/>
              <w:bottom w:val="single" w:sz="4" w:space="0" w:color="auto"/>
              <w:right w:val="nil"/>
            </w:tcBorders>
            <w:shd w:val="clear" w:color="auto" w:fill="auto"/>
            <w:vAlign w:val="bottom"/>
            <w:hideMark/>
          </w:tcPr>
          <w:p w14:paraId="78278D87" w14:textId="77777777" w:rsidR="00375729" w:rsidRPr="00B722ED" w:rsidRDefault="00375729" w:rsidP="00A872E5">
            <w:pPr>
              <w:pStyle w:val="Tablecellheading"/>
            </w:pPr>
            <w:r w:rsidRPr="00B722ED">
              <w:t>2003–04 to 2013–14</w:t>
            </w:r>
          </w:p>
        </w:tc>
      </w:tr>
      <w:tr w:rsidR="00375729" w:rsidRPr="00855EC7" w14:paraId="151A17C2" w14:textId="77777777" w:rsidTr="00301886">
        <w:trPr>
          <w:trHeight w:val="300"/>
        </w:trPr>
        <w:tc>
          <w:tcPr>
            <w:tcW w:w="2405" w:type="dxa"/>
            <w:tcBorders>
              <w:top w:val="single" w:sz="4" w:space="0" w:color="auto"/>
              <w:left w:val="nil"/>
              <w:bottom w:val="nil"/>
              <w:right w:val="single" w:sz="4" w:space="0" w:color="auto"/>
            </w:tcBorders>
            <w:shd w:val="clear" w:color="auto" w:fill="auto"/>
            <w:noWrap/>
            <w:vAlign w:val="bottom"/>
            <w:hideMark/>
          </w:tcPr>
          <w:p w14:paraId="2222A5DC" w14:textId="77777777" w:rsidR="00375729" w:rsidRPr="00855EC7" w:rsidRDefault="00375729" w:rsidP="00A872E5">
            <w:pPr>
              <w:pStyle w:val="Tabletext"/>
            </w:pPr>
            <w:r w:rsidRPr="00855EC7">
              <w:t>A. Agriculture</w:t>
            </w:r>
          </w:p>
        </w:tc>
        <w:tc>
          <w:tcPr>
            <w:tcW w:w="1086" w:type="dxa"/>
            <w:tcBorders>
              <w:top w:val="single" w:sz="4" w:space="0" w:color="auto"/>
              <w:left w:val="single" w:sz="4" w:space="0" w:color="auto"/>
            </w:tcBorders>
            <w:shd w:val="clear" w:color="auto" w:fill="auto"/>
            <w:noWrap/>
            <w:vAlign w:val="center"/>
            <w:hideMark/>
          </w:tcPr>
          <w:p w14:paraId="2641B08E" w14:textId="77777777" w:rsidR="00375729" w:rsidRPr="00855EC7" w:rsidRDefault="00375729" w:rsidP="00A872E5">
            <w:pPr>
              <w:pStyle w:val="Tabletext"/>
            </w:pPr>
            <w:r w:rsidRPr="00855EC7">
              <w:t>4.51</w:t>
            </w:r>
          </w:p>
        </w:tc>
        <w:tc>
          <w:tcPr>
            <w:tcW w:w="1087" w:type="dxa"/>
            <w:tcBorders>
              <w:top w:val="single" w:sz="4" w:space="0" w:color="auto"/>
              <w:bottom w:val="nil"/>
              <w:right w:val="single" w:sz="4" w:space="0" w:color="auto"/>
            </w:tcBorders>
            <w:shd w:val="clear" w:color="auto" w:fill="auto"/>
            <w:noWrap/>
            <w:vAlign w:val="center"/>
            <w:hideMark/>
          </w:tcPr>
          <w:p w14:paraId="411F03F0" w14:textId="77777777" w:rsidR="00375729" w:rsidRPr="00855EC7" w:rsidRDefault="00375729" w:rsidP="00A872E5">
            <w:pPr>
              <w:pStyle w:val="Tabletext"/>
            </w:pPr>
            <w:r w:rsidRPr="00855EC7">
              <w:t>3.45</w:t>
            </w:r>
          </w:p>
        </w:tc>
        <w:tc>
          <w:tcPr>
            <w:tcW w:w="1087" w:type="dxa"/>
            <w:tcBorders>
              <w:top w:val="single" w:sz="4" w:space="0" w:color="auto"/>
              <w:left w:val="single" w:sz="4" w:space="0" w:color="auto"/>
              <w:bottom w:val="nil"/>
            </w:tcBorders>
            <w:shd w:val="clear" w:color="auto" w:fill="auto"/>
            <w:noWrap/>
            <w:vAlign w:val="bottom"/>
            <w:hideMark/>
          </w:tcPr>
          <w:p w14:paraId="5DE6EB8C" w14:textId="77777777" w:rsidR="00375729" w:rsidRPr="00855EC7" w:rsidRDefault="00375729" w:rsidP="00A872E5">
            <w:pPr>
              <w:pStyle w:val="Tabletext"/>
            </w:pPr>
            <w:r w:rsidRPr="00855EC7">
              <w:t>3.68</w:t>
            </w:r>
          </w:p>
        </w:tc>
        <w:tc>
          <w:tcPr>
            <w:tcW w:w="1087" w:type="dxa"/>
            <w:tcBorders>
              <w:top w:val="single" w:sz="4" w:space="0" w:color="auto"/>
              <w:bottom w:val="nil"/>
              <w:right w:val="single" w:sz="4" w:space="0" w:color="auto"/>
            </w:tcBorders>
            <w:shd w:val="clear" w:color="auto" w:fill="auto"/>
            <w:noWrap/>
            <w:vAlign w:val="bottom"/>
            <w:hideMark/>
          </w:tcPr>
          <w:p w14:paraId="7EE74022" w14:textId="77777777" w:rsidR="00375729" w:rsidRPr="00855EC7" w:rsidRDefault="00375729" w:rsidP="00A872E5">
            <w:pPr>
              <w:pStyle w:val="Tabletext"/>
            </w:pPr>
            <w:r w:rsidRPr="00855EC7">
              <w:t>1.47</w:t>
            </w:r>
          </w:p>
        </w:tc>
        <w:tc>
          <w:tcPr>
            <w:tcW w:w="1087" w:type="dxa"/>
            <w:tcBorders>
              <w:top w:val="single" w:sz="4" w:space="0" w:color="auto"/>
              <w:left w:val="single" w:sz="4" w:space="0" w:color="auto"/>
            </w:tcBorders>
            <w:shd w:val="clear" w:color="auto" w:fill="auto"/>
            <w:noWrap/>
            <w:vAlign w:val="bottom"/>
            <w:hideMark/>
          </w:tcPr>
          <w:p w14:paraId="0894563C" w14:textId="77777777" w:rsidR="00375729" w:rsidRPr="00855EC7" w:rsidRDefault="00375729" w:rsidP="00A872E5">
            <w:pPr>
              <w:pStyle w:val="Tabletext"/>
            </w:pPr>
            <w:r w:rsidRPr="00855EC7">
              <w:t>4.51</w:t>
            </w:r>
          </w:p>
        </w:tc>
        <w:tc>
          <w:tcPr>
            <w:tcW w:w="1087" w:type="dxa"/>
            <w:tcBorders>
              <w:top w:val="single" w:sz="4" w:space="0" w:color="auto"/>
              <w:right w:val="nil"/>
            </w:tcBorders>
            <w:shd w:val="clear" w:color="auto" w:fill="auto"/>
            <w:noWrap/>
            <w:vAlign w:val="bottom"/>
            <w:hideMark/>
          </w:tcPr>
          <w:p w14:paraId="3DBCF544" w14:textId="77777777" w:rsidR="00375729" w:rsidRPr="00855EC7" w:rsidRDefault="00375729" w:rsidP="00A872E5">
            <w:pPr>
              <w:pStyle w:val="Tabletext"/>
            </w:pPr>
            <w:r w:rsidRPr="00855EC7">
              <w:t>3.45</w:t>
            </w:r>
          </w:p>
        </w:tc>
      </w:tr>
      <w:tr w:rsidR="00375729" w:rsidRPr="00855EC7" w14:paraId="08A29FE4"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250E3017" w14:textId="77777777" w:rsidR="00375729" w:rsidRPr="00855EC7" w:rsidRDefault="00375729" w:rsidP="00A872E5">
            <w:pPr>
              <w:pStyle w:val="Tabletext"/>
            </w:pPr>
            <w:r w:rsidRPr="00855EC7">
              <w:t>B. Mining</w:t>
            </w:r>
          </w:p>
        </w:tc>
        <w:tc>
          <w:tcPr>
            <w:tcW w:w="1086" w:type="dxa"/>
            <w:tcBorders>
              <w:left w:val="single" w:sz="4" w:space="0" w:color="auto"/>
            </w:tcBorders>
            <w:shd w:val="clear" w:color="auto" w:fill="auto"/>
            <w:noWrap/>
            <w:vAlign w:val="center"/>
            <w:hideMark/>
          </w:tcPr>
          <w:p w14:paraId="2C57A831" w14:textId="77777777" w:rsidR="00375729" w:rsidRPr="00855EC7" w:rsidRDefault="00375729" w:rsidP="00A872E5">
            <w:pPr>
              <w:pStyle w:val="Tabletext"/>
            </w:pPr>
            <w:r w:rsidRPr="00855EC7">
              <w:t>1.87</w:t>
            </w:r>
          </w:p>
        </w:tc>
        <w:tc>
          <w:tcPr>
            <w:tcW w:w="1087" w:type="dxa"/>
            <w:tcBorders>
              <w:top w:val="nil"/>
              <w:bottom w:val="nil"/>
              <w:right w:val="single" w:sz="4" w:space="0" w:color="auto"/>
            </w:tcBorders>
            <w:shd w:val="clear" w:color="auto" w:fill="auto"/>
            <w:noWrap/>
            <w:vAlign w:val="center"/>
            <w:hideMark/>
          </w:tcPr>
          <w:p w14:paraId="39DC1E5E" w14:textId="77777777" w:rsidR="00375729" w:rsidRPr="00855EC7" w:rsidRDefault="00375729" w:rsidP="00A872E5">
            <w:pPr>
              <w:pStyle w:val="Tabletext"/>
            </w:pPr>
            <w:r w:rsidRPr="00855EC7">
              <w:t>-4.42</w:t>
            </w:r>
          </w:p>
        </w:tc>
        <w:tc>
          <w:tcPr>
            <w:tcW w:w="1087" w:type="dxa"/>
            <w:tcBorders>
              <w:top w:val="nil"/>
              <w:left w:val="single" w:sz="4" w:space="0" w:color="auto"/>
              <w:bottom w:val="nil"/>
            </w:tcBorders>
            <w:shd w:val="clear" w:color="auto" w:fill="auto"/>
            <w:noWrap/>
            <w:vAlign w:val="bottom"/>
            <w:hideMark/>
          </w:tcPr>
          <w:p w14:paraId="4C85C953" w14:textId="77777777" w:rsidR="00375729" w:rsidRPr="00855EC7" w:rsidRDefault="00375729" w:rsidP="00A872E5">
            <w:pPr>
              <w:pStyle w:val="Tabletext"/>
            </w:pPr>
            <w:r w:rsidRPr="00855EC7">
              <w:t>0.13</w:t>
            </w:r>
          </w:p>
        </w:tc>
        <w:tc>
          <w:tcPr>
            <w:tcW w:w="1087" w:type="dxa"/>
            <w:tcBorders>
              <w:top w:val="nil"/>
              <w:bottom w:val="nil"/>
              <w:right w:val="single" w:sz="4" w:space="0" w:color="auto"/>
            </w:tcBorders>
            <w:shd w:val="clear" w:color="auto" w:fill="auto"/>
            <w:noWrap/>
            <w:vAlign w:val="bottom"/>
            <w:hideMark/>
          </w:tcPr>
          <w:p w14:paraId="43895270" w14:textId="77777777" w:rsidR="00375729" w:rsidRPr="00855EC7" w:rsidRDefault="00375729" w:rsidP="00A872E5">
            <w:pPr>
              <w:pStyle w:val="Tabletext"/>
            </w:pPr>
            <w:r w:rsidRPr="00855EC7">
              <w:t>-4.81</w:t>
            </w:r>
          </w:p>
        </w:tc>
        <w:tc>
          <w:tcPr>
            <w:tcW w:w="1087" w:type="dxa"/>
            <w:tcBorders>
              <w:left w:val="single" w:sz="4" w:space="0" w:color="auto"/>
            </w:tcBorders>
            <w:shd w:val="clear" w:color="auto" w:fill="auto"/>
            <w:noWrap/>
            <w:vAlign w:val="bottom"/>
            <w:hideMark/>
          </w:tcPr>
          <w:p w14:paraId="062C7200" w14:textId="77777777" w:rsidR="00375729" w:rsidRPr="00855EC7" w:rsidRDefault="00375729" w:rsidP="00A872E5">
            <w:pPr>
              <w:pStyle w:val="Tabletext"/>
            </w:pPr>
            <w:r w:rsidRPr="00855EC7">
              <w:t>1.87</w:t>
            </w:r>
          </w:p>
        </w:tc>
        <w:tc>
          <w:tcPr>
            <w:tcW w:w="1087" w:type="dxa"/>
            <w:tcBorders>
              <w:right w:val="nil"/>
            </w:tcBorders>
            <w:shd w:val="clear" w:color="auto" w:fill="auto"/>
            <w:noWrap/>
            <w:vAlign w:val="bottom"/>
            <w:hideMark/>
          </w:tcPr>
          <w:p w14:paraId="721E1F45" w14:textId="77777777" w:rsidR="00375729" w:rsidRPr="00855EC7" w:rsidRDefault="00375729" w:rsidP="00A872E5">
            <w:pPr>
              <w:pStyle w:val="Tabletext"/>
            </w:pPr>
            <w:r w:rsidRPr="00855EC7">
              <w:t>-4.42</w:t>
            </w:r>
          </w:p>
        </w:tc>
      </w:tr>
      <w:tr w:rsidR="00375729" w:rsidRPr="00855EC7" w14:paraId="33121865"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61DCB130" w14:textId="77777777" w:rsidR="00375729" w:rsidRPr="00855EC7" w:rsidRDefault="00375729" w:rsidP="00A872E5">
            <w:pPr>
              <w:pStyle w:val="Tabletext"/>
            </w:pPr>
            <w:r w:rsidRPr="00855EC7">
              <w:t>C. Manufacturing</w:t>
            </w:r>
          </w:p>
        </w:tc>
        <w:tc>
          <w:tcPr>
            <w:tcW w:w="1086" w:type="dxa"/>
            <w:tcBorders>
              <w:left w:val="single" w:sz="4" w:space="0" w:color="auto"/>
            </w:tcBorders>
            <w:shd w:val="clear" w:color="auto" w:fill="auto"/>
            <w:noWrap/>
            <w:vAlign w:val="center"/>
            <w:hideMark/>
          </w:tcPr>
          <w:p w14:paraId="6A866397" w14:textId="77777777" w:rsidR="00375729" w:rsidRPr="00855EC7" w:rsidRDefault="00375729" w:rsidP="00A872E5">
            <w:pPr>
              <w:pStyle w:val="Tabletext"/>
            </w:pPr>
            <w:r w:rsidRPr="00855EC7">
              <w:t>2.53</w:t>
            </w:r>
          </w:p>
        </w:tc>
        <w:tc>
          <w:tcPr>
            <w:tcW w:w="1087" w:type="dxa"/>
            <w:tcBorders>
              <w:top w:val="nil"/>
              <w:bottom w:val="nil"/>
              <w:right w:val="single" w:sz="4" w:space="0" w:color="auto"/>
            </w:tcBorders>
            <w:shd w:val="clear" w:color="auto" w:fill="auto"/>
            <w:noWrap/>
            <w:vAlign w:val="center"/>
            <w:hideMark/>
          </w:tcPr>
          <w:p w14:paraId="40A779F0" w14:textId="77777777" w:rsidR="00375729" w:rsidRPr="00855EC7" w:rsidRDefault="00375729" w:rsidP="00A872E5">
            <w:pPr>
              <w:pStyle w:val="Tabletext"/>
            </w:pPr>
            <w:r w:rsidRPr="00855EC7">
              <w:t>1.09</w:t>
            </w:r>
          </w:p>
        </w:tc>
        <w:tc>
          <w:tcPr>
            <w:tcW w:w="1087" w:type="dxa"/>
            <w:tcBorders>
              <w:top w:val="nil"/>
              <w:left w:val="single" w:sz="4" w:space="0" w:color="auto"/>
              <w:bottom w:val="nil"/>
            </w:tcBorders>
            <w:shd w:val="clear" w:color="auto" w:fill="auto"/>
            <w:noWrap/>
            <w:vAlign w:val="bottom"/>
            <w:hideMark/>
          </w:tcPr>
          <w:p w14:paraId="73FDBD1B" w14:textId="77777777" w:rsidR="00375729" w:rsidRPr="00855EC7" w:rsidRDefault="00375729" w:rsidP="00A872E5">
            <w:pPr>
              <w:pStyle w:val="Tabletext"/>
            </w:pPr>
            <w:r w:rsidRPr="00855EC7">
              <w:t>0.95</w:t>
            </w:r>
          </w:p>
        </w:tc>
        <w:tc>
          <w:tcPr>
            <w:tcW w:w="1087" w:type="dxa"/>
            <w:tcBorders>
              <w:top w:val="nil"/>
              <w:bottom w:val="nil"/>
              <w:right w:val="single" w:sz="4" w:space="0" w:color="auto"/>
            </w:tcBorders>
            <w:shd w:val="clear" w:color="auto" w:fill="auto"/>
            <w:noWrap/>
            <w:vAlign w:val="bottom"/>
            <w:hideMark/>
          </w:tcPr>
          <w:p w14:paraId="684CBB9A" w14:textId="77777777" w:rsidR="00375729" w:rsidRPr="00855EC7" w:rsidRDefault="00375729" w:rsidP="00A872E5">
            <w:pPr>
              <w:pStyle w:val="Tabletext"/>
            </w:pPr>
            <w:r w:rsidRPr="00855EC7">
              <w:t>-0.47</w:t>
            </w:r>
          </w:p>
        </w:tc>
        <w:tc>
          <w:tcPr>
            <w:tcW w:w="1087" w:type="dxa"/>
            <w:tcBorders>
              <w:left w:val="single" w:sz="4" w:space="0" w:color="auto"/>
            </w:tcBorders>
            <w:shd w:val="clear" w:color="auto" w:fill="auto"/>
            <w:noWrap/>
            <w:vAlign w:val="bottom"/>
            <w:hideMark/>
          </w:tcPr>
          <w:p w14:paraId="62C5FA74" w14:textId="77777777" w:rsidR="00375729" w:rsidRPr="00855EC7" w:rsidRDefault="00375729" w:rsidP="00A872E5">
            <w:pPr>
              <w:pStyle w:val="Tabletext"/>
            </w:pPr>
            <w:r w:rsidRPr="00855EC7">
              <w:t>2.53</w:t>
            </w:r>
          </w:p>
        </w:tc>
        <w:tc>
          <w:tcPr>
            <w:tcW w:w="1087" w:type="dxa"/>
            <w:tcBorders>
              <w:right w:val="nil"/>
            </w:tcBorders>
            <w:shd w:val="clear" w:color="auto" w:fill="auto"/>
            <w:noWrap/>
            <w:vAlign w:val="bottom"/>
            <w:hideMark/>
          </w:tcPr>
          <w:p w14:paraId="6026297A" w14:textId="77777777" w:rsidR="00375729" w:rsidRPr="00855EC7" w:rsidRDefault="00375729" w:rsidP="00A872E5">
            <w:pPr>
              <w:pStyle w:val="Tabletext"/>
            </w:pPr>
            <w:r w:rsidRPr="00855EC7">
              <w:t>1.09</w:t>
            </w:r>
          </w:p>
        </w:tc>
      </w:tr>
      <w:tr w:rsidR="00375729" w:rsidRPr="00855EC7" w14:paraId="27650173"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583EA3D2" w14:textId="77777777" w:rsidR="00375729" w:rsidRPr="00855EC7" w:rsidRDefault="00375729" w:rsidP="00A872E5">
            <w:pPr>
              <w:pStyle w:val="Tabletext"/>
            </w:pPr>
            <w:r w:rsidRPr="00855EC7">
              <w:t>D. EGWWS</w:t>
            </w:r>
          </w:p>
        </w:tc>
        <w:tc>
          <w:tcPr>
            <w:tcW w:w="1086" w:type="dxa"/>
            <w:tcBorders>
              <w:left w:val="single" w:sz="4" w:space="0" w:color="auto"/>
            </w:tcBorders>
            <w:shd w:val="clear" w:color="auto" w:fill="auto"/>
            <w:noWrap/>
            <w:vAlign w:val="center"/>
            <w:hideMark/>
          </w:tcPr>
          <w:p w14:paraId="761F93EA" w14:textId="77777777" w:rsidR="00375729" w:rsidRPr="00855EC7" w:rsidRDefault="00375729" w:rsidP="00A872E5">
            <w:pPr>
              <w:pStyle w:val="Tabletext"/>
            </w:pPr>
            <w:r w:rsidRPr="00855EC7">
              <w:t>2.54</w:t>
            </w:r>
          </w:p>
        </w:tc>
        <w:tc>
          <w:tcPr>
            <w:tcW w:w="1087" w:type="dxa"/>
            <w:tcBorders>
              <w:top w:val="nil"/>
              <w:bottom w:val="nil"/>
              <w:right w:val="single" w:sz="4" w:space="0" w:color="auto"/>
            </w:tcBorders>
            <w:shd w:val="clear" w:color="auto" w:fill="auto"/>
            <w:noWrap/>
            <w:vAlign w:val="center"/>
            <w:hideMark/>
          </w:tcPr>
          <w:p w14:paraId="347A760A" w14:textId="77777777" w:rsidR="00375729" w:rsidRPr="00855EC7" w:rsidRDefault="00375729" w:rsidP="00A872E5">
            <w:pPr>
              <w:pStyle w:val="Tabletext"/>
            </w:pPr>
            <w:r w:rsidRPr="00855EC7">
              <w:t>-3.87</w:t>
            </w:r>
          </w:p>
        </w:tc>
        <w:tc>
          <w:tcPr>
            <w:tcW w:w="1087" w:type="dxa"/>
            <w:tcBorders>
              <w:top w:val="nil"/>
              <w:left w:val="single" w:sz="4" w:space="0" w:color="auto"/>
              <w:bottom w:val="nil"/>
            </w:tcBorders>
            <w:shd w:val="clear" w:color="auto" w:fill="auto"/>
            <w:noWrap/>
            <w:vAlign w:val="bottom"/>
            <w:hideMark/>
          </w:tcPr>
          <w:p w14:paraId="590F2530" w14:textId="77777777" w:rsidR="00375729" w:rsidRPr="00855EC7" w:rsidRDefault="00375729" w:rsidP="00A872E5">
            <w:pPr>
              <w:pStyle w:val="Tabletext"/>
            </w:pPr>
            <w:r w:rsidRPr="00855EC7">
              <w:t>-0.18</w:t>
            </w:r>
          </w:p>
        </w:tc>
        <w:tc>
          <w:tcPr>
            <w:tcW w:w="1087" w:type="dxa"/>
            <w:tcBorders>
              <w:top w:val="nil"/>
              <w:bottom w:val="nil"/>
              <w:right w:val="single" w:sz="4" w:space="0" w:color="auto"/>
            </w:tcBorders>
            <w:shd w:val="clear" w:color="auto" w:fill="auto"/>
            <w:noWrap/>
            <w:vAlign w:val="bottom"/>
            <w:hideMark/>
          </w:tcPr>
          <w:p w14:paraId="35128E2F" w14:textId="77777777" w:rsidR="00375729" w:rsidRPr="00855EC7" w:rsidRDefault="00375729" w:rsidP="00A872E5">
            <w:pPr>
              <w:pStyle w:val="Tabletext"/>
            </w:pPr>
            <w:r w:rsidRPr="00855EC7">
              <w:t>-4.00</w:t>
            </w:r>
          </w:p>
        </w:tc>
        <w:tc>
          <w:tcPr>
            <w:tcW w:w="1087" w:type="dxa"/>
            <w:tcBorders>
              <w:left w:val="single" w:sz="4" w:space="0" w:color="auto"/>
            </w:tcBorders>
            <w:shd w:val="clear" w:color="auto" w:fill="auto"/>
            <w:noWrap/>
            <w:vAlign w:val="bottom"/>
            <w:hideMark/>
          </w:tcPr>
          <w:p w14:paraId="23E5828F" w14:textId="77777777" w:rsidR="00375729" w:rsidRPr="00855EC7" w:rsidRDefault="00375729" w:rsidP="00A872E5">
            <w:pPr>
              <w:pStyle w:val="Tabletext"/>
            </w:pPr>
            <w:r w:rsidRPr="00855EC7">
              <w:t>2.54</w:t>
            </w:r>
          </w:p>
        </w:tc>
        <w:tc>
          <w:tcPr>
            <w:tcW w:w="1087" w:type="dxa"/>
            <w:tcBorders>
              <w:right w:val="nil"/>
            </w:tcBorders>
            <w:shd w:val="clear" w:color="auto" w:fill="auto"/>
            <w:noWrap/>
            <w:vAlign w:val="bottom"/>
            <w:hideMark/>
          </w:tcPr>
          <w:p w14:paraId="36CE677D" w14:textId="77777777" w:rsidR="00375729" w:rsidRPr="00855EC7" w:rsidRDefault="00375729" w:rsidP="00A872E5">
            <w:pPr>
              <w:pStyle w:val="Tabletext"/>
            </w:pPr>
            <w:r w:rsidRPr="00855EC7">
              <w:t>-3.87</w:t>
            </w:r>
          </w:p>
        </w:tc>
      </w:tr>
      <w:tr w:rsidR="00375729" w:rsidRPr="00855EC7" w14:paraId="3A69E368"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68F566DA" w14:textId="77777777" w:rsidR="00375729" w:rsidRPr="00855EC7" w:rsidRDefault="00375729" w:rsidP="00A872E5">
            <w:pPr>
              <w:pStyle w:val="Tabletext"/>
            </w:pPr>
            <w:r w:rsidRPr="00855EC7">
              <w:t>E. Construction</w:t>
            </w:r>
          </w:p>
        </w:tc>
        <w:tc>
          <w:tcPr>
            <w:tcW w:w="1086" w:type="dxa"/>
            <w:tcBorders>
              <w:left w:val="single" w:sz="4" w:space="0" w:color="auto"/>
            </w:tcBorders>
            <w:shd w:val="clear" w:color="auto" w:fill="auto"/>
            <w:noWrap/>
            <w:vAlign w:val="center"/>
            <w:hideMark/>
          </w:tcPr>
          <w:p w14:paraId="29779D60" w14:textId="77777777" w:rsidR="00375729" w:rsidRPr="00855EC7" w:rsidRDefault="00375729" w:rsidP="00A872E5">
            <w:pPr>
              <w:pStyle w:val="Tabletext"/>
            </w:pPr>
            <w:r w:rsidRPr="00855EC7">
              <w:t>1.90</w:t>
            </w:r>
          </w:p>
        </w:tc>
        <w:tc>
          <w:tcPr>
            <w:tcW w:w="1087" w:type="dxa"/>
            <w:tcBorders>
              <w:top w:val="nil"/>
              <w:bottom w:val="nil"/>
              <w:right w:val="single" w:sz="4" w:space="0" w:color="auto"/>
            </w:tcBorders>
            <w:shd w:val="clear" w:color="auto" w:fill="auto"/>
            <w:noWrap/>
            <w:vAlign w:val="center"/>
            <w:hideMark/>
          </w:tcPr>
          <w:p w14:paraId="6CDD4018" w14:textId="77777777" w:rsidR="00375729" w:rsidRPr="00855EC7" w:rsidRDefault="00375729" w:rsidP="00A872E5">
            <w:pPr>
              <w:pStyle w:val="Tabletext"/>
            </w:pPr>
            <w:r w:rsidRPr="00855EC7">
              <w:t>2.18</w:t>
            </w:r>
          </w:p>
        </w:tc>
        <w:tc>
          <w:tcPr>
            <w:tcW w:w="1087" w:type="dxa"/>
            <w:tcBorders>
              <w:top w:val="nil"/>
              <w:left w:val="single" w:sz="4" w:space="0" w:color="auto"/>
              <w:bottom w:val="nil"/>
            </w:tcBorders>
            <w:shd w:val="clear" w:color="auto" w:fill="auto"/>
            <w:noWrap/>
            <w:vAlign w:val="bottom"/>
            <w:hideMark/>
          </w:tcPr>
          <w:p w14:paraId="7EF0B8D9" w14:textId="77777777" w:rsidR="00375729" w:rsidRPr="00855EC7" w:rsidRDefault="00375729" w:rsidP="00A872E5">
            <w:pPr>
              <w:pStyle w:val="Tabletext"/>
            </w:pPr>
            <w:r w:rsidRPr="00855EC7">
              <w:t>1.90</w:t>
            </w:r>
          </w:p>
        </w:tc>
        <w:tc>
          <w:tcPr>
            <w:tcW w:w="1087" w:type="dxa"/>
            <w:tcBorders>
              <w:top w:val="nil"/>
              <w:bottom w:val="nil"/>
              <w:right w:val="single" w:sz="4" w:space="0" w:color="auto"/>
            </w:tcBorders>
            <w:shd w:val="clear" w:color="auto" w:fill="auto"/>
            <w:noWrap/>
            <w:vAlign w:val="bottom"/>
            <w:hideMark/>
          </w:tcPr>
          <w:p w14:paraId="73F05ED4" w14:textId="77777777" w:rsidR="00375729" w:rsidRPr="00855EC7" w:rsidRDefault="00375729" w:rsidP="00A872E5">
            <w:pPr>
              <w:pStyle w:val="Tabletext"/>
            </w:pPr>
            <w:r w:rsidRPr="00855EC7">
              <w:t>1.18</w:t>
            </w:r>
          </w:p>
        </w:tc>
        <w:tc>
          <w:tcPr>
            <w:tcW w:w="1087" w:type="dxa"/>
            <w:tcBorders>
              <w:left w:val="single" w:sz="4" w:space="0" w:color="auto"/>
            </w:tcBorders>
            <w:shd w:val="clear" w:color="auto" w:fill="auto"/>
            <w:noWrap/>
            <w:vAlign w:val="bottom"/>
            <w:hideMark/>
          </w:tcPr>
          <w:p w14:paraId="6772F0E9" w14:textId="77777777" w:rsidR="00375729" w:rsidRPr="00855EC7" w:rsidRDefault="00375729" w:rsidP="00A872E5">
            <w:pPr>
              <w:pStyle w:val="Tabletext"/>
            </w:pPr>
            <w:r w:rsidRPr="00855EC7">
              <w:t>1.90</w:t>
            </w:r>
          </w:p>
        </w:tc>
        <w:tc>
          <w:tcPr>
            <w:tcW w:w="1087" w:type="dxa"/>
            <w:tcBorders>
              <w:right w:val="nil"/>
            </w:tcBorders>
            <w:shd w:val="clear" w:color="auto" w:fill="auto"/>
            <w:noWrap/>
            <w:vAlign w:val="bottom"/>
            <w:hideMark/>
          </w:tcPr>
          <w:p w14:paraId="3F910B43" w14:textId="77777777" w:rsidR="00375729" w:rsidRPr="00855EC7" w:rsidRDefault="00375729" w:rsidP="00A872E5">
            <w:pPr>
              <w:pStyle w:val="Tabletext"/>
            </w:pPr>
            <w:r w:rsidRPr="00855EC7">
              <w:t>2.18</w:t>
            </w:r>
          </w:p>
        </w:tc>
      </w:tr>
      <w:tr w:rsidR="00375729" w:rsidRPr="00855EC7" w14:paraId="586625BF"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0B45CD00" w14:textId="77777777" w:rsidR="00375729" w:rsidRPr="00855EC7" w:rsidRDefault="00375729" w:rsidP="00A872E5">
            <w:pPr>
              <w:pStyle w:val="Tabletext"/>
            </w:pPr>
            <w:r w:rsidRPr="00855EC7">
              <w:t>F. Wholesale</w:t>
            </w:r>
          </w:p>
        </w:tc>
        <w:tc>
          <w:tcPr>
            <w:tcW w:w="1086" w:type="dxa"/>
            <w:tcBorders>
              <w:left w:val="single" w:sz="4" w:space="0" w:color="auto"/>
            </w:tcBorders>
            <w:shd w:val="clear" w:color="auto" w:fill="auto"/>
            <w:noWrap/>
            <w:vAlign w:val="center"/>
            <w:hideMark/>
          </w:tcPr>
          <w:p w14:paraId="0FD61FAB" w14:textId="77777777" w:rsidR="00375729" w:rsidRPr="00855EC7" w:rsidRDefault="00375729" w:rsidP="00A872E5">
            <w:pPr>
              <w:pStyle w:val="Tabletext"/>
            </w:pPr>
            <w:r w:rsidRPr="00855EC7">
              <w:t>6.59</w:t>
            </w:r>
          </w:p>
        </w:tc>
        <w:tc>
          <w:tcPr>
            <w:tcW w:w="1087" w:type="dxa"/>
            <w:tcBorders>
              <w:top w:val="nil"/>
              <w:bottom w:val="nil"/>
              <w:right w:val="single" w:sz="4" w:space="0" w:color="auto"/>
            </w:tcBorders>
            <w:shd w:val="clear" w:color="auto" w:fill="auto"/>
            <w:noWrap/>
            <w:vAlign w:val="center"/>
            <w:hideMark/>
          </w:tcPr>
          <w:p w14:paraId="24898C1C" w14:textId="77777777" w:rsidR="00375729" w:rsidRPr="00855EC7" w:rsidRDefault="00375729" w:rsidP="00A872E5">
            <w:pPr>
              <w:pStyle w:val="Tabletext"/>
            </w:pPr>
            <w:r w:rsidRPr="00855EC7">
              <w:t>2.19</w:t>
            </w:r>
          </w:p>
        </w:tc>
        <w:tc>
          <w:tcPr>
            <w:tcW w:w="1087" w:type="dxa"/>
            <w:tcBorders>
              <w:top w:val="nil"/>
              <w:left w:val="single" w:sz="4" w:space="0" w:color="auto"/>
              <w:bottom w:val="nil"/>
            </w:tcBorders>
            <w:shd w:val="clear" w:color="auto" w:fill="auto"/>
            <w:noWrap/>
            <w:vAlign w:val="bottom"/>
            <w:hideMark/>
          </w:tcPr>
          <w:p w14:paraId="4BD0CF5C" w14:textId="77777777" w:rsidR="00375729" w:rsidRPr="00855EC7" w:rsidRDefault="00375729" w:rsidP="00A872E5">
            <w:pPr>
              <w:pStyle w:val="Tabletext"/>
            </w:pPr>
            <w:r w:rsidRPr="00855EC7">
              <w:t>4.39</w:t>
            </w:r>
          </w:p>
        </w:tc>
        <w:tc>
          <w:tcPr>
            <w:tcW w:w="1087" w:type="dxa"/>
            <w:tcBorders>
              <w:top w:val="nil"/>
              <w:bottom w:val="nil"/>
              <w:right w:val="single" w:sz="4" w:space="0" w:color="auto"/>
            </w:tcBorders>
            <w:shd w:val="clear" w:color="auto" w:fill="auto"/>
            <w:noWrap/>
            <w:vAlign w:val="bottom"/>
            <w:hideMark/>
          </w:tcPr>
          <w:p w14:paraId="24AFD750" w14:textId="77777777" w:rsidR="00375729" w:rsidRPr="00855EC7" w:rsidRDefault="00375729" w:rsidP="00A872E5">
            <w:pPr>
              <w:pStyle w:val="Tabletext"/>
            </w:pPr>
            <w:r w:rsidRPr="00855EC7">
              <w:t>0.73</w:t>
            </w:r>
          </w:p>
        </w:tc>
        <w:tc>
          <w:tcPr>
            <w:tcW w:w="1087" w:type="dxa"/>
            <w:tcBorders>
              <w:left w:val="single" w:sz="4" w:space="0" w:color="auto"/>
            </w:tcBorders>
            <w:shd w:val="clear" w:color="auto" w:fill="auto"/>
            <w:noWrap/>
            <w:vAlign w:val="bottom"/>
            <w:hideMark/>
          </w:tcPr>
          <w:p w14:paraId="08E3D834" w14:textId="77777777" w:rsidR="00375729" w:rsidRPr="00855EC7" w:rsidRDefault="00375729" w:rsidP="00A872E5">
            <w:pPr>
              <w:pStyle w:val="Tabletext"/>
            </w:pPr>
            <w:r w:rsidRPr="00855EC7">
              <w:t>6.59</w:t>
            </w:r>
          </w:p>
        </w:tc>
        <w:tc>
          <w:tcPr>
            <w:tcW w:w="1087" w:type="dxa"/>
            <w:tcBorders>
              <w:right w:val="nil"/>
            </w:tcBorders>
            <w:shd w:val="clear" w:color="auto" w:fill="auto"/>
            <w:noWrap/>
            <w:vAlign w:val="bottom"/>
            <w:hideMark/>
          </w:tcPr>
          <w:p w14:paraId="27EA08F3" w14:textId="77777777" w:rsidR="00375729" w:rsidRPr="00855EC7" w:rsidRDefault="00375729" w:rsidP="00A872E5">
            <w:pPr>
              <w:pStyle w:val="Tabletext"/>
            </w:pPr>
            <w:r w:rsidRPr="00855EC7">
              <w:t>2.19</w:t>
            </w:r>
          </w:p>
        </w:tc>
      </w:tr>
      <w:tr w:rsidR="00375729" w:rsidRPr="00855EC7" w14:paraId="1D1B867A"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61C2F790" w14:textId="77777777" w:rsidR="00375729" w:rsidRPr="00855EC7" w:rsidRDefault="00375729" w:rsidP="00A872E5">
            <w:pPr>
              <w:pStyle w:val="Tabletext"/>
            </w:pPr>
            <w:r w:rsidRPr="00855EC7">
              <w:t>G. Retail</w:t>
            </w:r>
          </w:p>
        </w:tc>
        <w:tc>
          <w:tcPr>
            <w:tcW w:w="1086" w:type="dxa"/>
            <w:tcBorders>
              <w:left w:val="single" w:sz="4" w:space="0" w:color="auto"/>
            </w:tcBorders>
            <w:shd w:val="clear" w:color="auto" w:fill="auto"/>
            <w:noWrap/>
            <w:vAlign w:val="center"/>
            <w:hideMark/>
          </w:tcPr>
          <w:p w14:paraId="0FA02DBA" w14:textId="77777777" w:rsidR="00375729" w:rsidRPr="00855EC7" w:rsidRDefault="00375729" w:rsidP="00A872E5">
            <w:pPr>
              <w:pStyle w:val="Tabletext"/>
            </w:pPr>
            <w:r w:rsidRPr="00855EC7">
              <w:t>3.08</w:t>
            </w:r>
          </w:p>
        </w:tc>
        <w:tc>
          <w:tcPr>
            <w:tcW w:w="1087" w:type="dxa"/>
            <w:tcBorders>
              <w:top w:val="nil"/>
              <w:bottom w:val="nil"/>
              <w:right w:val="single" w:sz="4" w:space="0" w:color="auto"/>
            </w:tcBorders>
            <w:shd w:val="clear" w:color="auto" w:fill="auto"/>
            <w:noWrap/>
            <w:vAlign w:val="center"/>
            <w:hideMark/>
          </w:tcPr>
          <w:p w14:paraId="0F06E6F4" w14:textId="77777777" w:rsidR="00375729" w:rsidRPr="00855EC7" w:rsidRDefault="00375729" w:rsidP="00A872E5">
            <w:pPr>
              <w:pStyle w:val="Tabletext"/>
            </w:pPr>
            <w:r w:rsidRPr="00855EC7">
              <w:t>2.48</w:t>
            </w:r>
          </w:p>
        </w:tc>
        <w:tc>
          <w:tcPr>
            <w:tcW w:w="1087" w:type="dxa"/>
            <w:tcBorders>
              <w:top w:val="nil"/>
              <w:left w:val="single" w:sz="4" w:space="0" w:color="auto"/>
              <w:bottom w:val="nil"/>
            </w:tcBorders>
            <w:shd w:val="clear" w:color="auto" w:fill="auto"/>
            <w:noWrap/>
            <w:vAlign w:val="bottom"/>
            <w:hideMark/>
          </w:tcPr>
          <w:p w14:paraId="16D6E2D4" w14:textId="77777777" w:rsidR="00375729" w:rsidRPr="00855EC7" w:rsidRDefault="00375729" w:rsidP="00A872E5">
            <w:pPr>
              <w:pStyle w:val="Tabletext"/>
            </w:pPr>
            <w:r w:rsidRPr="00855EC7">
              <w:t>2.14</w:t>
            </w:r>
          </w:p>
        </w:tc>
        <w:tc>
          <w:tcPr>
            <w:tcW w:w="1087" w:type="dxa"/>
            <w:tcBorders>
              <w:top w:val="nil"/>
              <w:bottom w:val="nil"/>
              <w:right w:val="single" w:sz="4" w:space="0" w:color="auto"/>
            </w:tcBorders>
            <w:shd w:val="clear" w:color="auto" w:fill="auto"/>
            <w:noWrap/>
            <w:vAlign w:val="bottom"/>
            <w:hideMark/>
          </w:tcPr>
          <w:p w14:paraId="4CC89DBB" w14:textId="77777777" w:rsidR="00375729" w:rsidRPr="00855EC7" w:rsidRDefault="00375729" w:rsidP="00A872E5">
            <w:pPr>
              <w:pStyle w:val="Tabletext"/>
            </w:pPr>
            <w:r w:rsidRPr="00855EC7">
              <w:t>1.50</w:t>
            </w:r>
          </w:p>
        </w:tc>
        <w:tc>
          <w:tcPr>
            <w:tcW w:w="1087" w:type="dxa"/>
            <w:tcBorders>
              <w:left w:val="single" w:sz="4" w:space="0" w:color="auto"/>
            </w:tcBorders>
            <w:shd w:val="clear" w:color="auto" w:fill="auto"/>
            <w:noWrap/>
            <w:vAlign w:val="bottom"/>
            <w:hideMark/>
          </w:tcPr>
          <w:p w14:paraId="4757EA0C" w14:textId="77777777" w:rsidR="00375729" w:rsidRPr="00855EC7" w:rsidRDefault="00375729" w:rsidP="00A872E5">
            <w:pPr>
              <w:pStyle w:val="Tabletext"/>
            </w:pPr>
            <w:r w:rsidRPr="00855EC7">
              <w:t>3.08</w:t>
            </w:r>
          </w:p>
        </w:tc>
        <w:tc>
          <w:tcPr>
            <w:tcW w:w="1087" w:type="dxa"/>
            <w:tcBorders>
              <w:right w:val="nil"/>
            </w:tcBorders>
            <w:shd w:val="clear" w:color="auto" w:fill="auto"/>
            <w:noWrap/>
            <w:vAlign w:val="bottom"/>
            <w:hideMark/>
          </w:tcPr>
          <w:p w14:paraId="12BAA368" w14:textId="77777777" w:rsidR="00375729" w:rsidRPr="00855EC7" w:rsidRDefault="00375729" w:rsidP="00A872E5">
            <w:pPr>
              <w:pStyle w:val="Tabletext"/>
            </w:pPr>
            <w:r w:rsidRPr="00855EC7">
              <w:t>2.48</w:t>
            </w:r>
          </w:p>
        </w:tc>
      </w:tr>
      <w:tr w:rsidR="00375729" w:rsidRPr="00855EC7" w14:paraId="59E5090B"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4402CAEA" w14:textId="77777777" w:rsidR="00375729" w:rsidRPr="00855EC7" w:rsidRDefault="00375729" w:rsidP="00A872E5">
            <w:pPr>
              <w:pStyle w:val="Tabletext"/>
            </w:pPr>
            <w:r w:rsidRPr="00855EC7">
              <w:t>H. Accom &amp; food</w:t>
            </w:r>
          </w:p>
        </w:tc>
        <w:tc>
          <w:tcPr>
            <w:tcW w:w="1086" w:type="dxa"/>
            <w:tcBorders>
              <w:left w:val="single" w:sz="4" w:space="0" w:color="auto"/>
            </w:tcBorders>
            <w:shd w:val="clear" w:color="auto" w:fill="auto"/>
            <w:noWrap/>
            <w:vAlign w:val="center"/>
            <w:hideMark/>
          </w:tcPr>
          <w:p w14:paraId="3A2F4F9F" w14:textId="77777777" w:rsidR="00375729" w:rsidRPr="00855EC7" w:rsidRDefault="00375729" w:rsidP="00A872E5">
            <w:pPr>
              <w:pStyle w:val="Tabletext"/>
            </w:pPr>
            <w:r w:rsidRPr="00855EC7">
              <w:t>1.85</w:t>
            </w:r>
          </w:p>
        </w:tc>
        <w:tc>
          <w:tcPr>
            <w:tcW w:w="1087" w:type="dxa"/>
            <w:tcBorders>
              <w:top w:val="nil"/>
              <w:bottom w:val="nil"/>
              <w:right w:val="single" w:sz="4" w:space="0" w:color="auto"/>
            </w:tcBorders>
            <w:shd w:val="clear" w:color="auto" w:fill="auto"/>
            <w:noWrap/>
            <w:vAlign w:val="center"/>
            <w:hideMark/>
          </w:tcPr>
          <w:p w14:paraId="440E4DB8" w14:textId="77777777" w:rsidR="00375729" w:rsidRPr="00855EC7" w:rsidRDefault="00375729" w:rsidP="00A872E5">
            <w:pPr>
              <w:pStyle w:val="Tabletext"/>
            </w:pPr>
            <w:r w:rsidRPr="00855EC7">
              <w:t>0.58</w:t>
            </w:r>
          </w:p>
        </w:tc>
        <w:tc>
          <w:tcPr>
            <w:tcW w:w="1087" w:type="dxa"/>
            <w:tcBorders>
              <w:top w:val="nil"/>
              <w:left w:val="single" w:sz="4" w:space="0" w:color="auto"/>
              <w:bottom w:val="nil"/>
            </w:tcBorders>
            <w:shd w:val="clear" w:color="auto" w:fill="auto"/>
            <w:noWrap/>
            <w:vAlign w:val="bottom"/>
            <w:hideMark/>
          </w:tcPr>
          <w:p w14:paraId="73C86634" w14:textId="77777777" w:rsidR="00375729" w:rsidRPr="00855EC7" w:rsidRDefault="00375729" w:rsidP="00A872E5">
            <w:pPr>
              <w:pStyle w:val="Tabletext"/>
            </w:pPr>
            <w:r w:rsidRPr="00855EC7">
              <w:t>1.52</w:t>
            </w:r>
          </w:p>
        </w:tc>
        <w:tc>
          <w:tcPr>
            <w:tcW w:w="1087" w:type="dxa"/>
            <w:tcBorders>
              <w:top w:val="nil"/>
              <w:bottom w:val="nil"/>
              <w:right w:val="single" w:sz="4" w:space="0" w:color="auto"/>
            </w:tcBorders>
            <w:shd w:val="clear" w:color="auto" w:fill="auto"/>
            <w:noWrap/>
            <w:vAlign w:val="bottom"/>
            <w:hideMark/>
          </w:tcPr>
          <w:p w14:paraId="6A05DB57" w14:textId="77777777" w:rsidR="00375729" w:rsidRPr="00855EC7" w:rsidRDefault="00375729" w:rsidP="00A872E5">
            <w:pPr>
              <w:pStyle w:val="Tabletext"/>
            </w:pPr>
            <w:r w:rsidRPr="00855EC7">
              <w:t>0.12</w:t>
            </w:r>
          </w:p>
        </w:tc>
        <w:tc>
          <w:tcPr>
            <w:tcW w:w="1087" w:type="dxa"/>
            <w:tcBorders>
              <w:left w:val="single" w:sz="4" w:space="0" w:color="auto"/>
            </w:tcBorders>
            <w:shd w:val="clear" w:color="auto" w:fill="auto"/>
            <w:noWrap/>
            <w:vAlign w:val="bottom"/>
            <w:hideMark/>
          </w:tcPr>
          <w:p w14:paraId="7DBC7B95" w14:textId="77777777" w:rsidR="00375729" w:rsidRPr="00855EC7" w:rsidRDefault="00375729" w:rsidP="00A872E5">
            <w:pPr>
              <w:pStyle w:val="Tabletext"/>
            </w:pPr>
            <w:r w:rsidRPr="00855EC7">
              <w:t>1.85</w:t>
            </w:r>
          </w:p>
        </w:tc>
        <w:tc>
          <w:tcPr>
            <w:tcW w:w="1087" w:type="dxa"/>
            <w:tcBorders>
              <w:right w:val="nil"/>
            </w:tcBorders>
            <w:shd w:val="clear" w:color="auto" w:fill="auto"/>
            <w:noWrap/>
            <w:vAlign w:val="bottom"/>
            <w:hideMark/>
          </w:tcPr>
          <w:p w14:paraId="42DE014F" w14:textId="77777777" w:rsidR="00375729" w:rsidRPr="00855EC7" w:rsidRDefault="00375729" w:rsidP="00A872E5">
            <w:pPr>
              <w:pStyle w:val="Tabletext"/>
            </w:pPr>
            <w:r w:rsidRPr="00855EC7">
              <w:t>0.58</w:t>
            </w:r>
          </w:p>
        </w:tc>
      </w:tr>
      <w:tr w:rsidR="00375729" w:rsidRPr="00855EC7" w14:paraId="6FB8DC57"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4298C090" w14:textId="77777777" w:rsidR="00375729" w:rsidRPr="00855EC7" w:rsidRDefault="00375729" w:rsidP="00A872E5">
            <w:pPr>
              <w:pStyle w:val="Tabletext"/>
            </w:pPr>
            <w:r w:rsidRPr="00855EC7">
              <w:t>I. Transp, post, warehsg</w:t>
            </w:r>
          </w:p>
        </w:tc>
        <w:tc>
          <w:tcPr>
            <w:tcW w:w="1086" w:type="dxa"/>
            <w:tcBorders>
              <w:left w:val="single" w:sz="4" w:space="0" w:color="auto"/>
            </w:tcBorders>
            <w:shd w:val="clear" w:color="auto" w:fill="auto"/>
            <w:noWrap/>
            <w:vAlign w:val="center"/>
            <w:hideMark/>
          </w:tcPr>
          <w:p w14:paraId="79203EC8" w14:textId="77777777" w:rsidR="00375729" w:rsidRPr="00855EC7" w:rsidRDefault="00375729" w:rsidP="00A872E5">
            <w:pPr>
              <w:pStyle w:val="Tabletext"/>
            </w:pPr>
            <w:r w:rsidRPr="00855EC7">
              <w:t>2.43</w:t>
            </w:r>
          </w:p>
        </w:tc>
        <w:tc>
          <w:tcPr>
            <w:tcW w:w="1087" w:type="dxa"/>
            <w:tcBorders>
              <w:top w:val="nil"/>
              <w:bottom w:val="nil"/>
              <w:right w:val="single" w:sz="4" w:space="0" w:color="auto"/>
            </w:tcBorders>
            <w:shd w:val="clear" w:color="auto" w:fill="auto"/>
            <w:noWrap/>
            <w:vAlign w:val="center"/>
            <w:hideMark/>
          </w:tcPr>
          <w:p w14:paraId="65158321" w14:textId="77777777" w:rsidR="00375729" w:rsidRPr="00855EC7" w:rsidRDefault="00375729" w:rsidP="00A872E5">
            <w:pPr>
              <w:pStyle w:val="Tabletext"/>
            </w:pPr>
            <w:r w:rsidRPr="00855EC7">
              <w:t>1.50</w:t>
            </w:r>
          </w:p>
        </w:tc>
        <w:tc>
          <w:tcPr>
            <w:tcW w:w="1087" w:type="dxa"/>
            <w:tcBorders>
              <w:top w:val="nil"/>
              <w:left w:val="single" w:sz="4" w:space="0" w:color="auto"/>
              <w:bottom w:val="nil"/>
            </w:tcBorders>
            <w:shd w:val="clear" w:color="auto" w:fill="auto"/>
            <w:noWrap/>
            <w:vAlign w:val="bottom"/>
            <w:hideMark/>
          </w:tcPr>
          <w:p w14:paraId="0554683A" w14:textId="77777777" w:rsidR="00375729" w:rsidRPr="00855EC7" w:rsidRDefault="00375729" w:rsidP="00A872E5">
            <w:pPr>
              <w:pStyle w:val="Tabletext"/>
            </w:pPr>
            <w:r w:rsidRPr="00855EC7">
              <w:t>1.98</w:t>
            </w:r>
          </w:p>
        </w:tc>
        <w:tc>
          <w:tcPr>
            <w:tcW w:w="1087" w:type="dxa"/>
            <w:tcBorders>
              <w:top w:val="nil"/>
              <w:bottom w:val="nil"/>
              <w:right w:val="single" w:sz="4" w:space="0" w:color="auto"/>
            </w:tcBorders>
            <w:shd w:val="clear" w:color="auto" w:fill="auto"/>
            <w:noWrap/>
            <w:vAlign w:val="bottom"/>
            <w:hideMark/>
          </w:tcPr>
          <w:p w14:paraId="122F2761" w14:textId="77777777" w:rsidR="00375729" w:rsidRPr="00855EC7" w:rsidRDefault="00375729" w:rsidP="00A872E5">
            <w:pPr>
              <w:pStyle w:val="Tabletext"/>
            </w:pPr>
            <w:r w:rsidRPr="00855EC7">
              <w:t>0.11</w:t>
            </w:r>
          </w:p>
        </w:tc>
        <w:tc>
          <w:tcPr>
            <w:tcW w:w="1087" w:type="dxa"/>
            <w:tcBorders>
              <w:left w:val="single" w:sz="4" w:space="0" w:color="auto"/>
            </w:tcBorders>
            <w:shd w:val="clear" w:color="auto" w:fill="auto"/>
            <w:noWrap/>
            <w:vAlign w:val="bottom"/>
            <w:hideMark/>
          </w:tcPr>
          <w:p w14:paraId="36067175" w14:textId="77777777" w:rsidR="00375729" w:rsidRPr="00855EC7" w:rsidRDefault="00375729" w:rsidP="00A872E5">
            <w:pPr>
              <w:pStyle w:val="Tabletext"/>
            </w:pPr>
            <w:r w:rsidRPr="00855EC7">
              <w:t>2.43</w:t>
            </w:r>
          </w:p>
        </w:tc>
        <w:tc>
          <w:tcPr>
            <w:tcW w:w="1087" w:type="dxa"/>
            <w:tcBorders>
              <w:right w:val="nil"/>
            </w:tcBorders>
            <w:shd w:val="clear" w:color="auto" w:fill="auto"/>
            <w:noWrap/>
            <w:vAlign w:val="bottom"/>
            <w:hideMark/>
          </w:tcPr>
          <w:p w14:paraId="303B5857" w14:textId="77777777" w:rsidR="00375729" w:rsidRPr="00855EC7" w:rsidRDefault="00375729" w:rsidP="00A872E5">
            <w:pPr>
              <w:pStyle w:val="Tabletext"/>
            </w:pPr>
            <w:r w:rsidRPr="00855EC7">
              <w:t>1.50</w:t>
            </w:r>
          </w:p>
        </w:tc>
      </w:tr>
      <w:tr w:rsidR="00375729" w:rsidRPr="00855EC7" w14:paraId="5D9B3D27"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21E9F489" w14:textId="77777777" w:rsidR="00375729" w:rsidRPr="00855EC7" w:rsidRDefault="00375729" w:rsidP="00A872E5">
            <w:pPr>
              <w:pStyle w:val="Tabletext"/>
            </w:pPr>
            <w:r w:rsidRPr="00855EC7">
              <w:t>J. Info, media, telecom</w:t>
            </w:r>
          </w:p>
        </w:tc>
        <w:tc>
          <w:tcPr>
            <w:tcW w:w="1086" w:type="dxa"/>
            <w:tcBorders>
              <w:left w:val="single" w:sz="4" w:space="0" w:color="auto"/>
            </w:tcBorders>
            <w:shd w:val="clear" w:color="auto" w:fill="auto"/>
            <w:noWrap/>
            <w:vAlign w:val="center"/>
            <w:hideMark/>
          </w:tcPr>
          <w:p w14:paraId="2756FA39" w14:textId="77777777" w:rsidR="00375729" w:rsidRPr="00855EC7" w:rsidRDefault="00375729" w:rsidP="00A872E5">
            <w:pPr>
              <w:pStyle w:val="Tabletext"/>
            </w:pPr>
            <w:r w:rsidRPr="00855EC7">
              <w:t>4.06</w:t>
            </w:r>
          </w:p>
        </w:tc>
        <w:tc>
          <w:tcPr>
            <w:tcW w:w="1087" w:type="dxa"/>
            <w:tcBorders>
              <w:top w:val="nil"/>
              <w:bottom w:val="nil"/>
              <w:right w:val="single" w:sz="4" w:space="0" w:color="auto"/>
            </w:tcBorders>
            <w:shd w:val="clear" w:color="auto" w:fill="auto"/>
            <w:noWrap/>
            <w:vAlign w:val="center"/>
            <w:hideMark/>
          </w:tcPr>
          <w:p w14:paraId="4ECA1700" w14:textId="77777777" w:rsidR="00375729" w:rsidRPr="00855EC7" w:rsidRDefault="00375729" w:rsidP="00A872E5">
            <w:pPr>
              <w:pStyle w:val="Tabletext"/>
            </w:pPr>
            <w:r w:rsidRPr="00855EC7">
              <w:t>3.80</w:t>
            </w:r>
          </w:p>
        </w:tc>
        <w:tc>
          <w:tcPr>
            <w:tcW w:w="1087" w:type="dxa"/>
            <w:tcBorders>
              <w:top w:val="nil"/>
              <w:left w:val="single" w:sz="4" w:space="0" w:color="auto"/>
              <w:bottom w:val="nil"/>
            </w:tcBorders>
            <w:shd w:val="clear" w:color="auto" w:fill="auto"/>
            <w:noWrap/>
            <w:vAlign w:val="bottom"/>
            <w:hideMark/>
          </w:tcPr>
          <w:p w14:paraId="39E140FA" w14:textId="77777777" w:rsidR="00375729" w:rsidRPr="00855EC7" w:rsidRDefault="00375729" w:rsidP="00A872E5">
            <w:pPr>
              <w:pStyle w:val="Tabletext"/>
            </w:pPr>
            <w:r w:rsidRPr="00855EC7">
              <w:t>0.88</w:t>
            </w:r>
          </w:p>
        </w:tc>
        <w:tc>
          <w:tcPr>
            <w:tcW w:w="1087" w:type="dxa"/>
            <w:tcBorders>
              <w:top w:val="nil"/>
              <w:bottom w:val="nil"/>
              <w:right w:val="single" w:sz="4" w:space="0" w:color="auto"/>
            </w:tcBorders>
            <w:shd w:val="clear" w:color="auto" w:fill="auto"/>
            <w:noWrap/>
            <w:vAlign w:val="bottom"/>
            <w:hideMark/>
          </w:tcPr>
          <w:p w14:paraId="118698D4" w14:textId="77777777" w:rsidR="00375729" w:rsidRPr="00855EC7" w:rsidRDefault="00375729" w:rsidP="00A872E5">
            <w:pPr>
              <w:pStyle w:val="Tabletext"/>
            </w:pPr>
            <w:r w:rsidRPr="00855EC7">
              <w:t>-0.10</w:t>
            </w:r>
          </w:p>
        </w:tc>
        <w:tc>
          <w:tcPr>
            <w:tcW w:w="1087" w:type="dxa"/>
            <w:tcBorders>
              <w:left w:val="single" w:sz="4" w:space="0" w:color="auto"/>
            </w:tcBorders>
            <w:shd w:val="clear" w:color="auto" w:fill="auto"/>
            <w:noWrap/>
            <w:vAlign w:val="bottom"/>
            <w:hideMark/>
          </w:tcPr>
          <w:p w14:paraId="73A1C6F8" w14:textId="77777777" w:rsidR="00375729" w:rsidRPr="00855EC7" w:rsidRDefault="00375729" w:rsidP="00A872E5">
            <w:pPr>
              <w:pStyle w:val="Tabletext"/>
            </w:pPr>
            <w:r w:rsidRPr="00855EC7">
              <w:t>4.06</w:t>
            </w:r>
          </w:p>
        </w:tc>
        <w:tc>
          <w:tcPr>
            <w:tcW w:w="1087" w:type="dxa"/>
            <w:tcBorders>
              <w:right w:val="nil"/>
            </w:tcBorders>
            <w:shd w:val="clear" w:color="auto" w:fill="auto"/>
            <w:noWrap/>
            <w:vAlign w:val="bottom"/>
            <w:hideMark/>
          </w:tcPr>
          <w:p w14:paraId="205AFCA6" w14:textId="77777777" w:rsidR="00375729" w:rsidRPr="00855EC7" w:rsidRDefault="00375729" w:rsidP="00A872E5">
            <w:pPr>
              <w:pStyle w:val="Tabletext"/>
            </w:pPr>
            <w:r w:rsidRPr="00855EC7">
              <w:t>3.80</w:t>
            </w:r>
          </w:p>
        </w:tc>
      </w:tr>
      <w:tr w:rsidR="00375729" w:rsidRPr="00855EC7" w14:paraId="457EB228"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2785DAA2" w14:textId="77777777" w:rsidR="00375729" w:rsidRPr="00855EC7" w:rsidRDefault="00375729" w:rsidP="00A872E5">
            <w:pPr>
              <w:pStyle w:val="Tabletext"/>
            </w:pPr>
            <w:r w:rsidRPr="00855EC7">
              <w:t>K. Finan &amp; insur</w:t>
            </w:r>
          </w:p>
        </w:tc>
        <w:tc>
          <w:tcPr>
            <w:tcW w:w="1086" w:type="dxa"/>
            <w:tcBorders>
              <w:left w:val="single" w:sz="4" w:space="0" w:color="auto"/>
            </w:tcBorders>
            <w:shd w:val="clear" w:color="auto" w:fill="auto"/>
            <w:noWrap/>
            <w:vAlign w:val="center"/>
            <w:hideMark/>
          </w:tcPr>
          <w:p w14:paraId="55214E0B" w14:textId="77777777" w:rsidR="00375729" w:rsidRPr="00855EC7" w:rsidRDefault="00375729" w:rsidP="00A872E5">
            <w:pPr>
              <w:pStyle w:val="Tabletext"/>
            </w:pPr>
            <w:r w:rsidRPr="00855EC7">
              <w:t>3.79</w:t>
            </w:r>
          </w:p>
        </w:tc>
        <w:tc>
          <w:tcPr>
            <w:tcW w:w="1087" w:type="dxa"/>
            <w:tcBorders>
              <w:top w:val="nil"/>
              <w:bottom w:val="nil"/>
              <w:right w:val="single" w:sz="4" w:space="0" w:color="auto"/>
            </w:tcBorders>
            <w:shd w:val="clear" w:color="auto" w:fill="auto"/>
            <w:noWrap/>
            <w:vAlign w:val="center"/>
            <w:hideMark/>
          </w:tcPr>
          <w:p w14:paraId="79BBE9FD" w14:textId="77777777" w:rsidR="00375729" w:rsidRPr="00855EC7" w:rsidRDefault="00375729" w:rsidP="00A872E5">
            <w:pPr>
              <w:pStyle w:val="Tabletext"/>
            </w:pPr>
            <w:r w:rsidRPr="00855EC7">
              <w:t>2.74</w:t>
            </w:r>
          </w:p>
        </w:tc>
        <w:tc>
          <w:tcPr>
            <w:tcW w:w="1087" w:type="dxa"/>
            <w:tcBorders>
              <w:top w:val="nil"/>
              <w:left w:val="single" w:sz="4" w:space="0" w:color="auto"/>
              <w:bottom w:val="nil"/>
            </w:tcBorders>
            <w:shd w:val="clear" w:color="auto" w:fill="auto"/>
            <w:noWrap/>
            <w:vAlign w:val="bottom"/>
            <w:hideMark/>
          </w:tcPr>
          <w:p w14:paraId="390C81A0" w14:textId="77777777" w:rsidR="00375729" w:rsidRPr="00855EC7" w:rsidRDefault="00375729" w:rsidP="00A872E5">
            <w:pPr>
              <w:pStyle w:val="Tabletext"/>
            </w:pPr>
            <w:r w:rsidRPr="00855EC7">
              <w:t>1.51</w:t>
            </w:r>
          </w:p>
        </w:tc>
        <w:tc>
          <w:tcPr>
            <w:tcW w:w="1087" w:type="dxa"/>
            <w:tcBorders>
              <w:top w:val="nil"/>
              <w:bottom w:val="nil"/>
              <w:right w:val="single" w:sz="4" w:space="0" w:color="auto"/>
            </w:tcBorders>
            <w:shd w:val="clear" w:color="auto" w:fill="auto"/>
            <w:noWrap/>
            <w:vAlign w:val="bottom"/>
            <w:hideMark/>
          </w:tcPr>
          <w:p w14:paraId="2FD5B490" w14:textId="77777777" w:rsidR="00375729" w:rsidRPr="00855EC7" w:rsidRDefault="00375729" w:rsidP="00A872E5">
            <w:pPr>
              <w:pStyle w:val="Tabletext"/>
            </w:pPr>
            <w:r w:rsidRPr="00855EC7">
              <w:t>2.15</w:t>
            </w:r>
          </w:p>
        </w:tc>
        <w:tc>
          <w:tcPr>
            <w:tcW w:w="1087" w:type="dxa"/>
            <w:tcBorders>
              <w:left w:val="single" w:sz="4" w:space="0" w:color="auto"/>
            </w:tcBorders>
            <w:shd w:val="clear" w:color="auto" w:fill="auto"/>
            <w:noWrap/>
            <w:vAlign w:val="bottom"/>
            <w:hideMark/>
          </w:tcPr>
          <w:p w14:paraId="347CBF32" w14:textId="77777777" w:rsidR="00375729" w:rsidRPr="00855EC7" w:rsidRDefault="00375729" w:rsidP="00A872E5">
            <w:pPr>
              <w:pStyle w:val="Tabletext"/>
            </w:pPr>
            <w:r w:rsidRPr="00855EC7">
              <w:t>3.79</w:t>
            </w:r>
          </w:p>
        </w:tc>
        <w:tc>
          <w:tcPr>
            <w:tcW w:w="1087" w:type="dxa"/>
            <w:tcBorders>
              <w:right w:val="nil"/>
            </w:tcBorders>
            <w:shd w:val="clear" w:color="auto" w:fill="auto"/>
            <w:noWrap/>
            <w:vAlign w:val="bottom"/>
            <w:hideMark/>
          </w:tcPr>
          <w:p w14:paraId="30BFB48F" w14:textId="77777777" w:rsidR="00375729" w:rsidRPr="00855EC7" w:rsidRDefault="00375729" w:rsidP="00A872E5">
            <w:pPr>
              <w:pStyle w:val="Tabletext"/>
            </w:pPr>
            <w:r w:rsidRPr="00855EC7">
              <w:t>2.74</w:t>
            </w:r>
          </w:p>
        </w:tc>
      </w:tr>
      <w:tr w:rsidR="00375729" w:rsidRPr="00855EC7" w14:paraId="49B98B5A"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28858B10" w14:textId="77777777" w:rsidR="00375729" w:rsidRPr="00855EC7" w:rsidRDefault="00375729" w:rsidP="00A872E5">
            <w:pPr>
              <w:pStyle w:val="Tabletext"/>
            </w:pPr>
            <w:r w:rsidRPr="00855EC7">
              <w:t>L. Rental, hiring, RE</w:t>
            </w:r>
          </w:p>
        </w:tc>
        <w:tc>
          <w:tcPr>
            <w:tcW w:w="1086" w:type="dxa"/>
            <w:tcBorders>
              <w:left w:val="single" w:sz="4" w:space="0" w:color="auto"/>
            </w:tcBorders>
            <w:shd w:val="clear" w:color="auto" w:fill="auto"/>
            <w:noWrap/>
            <w:vAlign w:val="center"/>
            <w:hideMark/>
          </w:tcPr>
          <w:p w14:paraId="2634B92F" w14:textId="77777777" w:rsidR="00375729" w:rsidRPr="00855EC7" w:rsidRDefault="00375729" w:rsidP="00A872E5">
            <w:pPr>
              <w:pStyle w:val="Tabletext"/>
            </w:pPr>
            <w:r w:rsidRPr="00855EC7">
              <w:t>-0.15</w:t>
            </w:r>
          </w:p>
        </w:tc>
        <w:tc>
          <w:tcPr>
            <w:tcW w:w="1087" w:type="dxa"/>
            <w:tcBorders>
              <w:top w:val="nil"/>
              <w:bottom w:val="nil"/>
              <w:right w:val="single" w:sz="4" w:space="0" w:color="auto"/>
            </w:tcBorders>
            <w:shd w:val="clear" w:color="auto" w:fill="auto"/>
            <w:noWrap/>
            <w:vAlign w:val="center"/>
            <w:hideMark/>
          </w:tcPr>
          <w:p w14:paraId="4FB107C8" w14:textId="77777777" w:rsidR="00375729" w:rsidRPr="00855EC7" w:rsidRDefault="00375729" w:rsidP="00A872E5">
            <w:pPr>
              <w:pStyle w:val="Tabletext"/>
            </w:pPr>
            <w:r w:rsidRPr="00855EC7">
              <w:t>1.25</w:t>
            </w:r>
          </w:p>
        </w:tc>
        <w:tc>
          <w:tcPr>
            <w:tcW w:w="1087" w:type="dxa"/>
            <w:tcBorders>
              <w:top w:val="nil"/>
              <w:left w:val="single" w:sz="4" w:space="0" w:color="auto"/>
              <w:bottom w:val="nil"/>
            </w:tcBorders>
            <w:shd w:val="clear" w:color="auto" w:fill="auto"/>
            <w:noWrap/>
            <w:vAlign w:val="bottom"/>
            <w:hideMark/>
          </w:tcPr>
          <w:p w14:paraId="558456FA" w14:textId="77777777" w:rsidR="00375729" w:rsidRPr="00855EC7" w:rsidRDefault="00375729" w:rsidP="00A872E5">
            <w:pPr>
              <w:pStyle w:val="Tabletext"/>
            </w:pPr>
            <w:r w:rsidRPr="00855EC7">
              <w:t>-3.68</w:t>
            </w:r>
          </w:p>
        </w:tc>
        <w:tc>
          <w:tcPr>
            <w:tcW w:w="1087" w:type="dxa"/>
            <w:tcBorders>
              <w:top w:val="nil"/>
              <w:bottom w:val="nil"/>
              <w:right w:val="single" w:sz="4" w:space="0" w:color="auto"/>
            </w:tcBorders>
            <w:shd w:val="clear" w:color="auto" w:fill="auto"/>
            <w:noWrap/>
            <w:vAlign w:val="bottom"/>
            <w:hideMark/>
          </w:tcPr>
          <w:p w14:paraId="51098E0F" w14:textId="77777777" w:rsidR="00375729" w:rsidRPr="00855EC7" w:rsidRDefault="00375729" w:rsidP="00A872E5">
            <w:pPr>
              <w:pStyle w:val="Tabletext"/>
            </w:pPr>
            <w:r w:rsidRPr="00855EC7">
              <w:t>-1.80</w:t>
            </w:r>
          </w:p>
        </w:tc>
        <w:tc>
          <w:tcPr>
            <w:tcW w:w="1087" w:type="dxa"/>
            <w:tcBorders>
              <w:left w:val="single" w:sz="4" w:space="0" w:color="auto"/>
            </w:tcBorders>
            <w:shd w:val="clear" w:color="auto" w:fill="auto"/>
            <w:noWrap/>
            <w:vAlign w:val="bottom"/>
            <w:hideMark/>
          </w:tcPr>
          <w:p w14:paraId="769BBC19" w14:textId="77777777" w:rsidR="00375729" w:rsidRPr="00855EC7" w:rsidRDefault="00375729" w:rsidP="00A872E5">
            <w:pPr>
              <w:pStyle w:val="Tabletext"/>
            </w:pPr>
            <w:r w:rsidRPr="00855EC7">
              <w:t>-0.15</w:t>
            </w:r>
          </w:p>
        </w:tc>
        <w:tc>
          <w:tcPr>
            <w:tcW w:w="1087" w:type="dxa"/>
            <w:tcBorders>
              <w:right w:val="nil"/>
            </w:tcBorders>
            <w:shd w:val="clear" w:color="auto" w:fill="auto"/>
            <w:noWrap/>
            <w:vAlign w:val="bottom"/>
            <w:hideMark/>
          </w:tcPr>
          <w:p w14:paraId="4F8C0570" w14:textId="77777777" w:rsidR="00375729" w:rsidRPr="00855EC7" w:rsidRDefault="00375729" w:rsidP="00A872E5">
            <w:pPr>
              <w:pStyle w:val="Tabletext"/>
            </w:pPr>
            <w:r w:rsidRPr="00855EC7">
              <w:t>1.25</w:t>
            </w:r>
          </w:p>
        </w:tc>
      </w:tr>
      <w:tr w:rsidR="00375729" w:rsidRPr="00855EC7" w14:paraId="5A84C242"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6E23EA96" w14:textId="77777777" w:rsidR="00375729" w:rsidRPr="00855EC7" w:rsidRDefault="00375729" w:rsidP="00A872E5">
            <w:pPr>
              <w:pStyle w:val="Tabletext"/>
            </w:pPr>
            <w:r w:rsidRPr="00855EC7">
              <w:t>M. Prof, scien, tech</w:t>
            </w:r>
          </w:p>
        </w:tc>
        <w:tc>
          <w:tcPr>
            <w:tcW w:w="1086" w:type="dxa"/>
            <w:tcBorders>
              <w:left w:val="single" w:sz="4" w:space="0" w:color="auto"/>
            </w:tcBorders>
            <w:shd w:val="clear" w:color="auto" w:fill="auto"/>
            <w:noWrap/>
            <w:vAlign w:val="center"/>
            <w:hideMark/>
          </w:tcPr>
          <w:p w14:paraId="72EB7619" w14:textId="77777777" w:rsidR="00375729" w:rsidRPr="00855EC7" w:rsidRDefault="00375729" w:rsidP="00A872E5">
            <w:pPr>
              <w:pStyle w:val="Tabletext"/>
            </w:pPr>
            <w:r w:rsidRPr="00855EC7">
              <w:t>2.20</w:t>
            </w:r>
          </w:p>
        </w:tc>
        <w:tc>
          <w:tcPr>
            <w:tcW w:w="1087" w:type="dxa"/>
            <w:tcBorders>
              <w:top w:val="nil"/>
              <w:bottom w:val="nil"/>
              <w:right w:val="single" w:sz="4" w:space="0" w:color="auto"/>
            </w:tcBorders>
            <w:shd w:val="clear" w:color="auto" w:fill="auto"/>
            <w:noWrap/>
            <w:vAlign w:val="center"/>
            <w:hideMark/>
          </w:tcPr>
          <w:p w14:paraId="4E1E95CA" w14:textId="77777777" w:rsidR="00375729" w:rsidRPr="00855EC7" w:rsidRDefault="00375729" w:rsidP="00A872E5">
            <w:pPr>
              <w:pStyle w:val="Tabletext"/>
            </w:pPr>
            <w:r w:rsidRPr="00855EC7">
              <w:t>0.21</w:t>
            </w:r>
          </w:p>
        </w:tc>
        <w:tc>
          <w:tcPr>
            <w:tcW w:w="1087" w:type="dxa"/>
            <w:tcBorders>
              <w:top w:val="nil"/>
              <w:left w:val="single" w:sz="4" w:space="0" w:color="auto"/>
              <w:bottom w:val="nil"/>
            </w:tcBorders>
            <w:shd w:val="clear" w:color="auto" w:fill="auto"/>
            <w:noWrap/>
            <w:vAlign w:val="bottom"/>
            <w:hideMark/>
          </w:tcPr>
          <w:p w14:paraId="06655834" w14:textId="77777777" w:rsidR="00375729" w:rsidRPr="00855EC7" w:rsidRDefault="00375729" w:rsidP="00A872E5">
            <w:pPr>
              <w:pStyle w:val="Tabletext"/>
            </w:pPr>
            <w:r w:rsidRPr="00855EC7">
              <w:t>1.59</w:t>
            </w:r>
          </w:p>
        </w:tc>
        <w:tc>
          <w:tcPr>
            <w:tcW w:w="1087" w:type="dxa"/>
            <w:tcBorders>
              <w:top w:val="nil"/>
              <w:bottom w:val="nil"/>
              <w:right w:val="single" w:sz="4" w:space="0" w:color="auto"/>
            </w:tcBorders>
            <w:shd w:val="clear" w:color="auto" w:fill="auto"/>
            <w:noWrap/>
            <w:vAlign w:val="bottom"/>
            <w:hideMark/>
          </w:tcPr>
          <w:p w14:paraId="78F572FE" w14:textId="77777777" w:rsidR="00375729" w:rsidRPr="00855EC7" w:rsidRDefault="00375729" w:rsidP="00A872E5">
            <w:pPr>
              <w:pStyle w:val="Tabletext"/>
            </w:pPr>
            <w:r w:rsidRPr="00855EC7">
              <w:t>-0.40</w:t>
            </w:r>
          </w:p>
        </w:tc>
        <w:tc>
          <w:tcPr>
            <w:tcW w:w="1087" w:type="dxa"/>
            <w:tcBorders>
              <w:left w:val="single" w:sz="4" w:space="0" w:color="auto"/>
            </w:tcBorders>
            <w:shd w:val="clear" w:color="auto" w:fill="auto"/>
            <w:noWrap/>
            <w:vAlign w:val="bottom"/>
            <w:hideMark/>
          </w:tcPr>
          <w:p w14:paraId="7B496BA3" w14:textId="77777777" w:rsidR="00375729" w:rsidRPr="00855EC7" w:rsidRDefault="00375729" w:rsidP="00A872E5">
            <w:pPr>
              <w:pStyle w:val="Tabletext"/>
            </w:pPr>
            <w:r w:rsidRPr="00855EC7">
              <w:t>2.20</w:t>
            </w:r>
          </w:p>
        </w:tc>
        <w:tc>
          <w:tcPr>
            <w:tcW w:w="1087" w:type="dxa"/>
            <w:tcBorders>
              <w:right w:val="nil"/>
            </w:tcBorders>
            <w:shd w:val="clear" w:color="auto" w:fill="auto"/>
            <w:noWrap/>
            <w:vAlign w:val="bottom"/>
            <w:hideMark/>
          </w:tcPr>
          <w:p w14:paraId="4AB345AC" w14:textId="77777777" w:rsidR="00375729" w:rsidRPr="00855EC7" w:rsidRDefault="00375729" w:rsidP="00A872E5">
            <w:pPr>
              <w:pStyle w:val="Tabletext"/>
            </w:pPr>
            <w:r w:rsidRPr="00855EC7">
              <w:t>0.21</w:t>
            </w:r>
          </w:p>
        </w:tc>
      </w:tr>
      <w:tr w:rsidR="00375729" w:rsidRPr="00855EC7" w14:paraId="05FA2FF0"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321D3199" w14:textId="77777777" w:rsidR="00375729" w:rsidRPr="00855EC7" w:rsidRDefault="00375729" w:rsidP="00A872E5">
            <w:pPr>
              <w:pStyle w:val="Tabletext"/>
            </w:pPr>
            <w:r w:rsidRPr="00855EC7">
              <w:t>N. Admin support</w:t>
            </w:r>
          </w:p>
        </w:tc>
        <w:tc>
          <w:tcPr>
            <w:tcW w:w="1086" w:type="dxa"/>
            <w:tcBorders>
              <w:left w:val="single" w:sz="4" w:space="0" w:color="auto"/>
            </w:tcBorders>
            <w:shd w:val="clear" w:color="auto" w:fill="auto"/>
            <w:noWrap/>
            <w:vAlign w:val="center"/>
            <w:hideMark/>
          </w:tcPr>
          <w:p w14:paraId="25048955" w14:textId="77777777" w:rsidR="00375729" w:rsidRPr="00855EC7" w:rsidRDefault="00375729" w:rsidP="00A872E5">
            <w:pPr>
              <w:pStyle w:val="Tabletext"/>
            </w:pPr>
            <w:r w:rsidRPr="00855EC7">
              <w:t>0.52</w:t>
            </w:r>
          </w:p>
        </w:tc>
        <w:tc>
          <w:tcPr>
            <w:tcW w:w="1087" w:type="dxa"/>
            <w:tcBorders>
              <w:top w:val="nil"/>
              <w:bottom w:val="nil"/>
              <w:right w:val="single" w:sz="4" w:space="0" w:color="auto"/>
            </w:tcBorders>
            <w:shd w:val="clear" w:color="auto" w:fill="auto"/>
            <w:noWrap/>
            <w:vAlign w:val="center"/>
            <w:hideMark/>
          </w:tcPr>
          <w:p w14:paraId="3A15580C" w14:textId="77777777" w:rsidR="00375729" w:rsidRPr="00855EC7" w:rsidRDefault="00375729" w:rsidP="00A872E5">
            <w:pPr>
              <w:pStyle w:val="Tabletext"/>
            </w:pPr>
            <w:r w:rsidRPr="00855EC7">
              <w:t>0.48</w:t>
            </w:r>
          </w:p>
        </w:tc>
        <w:tc>
          <w:tcPr>
            <w:tcW w:w="1087" w:type="dxa"/>
            <w:tcBorders>
              <w:top w:val="nil"/>
              <w:left w:val="single" w:sz="4" w:space="0" w:color="auto"/>
              <w:bottom w:val="nil"/>
            </w:tcBorders>
            <w:shd w:val="clear" w:color="auto" w:fill="auto"/>
            <w:noWrap/>
            <w:vAlign w:val="bottom"/>
            <w:hideMark/>
          </w:tcPr>
          <w:p w14:paraId="5FDF99DA" w14:textId="77777777" w:rsidR="00375729" w:rsidRPr="00855EC7" w:rsidRDefault="00375729" w:rsidP="00A872E5">
            <w:pPr>
              <w:pStyle w:val="Tabletext"/>
            </w:pPr>
            <w:r w:rsidRPr="00855EC7">
              <w:t>-0.02</w:t>
            </w:r>
          </w:p>
        </w:tc>
        <w:tc>
          <w:tcPr>
            <w:tcW w:w="1087" w:type="dxa"/>
            <w:tcBorders>
              <w:top w:val="nil"/>
              <w:bottom w:val="nil"/>
              <w:right w:val="single" w:sz="4" w:space="0" w:color="auto"/>
            </w:tcBorders>
            <w:shd w:val="clear" w:color="auto" w:fill="auto"/>
            <w:noWrap/>
            <w:vAlign w:val="bottom"/>
            <w:hideMark/>
          </w:tcPr>
          <w:p w14:paraId="201E23B4" w14:textId="77777777" w:rsidR="00375729" w:rsidRPr="00855EC7" w:rsidRDefault="00375729" w:rsidP="00A872E5">
            <w:pPr>
              <w:pStyle w:val="Tabletext"/>
            </w:pPr>
            <w:r w:rsidRPr="00855EC7">
              <w:t>0.12</w:t>
            </w:r>
          </w:p>
        </w:tc>
        <w:tc>
          <w:tcPr>
            <w:tcW w:w="1087" w:type="dxa"/>
            <w:tcBorders>
              <w:left w:val="single" w:sz="4" w:space="0" w:color="auto"/>
            </w:tcBorders>
            <w:shd w:val="clear" w:color="auto" w:fill="auto"/>
            <w:noWrap/>
            <w:vAlign w:val="bottom"/>
            <w:hideMark/>
          </w:tcPr>
          <w:p w14:paraId="3F4C6C42" w14:textId="77777777" w:rsidR="00375729" w:rsidRPr="00855EC7" w:rsidRDefault="00375729" w:rsidP="00A872E5">
            <w:pPr>
              <w:pStyle w:val="Tabletext"/>
            </w:pPr>
            <w:r w:rsidRPr="00855EC7">
              <w:t>0.52</w:t>
            </w:r>
          </w:p>
        </w:tc>
        <w:tc>
          <w:tcPr>
            <w:tcW w:w="1087" w:type="dxa"/>
            <w:tcBorders>
              <w:right w:val="nil"/>
            </w:tcBorders>
            <w:shd w:val="clear" w:color="auto" w:fill="auto"/>
            <w:noWrap/>
            <w:vAlign w:val="bottom"/>
            <w:hideMark/>
          </w:tcPr>
          <w:p w14:paraId="71E1FED5" w14:textId="77777777" w:rsidR="00375729" w:rsidRPr="00855EC7" w:rsidRDefault="00375729" w:rsidP="00A872E5">
            <w:pPr>
              <w:pStyle w:val="Tabletext"/>
            </w:pPr>
            <w:r w:rsidRPr="00855EC7">
              <w:t>0.48</w:t>
            </w:r>
          </w:p>
        </w:tc>
      </w:tr>
      <w:tr w:rsidR="00375729" w:rsidRPr="00855EC7" w14:paraId="451A9881"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6A0DB5B8" w14:textId="77777777" w:rsidR="00375729" w:rsidRPr="00855EC7" w:rsidRDefault="00375729" w:rsidP="00A872E5">
            <w:pPr>
              <w:pStyle w:val="Tabletext"/>
            </w:pPr>
            <w:r w:rsidRPr="00855EC7">
              <w:t>O. Public admin</w:t>
            </w:r>
          </w:p>
        </w:tc>
        <w:tc>
          <w:tcPr>
            <w:tcW w:w="1086" w:type="dxa"/>
            <w:tcBorders>
              <w:left w:val="single" w:sz="4" w:space="0" w:color="auto"/>
            </w:tcBorders>
            <w:shd w:val="clear" w:color="auto" w:fill="auto"/>
            <w:noWrap/>
            <w:vAlign w:val="center"/>
            <w:hideMark/>
          </w:tcPr>
          <w:p w14:paraId="2B014224" w14:textId="77777777" w:rsidR="00375729" w:rsidRPr="00855EC7" w:rsidRDefault="00375729" w:rsidP="00A872E5">
            <w:pPr>
              <w:pStyle w:val="Tabletext"/>
            </w:pPr>
            <w:r w:rsidRPr="00855EC7">
              <w:t>n.a.</w:t>
            </w:r>
          </w:p>
        </w:tc>
        <w:tc>
          <w:tcPr>
            <w:tcW w:w="1087" w:type="dxa"/>
            <w:tcBorders>
              <w:top w:val="nil"/>
              <w:bottom w:val="nil"/>
              <w:right w:val="single" w:sz="4" w:space="0" w:color="auto"/>
            </w:tcBorders>
            <w:shd w:val="clear" w:color="auto" w:fill="auto"/>
            <w:noWrap/>
            <w:vAlign w:val="center"/>
            <w:hideMark/>
          </w:tcPr>
          <w:p w14:paraId="6A5320F0" w14:textId="77777777" w:rsidR="00375729" w:rsidRPr="00855EC7" w:rsidRDefault="00375729" w:rsidP="00A872E5">
            <w:pPr>
              <w:pStyle w:val="Tabletext"/>
            </w:pPr>
            <w:r w:rsidRPr="00855EC7">
              <w:t>n.a.</w:t>
            </w:r>
          </w:p>
        </w:tc>
        <w:tc>
          <w:tcPr>
            <w:tcW w:w="1087" w:type="dxa"/>
            <w:tcBorders>
              <w:top w:val="nil"/>
              <w:left w:val="single" w:sz="4" w:space="0" w:color="auto"/>
              <w:bottom w:val="nil"/>
            </w:tcBorders>
            <w:shd w:val="clear" w:color="auto" w:fill="auto"/>
            <w:noWrap/>
            <w:vAlign w:val="bottom"/>
            <w:hideMark/>
          </w:tcPr>
          <w:p w14:paraId="12238A6E" w14:textId="77777777" w:rsidR="00375729" w:rsidRPr="00855EC7" w:rsidRDefault="00375729" w:rsidP="00A872E5">
            <w:pPr>
              <w:pStyle w:val="Tabletext"/>
            </w:pPr>
            <w:r w:rsidRPr="00855EC7">
              <w:t>n.a.</w:t>
            </w:r>
          </w:p>
        </w:tc>
        <w:tc>
          <w:tcPr>
            <w:tcW w:w="1087" w:type="dxa"/>
            <w:tcBorders>
              <w:top w:val="nil"/>
              <w:bottom w:val="nil"/>
              <w:right w:val="single" w:sz="4" w:space="0" w:color="auto"/>
            </w:tcBorders>
            <w:shd w:val="clear" w:color="auto" w:fill="auto"/>
            <w:noWrap/>
            <w:vAlign w:val="bottom"/>
            <w:hideMark/>
          </w:tcPr>
          <w:p w14:paraId="78825F5F" w14:textId="77777777" w:rsidR="00375729" w:rsidRPr="00855EC7" w:rsidRDefault="00375729" w:rsidP="00A872E5">
            <w:pPr>
              <w:pStyle w:val="Tabletext"/>
            </w:pPr>
            <w:r w:rsidRPr="00855EC7">
              <w:t>n.a.</w:t>
            </w:r>
          </w:p>
        </w:tc>
        <w:tc>
          <w:tcPr>
            <w:tcW w:w="1087" w:type="dxa"/>
            <w:tcBorders>
              <w:left w:val="single" w:sz="4" w:space="0" w:color="auto"/>
            </w:tcBorders>
            <w:shd w:val="clear" w:color="auto" w:fill="auto"/>
            <w:noWrap/>
            <w:vAlign w:val="bottom"/>
            <w:hideMark/>
          </w:tcPr>
          <w:p w14:paraId="3C91AF4E" w14:textId="77777777" w:rsidR="00375729" w:rsidRPr="00855EC7" w:rsidRDefault="00375729" w:rsidP="00A872E5">
            <w:pPr>
              <w:pStyle w:val="Tabletext"/>
            </w:pPr>
            <w:r w:rsidRPr="00855EC7">
              <w:t>n.a.</w:t>
            </w:r>
          </w:p>
        </w:tc>
        <w:tc>
          <w:tcPr>
            <w:tcW w:w="1087" w:type="dxa"/>
            <w:tcBorders>
              <w:right w:val="nil"/>
            </w:tcBorders>
            <w:shd w:val="clear" w:color="auto" w:fill="auto"/>
            <w:noWrap/>
            <w:vAlign w:val="bottom"/>
            <w:hideMark/>
          </w:tcPr>
          <w:p w14:paraId="3BFF1D7A" w14:textId="77777777" w:rsidR="00375729" w:rsidRPr="00855EC7" w:rsidRDefault="00375729" w:rsidP="00A872E5">
            <w:pPr>
              <w:pStyle w:val="Tabletext"/>
            </w:pPr>
            <w:r w:rsidRPr="00855EC7">
              <w:t>n.a.</w:t>
            </w:r>
          </w:p>
        </w:tc>
      </w:tr>
      <w:tr w:rsidR="00375729" w:rsidRPr="00855EC7" w14:paraId="2A207DA0"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285955C5" w14:textId="77777777" w:rsidR="00375729" w:rsidRPr="00855EC7" w:rsidRDefault="00375729" w:rsidP="00A872E5">
            <w:pPr>
              <w:pStyle w:val="Tabletext"/>
            </w:pPr>
            <w:r w:rsidRPr="00855EC7">
              <w:t>P. Educ &amp; train</w:t>
            </w:r>
          </w:p>
        </w:tc>
        <w:tc>
          <w:tcPr>
            <w:tcW w:w="1086" w:type="dxa"/>
            <w:tcBorders>
              <w:left w:val="single" w:sz="4" w:space="0" w:color="auto"/>
            </w:tcBorders>
            <w:shd w:val="clear" w:color="auto" w:fill="auto"/>
            <w:noWrap/>
            <w:vAlign w:val="center"/>
            <w:hideMark/>
          </w:tcPr>
          <w:p w14:paraId="063C364B" w14:textId="77777777" w:rsidR="00375729" w:rsidRPr="00855EC7" w:rsidRDefault="00375729" w:rsidP="00A872E5">
            <w:pPr>
              <w:pStyle w:val="Tabletext"/>
            </w:pPr>
            <w:r w:rsidRPr="00855EC7">
              <w:t>n.a.</w:t>
            </w:r>
          </w:p>
        </w:tc>
        <w:tc>
          <w:tcPr>
            <w:tcW w:w="1087" w:type="dxa"/>
            <w:tcBorders>
              <w:top w:val="nil"/>
              <w:bottom w:val="nil"/>
              <w:right w:val="single" w:sz="4" w:space="0" w:color="auto"/>
            </w:tcBorders>
            <w:shd w:val="clear" w:color="auto" w:fill="auto"/>
            <w:noWrap/>
            <w:vAlign w:val="center"/>
            <w:hideMark/>
          </w:tcPr>
          <w:p w14:paraId="4EFB98E9" w14:textId="77777777" w:rsidR="00375729" w:rsidRPr="00855EC7" w:rsidRDefault="00375729" w:rsidP="00A872E5">
            <w:pPr>
              <w:pStyle w:val="Tabletext"/>
            </w:pPr>
            <w:r w:rsidRPr="00855EC7">
              <w:t>n.a.</w:t>
            </w:r>
          </w:p>
        </w:tc>
        <w:tc>
          <w:tcPr>
            <w:tcW w:w="1087" w:type="dxa"/>
            <w:tcBorders>
              <w:top w:val="nil"/>
              <w:left w:val="single" w:sz="4" w:space="0" w:color="auto"/>
              <w:bottom w:val="nil"/>
            </w:tcBorders>
            <w:shd w:val="clear" w:color="auto" w:fill="auto"/>
            <w:noWrap/>
            <w:vAlign w:val="bottom"/>
            <w:hideMark/>
          </w:tcPr>
          <w:p w14:paraId="25260F4B" w14:textId="77777777" w:rsidR="00375729" w:rsidRPr="00855EC7" w:rsidRDefault="00375729" w:rsidP="00A872E5">
            <w:pPr>
              <w:pStyle w:val="Tabletext"/>
            </w:pPr>
            <w:r w:rsidRPr="00855EC7">
              <w:t>n.a.</w:t>
            </w:r>
          </w:p>
        </w:tc>
        <w:tc>
          <w:tcPr>
            <w:tcW w:w="1087" w:type="dxa"/>
            <w:tcBorders>
              <w:top w:val="nil"/>
              <w:bottom w:val="nil"/>
              <w:right w:val="single" w:sz="4" w:space="0" w:color="auto"/>
            </w:tcBorders>
            <w:shd w:val="clear" w:color="auto" w:fill="auto"/>
            <w:noWrap/>
            <w:vAlign w:val="bottom"/>
            <w:hideMark/>
          </w:tcPr>
          <w:p w14:paraId="40257242" w14:textId="77777777" w:rsidR="00375729" w:rsidRPr="00855EC7" w:rsidRDefault="00375729" w:rsidP="00A872E5">
            <w:pPr>
              <w:pStyle w:val="Tabletext"/>
            </w:pPr>
            <w:r w:rsidRPr="00855EC7">
              <w:t>n.a.</w:t>
            </w:r>
          </w:p>
        </w:tc>
        <w:tc>
          <w:tcPr>
            <w:tcW w:w="1087" w:type="dxa"/>
            <w:tcBorders>
              <w:left w:val="single" w:sz="4" w:space="0" w:color="auto"/>
            </w:tcBorders>
            <w:shd w:val="clear" w:color="auto" w:fill="auto"/>
            <w:noWrap/>
            <w:vAlign w:val="bottom"/>
            <w:hideMark/>
          </w:tcPr>
          <w:p w14:paraId="779D28C9" w14:textId="77777777" w:rsidR="00375729" w:rsidRPr="00855EC7" w:rsidRDefault="00375729" w:rsidP="00A872E5">
            <w:pPr>
              <w:pStyle w:val="Tabletext"/>
            </w:pPr>
            <w:r w:rsidRPr="00855EC7">
              <w:t>n.a.</w:t>
            </w:r>
          </w:p>
        </w:tc>
        <w:tc>
          <w:tcPr>
            <w:tcW w:w="1087" w:type="dxa"/>
            <w:tcBorders>
              <w:right w:val="nil"/>
            </w:tcBorders>
            <w:shd w:val="clear" w:color="auto" w:fill="auto"/>
            <w:noWrap/>
            <w:vAlign w:val="bottom"/>
            <w:hideMark/>
          </w:tcPr>
          <w:p w14:paraId="6332ACEA" w14:textId="77777777" w:rsidR="00375729" w:rsidRPr="00855EC7" w:rsidRDefault="00375729" w:rsidP="00A872E5">
            <w:pPr>
              <w:pStyle w:val="Tabletext"/>
            </w:pPr>
            <w:r w:rsidRPr="00855EC7">
              <w:t>n.a.</w:t>
            </w:r>
          </w:p>
        </w:tc>
      </w:tr>
      <w:tr w:rsidR="00375729" w:rsidRPr="00855EC7" w14:paraId="39F46D70"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3B803D30" w14:textId="77777777" w:rsidR="00375729" w:rsidRPr="00855EC7" w:rsidRDefault="00375729" w:rsidP="00A872E5">
            <w:pPr>
              <w:pStyle w:val="Tabletext"/>
            </w:pPr>
            <w:r w:rsidRPr="00855EC7">
              <w:t>Q. Health &amp; social</w:t>
            </w:r>
          </w:p>
        </w:tc>
        <w:tc>
          <w:tcPr>
            <w:tcW w:w="1086" w:type="dxa"/>
            <w:tcBorders>
              <w:left w:val="single" w:sz="4" w:space="0" w:color="auto"/>
            </w:tcBorders>
            <w:shd w:val="clear" w:color="auto" w:fill="auto"/>
            <w:noWrap/>
            <w:vAlign w:val="center"/>
            <w:hideMark/>
          </w:tcPr>
          <w:p w14:paraId="41B84104" w14:textId="77777777" w:rsidR="00375729" w:rsidRPr="00855EC7" w:rsidRDefault="00375729" w:rsidP="00A872E5">
            <w:pPr>
              <w:pStyle w:val="Tabletext"/>
            </w:pPr>
            <w:r w:rsidRPr="00855EC7">
              <w:t>n.a.</w:t>
            </w:r>
          </w:p>
        </w:tc>
        <w:tc>
          <w:tcPr>
            <w:tcW w:w="1087" w:type="dxa"/>
            <w:tcBorders>
              <w:top w:val="nil"/>
              <w:bottom w:val="nil"/>
              <w:right w:val="single" w:sz="4" w:space="0" w:color="auto"/>
            </w:tcBorders>
            <w:shd w:val="clear" w:color="auto" w:fill="auto"/>
            <w:noWrap/>
            <w:vAlign w:val="center"/>
            <w:hideMark/>
          </w:tcPr>
          <w:p w14:paraId="54A3037A" w14:textId="77777777" w:rsidR="00375729" w:rsidRPr="00855EC7" w:rsidRDefault="00375729" w:rsidP="00A872E5">
            <w:pPr>
              <w:pStyle w:val="Tabletext"/>
            </w:pPr>
            <w:r w:rsidRPr="00855EC7">
              <w:t>n.a.</w:t>
            </w:r>
          </w:p>
        </w:tc>
        <w:tc>
          <w:tcPr>
            <w:tcW w:w="1087" w:type="dxa"/>
            <w:tcBorders>
              <w:top w:val="nil"/>
              <w:left w:val="single" w:sz="4" w:space="0" w:color="auto"/>
              <w:bottom w:val="nil"/>
            </w:tcBorders>
            <w:shd w:val="clear" w:color="auto" w:fill="auto"/>
            <w:noWrap/>
            <w:vAlign w:val="bottom"/>
            <w:hideMark/>
          </w:tcPr>
          <w:p w14:paraId="0CC95509" w14:textId="77777777" w:rsidR="00375729" w:rsidRPr="00855EC7" w:rsidRDefault="00375729" w:rsidP="00A872E5">
            <w:pPr>
              <w:pStyle w:val="Tabletext"/>
            </w:pPr>
            <w:r w:rsidRPr="00855EC7">
              <w:t>n.a.</w:t>
            </w:r>
          </w:p>
        </w:tc>
        <w:tc>
          <w:tcPr>
            <w:tcW w:w="1087" w:type="dxa"/>
            <w:tcBorders>
              <w:top w:val="nil"/>
              <w:bottom w:val="nil"/>
              <w:right w:val="single" w:sz="4" w:space="0" w:color="auto"/>
            </w:tcBorders>
            <w:shd w:val="clear" w:color="auto" w:fill="auto"/>
            <w:noWrap/>
            <w:vAlign w:val="bottom"/>
            <w:hideMark/>
          </w:tcPr>
          <w:p w14:paraId="22CFFB76" w14:textId="77777777" w:rsidR="00375729" w:rsidRPr="00855EC7" w:rsidRDefault="00375729" w:rsidP="00A872E5">
            <w:pPr>
              <w:pStyle w:val="Tabletext"/>
            </w:pPr>
            <w:r w:rsidRPr="00855EC7">
              <w:t>n.a.</w:t>
            </w:r>
          </w:p>
        </w:tc>
        <w:tc>
          <w:tcPr>
            <w:tcW w:w="1087" w:type="dxa"/>
            <w:tcBorders>
              <w:left w:val="single" w:sz="4" w:space="0" w:color="auto"/>
            </w:tcBorders>
            <w:shd w:val="clear" w:color="auto" w:fill="auto"/>
            <w:noWrap/>
            <w:vAlign w:val="bottom"/>
            <w:hideMark/>
          </w:tcPr>
          <w:p w14:paraId="1FEE9265" w14:textId="77777777" w:rsidR="00375729" w:rsidRPr="00855EC7" w:rsidRDefault="00375729" w:rsidP="00A872E5">
            <w:pPr>
              <w:pStyle w:val="Tabletext"/>
            </w:pPr>
            <w:r w:rsidRPr="00855EC7">
              <w:t>n.a.</w:t>
            </w:r>
          </w:p>
        </w:tc>
        <w:tc>
          <w:tcPr>
            <w:tcW w:w="1087" w:type="dxa"/>
            <w:tcBorders>
              <w:right w:val="nil"/>
            </w:tcBorders>
            <w:shd w:val="clear" w:color="auto" w:fill="auto"/>
            <w:noWrap/>
            <w:vAlign w:val="bottom"/>
            <w:hideMark/>
          </w:tcPr>
          <w:p w14:paraId="1E72ECD5" w14:textId="77777777" w:rsidR="00375729" w:rsidRPr="00855EC7" w:rsidRDefault="00375729" w:rsidP="00A872E5">
            <w:pPr>
              <w:pStyle w:val="Tabletext"/>
            </w:pPr>
            <w:r w:rsidRPr="00855EC7">
              <w:t>n.a.</w:t>
            </w:r>
          </w:p>
        </w:tc>
      </w:tr>
      <w:tr w:rsidR="00375729" w:rsidRPr="00855EC7" w14:paraId="792EFACF" w14:textId="77777777" w:rsidTr="00301886">
        <w:trPr>
          <w:trHeight w:val="300"/>
        </w:trPr>
        <w:tc>
          <w:tcPr>
            <w:tcW w:w="2405" w:type="dxa"/>
            <w:tcBorders>
              <w:top w:val="nil"/>
              <w:left w:val="nil"/>
              <w:bottom w:val="nil"/>
              <w:right w:val="single" w:sz="4" w:space="0" w:color="auto"/>
            </w:tcBorders>
            <w:shd w:val="clear" w:color="auto" w:fill="auto"/>
            <w:noWrap/>
            <w:vAlign w:val="bottom"/>
            <w:hideMark/>
          </w:tcPr>
          <w:p w14:paraId="71173528" w14:textId="77777777" w:rsidR="00375729" w:rsidRPr="00855EC7" w:rsidRDefault="00375729" w:rsidP="00A872E5">
            <w:pPr>
              <w:pStyle w:val="Tabletext"/>
            </w:pPr>
            <w:r w:rsidRPr="00855EC7">
              <w:t>R. Arts &amp; rec</w:t>
            </w:r>
          </w:p>
        </w:tc>
        <w:tc>
          <w:tcPr>
            <w:tcW w:w="1086" w:type="dxa"/>
            <w:tcBorders>
              <w:left w:val="single" w:sz="4" w:space="0" w:color="auto"/>
              <w:bottom w:val="nil"/>
            </w:tcBorders>
            <w:shd w:val="clear" w:color="auto" w:fill="auto"/>
            <w:noWrap/>
            <w:vAlign w:val="center"/>
            <w:hideMark/>
          </w:tcPr>
          <w:p w14:paraId="225F26B6" w14:textId="77777777" w:rsidR="00375729" w:rsidRPr="00855EC7" w:rsidRDefault="00375729" w:rsidP="00A872E5">
            <w:pPr>
              <w:pStyle w:val="Tabletext"/>
            </w:pPr>
            <w:r w:rsidRPr="00855EC7">
              <w:t>0.85</w:t>
            </w:r>
          </w:p>
        </w:tc>
        <w:tc>
          <w:tcPr>
            <w:tcW w:w="1087" w:type="dxa"/>
            <w:tcBorders>
              <w:top w:val="nil"/>
              <w:bottom w:val="nil"/>
              <w:right w:val="single" w:sz="4" w:space="0" w:color="auto"/>
            </w:tcBorders>
            <w:shd w:val="clear" w:color="auto" w:fill="auto"/>
            <w:noWrap/>
            <w:vAlign w:val="center"/>
            <w:hideMark/>
          </w:tcPr>
          <w:p w14:paraId="375CCC3D" w14:textId="77777777" w:rsidR="00375729" w:rsidRPr="00855EC7" w:rsidRDefault="00375729" w:rsidP="00A872E5">
            <w:pPr>
              <w:pStyle w:val="Tabletext"/>
            </w:pPr>
            <w:r w:rsidRPr="00855EC7">
              <w:t>0.74</w:t>
            </w:r>
          </w:p>
        </w:tc>
        <w:tc>
          <w:tcPr>
            <w:tcW w:w="1087" w:type="dxa"/>
            <w:tcBorders>
              <w:top w:val="nil"/>
              <w:left w:val="single" w:sz="4" w:space="0" w:color="auto"/>
              <w:bottom w:val="nil"/>
            </w:tcBorders>
            <w:shd w:val="clear" w:color="auto" w:fill="auto"/>
            <w:noWrap/>
            <w:vAlign w:val="bottom"/>
            <w:hideMark/>
          </w:tcPr>
          <w:p w14:paraId="7E141BDE" w14:textId="77777777" w:rsidR="00375729" w:rsidRPr="00855EC7" w:rsidRDefault="00375729" w:rsidP="00A872E5">
            <w:pPr>
              <w:pStyle w:val="Tabletext"/>
            </w:pPr>
            <w:r w:rsidRPr="00855EC7">
              <w:t>-0.41</w:t>
            </w:r>
          </w:p>
        </w:tc>
        <w:tc>
          <w:tcPr>
            <w:tcW w:w="1087" w:type="dxa"/>
            <w:tcBorders>
              <w:top w:val="nil"/>
              <w:bottom w:val="nil"/>
              <w:right w:val="single" w:sz="4" w:space="0" w:color="auto"/>
            </w:tcBorders>
            <w:shd w:val="clear" w:color="auto" w:fill="auto"/>
            <w:noWrap/>
            <w:vAlign w:val="bottom"/>
            <w:hideMark/>
          </w:tcPr>
          <w:p w14:paraId="647E2070" w14:textId="77777777" w:rsidR="00375729" w:rsidRPr="00855EC7" w:rsidRDefault="00375729" w:rsidP="00A872E5">
            <w:pPr>
              <w:pStyle w:val="Tabletext"/>
            </w:pPr>
            <w:r w:rsidRPr="00855EC7">
              <w:t>0.00</w:t>
            </w:r>
          </w:p>
        </w:tc>
        <w:tc>
          <w:tcPr>
            <w:tcW w:w="1087" w:type="dxa"/>
            <w:tcBorders>
              <w:left w:val="single" w:sz="4" w:space="0" w:color="auto"/>
              <w:bottom w:val="nil"/>
            </w:tcBorders>
            <w:shd w:val="clear" w:color="auto" w:fill="auto"/>
            <w:noWrap/>
            <w:vAlign w:val="bottom"/>
            <w:hideMark/>
          </w:tcPr>
          <w:p w14:paraId="55AF4E37" w14:textId="77777777" w:rsidR="00375729" w:rsidRPr="00855EC7" w:rsidRDefault="00375729" w:rsidP="00A872E5">
            <w:pPr>
              <w:pStyle w:val="Tabletext"/>
            </w:pPr>
            <w:r w:rsidRPr="00855EC7">
              <w:t>2.91</w:t>
            </w:r>
          </w:p>
        </w:tc>
        <w:tc>
          <w:tcPr>
            <w:tcW w:w="1087" w:type="dxa"/>
            <w:tcBorders>
              <w:bottom w:val="nil"/>
              <w:right w:val="nil"/>
            </w:tcBorders>
            <w:shd w:val="clear" w:color="auto" w:fill="auto"/>
            <w:noWrap/>
            <w:vAlign w:val="bottom"/>
            <w:hideMark/>
          </w:tcPr>
          <w:p w14:paraId="4158728A" w14:textId="77777777" w:rsidR="00375729" w:rsidRPr="00855EC7" w:rsidRDefault="00375729" w:rsidP="00A872E5">
            <w:pPr>
              <w:pStyle w:val="Tabletext"/>
            </w:pPr>
            <w:r w:rsidRPr="00855EC7">
              <w:t>-0.11</w:t>
            </w:r>
          </w:p>
        </w:tc>
      </w:tr>
      <w:tr w:rsidR="00375729" w:rsidRPr="00855EC7" w14:paraId="008EF29A" w14:textId="77777777" w:rsidTr="00301886">
        <w:trPr>
          <w:trHeight w:val="300"/>
        </w:trPr>
        <w:tc>
          <w:tcPr>
            <w:tcW w:w="2405" w:type="dxa"/>
            <w:tcBorders>
              <w:top w:val="nil"/>
              <w:left w:val="nil"/>
              <w:bottom w:val="single" w:sz="4" w:space="0" w:color="auto"/>
              <w:right w:val="single" w:sz="4" w:space="0" w:color="auto"/>
            </w:tcBorders>
            <w:shd w:val="clear" w:color="auto" w:fill="auto"/>
            <w:noWrap/>
            <w:vAlign w:val="bottom"/>
            <w:hideMark/>
          </w:tcPr>
          <w:p w14:paraId="1A58DFDF" w14:textId="77777777" w:rsidR="00375729" w:rsidRPr="00855EC7" w:rsidRDefault="00375729" w:rsidP="00A872E5">
            <w:pPr>
              <w:pStyle w:val="Tabletext"/>
            </w:pPr>
            <w:r w:rsidRPr="00855EC7">
              <w:t>S. Other services</w:t>
            </w:r>
          </w:p>
        </w:tc>
        <w:tc>
          <w:tcPr>
            <w:tcW w:w="1086" w:type="dxa"/>
            <w:tcBorders>
              <w:top w:val="nil"/>
              <w:left w:val="single" w:sz="4" w:space="0" w:color="auto"/>
              <w:bottom w:val="single" w:sz="4" w:space="0" w:color="auto"/>
            </w:tcBorders>
            <w:shd w:val="clear" w:color="auto" w:fill="auto"/>
            <w:noWrap/>
            <w:vAlign w:val="center"/>
            <w:hideMark/>
          </w:tcPr>
          <w:p w14:paraId="5E912D79" w14:textId="77777777" w:rsidR="00375729" w:rsidRPr="00855EC7" w:rsidRDefault="00375729" w:rsidP="00A872E5">
            <w:pPr>
              <w:pStyle w:val="Tabletext"/>
            </w:pPr>
            <w:r w:rsidRPr="00855EC7">
              <w:t>2.91</w:t>
            </w:r>
          </w:p>
        </w:tc>
        <w:tc>
          <w:tcPr>
            <w:tcW w:w="1087" w:type="dxa"/>
            <w:tcBorders>
              <w:top w:val="nil"/>
              <w:bottom w:val="single" w:sz="4" w:space="0" w:color="auto"/>
              <w:right w:val="single" w:sz="4" w:space="0" w:color="auto"/>
            </w:tcBorders>
            <w:shd w:val="clear" w:color="auto" w:fill="auto"/>
            <w:noWrap/>
            <w:vAlign w:val="center"/>
            <w:hideMark/>
          </w:tcPr>
          <w:p w14:paraId="028A7565" w14:textId="77777777" w:rsidR="00375729" w:rsidRPr="00855EC7" w:rsidRDefault="00375729" w:rsidP="00A872E5">
            <w:pPr>
              <w:pStyle w:val="Tabletext"/>
            </w:pPr>
            <w:r w:rsidRPr="00855EC7">
              <w:t>-0.11</w:t>
            </w:r>
          </w:p>
        </w:tc>
        <w:tc>
          <w:tcPr>
            <w:tcW w:w="1087" w:type="dxa"/>
            <w:tcBorders>
              <w:top w:val="nil"/>
              <w:left w:val="single" w:sz="4" w:space="0" w:color="auto"/>
              <w:bottom w:val="single" w:sz="4" w:space="0" w:color="auto"/>
            </w:tcBorders>
            <w:shd w:val="clear" w:color="auto" w:fill="auto"/>
            <w:noWrap/>
            <w:vAlign w:val="bottom"/>
            <w:hideMark/>
          </w:tcPr>
          <w:p w14:paraId="14C64F87" w14:textId="77777777" w:rsidR="00375729" w:rsidRPr="00855EC7" w:rsidRDefault="00375729" w:rsidP="00A872E5">
            <w:pPr>
              <w:pStyle w:val="Tabletext"/>
            </w:pPr>
            <w:r w:rsidRPr="00855EC7">
              <w:t>1.10</w:t>
            </w:r>
          </w:p>
        </w:tc>
        <w:tc>
          <w:tcPr>
            <w:tcW w:w="1087" w:type="dxa"/>
            <w:tcBorders>
              <w:top w:val="nil"/>
              <w:bottom w:val="single" w:sz="4" w:space="0" w:color="auto"/>
              <w:right w:val="single" w:sz="4" w:space="0" w:color="auto"/>
            </w:tcBorders>
            <w:shd w:val="clear" w:color="auto" w:fill="auto"/>
            <w:noWrap/>
            <w:vAlign w:val="bottom"/>
            <w:hideMark/>
          </w:tcPr>
          <w:p w14:paraId="16E5AB7D" w14:textId="77777777" w:rsidR="00375729" w:rsidRPr="00855EC7" w:rsidRDefault="00375729" w:rsidP="00A872E5">
            <w:pPr>
              <w:pStyle w:val="Tabletext"/>
            </w:pPr>
            <w:r w:rsidRPr="00855EC7">
              <w:t>-1.51</w:t>
            </w:r>
          </w:p>
        </w:tc>
        <w:tc>
          <w:tcPr>
            <w:tcW w:w="1087" w:type="dxa"/>
            <w:tcBorders>
              <w:top w:val="nil"/>
              <w:left w:val="single" w:sz="4" w:space="0" w:color="auto"/>
              <w:bottom w:val="single" w:sz="4" w:space="0" w:color="auto"/>
            </w:tcBorders>
            <w:shd w:val="clear" w:color="auto" w:fill="auto"/>
            <w:noWrap/>
            <w:vAlign w:val="bottom"/>
            <w:hideMark/>
          </w:tcPr>
          <w:p w14:paraId="03F0A2CB" w14:textId="77777777" w:rsidR="00375729" w:rsidRPr="00855EC7" w:rsidRDefault="00375729" w:rsidP="00A872E5">
            <w:pPr>
              <w:pStyle w:val="Tabletext"/>
            </w:pPr>
            <w:r w:rsidRPr="00855EC7">
              <w:t>3.16</w:t>
            </w:r>
          </w:p>
        </w:tc>
        <w:tc>
          <w:tcPr>
            <w:tcW w:w="1087" w:type="dxa"/>
            <w:tcBorders>
              <w:top w:val="nil"/>
              <w:bottom w:val="single" w:sz="4" w:space="0" w:color="auto"/>
              <w:right w:val="nil"/>
            </w:tcBorders>
            <w:shd w:val="clear" w:color="auto" w:fill="auto"/>
            <w:noWrap/>
            <w:vAlign w:val="bottom"/>
            <w:hideMark/>
          </w:tcPr>
          <w:p w14:paraId="41A20B0E" w14:textId="77777777" w:rsidR="00375729" w:rsidRPr="00855EC7" w:rsidRDefault="00375729" w:rsidP="00A872E5">
            <w:pPr>
              <w:pStyle w:val="Tabletext"/>
            </w:pPr>
            <w:r w:rsidRPr="00855EC7">
              <w:t>2.09</w:t>
            </w:r>
          </w:p>
        </w:tc>
      </w:tr>
    </w:tbl>
    <w:p w14:paraId="06FDC19C" w14:textId="77777777" w:rsidR="00375729" w:rsidRDefault="00375729" w:rsidP="00012248">
      <w:pPr>
        <w:pStyle w:val="SourceNotes"/>
      </w:pPr>
      <w:r w:rsidRPr="00855EC7">
        <w:fldChar w:fldCharType="end"/>
      </w:r>
      <w:r w:rsidRPr="00855EC7">
        <w:t>Source: Author estimates</w:t>
      </w:r>
      <w:r w:rsidR="00AE23A9" w:rsidRPr="00855EC7">
        <w:t xml:space="preserve"> based on data from ABS Cat. No. 5260.0.55.002</w:t>
      </w:r>
    </w:p>
    <w:p w14:paraId="4FF931F9" w14:textId="77777777" w:rsidR="00375729" w:rsidRPr="00886ECF" w:rsidRDefault="00375729" w:rsidP="00375729">
      <w:pPr>
        <w:pStyle w:val="BodyTextNoIndent"/>
      </w:pPr>
      <w:r w:rsidRPr="00886ECF">
        <w:t xml:space="preserve">Industries that showed strong productivity growth, that is rates above </w:t>
      </w:r>
      <w:r w:rsidR="0010272C">
        <w:t>3</w:t>
      </w:r>
      <w:r w:rsidR="0010272C" w:rsidRPr="00886ECF">
        <w:t xml:space="preserve"> </w:t>
      </w:r>
      <w:r w:rsidRPr="00886ECF">
        <w:t>per cent a year, included:</w:t>
      </w:r>
    </w:p>
    <w:p w14:paraId="25FEFA8F" w14:textId="77777777" w:rsidR="00375729" w:rsidRPr="00886ECF" w:rsidRDefault="00375729" w:rsidP="00F37FA2">
      <w:pPr>
        <w:pStyle w:val="Bodybullet-Level2"/>
      </w:pPr>
      <w:r w:rsidRPr="00886ECF">
        <w:t>agriculture</w:t>
      </w:r>
    </w:p>
    <w:p w14:paraId="41DEFAB1" w14:textId="77777777" w:rsidR="00375729" w:rsidRPr="00886ECF" w:rsidRDefault="00375729" w:rsidP="00F37FA2">
      <w:pPr>
        <w:pStyle w:val="Bodybullet-Level2"/>
      </w:pPr>
      <w:r w:rsidRPr="00886ECF">
        <w:t>wholesale trade</w:t>
      </w:r>
    </w:p>
    <w:p w14:paraId="224441BA" w14:textId="77777777" w:rsidR="00375729" w:rsidRPr="00886ECF" w:rsidRDefault="00375729" w:rsidP="00F37FA2">
      <w:pPr>
        <w:pStyle w:val="Bodybullet-Level2"/>
      </w:pPr>
      <w:r w:rsidRPr="00886ECF">
        <w:t>retail trade</w:t>
      </w:r>
    </w:p>
    <w:p w14:paraId="2F9A45DA" w14:textId="77777777" w:rsidR="00375729" w:rsidRPr="00886ECF" w:rsidRDefault="00375729" w:rsidP="00F37FA2">
      <w:pPr>
        <w:pStyle w:val="Bodybullet-Level2"/>
      </w:pPr>
      <w:r w:rsidRPr="00886ECF">
        <w:t xml:space="preserve">information media and telecommunications </w:t>
      </w:r>
    </w:p>
    <w:p w14:paraId="4C768866" w14:textId="77777777" w:rsidR="00375729" w:rsidRPr="00886ECF" w:rsidRDefault="00375729" w:rsidP="00F37FA2">
      <w:pPr>
        <w:pStyle w:val="Bodybullet-Level2"/>
      </w:pPr>
      <w:r w:rsidRPr="00886ECF">
        <w:t>financial and insurance services</w:t>
      </w:r>
      <w:r w:rsidR="00B44954">
        <w:t>, and</w:t>
      </w:r>
    </w:p>
    <w:p w14:paraId="7A5B807A" w14:textId="77777777" w:rsidR="00375729" w:rsidRPr="00886ECF" w:rsidRDefault="00375729" w:rsidP="00F37FA2">
      <w:pPr>
        <w:pStyle w:val="Bodybullet-Level2"/>
      </w:pPr>
      <w:r w:rsidRPr="00886ECF">
        <w:t>other services.</w:t>
      </w:r>
    </w:p>
    <w:p w14:paraId="235CB6D7" w14:textId="77777777" w:rsidR="00375729" w:rsidRPr="00886ECF" w:rsidRDefault="00375729" w:rsidP="00375729">
      <w:pPr>
        <w:pStyle w:val="BodyTextNoIndent"/>
      </w:pPr>
      <w:r w:rsidRPr="00886ECF">
        <w:t>Two industries appear on both the list of important IT users and the list of strong productivity performers: information media and telecommunications and financial and insurance services. They warrant particular attention in the growth accounting that follows.</w:t>
      </w:r>
    </w:p>
    <w:p w14:paraId="36DF2CF3" w14:textId="77777777" w:rsidR="00375729" w:rsidRPr="00185E7D" w:rsidRDefault="00375729" w:rsidP="00F37FA2">
      <w:pPr>
        <w:pStyle w:val="BCRHead1"/>
      </w:pPr>
      <w:r w:rsidRPr="00185E7D">
        <w:br w:type="page"/>
      </w:r>
      <w:bookmarkStart w:id="46" w:name="_Toc436920430"/>
      <w:bookmarkStart w:id="47" w:name="_Toc442448184"/>
      <w:bookmarkStart w:id="48" w:name="Section4"/>
      <w:r>
        <w:t>4</w:t>
      </w:r>
      <w:r>
        <w:tab/>
      </w:r>
      <w:r w:rsidRPr="00185E7D">
        <w:t>The growth accounting approach</w:t>
      </w:r>
      <w:bookmarkEnd w:id="46"/>
      <w:bookmarkEnd w:id="47"/>
    </w:p>
    <w:bookmarkEnd w:id="48"/>
    <w:p w14:paraId="2ACC2DC3" w14:textId="77777777" w:rsidR="00375729" w:rsidRPr="00886ECF" w:rsidRDefault="00375729" w:rsidP="00375729">
      <w:pPr>
        <w:pStyle w:val="BodyTextNoIndent"/>
      </w:pPr>
      <w:r w:rsidRPr="00886ECF">
        <w:t xml:space="preserve">This section sets out the standard growth accounting model as it has been used to analyse IT and productivity. While it captures the capital deepening effect of IT on labour productivity growth, it does not identify the effects of the innovation platform IT provides for MFP growth. However, this issue is addressed in part by also examining the effects IT may have on the productivity of non-IT capital. </w:t>
      </w:r>
    </w:p>
    <w:p w14:paraId="76045041" w14:textId="77777777" w:rsidR="00375729" w:rsidRPr="00886ECF" w:rsidRDefault="00375729" w:rsidP="00375729">
      <w:pPr>
        <w:pStyle w:val="BodyTextNoIndent"/>
      </w:pPr>
      <w:r w:rsidRPr="00886ECF">
        <w:t>The next subsection sets out the model in mathematical form. It is an expression of the concepts set out in Section 2 and Figure 2.1. Readers without a mathematical background can skim before picking up on the strengths and weaknesses of the growth accounting model in subsection 4.2.</w:t>
      </w:r>
    </w:p>
    <w:p w14:paraId="1E87B338" w14:textId="77777777" w:rsidR="00375729" w:rsidRPr="00886ECF" w:rsidRDefault="00375729" w:rsidP="00F37FA2">
      <w:pPr>
        <w:pStyle w:val="BCRHead2"/>
      </w:pPr>
      <w:bookmarkStart w:id="49" w:name="_Toc436920431"/>
      <w:r w:rsidRPr="00886ECF">
        <w:t>4.1</w:t>
      </w:r>
      <w:r w:rsidRPr="00886ECF">
        <w:tab/>
        <w:t>The traditional model</w:t>
      </w:r>
      <w:bookmarkEnd w:id="49"/>
    </w:p>
    <w:p w14:paraId="56F32A82" w14:textId="77777777" w:rsidR="00375729" w:rsidRPr="00886ECF" w:rsidRDefault="00375729" w:rsidP="00375729">
      <w:pPr>
        <w:pStyle w:val="BodyTextNoIndent"/>
      </w:pPr>
      <w:r w:rsidRPr="00886ECF">
        <w:t xml:space="preserve">A Cobb-Douglas production function provides a starting point for the traditional growth accounting model. The quantum of output produced in year t, </w:t>
      </w:r>
      <m:oMath>
        <m:sSub>
          <m:sSubPr>
            <m:ctrlPr>
              <w:rPr>
                <w:rFonts w:ascii="Cambria Math" w:hAnsi="Cambria Math"/>
              </w:rPr>
            </m:ctrlPr>
          </m:sSubPr>
          <m:e>
            <m:r>
              <w:rPr>
                <w:rFonts w:ascii="Cambria Math" w:hAnsi="Cambria Math"/>
              </w:rPr>
              <m:t>Y</m:t>
            </m:r>
          </m:e>
          <m:sub>
            <m:r>
              <w:rPr>
                <w:rFonts w:ascii="Cambria Math" w:hAnsi="Cambria Math"/>
              </w:rPr>
              <m:t>t</m:t>
            </m:r>
          </m:sub>
        </m:sSub>
      </m:oMath>
      <w:r w:rsidRPr="00886ECF">
        <w:t xml:space="preserve"> is expressed as a function of the quantum of capital used </w:t>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886ECF">
        <w:t xml:space="preserve">, the quantum of labour used </w:t>
      </w:r>
      <m:oMath>
        <m:sSub>
          <m:sSubPr>
            <m:ctrlPr>
              <w:rPr>
                <w:rFonts w:ascii="Cambria Math" w:hAnsi="Cambria Math"/>
              </w:rPr>
            </m:ctrlPr>
          </m:sSubPr>
          <m:e>
            <m:r>
              <w:rPr>
                <w:rFonts w:ascii="Cambria Math" w:hAnsi="Cambria Math"/>
              </w:rPr>
              <m:t>L</m:t>
            </m:r>
          </m:e>
          <m:sub>
            <m:r>
              <w:rPr>
                <w:rFonts w:ascii="Cambria Math" w:hAnsi="Cambria Math"/>
              </w:rPr>
              <m:t>t</m:t>
            </m:r>
          </m:sub>
        </m:sSub>
      </m:oMath>
      <w:r w:rsidRPr="00886ECF">
        <w:t>, and multifactor productivity</w:t>
      </w:r>
      <m:oMath>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t</m:t>
            </m:r>
          </m:sub>
        </m:sSub>
      </m:oMath>
      <w:r w:rsidRPr="00886ECF">
        <w:t>:</w:t>
      </w:r>
    </w:p>
    <w:p w14:paraId="49B29BC9" w14:textId="77777777" w:rsidR="00375729" w:rsidRPr="00886ECF" w:rsidRDefault="00375729" w:rsidP="00375729">
      <w:pPr>
        <w:pStyle w:val="BodyTextNoIndent"/>
      </w:pPr>
      <w:r w:rsidRPr="00886ECF">
        <w:t>1.</w:t>
      </w:r>
      <w:r w:rsidRPr="00886ECF">
        <w:tab/>
      </w:r>
      <w:r w:rsidRPr="00886ECF">
        <w:tab/>
      </w:r>
      <m:oMath>
        <m:sSub>
          <m:sSubPr>
            <m:ctrlPr>
              <w:rPr>
                <w:rFonts w:ascii="Cambria Math" w:hAnsi="Cambria Math"/>
              </w:rPr>
            </m:ctrlPr>
          </m:sSubPr>
          <m:e>
            <m:r>
              <w:rPr>
                <w:rFonts w:ascii="Cambria Math" w:hAnsi="Cambria Math"/>
              </w:rPr>
              <m:t>Y</m:t>
            </m:r>
          </m:e>
          <m:sub>
            <m:r>
              <w:rPr>
                <w:rFonts w:ascii="Cambria Math" w:hAnsi="Cambria Math"/>
              </w:rPr>
              <m:t>t</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t</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t</m:t>
            </m:r>
          </m:sub>
          <m:sup>
            <m:r>
              <m:rPr>
                <m:sty m:val="p"/>
              </m:rPr>
              <w:rPr>
                <w:rFonts w:ascii="Cambria Math" w:hAnsi="Cambria Math"/>
              </w:rPr>
              <m:t>1-</m:t>
            </m:r>
            <m:r>
              <w:rPr>
                <w:rFonts w:ascii="Cambria Math" w:hAnsi="Cambria Math"/>
              </w:rPr>
              <m:t>α</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t</m:t>
            </m:r>
          </m:sub>
        </m:sSub>
      </m:oMath>
    </w:p>
    <w:p w14:paraId="640F50B3" w14:textId="77777777" w:rsidR="00375729" w:rsidRPr="00886ECF" w:rsidRDefault="00375729" w:rsidP="00375729">
      <w:pPr>
        <w:pStyle w:val="BodyTextNoIndent"/>
      </w:pPr>
      <w:r w:rsidRPr="00886ECF">
        <w:t>The exponents on capital α, and labour 1-α, are the respective output elasticities of the factors of production. With an assumption of constant returns to scale, they sum to unity.</w:t>
      </w:r>
    </w:p>
    <w:p w14:paraId="3A97C555" w14:textId="77777777" w:rsidR="00375729" w:rsidRPr="00F03BC8" w:rsidRDefault="00375729" w:rsidP="00375729">
      <w:pPr>
        <w:pStyle w:val="BodyTextNoIndent"/>
      </w:pPr>
      <w:r w:rsidRPr="00886ECF">
        <w:t xml:space="preserve">Dividing each </w:t>
      </w:r>
      <w:r w:rsidRPr="00F03BC8">
        <w:t xml:space="preserve">side by </w:t>
      </w:r>
      <m:oMath>
        <m:sSub>
          <m:sSubPr>
            <m:ctrlPr>
              <w:rPr>
                <w:rFonts w:ascii="Cambria Math" w:hAnsi="Cambria Math"/>
              </w:rPr>
            </m:ctrlPr>
          </m:sSubPr>
          <m:e>
            <m:r>
              <w:rPr>
                <w:rFonts w:ascii="Cambria Math" w:hAnsi="Cambria Math"/>
              </w:rPr>
              <m:t>L</m:t>
            </m:r>
          </m:e>
          <m:sub>
            <m:r>
              <w:rPr>
                <w:rFonts w:ascii="Cambria Math" w:hAnsi="Cambria Math"/>
              </w:rPr>
              <m:t>t</m:t>
            </m:r>
          </m:sub>
        </m:sSub>
      </m:oMath>
      <w:r w:rsidRPr="00F03BC8">
        <w:t xml:space="preserve"> and dropping the time subscript for convenience:</w:t>
      </w:r>
    </w:p>
    <w:p w14:paraId="6B7A33B4" w14:textId="77777777" w:rsidR="00375729" w:rsidRPr="00F03BC8" w:rsidRDefault="00375729" w:rsidP="00375729">
      <w:pPr>
        <w:pStyle w:val="BodyTextNoIndent"/>
      </w:pPr>
      <w:r w:rsidRPr="00F03BC8">
        <w:t xml:space="preserve">2. </w:t>
      </w:r>
      <w:r w:rsidRPr="00F03BC8">
        <w:tab/>
      </w:r>
      <w:r w:rsidRPr="00F03BC8">
        <w:tab/>
      </w:r>
      <m:oMath>
        <m:f>
          <m:fPr>
            <m:ctrlPr>
              <w:rPr>
                <w:rFonts w:ascii="Cambria Math" w:hAnsi="Cambria Math"/>
              </w:rPr>
            </m:ctrlPr>
          </m:fPr>
          <m:num>
            <m:r>
              <w:rPr>
                <w:rFonts w:ascii="Cambria Math" w:hAnsi="Cambria Math"/>
              </w:rPr>
              <m:t>Y</m:t>
            </m:r>
          </m:num>
          <m:den>
            <m:r>
              <w:rPr>
                <w:rFonts w:ascii="Cambria Math" w:hAnsi="Cambria Math"/>
              </w:rPr>
              <m:t>L</m:t>
            </m:r>
          </m:den>
        </m:f>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L</m:t>
                    </m:r>
                  </m:den>
                </m:f>
              </m:e>
            </m:d>
          </m:e>
          <m:sup>
            <m:r>
              <w:rPr>
                <w:rFonts w:ascii="Cambria Math" w:hAnsi="Cambria Math"/>
              </w:rPr>
              <m:t>α</m:t>
            </m:r>
          </m:sup>
        </m:sSup>
        <m:r>
          <m:rPr>
            <m:sty m:val="p"/>
          </m:rPr>
          <w:rPr>
            <w:rFonts w:ascii="Cambria Math" w:hAnsi="Cambria Math"/>
          </w:rPr>
          <m:t>.</m:t>
        </m:r>
        <m:r>
          <w:rPr>
            <w:rFonts w:ascii="Cambria Math" w:hAnsi="Cambria Math"/>
          </w:rPr>
          <m:t>M</m:t>
        </m:r>
      </m:oMath>
      <w:r w:rsidRPr="00F03BC8">
        <w:tab/>
      </w:r>
    </w:p>
    <w:p w14:paraId="4A1E7AD3" w14:textId="77777777" w:rsidR="00375729" w:rsidRPr="00F03BC8" w:rsidRDefault="00375729" w:rsidP="00375729">
      <w:pPr>
        <w:pStyle w:val="BodyTextNoIndent"/>
      </w:pPr>
      <w:r w:rsidRPr="00F03BC8">
        <w:t xml:space="preserve">The left hand side is labour productivity and equation 2 expresses it as a function of the </w:t>
      </w:r>
      <w:r w:rsidR="008D6296" w:rsidRPr="00F03BC8">
        <w:t>capital</w:t>
      </w:r>
      <w:r w:rsidR="008D6296" w:rsidRPr="00F03BC8">
        <w:noBreakHyphen/>
      </w:r>
      <w:r w:rsidR="00A433D1" w:rsidRPr="00F03BC8">
        <w:t xml:space="preserve">labour </w:t>
      </w:r>
      <w:r w:rsidRPr="00F03BC8">
        <w:t>ratio and multifactor productivity. This relationship can be expressed in terms of growth, with a hat ‘^’ over a variable signifying growth in that variable:</w:t>
      </w:r>
    </w:p>
    <w:p w14:paraId="0E5AC300" w14:textId="77777777" w:rsidR="00375729" w:rsidRPr="00886ECF" w:rsidRDefault="00375729" w:rsidP="00375729">
      <w:pPr>
        <w:pStyle w:val="BodyTextNoIndent"/>
      </w:pPr>
      <w:r w:rsidRPr="00F03BC8">
        <w:t>3.</w:t>
      </w:r>
      <w:r w:rsidRPr="00F03BC8">
        <w:tab/>
      </w:r>
      <w:r w:rsidRPr="00F03BC8">
        <w:tab/>
      </w:r>
      <m:oMath>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L</m:t>
                    </m:r>
                  </m:den>
                </m:f>
              </m:e>
            </m:d>
          </m:e>
        </m:acc>
        <m:r>
          <m:rPr>
            <m:sty m:val="p"/>
          </m:rPr>
          <w:rPr>
            <w:rFonts w:ascii="Cambria Math" w:hAnsi="Cambria Math"/>
          </w:rPr>
          <m:t>=</m:t>
        </m:r>
        <m:r>
          <w:rPr>
            <w:rFonts w:ascii="Cambria Math" w:hAnsi="Cambria Math"/>
          </w:rPr>
          <m:t>α</m:t>
        </m:r>
        <m:r>
          <m:rPr>
            <m:sty m:val="p"/>
          </m:rPr>
          <w:rPr>
            <w:rFonts w:ascii="Cambria Math" w:hAnsi="Cambria Math"/>
          </w:rPr>
          <m:t>.</m:t>
        </m:r>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L</m:t>
                    </m:r>
                  </m:den>
                </m:f>
              </m:e>
            </m:d>
          </m:e>
        </m:acc>
        <m:r>
          <m:rPr>
            <m:sty m:val="p"/>
          </m:rPr>
          <w:rPr>
            <w:rFonts w:ascii="Cambria Math" w:hAnsi="Cambria Math"/>
          </w:rPr>
          <m:t>+</m:t>
        </m:r>
        <m:acc>
          <m:accPr>
            <m:ctrlPr>
              <w:rPr>
                <w:rFonts w:ascii="Cambria Math" w:hAnsi="Cambria Math"/>
              </w:rPr>
            </m:ctrlPr>
          </m:accPr>
          <m:e>
            <m:r>
              <w:rPr>
                <w:rFonts w:ascii="Cambria Math" w:hAnsi="Cambria Math"/>
              </w:rPr>
              <m:t>M</m:t>
            </m:r>
          </m:e>
        </m:acc>
      </m:oMath>
    </w:p>
    <w:p w14:paraId="4AF7A261" w14:textId="77777777" w:rsidR="00375729" w:rsidRPr="00886ECF" w:rsidRDefault="00375729" w:rsidP="00375729">
      <w:pPr>
        <w:pStyle w:val="BodyTextNoIndent"/>
      </w:pPr>
      <w:r w:rsidRPr="00886ECF">
        <w:t xml:space="preserve">This key growth accounting relationship expresses labour productivity growth as the sum of capital deepening </w:t>
      </w:r>
      <m:oMath>
        <m:r>
          <w:rPr>
            <w:rFonts w:ascii="Cambria Math" w:hAnsi="Cambria Math"/>
          </w:rPr>
          <m:t>α</m:t>
        </m:r>
        <m:r>
          <m:rPr>
            <m:sty m:val="p"/>
          </m:rPr>
          <w:rPr>
            <w:rFonts w:ascii="Cambria Math" w:hAnsi="Cambria Math"/>
          </w:rPr>
          <m:t>.</m:t>
        </m:r>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L</m:t>
                    </m:r>
                  </m:den>
                </m:f>
              </m:e>
            </m:d>
          </m:e>
        </m:acc>
      </m:oMath>
      <w:r w:rsidRPr="00886ECF">
        <w:t xml:space="preserve"> and multifactor productivity growth.</w:t>
      </w:r>
    </w:p>
    <w:p w14:paraId="191D32BD" w14:textId="77777777" w:rsidR="00375729" w:rsidRPr="00886ECF" w:rsidRDefault="00375729" w:rsidP="00375729">
      <w:pPr>
        <w:pStyle w:val="BodyTextNoIndent"/>
      </w:pPr>
      <w:r w:rsidRPr="00886ECF">
        <w:t>The growth accounting relationship is operationalised with an assumption of competitive output and factor markets, so capital and labour are paid according to their marginal products. Then:</w:t>
      </w:r>
    </w:p>
    <w:p w14:paraId="10304BCA" w14:textId="77777777" w:rsidR="00375729" w:rsidRPr="00886ECF" w:rsidRDefault="00375729" w:rsidP="00375729">
      <w:pPr>
        <w:pStyle w:val="BodyTextNoIndent"/>
      </w:pPr>
      <w:r w:rsidRPr="00886ECF">
        <w:t>4.</w:t>
      </w:r>
      <w:r w:rsidRPr="00886ECF">
        <w:tab/>
      </w:r>
      <w:r w:rsidRPr="00886ECF">
        <w:tab/>
      </w:r>
      <m:oMath>
        <m:r>
          <w:rPr>
            <w:rFonts w:ascii="Cambria Math" w:hAnsi="Cambria Math"/>
          </w:rPr>
          <m:t>α</m:t>
        </m:r>
        <m:r>
          <m:rPr>
            <m:sty m:val="p"/>
          </m:rPr>
          <w:rPr>
            <w:rFonts w:ascii="Cambria Math" w:hAnsi="Cambria Math"/>
          </w:rPr>
          <m:t>=</m:t>
        </m:r>
        <m:f>
          <m:fPr>
            <m:ctrlPr>
              <w:rPr>
                <w:rFonts w:ascii="Cambria Math" w:hAnsi="Cambria Math"/>
              </w:rPr>
            </m:ctrlPr>
          </m:fPr>
          <m:num>
            <m:r>
              <w:rPr>
                <w:rFonts w:ascii="Cambria Math" w:hAnsi="Cambria Math"/>
              </w:rPr>
              <m:t>∂Y</m:t>
            </m:r>
          </m:num>
          <m:den>
            <m:r>
              <w:rPr>
                <w:rFonts w:ascii="Cambria Math" w:hAnsi="Cambria Math"/>
              </w:rPr>
              <m:t>∂K</m:t>
            </m:r>
          </m:den>
        </m:f>
        <m:r>
          <m:rPr>
            <m:sty m:val="p"/>
          </m:rPr>
          <w:rPr>
            <w:rFonts w:ascii="Cambria Math" w:hAnsi="Cambria Math"/>
          </w:rPr>
          <m:t>.</m:t>
        </m:r>
        <m:f>
          <m:fPr>
            <m:ctrlPr>
              <w:rPr>
                <w:rFonts w:ascii="Cambria Math" w:hAnsi="Cambria Math"/>
              </w:rPr>
            </m:ctrlPr>
          </m:fPr>
          <m:num>
            <m:r>
              <w:rPr>
                <w:rFonts w:ascii="Cambria Math" w:hAnsi="Cambria Math"/>
              </w:rPr>
              <m:t>K</m:t>
            </m:r>
          </m:num>
          <m:den>
            <m:r>
              <w:rPr>
                <w:rFonts w:ascii="Cambria Math" w:hAnsi="Cambria Math"/>
              </w:rPr>
              <m:t>Y</m:t>
            </m:r>
          </m:den>
        </m:f>
        <m:r>
          <m:rPr>
            <m:sty m:val="p"/>
          </m:rPr>
          <w:rPr>
            <w:rFonts w:ascii="Cambria Math" w:hAnsi="Cambria Math"/>
          </w:rPr>
          <m:t>=</m:t>
        </m:r>
        <m:f>
          <m:fPr>
            <m:ctrlPr>
              <w:rPr>
                <w:rFonts w:ascii="Cambria Math" w:hAnsi="Cambria Math"/>
              </w:rPr>
            </m:ctrlPr>
          </m:fPr>
          <m:num>
            <m:r>
              <w:rPr>
                <w:rFonts w:ascii="Cambria Math" w:hAnsi="Cambria Math"/>
              </w:rPr>
              <m:t>rK</m:t>
            </m:r>
          </m:num>
          <m:den>
            <m:r>
              <w:rPr>
                <w:rFonts w:ascii="Cambria Math" w:hAnsi="Cambria Math"/>
              </w:rPr>
              <m:t>Y</m:t>
            </m:r>
          </m:den>
        </m:f>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oMath>
    </w:p>
    <w:p w14:paraId="27D830AB" w14:textId="77777777" w:rsidR="00375729" w:rsidRPr="00886ECF" w:rsidRDefault="00375729" w:rsidP="00375729">
      <w:pPr>
        <w:pStyle w:val="BodyTextNoIndent"/>
      </w:pPr>
      <w:r w:rsidRPr="00886ECF">
        <w:t xml:space="preserve">Where r is the cost of capital and </w:t>
      </w:r>
      <m:oMath>
        <m:sSub>
          <m:sSubPr>
            <m:ctrlPr>
              <w:rPr>
                <w:rFonts w:ascii="Cambria Math" w:hAnsi="Cambria Math"/>
              </w:rPr>
            </m:ctrlPr>
          </m:sSubPr>
          <m:e>
            <m:r>
              <w:rPr>
                <w:rFonts w:ascii="Cambria Math" w:hAnsi="Cambria Math"/>
              </w:rPr>
              <m:t>s</m:t>
            </m:r>
          </m:e>
          <m:sub>
            <m:r>
              <w:rPr>
                <w:rFonts w:ascii="Cambria Math" w:hAnsi="Cambria Math"/>
              </w:rPr>
              <m:t>K</m:t>
            </m:r>
          </m:sub>
        </m:sSub>
      </m:oMath>
      <w:r w:rsidRPr="00886ECF">
        <w:t xml:space="preserve"> is the share of capital in total value added (income and costs).</w:t>
      </w:r>
    </w:p>
    <w:p w14:paraId="2BCFD103" w14:textId="77777777" w:rsidR="00375729" w:rsidRPr="00886ECF" w:rsidRDefault="00375729" w:rsidP="00375729">
      <w:pPr>
        <w:pStyle w:val="BodyTextNoIndent"/>
      </w:pPr>
      <w:r w:rsidRPr="00886ECF">
        <w:t xml:space="preserve">So in the final equation labour productivity growth </w:t>
      </w:r>
      <m:oMath>
        <m:acc>
          <m:accPr>
            <m:ctrlPr>
              <w:rPr>
                <w:rFonts w:ascii="Cambria Math" w:hAnsi="Cambria Math"/>
              </w:rPr>
            </m:ctrlPr>
          </m:accPr>
          <m:e>
            <m:r>
              <w:rPr>
                <w:rFonts w:ascii="Cambria Math" w:hAnsi="Cambria Math"/>
              </w:rPr>
              <m:t>LP</m:t>
            </m:r>
          </m:e>
        </m:acc>
      </m:oMath>
      <w:r w:rsidRPr="00886ECF">
        <w:t xml:space="preserve"> is expressed as:</w:t>
      </w:r>
    </w:p>
    <w:p w14:paraId="5E921F1A" w14:textId="77777777" w:rsidR="00375729" w:rsidRPr="00886ECF" w:rsidRDefault="00375729" w:rsidP="00375729">
      <w:pPr>
        <w:pStyle w:val="BodyTextNoIndent"/>
      </w:pPr>
      <w:r w:rsidRPr="00886ECF">
        <w:t>5.</w:t>
      </w:r>
      <w:r w:rsidRPr="00886ECF">
        <w:tab/>
      </w:r>
      <w:r w:rsidRPr="00886ECF">
        <w:tab/>
      </w:r>
      <m:oMath>
        <m:acc>
          <m:accPr>
            <m:ctrlPr>
              <w:rPr>
                <w:rFonts w:ascii="Cambria Math" w:hAnsi="Cambria Math"/>
              </w:rPr>
            </m:ctrlPr>
          </m:accPr>
          <m:e>
            <m:r>
              <w:rPr>
                <w:rFonts w:ascii="Cambria Math" w:hAnsi="Cambria Math"/>
              </w:rPr>
              <m:t>LP</m:t>
            </m:r>
          </m:e>
        </m:acc>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K</m:t>
                    </m:r>
                  </m:num>
                  <m:den>
                    <m:r>
                      <w:rPr>
                        <w:rFonts w:ascii="Cambria Math" w:hAnsi="Cambria Math"/>
                      </w:rPr>
                      <m:t>L</m:t>
                    </m:r>
                  </m:den>
                </m:f>
              </m:e>
            </m:d>
          </m:e>
        </m:acc>
        <m:r>
          <m:rPr>
            <m:sty m:val="p"/>
          </m:rPr>
          <w:rPr>
            <w:rFonts w:ascii="Cambria Math" w:hAnsi="Cambria Math"/>
          </w:rPr>
          <m:t xml:space="preserve">+ </m:t>
        </m:r>
        <m:acc>
          <m:accPr>
            <m:ctrlPr>
              <w:rPr>
                <w:rFonts w:ascii="Cambria Math" w:hAnsi="Cambria Math"/>
              </w:rPr>
            </m:ctrlPr>
          </m:accPr>
          <m:e>
            <m:r>
              <w:rPr>
                <w:rFonts w:ascii="Cambria Math" w:hAnsi="Cambria Math"/>
              </w:rPr>
              <m:t>M</m:t>
            </m:r>
          </m:e>
        </m:acc>
      </m:oMath>
    </w:p>
    <w:p w14:paraId="26C01F6F" w14:textId="77777777" w:rsidR="00375729" w:rsidRPr="00886ECF" w:rsidRDefault="00375729" w:rsidP="00375729">
      <w:pPr>
        <w:pStyle w:val="BodyTextNoIndent"/>
      </w:pPr>
      <w:r w:rsidRPr="00886ECF">
        <w:t>The advantage of equation 5 over 3 is that the capital share of income can be obtained from national accounts data. It is not necessary to estimate a value for the output elasticity α.</w:t>
      </w:r>
    </w:p>
    <w:p w14:paraId="3382A9E2" w14:textId="77777777" w:rsidR="00375729" w:rsidRPr="00886ECF" w:rsidRDefault="00375729" w:rsidP="00F37FA2">
      <w:pPr>
        <w:pStyle w:val="BCRHead3"/>
      </w:pPr>
      <w:bookmarkStart w:id="50" w:name="_Toc436909152"/>
      <w:bookmarkStart w:id="51" w:name="_Toc436920432"/>
      <w:r w:rsidRPr="00886ECF">
        <w:t>4.1.1</w:t>
      </w:r>
      <w:r w:rsidRPr="00886ECF">
        <w:tab/>
        <w:t>Distinguishing between IT and non-IT capital</w:t>
      </w:r>
      <w:bookmarkEnd w:id="50"/>
      <w:bookmarkEnd w:id="51"/>
    </w:p>
    <w:p w14:paraId="36BC24A9" w14:textId="77777777" w:rsidR="00375729" w:rsidRPr="00886ECF" w:rsidRDefault="00375729" w:rsidP="00375729">
      <w:pPr>
        <w:pStyle w:val="BodyTextNoIndent"/>
      </w:pPr>
      <w:r w:rsidRPr="00886ECF">
        <w:t>The effect of IT capital on labour productivity (LP) growth is introduced by splitting the capital deepening component into an IT-capital deepening element, and a non-IT-capital deepening element. The implicit assumption here is that the amount of IT capital used can be separated from, or is independent of, the amount of non-IT capital used. (Further work in this report challenges this assumption.)</w:t>
      </w:r>
    </w:p>
    <w:p w14:paraId="6AD72DE6" w14:textId="77777777" w:rsidR="00375729" w:rsidRPr="00886ECF" w:rsidRDefault="00375729" w:rsidP="00375729">
      <w:pPr>
        <w:pStyle w:val="BodyTextNoIndent"/>
      </w:pPr>
      <w:r w:rsidRPr="00886ECF">
        <w:t xml:space="preserve">To do this separation, a relationship that aggregates IT capital </w:t>
      </w:r>
      <m:oMath>
        <m:sSub>
          <m:sSubPr>
            <m:ctrlPr>
              <w:rPr>
                <w:rFonts w:ascii="Cambria Math" w:hAnsi="Cambria Math"/>
              </w:rPr>
            </m:ctrlPr>
          </m:sSubPr>
          <m:e>
            <m:r>
              <w:rPr>
                <w:rFonts w:ascii="Cambria Math" w:hAnsi="Cambria Math"/>
              </w:rPr>
              <m:t>K</m:t>
            </m:r>
          </m:e>
          <m:sub>
            <m:r>
              <w:rPr>
                <w:rFonts w:ascii="Cambria Math" w:hAnsi="Cambria Math"/>
              </w:rPr>
              <m:t>I</m:t>
            </m:r>
          </m:sub>
        </m:sSub>
      </m:oMath>
      <w:r w:rsidRPr="00886ECF">
        <w:t xml:space="preserve">, and non-IT capital </w:t>
      </w:r>
      <m:oMath>
        <m:sSub>
          <m:sSubPr>
            <m:ctrlPr>
              <w:rPr>
                <w:rFonts w:ascii="Cambria Math" w:hAnsi="Cambria Math"/>
              </w:rPr>
            </m:ctrlPr>
          </m:sSubPr>
          <m:e>
            <m:r>
              <w:rPr>
                <w:rFonts w:ascii="Cambria Math" w:hAnsi="Cambria Math"/>
              </w:rPr>
              <m:t>K</m:t>
            </m:r>
          </m:e>
          <m:sub>
            <m:r>
              <w:rPr>
                <w:rFonts w:ascii="Cambria Math" w:hAnsi="Cambria Math"/>
              </w:rPr>
              <m:t>N</m:t>
            </m:r>
          </m:sub>
        </m:sSub>
      </m:oMath>
      <w:r w:rsidRPr="00886ECF">
        <w:t>, is used and in a form that is consistent with the aggregation relationship used by the ABS in the productivity accounts:</w:t>
      </w:r>
      <w:r w:rsidR="001F400B">
        <w:rPr>
          <w:rStyle w:val="EndnoteReference"/>
        </w:rPr>
        <w:endnoteReference w:id="4"/>
      </w:r>
    </w:p>
    <w:p w14:paraId="5C08CDD5" w14:textId="77777777" w:rsidR="00375729" w:rsidRPr="00886ECF" w:rsidRDefault="00375729" w:rsidP="00375729">
      <w:pPr>
        <w:pStyle w:val="BodyTextNoIndent"/>
      </w:pPr>
      <w:r w:rsidRPr="00886ECF">
        <w:t>6.</w:t>
      </w:r>
      <w:r w:rsidRPr="00886ECF">
        <w:tab/>
      </w:r>
      <w:r w:rsidRPr="00886ECF">
        <w:tab/>
      </w:r>
      <m:oMath>
        <m:r>
          <w:rPr>
            <w:rFonts w:ascii="Cambria Math" w:hAnsi="Cambria Math"/>
          </w:rPr>
          <m:t>K</m:t>
        </m:r>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I</m:t>
            </m:r>
          </m:sub>
          <m:sup>
            <m:r>
              <w:rPr>
                <w:rFonts w:ascii="Cambria Math" w:hAnsi="Cambria Math"/>
              </w:rPr>
              <m:t>β</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N</m:t>
            </m:r>
          </m:sub>
          <m:sup>
            <m:r>
              <m:rPr>
                <m:sty m:val="p"/>
              </m:rPr>
              <w:rPr>
                <w:rFonts w:ascii="Cambria Math" w:hAnsi="Cambria Math"/>
              </w:rPr>
              <m:t>1-</m:t>
            </m:r>
            <m:r>
              <w:rPr>
                <w:rFonts w:ascii="Cambria Math" w:hAnsi="Cambria Math"/>
              </w:rPr>
              <m:t>β</m:t>
            </m:r>
          </m:sup>
        </m:sSubSup>
      </m:oMath>
    </w:p>
    <w:p w14:paraId="58CD5931" w14:textId="77777777" w:rsidR="00375729" w:rsidRPr="00886ECF" w:rsidRDefault="00375729" w:rsidP="00375729">
      <w:pPr>
        <w:pStyle w:val="BodyTextNoIndent"/>
      </w:pPr>
      <w:r w:rsidRPr="00886ECF">
        <w:t>Substituting 6 into 37.</w:t>
      </w:r>
      <w:r w:rsidRPr="00886ECF">
        <w:tab/>
      </w:r>
      <w:r w:rsidRPr="00886ECF">
        <w:tab/>
      </w:r>
      <m:oMath>
        <m:f>
          <m:fPr>
            <m:ctrlPr>
              <w:rPr>
                <w:rFonts w:ascii="Cambria Math" w:hAnsi="Cambria Math"/>
              </w:rPr>
            </m:ctrlPr>
          </m:fPr>
          <m:num>
            <m:r>
              <w:rPr>
                <w:rFonts w:ascii="Cambria Math" w:hAnsi="Cambria Math"/>
              </w:rPr>
              <m:t>Y</m:t>
            </m:r>
          </m:num>
          <m:den>
            <m:r>
              <w:rPr>
                <w:rFonts w:ascii="Cambria Math" w:hAnsi="Cambria Math"/>
              </w:rPr>
              <m:t>L</m:t>
            </m:r>
          </m:den>
        </m:f>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K</m:t>
                        </m:r>
                      </m:e>
                      <m:sub>
                        <m:r>
                          <w:rPr>
                            <w:rFonts w:ascii="Cambria Math" w:hAnsi="Cambria Math"/>
                          </w:rPr>
                          <m:t>I</m:t>
                        </m:r>
                      </m:sub>
                      <m:sup>
                        <m:r>
                          <w:rPr>
                            <w:rFonts w:ascii="Cambria Math" w:hAnsi="Cambria Math"/>
                          </w:rPr>
                          <m:t>β</m:t>
                        </m:r>
                      </m:sup>
                    </m:sSubSup>
                  </m:num>
                  <m:den>
                    <m:sSup>
                      <m:sSupPr>
                        <m:ctrlPr>
                          <w:rPr>
                            <w:rFonts w:ascii="Cambria Math" w:hAnsi="Cambria Math"/>
                          </w:rPr>
                        </m:ctrlPr>
                      </m:sSupPr>
                      <m:e>
                        <m:r>
                          <w:rPr>
                            <w:rFonts w:ascii="Cambria Math" w:hAnsi="Cambria Math"/>
                          </w:rPr>
                          <m:t>L</m:t>
                        </m:r>
                      </m:e>
                      <m:sup>
                        <m:r>
                          <w:rPr>
                            <w:rFonts w:ascii="Cambria Math" w:hAnsi="Cambria Math"/>
                          </w:rPr>
                          <m:t>β</m:t>
                        </m:r>
                      </m:sup>
                    </m:sSup>
                  </m:den>
                </m:f>
              </m:e>
            </m:d>
          </m:e>
          <m:sup>
            <m:r>
              <w:rPr>
                <w:rFonts w:ascii="Cambria Math" w:hAnsi="Cambria Math"/>
              </w:rPr>
              <m:t>α</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K</m:t>
                        </m:r>
                      </m:e>
                      <m:sub>
                        <m:r>
                          <w:rPr>
                            <w:rFonts w:ascii="Cambria Math" w:hAnsi="Cambria Math"/>
                          </w:rPr>
                          <m:t>N</m:t>
                        </m:r>
                      </m:sub>
                      <m:sup>
                        <m:r>
                          <m:rPr>
                            <m:sty m:val="p"/>
                          </m:rPr>
                          <w:rPr>
                            <w:rFonts w:ascii="Cambria Math" w:hAnsi="Cambria Math"/>
                          </w:rPr>
                          <m:t>1-</m:t>
                        </m:r>
                        <m:r>
                          <w:rPr>
                            <w:rFonts w:ascii="Cambria Math" w:hAnsi="Cambria Math"/>
                          </w:rPr>
                          <m:t>β</m:t>
                        </m:r>
                      </m:sup>
                    </m:sSubSup>
                  </m:num>
                  <m:den>
                    <m:sSup>
                      <m:sSupPr>
                        <m:ctrlPr>
                          <w:rPr>
                            <w:rFonts w:ascii="Cambria Math" w:hAnsi="Cambria Math"/>
                          </w:rPr>
                        </m:ctrlPr>
                      </m:sSupPr>
                      <m:e>
                        <m:r>
                          <w:rPr>
                            <w:rFonts w:ascii="Cambria Math" w:hAnsi="Cambria Math"/>
                          </w:rPr>
                          <m:t>L</m:t>
                        </m:r>
                      </m:e>
                      <m:sup>
                        <m:r>
                          <m:rPr>
                            <m:sty m:val="p"/>
                          </m:rPr>
                          <w:rPr>
                            <w:rFonts w:ascii="Cambria Math" w:hAnsi="Cambria Math"/>
                          </w:rPr>
                          <m:t>1-</m:t>
                        </m:r>
                        <m:r>
                          <w:rPr>
                            <w:rFonts w:ascii="Cambria Math" w:hAnsi="Cambria Math"/>
                          </w:rPr>
                          <m:t>β</m:t>
                        </m:r>
                      </m:sup>
                    </m:sSup>
                  </m:den>
                </m:f>
              </m:e>
            </m:d>
          </m:e>
          <m:sup>
            <m:r>
              <w:rPr>
                <w:rFonts w:ascii="Cambria Math" w:hAnsi="Cambria Math"/>
              </w:rPr>
              <m:t>α</m:t>
            </m:r>
          </m:sup>
        </m:sSup>
        <m:r>
          <m:rPr>
            <m:sty m:val="p"/>
          </m:rPr>
          <w:rPr>
            <w:rFonts w:ascii="Cambria Math" w:hAnsi="Cambria Math"/>
          </w:rPr>
          <m:t>.</m:t>
        </m:r>
        <m:r>
          <w:rPr>
            <w:rFonts w:ascii="Cambria Math" w:hAnsi="Cambria Math"/>
          </w:rPr>
          <m:t>M</m:t>
        </m:r>
      </m:oMath>
    </w:p>
    <w:p w14:paraId="58E38D75" w14:textId="77777777" w:rsidR="00375729" w:rsidRPr="00886ECF" w:rsidRDefault="00375729" w:rsidP="00375729">
      <w:pPr>
        <w:pStyle w:val="BodyTextNoIndent"/>
      </w:pPr>
      <w:r w:rsidRPr="00886ECF">
        <w:t>Again using 4 and shares of capital income to substitute for β and 1-β, this equation can be written in LP growth terms as:</w:t>
      </w:r>
    </w:p>
    <w:p w14:paraId="2CB6A77C" w14:textId="77777777" w:rsidR="00375729" w:rsidRPr="00886ECF" w:rsidRDefault="00375729" w:rsidP="00375729">
      <w:pPr>
        <w:pStyle w:val="BodyTextNoIndent"/>
      </w:pPr>
      <w:r w:rsidRPr="00886ECF">
        <w:t>8.</w:t>
      </w:r>
      <w:r w:rsidRPr="00886ECF">
        <w:tab/>
      </w:r>
      <w:r w:rsidRPr="00886ECF">
        <w:tab/>
      </w:r>
      <m:oMath>
        <m:acc>
          <m:accPr>
            <m:ctrlPr>
              <w:rPr>
                <w:rFonts w:ascii="Cambria Math" w:hAnsi="Cambria Math"/>
              </w:rPr>
            </m:ctrlPr>
          </m:accPr>
          <m:e>
            <m:r>
              <w:rPr>
                <w:rFonts w:ascii="Cambria Math" w:hAnsi="Cambria Math"/>
              </w:rPr>
              <m:t>LP</m:t>
            </m:r>
          </m:e>
        </m:acc>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d>
          <m:dPr>
            <m:ctrlPr>
              <w:rPr>
                <w:rFonts w:ascii="Cambria Math" w:hAnsi="Cambria Math"/>
              </w:rPr>
            </m:ctrlPr>
          </m:dPr>
          <m:e>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I</m:t>
                    </m:r>
                  </m:sub>
                </m:sSub>
              </m:e>
            </m:acc>
            <m:r>
              <m:rPr>
                <m:sty m:val="p"/>
              </m:rPr>
              <w:rPr>
                <w:rFonts w:ascii="Cambria Math" w:hAnsi="Cambria Math"/>
              </w:rPr>
              <m:t>-</m:t>
            </m:r>
            <m:acc>
              <m:accPr>
                <m:ctrlPr>
                  <w:rPr>
                    <w:rFonts w:ascii="Cambria Math" w:hAnsi="Cambria Math"/>
                  </w:rPr>
                </m:ctrlPr>
              </m:accPr>
              <m:e>
                <m:r>
                  <w:rPr>
                    <w:rFonts w:ascii="Cambria Math" w:hAnsi="Cambria Math"/>
                  </w:rPr>
                  <m:t>L</m:t>
                </m:r>
              </m:e>
            </m:acc>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N</m:t>
                </m:r>
              </m:sub>
            </m:sSub>
          </m:e>
        </m:acc>
        <m:r>
          <m:rPr>
            <m:sty m:val="p"/>
          </m:rPr>
          <w:rPr>
            <w:rFonts w:ascii="Cambria Math" w:hAnsi="Cambria Math"/>
          </w:rPr>
          <m:t>-</m:t>
        </m:r>
        <m:acc>
          <m:accPr>
            <m:ctrlPr>
              <w:rPr>
                <w:rFonts w:ascii="Cambria Math" w:hAnsi="Cambria Math"/>
              </w:rPr>
            </m:ctrlPr>
          </m:accPr>
          <m:e>
            <m:r>
              <w:rPr>
                <w:rFonts w:ascii="Cambria Math" w:hAnsi="Cambria Math"/>
              </w:rPr>
              <m:t>L</m:t>
            </m:r>
          </m:e>
        </m:acc>
        <m:r>
          <m:rPr>
            <m:sty m:val="p"/>
          </m:rPr>
          <w:rPr>
            <w:rFonts w:ascii="Cambria Math" w:hAnsi="Cambria Math"/>
          </w:rPr>
          <m:t>)+</m:t>
        </m:r>
        <m:acc>
          <m:accPr>
            <m:ctrlPr>
              <w:rPr>
                <w:rFonts w:ascii="Cambria Math" w:hAnsi="Cambria Math"/>
              </w:rPr>
            </m:ctrlPr>
          </m:accPr>
          <m:e>
            <m:r>
              <w:rPr>
                <w:rFonts w:ascii="Cambria Math" w:hAnsi="Cambria Math"/>
              </w:rPr>
              <m:t>M</m:t>
            </m:r>
          </m:e>
        </m:acc>
      </m:oMath>
    </w:p>
    <w:p w14:paraId="7643FBB0" w14:textId="77777777" w:rsidR="00375729" w:rsidRPr="00886ECF" w:rsidRDefault="00375729" w:rsidP="00375729">
      <w:pPr>
        <w:pStyle w:val="BodyTextNoIndent"/>
      </w:pPr>
      <w:r w:rsidRPr="00886ECF">
        <w:t xml:space="preserve">Here, </w:t>
      </w:r>
      <m:oMath>
        <m:sSub>
          <m:sSubPr>
            <m:ctrlPr>
              <w:rPr>
                <w:rFonts w:ascii="Cambria Math" w:hAnsi="Cambria Math"/>
              </w:rPr>
            </m:ctrlPr>
          </m:sSubPr>
          <m:e>
            <m:r>
              <w:rPr>
                <w:rFonts w:ascii="Cambria Math" w:hAnsi="Cambria Math"/>
              </w:rPr>
              <m:t>s</m:t>
            </m:r>
          </m:e>
          <m:sub>
            <m:r>
              <w:rPr>
                <w:rFonts w:ascii="Cambria Math" w:hAnsi="Cambria Math"/>
              </w:rPr>
              <m:t>I</m:t>
            </m:r>
          </m:sub>
        </m:sSub>
      </m:oMath>
      <w:r w:rsidRPr="00886ECF">
        <w:t xml:space="preserve"> and </w:t>
      </w:r>
      <m:oMath>
        <m:sSub>
          <m:sSubPr>
            <m:ctrlPr>
              <w:rPr>
                <w:rFonts w:ascii="Cambria Math" w:hAnsi="Cambria Math"/>
              </w:rPr>
            </m:ctrlPr>
          </m:sSubPr>
          <m:e>
            <m:r>
              <w:rPr>
                <w:rFonts w:ascii="Cambria Math" w:hAnsi="Cambria Math"/>
              </w:rPr>
              <m:t>s</m:t>
            </m:r>
          </m:e>
          <m:sub>
            <m:r>
              <w:rPr>
                <w:rFonts w:ascii="Cambria Math" w:hAnsi="Cambria Math"/>
              </w:rPr>
              <m:t>N</m:t>
            </m:r>
          </m:sub>
        </m:sSub>
      </m:oMath>
      <w:r w:rsidRPr="00886ECF">
        <w:t xml:space="preserve"> are the shares of IT and non-IT in total capital income respectively. That is, LP growth can be broken into three contributions coming from:</w:t>
      </w:r>
    </w:p>
    <w:p w14:paraId="291B7F42" w14:textId="77777777" w:rsidR="00375729" w:rsidRPr="00886ECF" w:rsidRDefault="00375729" w:rsidP="00CF3D6E">
      <w:pPr>
        <w:pStyle w:val="BodyTextNoIndent"/>
        <w:numPr>
          <w:ilvl w:val="0"/>
          <w:numId w:val="34"/>
        </w:numPr>
      </w:pPr>
      <w:r w:rsidRPr="00886ECF">
        <w:t>IT capital deepening</w:t>
      </w:r>
    </w:p>
    <w:p w14:paraId="1EEDC53F" w14:textId="77777777" w:rsidR="00375729" w:rsidRPr="00886ECF" w:rsidRDefault="00375729" w:rsidP="00CF3D6E">
      <w:pPr>
        <w:pStyle w:val="BodyTextNoIndent"/>
        <w:numPr>
          <w:ilvl w:val="0"/>
          <w:numId w:val="34"/>
        </w:numPr>
      </w:pPr>
      <w:r w:rsidRPr="00886ECF">
        <w:t>non-IT capital deepening</w:t>
      </w:r>
      <w:r w:rsidR="002B4380">
        <w:t>, and</w:t>
      </w:r>
    </w:p>
    <w:p w14:paraId="22B4B331" w14:textId="77777777" w:rsidR="00375729" w:rsidRPr="00886ECF" w:rsidRDefault="00375729" w:rsidP="00CF3D6E">
      <w:pPr>
        <w:pStyle w:val="BodyTextNoIndent"/>
        <w:numPr>
          <w:ilvl w:val="0"/>
          <w:numId w:val="34"/>
        </w:numPr>
      </w:pPr>
      <w:r w:rsidRPr="00886ECF">
        <w:t>multifactor productivity growth.</w:t>
      </w:r>
    </w:p>
    <w:p w14:paraId="094B2636" w14:textId="77777777" w:rsidR="00375729" w:rsidRPr="00886ECF" w:rsidRDefault="00375729" w:rsidP="00375729">
      <w:pPr>
        <w:pStyle w:val="BodyTextNoIndent"/>
      </w:pPr>
      <w:r w:rsidRPr="00886ECF">
        <w:t>The IT capital deepening contribution in 8 can be further disaggregated into hardware and software contributions. The first term on the right hand side of 8 can be expressed as:</w:t>
      </w:r>
    </w:p>
    <w:p w14:paraId="23059D11" w14:textId="77777777" w:rsidR="00375729" w:rsidRPr="00886ECF" w:rsidRDefault="00375729" w:rsidP="00375729">
      <w:pPr>
        <w:pStyle w:val="BodyTextNoIndent"/>
      </w:pPr>
      <w:r w:rsidRPr="00886ECF">
        <w:t>9.</w:t>
      </w:r>
      <w:r w:rsidRPr="00886ECF">
        <w:tab/>
      </w:r>
      <w:r w:rsidRPr="00886ECF">
        <w:tab/>
      </w:r>
      <m:oMath>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S</m:t>
            </m:r>
          </m:sub>
        </m:sSub>
        <m:d>
          <m:dPr>
            <m:ctrlPr>
              <w:rPr>
                <w:rFonts w:ascii="Cambria Math" w:hAnsi="Cambria Math"/>
              </w:rPr>
            </m:ctrlPr>
          </m:dPr>
          <m:e>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S</m:t>
                    </m:r>
                  </m:sub>
                </m:sSub>
              </m:e>
            </m:acc>
            <m:r>
              <m:rPr>
                <m:sty m:val="p"/>
              </m:rPr>
              <w:rPr>
                <w:rFonts w:ascii="Cambria Math" w:hAnsi="Cambria Math"/>
              </w:rPr>
              <m:t>-</m:t>
            </m:r>
            <m:acc>
              <m:accPr>
                <m:ctrlPr>
                  <w:rPr>
                    <w:rFonts w:ascii="Cambria Math" w:hAnsi="Cambria Math"/>
                  </w:rPr>
                </m:ctrlPr>
              </m:accPr>
              <m:e>
                <m:r>
                  <w:rPr>
                    <w:rFonts w:ascii="Cambria Math" w:hAnsi="Cambria Math"/>
                  </w:rPr>
                  <m:t>L</m:t>
                </m:r>
              </m:e>
            </m:acc>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H</m:t>
            </m:r>
          </m:sub>
        </m:sSub>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H</m:t>
                </m:r>
              </m:sub>
            </m:sSub>
          </m:e>
        </m:acc>
        <m:r>
          <m:rPr>
            <m:sty m:val="p"/>
          </m:rPr>
          <w:rPr>
            <w:rFonts w:ascii="Cambria Math" w:hAnsi="Cambria Math"/>
          </w:rPr>
          <m:t>-</m:t>
        </m:r>
        <m:acc>
          <m:accPr>
            <m:ctrlPr>
              <w:rPr>
                <w:rFonts w:ascii="Cambria Math" w:hAnsi="Cambria Math"/>
              </w:rPr>
            </m:ctrlPr>
          </m:accPr>
          <m:e>
            <m:r>
              <w:rPr>
                <w:rFonts w:ascii="Cambria Math" w:hAnsi="Cambria Math"/>
              </w:rPr>
              <m:t>L</m:t>
            </m:r>
          </m:e>
        </m:acc>
        <m:r>
          <m:rPr>
            <m:sty m:val="p"/>
          </m:rPr>
          <w:rPr>
            <w:rFonts w:ascii="Cambria Math" w:hAnsi="Cambria Math"/>
          </w:rPr>
          <m:t>)</m:t>
        </m:r>
      </m:oMath>
    </w:p>
    <w:p w14:paraId="2967588A" w14:textId="77777777" w:rsidR="00375729" w:rsidRPr="00185E7D" w:rsidRDefault="00375729" w:rsidP="00375729">
      <w:pPr>
        <w:pStyle w:val="BodyTextNoIndent"/>
        <w:rPr>
          <w:rFonts w:ascii="Cambria" w:eastAsiaTheme="minorEastAsia" w:hAnsi="Cambria"/>
        </w:rPr>
      </w:pPr>
      <w:r w:rsidRPr="00185E7D">
        <w:rPr>
          <w:rFonts w:ascii="Cambria" w:eastAsiaTheme="minorEastAsia" w:hAnsi="Cambria"/>
        </w:rPr>
        <w:t xml:space="preserve">Here,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oMath>
      <w:r w:rsidRPr="00185E7D">
        <w:rPr>
          <w:rFonts w:ascii="Cambria" w:eastAsiaTheme="minorEastAsia" w:hAnsi="Cambria"/>
        </w:rPr>
        <w:t xml:space="preserve"> and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H</m:t>
            </m:r>
          </m:sub>
        </m:sSub>
      </m:oMath>
      <w:r w:rsidRPr="00185E7D">
        <w:rPr>
          <w:rFonts w:ascii="Cambria" w:eastAsiaTheme="minorEastAsia" w:hAnsi="Cambria"/>
        </w:rPr>
        <w:t xml:space="preserve"> are the software and hardware shares in IT capital income and </w:t>
      </w:r>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S</m:t>
                </m:r>
              </m:sub>
            </m:sSub>
          </m:e>
        </m:acc>
      </m:oMath>
      <w:r w:rsidRPr="00185E7D">
        <w:rPr>
          <w:rFonts w:ascii="Cambria" w:eastAsiaTheme="minorEastAsia" w:hAnsi="Cambria"/>
        </w:rPr>
        <w:t xml:space="preserve"> and </w:t>
      </w:r>
      <m:oMath>
        <m:acc>
          <m:accPr>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H</m:t>
                </m:r>
              </m:sub>
            </m:sSub>
          </m:e>
        </m:acc>
      </m:oMath>
      <w:r w:rsidRPr="00185E7D">
        <w:rPr>
          <w:rFonts w:ascii="Cambria" w:eastAsiaTheme="minorEastAsia" w:hAnsi="Cambria"/>
        </w:rPr>
        <w:t xml:space="preserve"> refer to growth in software and hardware respectively. The relationship here expresses the sum of the software contribution and the hardware contribution to IT capital deepening.</w:t>
      </w:r>
    </w:p>
    <w:p w14:paraId="7CBC64EB" w14:textId="77777777" w:rsidR="00375729" w:rsidRPr="00185E7D" w:rsidRDefault="00375729" w:rsidP="00F37FA2">
      <w:pPr>
        <w:pStyle w:val="BCRHead2"/>
      </w:pPr>
      <w:bookmarkStart w:id="52" w:name="_Toc436920433"/>
      <w:r w:rsidRPr="00185E7D">
        <w:t>4.2</w:t>
      </w:r>
      <w:r w:rsidRPr="00185E7D">
        <w:tab/>
        <w:t>The model’s strengths and weaknesses</w:t>
      </w:r>
      <w:bookmarkEnd w:id="52"/>
    </w:p>
    <w:p w14:paraId="627893D0" w14:textId="77777777" w:rsidR="00375729" w:rsidRPr="00886ECF" w:rsidRDefault="00375729" w:rsidP="00375729">
      <w:pPr>
        <w:pStyle w:val="BodyTextNoIndent"/>
      </w:pPr>
      <w:r w:rsidRPr="00886ECF">
        <w:t>This growth accounting model has been used widely in</w:t>
      </w:r>
      <w:r w:rsidR="00A96226">
        <w:t xml:space="preserve"> the</w:t>
      </w:r>
      <w:r w:rsidRPr="00886ECF">
        <w:t xml:space="preserve"> international literature to analyse the effect of IT on labour productivity growth: it is the most common method and why BCR has used it in this report. However, it does have omissions that are important to point out in order to properly understand its findings.</w:t>
      </w:r>
    </w:p>
    <w:p w14:paraId="46CB89EC" w14:textId="77777777" w:rsidR="00375729" w:rsidRPr="00886ECF" w:rsidRDefault="00375729" w:rsidP="00375729">
      <w:pPr>
        <w:pStyle w:val="BodyTextNoIndent"/>
      </w:pPr>
      <w:r w:rsidRPr="00886ECF">
        <w:t>Growth accounting is a statistical decomposition of productivity into contributions from growth in output and inputs; it doesn’t indicate causality and interrelationships. For example, capital and MFP are presented as separate elements of production, whereas MFP gains may actually raise the returns on capital and induce more capital investment.</w:t>
      </w:r>
    </w:p>
    <w:p w14:paraId="09770A24" w14:textId="77777777" w:rsidR="00375729" w:rsidRPr="00886ECF" w:rsidRDefault="00375729" w:rsidP="00375729">
      <w:pPr>
        <w:pStyle w:val="BodyTextNoIndent"/>
      </w:pPr>
      <w:r w:rsidRPr="00886ECF">
        <w:t xml:space="preserve">Through the IT-capital deepening component—the first term on the right hand side of equation </w:t>
      </w:r>
      <w:r w:rsidR="007558FE">
        <w:t>eight</w:t>
      </w:r>
      <w:r w:rsidRPr="00886ECF">
        <w:t xml:space="preserve">— growth accounting identifies the scope for IT to penetrate an industry and contribute to labour productivity growth as a substitute for labour. </w:t>
      </w:r>
    </w:p>
    <w:p w14:paraId="36CCADAB" w14:textId="77777777" w:rsidR="00375729" w:rsidRPr="00886ECF" w:rsidRDefault="00375729" w:rsidP="00375729">
      <w:pPr>
        <w:pStyle w:val="BodyTextNoIndent"/>
      </w:pPr>
      <w:r w:rsidRPr="00886ECF">
        <w:t>This can happen, for example, in carrying out routine computational, presentational and storage tasks and reducing the need for middle-level management to supervise such routine tasks. Having fewer staffing overheads and more capital to work with effectively enhances the productivity of ongoing employees.</w:t>
      </w:r>
    </w:p>
    <w:p w14:paraId="652F4180" w14:textId="77777777" w:rsidR="00375729" w:rsidRPr="00886ECF" w:rsidRDefault="00375729" w:rsidP="00375729">
      <w:pPr>
        <w:pStyle w:val="BodyTextNoIndent"/>
      </w:pPr>
      <w:r w:rsidRPr="00886ECF">
        <w:t xml:space="preserve">The major omission from traditional growth accounting is a mechanism to identify any </w:t>
      </w:r>
      <w:r w:rsidR="00A96226">
        <w:t>MFP</w:t>
      </w:r>
      <w:r w:rsidRPr="00886ECF">
        <w:t xml:space="preserve"> gains linked specifically to IT use. The MFP term on the right hand side of equation </w:t>
      </w:r>
      <w:r w:rsidR="007558FE">
        <w:t>eight</w:t>
      </w:r>
      <w:r w:rsidRPr="00886ECF">
        <w:t xml:space="preserve"> picks up MFP gains from any source, including innovations enabled by IT use. The IT-based productivity gains must be identified and measured by some other technique, for example econometric analysis.</w:t>
      </w:r>
    </w:p>
    <w:p w14:paraId="60F0B72C" w14:textId="77777777" w:rsidR="00375729" w:rsidRPr="00886ECF" w:rsidRDefault="00375729" w:rsidP="00375729">
      <w:pPr>
        <w:pStyle w:val="BodyTextNoIndent"/>
      </w:pPr>
      <w:r w:rsidRPr="00886ECF">
        <w:t>There are further limitations that are not necessarily confined to growth accounting. Nevertheless, they are qualifications relevant to the interpretation of the analysis presented in this paper.</w:t>
      </w:r>
    </w:p>
    <w:p w14:paraId="0DAFED80" w14:textId="77777777" w:rsidR="00375729" w:rsidRPr="00886ECF" w:rsidRDefault="00375729" w:rsidP="00375729">
      <w:pPr>
        <w:pStyle w:val="BodyTextNoIndent"/>
      </w:pPr>
      <w:r w:rsidRPr="00886ECF">
        <w:t>First, there is the issue of skill complementarity. As shown, growth accounting identifies the degree of substitution of IT capital for labour. However, there is evidence of skill bias associated with IT use. That is, while IT substitutes for unskilled labour in routine tasks it is complementary to skilled labour. Armed with hardware and software packages, skilled employees can carry out more sophisticated and higher value</w:t>
      </w:r>
      <w:r w:rsidR="00A96226">
        <w:t>-</w:t>
      </w:r>
      <w:r w:rsidRPr="00886ECF">
        <w:t xml:space="preserve">adding tasks. </w:t>
      </w:r>
    </w:p>
    <w:p w14:paraId="31370B29" w14:textId="77777777" w:rsidR="00375729" w:rsidRPr="00886ECF" w:rsidRDefault="00375729" w:rsidP="00375729">
      <w:pPr>
        <w:pStyle w:val="BodyTextNoIndent"/>
      </w:pPr>
      <w:r w:rsidRPr="00886ECF">
        <w:t>Skill complementarity would show up as co-movement between IT use and employment of skilled labour. However, the standard growth accounting formulation does not pick up this mechanism. It identifies net substitution effects for labour as a whole. (In principle, it could pick up net complementary effects for labour as a whole if complementarities outweighed substitution effects.)</w:t>
      </w:r>
    </w:p>
    <w:p w14:paraId="27B3FE8F" w14:textId="77777777" w:rsidR="00375729" w:rsidRPr="00886ECF" w:rsidRDefault="00375729" w:rsidP="00375729">
      <w:pPr>
        <w:pStyle w:val="BodyTextNoIndent"/>
      </w:pPr>
      <w:r w:rsidRPr="00886ECF">
        <w:t>Second, the standard analysis does not identify the combined or joint role of IT and complementary investments in enabling productivity gains. Again, this would have to be investigated through econometric analysis.</w:t>
      </w:r>
    </w:p>
    <w:p w14:paraId="3F39858C" w14:textId="77777777" w:rsidR="00375729" w:rsidRPr="00185E7D" w:rsidRDefault="00375729" w:rsidP="00F37FA2">
      <w:pPr>
        <w:pStyle w:val="BCRHead2"/>
      </w:pPr>
      <w:bookmarkStart w:id="53" w:name="_Toc436920434"/>
      <w:r w:rsidRPr="00185E7D">
        <w:t>4.3</w:t>
      </w:r>
      <w:r w:rsidRPr="00185E7D">
        <w:tab/>
        <w:t>Extensions for this paper</w:t>
      </w:r>
      <w:bookmarkEnd w:id="53"/>
    </w:p>
    <w:p w14:paraId="1CC51E48" w14:textId="77777777" w:rsidR="00375729" w:rsidRPr="00886ECF" w:rsidRDefault="00375729" w:rsidP="00375729">
      <w:pPr>
        <w:pStyle w:val="BodyTextNoIndent"/>
      </w:pPr>
      <w:r w:rsidRPr="00886ECF">
        <w:t>To address some of the weaknesses outlined earlier in this section, this paper goes beyond the standard growth accounting framework to examine the effects IT use may have on capital productivity; any association between IT use and skills; and whether IT use allows any efficiency gains in the use of intermediate inputs.</w:t>
      </w:r>
    </w:p>
    <w:p w14:paraId="51278280" w14:textId="77777777" w:rsidR="00375729" w:rsidRPr="00185E7D" w:rsidRDefault="00375729" w:rsidP="00F37FA2">
      <w:pPr>
        <w:pStyle w:val="BCRHead3"/>
      </w:pPr>
      <w:bookmarkStart w:id="54" w:name="_Toc436909155"/>
      <w:bookmarkStart w:id="55" w:name="_Toc436920435"/>
      <w:r w:rsidRPr="00185E7D">
        <w:t>4.3.1</w:t>
      </w:r>
      <w:r w:rsidRPr="00185E7D">
        <w:tab/>
        <w:t>Capital productivity</w:t>
      </w:r>
      <w:bookmarkEnd w:id="54"/>
      <w:bookmarkEnd w:id="55"/>
    </w:p>
    <w:p w14:paraId="73C65A3D" w14:textId="77777777" w:rsidR="00375729" w:rsidRPr="00886ECF" w:rsidRDefault="00375729" w:rsidP="00375729">
      <w:pPr>
        <w:pStyle w:val="BodyTextNoIndent"/>
      </w:pPr>
      <w:r w:rsidRPr="00886ECF">
        <w:t>An important new step in this paper is to examine the effects IT use may have on capital productivity. Greater use of IT may reduce the requirements for other assets. For example, use of remote sensors is likely to reduce the requirements for motor vehicles to take staff to sites to carry out monitoring. Reducing the requirements for assets is the same as improving their productivity. The ratio of output produced to capital asset used has increased.</w:t>
      </w:r>
    </w:p>
    <w:p w14:paraId="1B80CC06" w14:textId="77777777" w:rsidR="00375729" w:rsidRPr="00886ECF" w:rsidRDefault="00375729" w:rsidP="00375729">
      <w:pPr>
        <w:pStyle w:val="BodyTextNoIndent"/>
      </w:pPr>
      <w:r w:rsidRPr="00886ECF">
        <w:t>A simple and exploratory approach is taken to look at capital productivity effects.</w:t>
      </w:r>
      <w:r w:rsidR="001F400B">
        <w:rPr>
          <w:rStyle w:val="EndnoteReference"/>
        </w:rPr>
        <w:endnoteReference w:id="5"/>
      </w:r>
      <w:r w:rsidRPr="002B3C36">
        <w:rPr>
          <w:vertAlign w:val="superscript"/>
        </w:rPr>
        <w:t xml:space="preserve"> </w:t>
      </w:r>
      <w:r w:rsidRPr="00886ECF">
        <w:t xml:space="preserve">In combination with accounting for LP growth, assessing capital productivity provides a statistical accounting way of looking at some effects of IT on MFP growth. If some association between IT use and non-IT capital productivity is found, it would provide a case for these effects to be investigated more rigorously through a re-specified production function and, probably, a different analytical technique. </w:t>
      </w:r>
    </w:p>
    <w:p w14:paraId="371FD161" w14:textId="77777777" w:rsidR="00375729" w:rsidRPr="00886ECF" w:rsidRDefault="00375729" w:rsidP="00375729">
      <w:pPr>
        <w:pStyle w:val="BodyTextNoIndent"/>
      </w:pPr>
      <w:r w:rsidRPr="00886ECF">
        <w:t>From equation 1 (dropping the time subscript):</w:t>
      </w:r>
    </w:p>
    <w:p w14:paraId="5AB04FDA" w14:textId="77777777" w:rsidR="00375729" w:rsidRPr="00886ECF" w:rsidRDefault="00375729" w:rsidP="00375729">
      <w:pPr>
        <w:pStyle w:val="BodyTextNoIndent"/>
      </w:pPr>
      <w:r w:rsidRPr="00886ECF">
        <w:t>9.</w:t>
      </w:r>
      <w:r w:rsidRPr="00886ECF">
        <w:tab/>
      </w:r>
      <w:r w:rsidRPr="00886ECF">
        <w:tab/>
      </w:r>
      <m:oMath>
        <m:r>
          <w:rPr>
            <w:rFonts w:ascii="Cambria Math" w:hAnsi="Cambria Math"/>
          </w:rPr>
          <m:t>M</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K</m:t>
                    </m:r>
                  </m:den>
                </m:f>
              </m:e>
            </m:d>
          </m:e>
          <m:sup>
            <m:r>
              <w:rPr>
                <w:rFonts w:ascii="Cambria Math" w:hAnsi="Cambria Math"/>
              </w:rPr>
              <m:t>α</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L</m:t>
                    </m:r>
                  </m:den>
                </m:f>
              </m:e>
            </m:d>
          </m:e>
          <m:sup>
            <m:r>
              <m:rPr>
                <m:sty m:val="p"/>
              </m:rPr>
              <w:rPr>
                <w:rFonts w:ascii="Cambria Math" w:hAnsi="Cambria Math"/>
              </w:rPr>
              <m:t>1-</m:t>
            </m:r>
            <m:r>
              <w:rPr>
                <w:rFonts w:ascii="Cambria Math" w:hAnsi="Cambria Math"/>
              </w:rPr>
              <m:t>α</m:t>
            </m:r>
          </m:sup>
        </m:sSup>
      </m:oMath>
    </w:p>
    <w:p w14:paraId="38F44154" w14:textId="77777777" w:rsidR="00375729" w:rsidRPr="00886ECF" w:rsidRDefault="00375729" w:rsidP="00375729">
      <w:pPr>
        <w:pStyle w:val="BodyTextNoIndent"/>
      </w:pPr>
      <w:r w:rsidRPr="00886ECF">
        <w:t>In growth terms and substituting income/cost shares for output elasticities:</w:t>
      </w:r>
    </w:p>
    <w:p w14:paraId="0D7AF2E9" w14:textId="77777777" w:rsidR="00375729" w:rsidRPr="00886ECF" w:rsidRDefault="00375729" w:rsidP="00375729">
      <w:pPr>
        <w:pStyle w:val="BodyTextNoIndent"/>
      </w:pPr>
      <w:r w:rsidRPr="00886ECF">
        <w:t>10.</w:t>
      </w:r>
      <w:r w:rsidRPr="00886ECF">
        <w:tab/>
      </w:r>
      <w:r w:rsidRPr="00886ECF">
        <w:tab/>
      </w:r>
      <m:oMath>
        <m:acc>
          <m:accPr>
            <m:ctrlPr>
              <w:rPr>
                <w:rFonts w:ascii="Cambria Math" w:hAnsi="Cambria Math"/>
              </w:rPr>
            </m:ctrlPr>
          </m:accPr>
          <m:e>
            <m:r>
              <w:rPr>
                <w:rFonts w:ascii="Cambria Math" w:hAnsi="Cambria Math"/>
              </w:rPr>
              <m:t>M</m:t>
            </m:r>
          </m:e>
        </m:acc>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K</m:t>
                    </m:r>
                  </m:den>
                </m:f>
              </m:e>
            </m:d>
          </m:e>
        </m:acc>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L</m:t>
                    </m:r>
                  </m:den>
                </m:f>
              </m:e>
            </m:d>
          </m:e>
        </m:acc>
      </m:oMath>
    </w:p>
    <w:p w14:paraId="40C57B62" w14:textId="77777777" w:rsidR="00375729" w:rsidRPr="00886ECF" w:rsidRDefault="00375729" w:rsidP="00375729">
      <w:pPr>
        <w:pStyle w:val="BodyTextNoIndent"/>
      </w:pPr>
      <w:r w:rsidRPr="00886ECF">
        <w:t>That is, MFP growth can be represented as a weighted average of capital productivity growth and labour productivity growth, where the factor income shares are the weights.</w:t>
      </w:r>
    </w:p>
    <w:p w14:paraId="731B34EB" w14:textId="77777777" w:rsidR="00375729" w:rsidRPr="00886ECF" w:rsidRDefault="00375729" w:rsidP="00375729">
      <w:pPr>
        <w:pStyle w:val="BodyTextNoIndent"/>
      </w:pPr>
      <w:r w:rsidRPr="00886ECF">
        <w:t xml:space="preserve">In addition, we know the contribution of IT to labour productivity growth through IT capital deepening. Multiplying that by </w:t>
      </w:r>
      <m:oMath>
        <m:sSub>
          <m:sSubPr>
            <m:ctrlPr>
              <w:rPr>
                <w:rFonts w:ascii="Cambria Math" w:hAnsi="Cambria Math"/>
              </w:rPr>
            </m:ctrlPr>
          </m:sSubPr>
          <m:e>
            <m:r>
              <w:rPr>
                <w:rFonts w:ascii="Cambria Math" w:hAnsi="Cambria Math"/>
              </w:rPr>
              <m:t>s</m:t>
            </m:r>
          </m:e>
          <m:sub>
            <m:r>
              <w:rPr>
                <w:rFonts w:ascii="Cambria Math" w:hAnsi="Cambria Math"/>
              </w:rPr>
              <m:t>L</m:t>
            </m:r>
          </m:sub>
        </m:sSub>
      </m:oMath>
      <w:r w:rsidRPr="00886ECF">
        <w:t xml:space="preserve"> gives the contribution of IT capital deepening to MFP growth.</w:t>
      </w:r>
    </w:p>
    <w:p w14:paraId="75C9FECC" w14:textId="77777777" w:rsidR="00375729" w:rsidRPr="00886ECF" w:rsidRDefault="00375729" w:rsidP="00375729">
      <w:pPr>
        <w:pStyle w:val="BodyTextNoIndent"/>
      </w:pPr>
      <w:r w:rsidRPr="00886ECF">
        <w:t>Borrowing from 6, capital productivity in 10 can be decomposed according to:</w:t>
      </w:r>
    </w:p>
    <w:p w14:paraId="6140D9CF" w14:textId="77777777" w:rsidR="00375729" w:rsidRPr="00886ECF" w:rsidRDefault="00375729" w:rsidP="00375729">
      <w:pPr>
        <w:pStyle w:val="BodyTextNoIndent"/>
      </w:pPr>
      <w:r w:rsidRPr="00886ECF">
        <w:t>11.</w:t>
      </w:r>
      <w:r w:rsidRPr="00886ECF">
        <w:tab/>
      </w:r>
      <w:r w:rsidRPr="00886ECF">
        <w:tab/>
      </w:r>
      <m:oMath>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K</m:t>
                    </m:r>
                  </m:den>
                </m:f>
              </m:e>
            </m:d>
          </m:e>
        </m:acc>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d>
          <m:dPr>
            <m:ctrlPr>
              <w:rPr>
                <w:rFonts w:ascii="Cambria Math" w:hAnsi="Cambria Math"/>
              </w:rPr>
            </m:ctrlPr>
          </m:dPr>
          <m:e>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I</m:t>
                    </m:r>
                  </m:sub>
                </m:sSub>
              </m:e>
            </m:acc>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N</m:t>
            </m:r>
          </m:sub>
        </m:sSub>
        <m:d>
          <m:dPr>
            <m:ctrlPr>
              <w:rPr>
                <w:rFonts w:ascii="Cambria Math" w:hAnsi="Cambria Math"/>
              </w:rPr>
            </m:ctrlPr>
          </m:dPr>
          <m:e>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N</m:t>
                    </m:r>
                  </m:sub>
                </m:sSub>
              </m:e>
            </m:acc>
          </m:e>
        </m:d>
      </m:oMath>
    </w:p>
    <w:p w14:paraId="0FF0C43A" w14:textId="77777777" w:rsidR="00375729" w:rsidRPr="00886ECF" w:rsidRDefault="00375729" w:rsidP="00375729">
      <w:pPr>
        <w:pStyle w:val="BodyTextNoIndent"/>
      </w:pPr>
      <w:r w:rsidRPr="00886ECF">
        <w:t>Substituting into 10:</w:t>
      </w:r>
    </w:p>
    <w:p w14:paraId="22A4995F" w14:textId="77777777" w:rsidR="00375729" w:rsidRPr="00886ECF" w:rsidRDefault="00375729" w:rsidP="00375729">
      <w:pPr>
        <w:pStyle w:val="BodyTextNoIndent"/>
      </w:pPr>
      <w:r w:rsidRPr="00886ECF">
        <w:t>12.</w:t>
      </w:r>
      <w:r w:rsidRPr="00886ECF">
        <w:tab/>
      </w:r>
      <w:r w:rsidRPr="00886ECF">
        <w:tab/>
      </w:r>
      <m:oMath>
        <m:acc>
          <m:accPr>
            <m:ctrlPr>
              <w:rPr>
                <w:rFonts w:ascii="Cambria Math" w:hAnsi="Cambria Math"/>
              </w:rPr>
            </m:ctrlPr>
          </m:accPr>
          <m:e>
            <m:r>
              <w:rPr>
                <w:rFonts w:ascii="Cambria Math" w:hAnsi="Cambria Math"/>
              </w:rPr>
              <m:t>M</m:t>
            </m:r>
          </m:e>
        </m:acc>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d>
          <m:dPr>
            <m:ctrlPr>
              <w:rPr>
                <w:rFonts w:ascii="Cambria Math" w:hAnsi="Cambria Math"/>
              </w:rPr>
            </m:ctrlPr>
          </m:dPr>
          <m:e>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I</m:t>
                    </m:r>
                  </m:sub>
                </m:sSub>
              </m:e>
            </m:acc>
          </m:e>
        </m:d>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d>
          <m:dPr>
            <m:ctrlPr>
              <w:rPr>
                <w:rFonts w:ascii="Cambria Math" w:hAnsi="Cambria Math"/>
              </w:rPr>
            </m:ctrlPr>
          </m:dPr>
          <m:e>
            <m:acc>
              <m:accPr>
                <m:ctrlPr>
                  <w:rPr>
                    <w:rFonts w:ascii="Cambria Math" w:hAnsi="Cambria Math"/>
                  </w:rPr>
                </m:ctrlPr>
              </m:accPr>
              <m:e>
                <m:r>
                  <w:rPr>
                    <w:rFonts w:ascii="Cambria Math" w:hAnsi="Cambria Math"/>
                  </w:rPr>
                  <m:t>Y</m:t>
                </m:r>
              </m:e>
            </m:acc>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K</m:t>
                    </m:r>
                  </m:e>
                  <m:sub>
                    <m:r>
                      <w:rPr>
                        <w:rFonts w:ascii="Cambria Math" w:hAnsi="Cambria Math"/>
                      </w:rPr>
                      <m:t>N</m:t>
                    </m:r>
                  </m:sub>
                </m:sSub>
              </m:e>
            </m:acc>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acc>
          <m:accPr>
            <m:ctrlPr>
              <w:rPr>
                <w:rFonts w:ascii="Cambria Math" w:hAnsi="Cambria Math"/>
              </w:rPr>
            </m:ctrlPr>
          </m:accPr>
          <m:e>
            <m:d>
              <m:dPr>
                <m:begChr m:val="["/>
                <m:endChr m:val="]"/>
                <m:ctrlPr>
                  <w:rPr>
                    <w:rFonts w:ascii="Cambria Math" w:hAnsi="Cambria Math"/>
                  </w:rPr>
                </m:ctrlPr>
              </m:dPr>
              <m:e>
                <m:f>
                  <m:fPr>
                    <m:ctrlPr>
                      <w:rPr>
                        <w:rFonts w:ascii="Cambria Math" w:hAnsi="Cambria Math"/>
                      </w:rPr>
                    </m:ctrlPr>
                  </m:fPr>
                  <m:num>
                    <m:r>
                      <w:rPr>
                        <w:rFonts w:ascii="Cambria Math" w:hAnsi="Cambria Math"/>
                      </w:rPr>
                      <m:t>Y</m:t>
                    </m:r>
                  </m:num>
                  <m:den>
                    <m:r>
                      <w:rPr>
                        <w:rFonts w:ascii="Cambria Math" w:hAnsi="Cambria Math"/>
                      </w:rPr>
                      <m:t>L</m:t>
                    </m:r>
                  </m:den>
                </m:f>
              </m:e>
            </m:d>
          </m:e>
        </m:acc>
      </m:oMath>
    </w:p>
    <w:p w14:paraId="1F9CA31C" w14:textId="77777777" w:rsidR="00375729" w:rsidRPr="00886ECF" w:rsidRDefault="00375729" w:rsidP="00375729">
      <w:pPr>
        <w:pStyle w:val="BodyTextNoIndent"/>
      </w:pPr>
      <w:r w:rsidRPr="00886ECF">
        <w:t>The second term is the contribution of non-IT capital productivity to MFP growth. If some contribution of IT to non-IT capital productivity can be established, that second term in 12 highlights the importance of a second channel for IT to influence MFP growth.</w:t>
      </w:r>
    </w:p>
    <w:p w14:paraId="572A3B98" w14:textId="77777777" w:rsidR="00375729" w:rsidRPr="00886ECF" w:rsidRDefault="00375729" w:rsidP="00375729">
      <w:pPr>
        <w:pStyle w:val="BodyTextNoIndent"/>
      </w:pPr>
      <w:r w:rsidRPr="00886ECF">
        <w:t>A link between IT and non-IT productivity was not formally analysed, however. The degree of correlation between IT capital and the productivity of non-IT assets is simply examined, collectively and individually. That correlation does not necessarily mean causality should be kept in mind. That is, even with high correlation with IT use, the productivity of an asset could rise because of some other unrelated factor, such as a technological advance embedded in the asset.</w:t>
      </w:r>
    </w:p>
    <w:p w14:paraId="0A3D0892" w14:textId="77777777" w:rsidR="00375729" w:rsidRPr="00185E7D" w:rsidRDefault="00375729" w:rsidP="00F37FA2">
      <w:pPr>
        <w:pStyle w:val="BCRHead3"/>
      </w:pPr>
      <w:bookmarkStart w:id="56" w:name="_Toc436909156"/>
      <w:bookmarkStart w:id="57" w:name="_Toc436920436"/>
      <w:r w:rsidRPr="00185E7D">
        <w:t>4.3.2</w:t>
      </w:r>
      <w:r w:rsidRPr="00185E7D">
        <w:tab/>
        <w:t>Skills</w:t>
      </w:r>
      <w:bookmarkEnd w:id="56"/>
      <w:bookmarkEnd w:id="57"/>
    </w:p>
    <w:p w14:paraId="627E6E0D" w14:textId="77777777" w:rsidR="00375729" w:rsidRPr="00886ECF" w:rsidRDefault="00375729" w:rsidP="00375729">
      <w:pPr>
        <w:pStyle w:val="BodyTextNoIndent"/>
      </w:pPr>
      <w:r w:rsidRPr="00886ECF">
        <w:t>Skills are part of labour supply. Their evolution and effect on MFP can be assessed through the ABS quality-adjusted labour input (QALI) measure.</w:t>
      </w:r>
    </w:p>
    <w:p w14:paraId="2750DE96" w14:textId="77777777" w:rsidR="00375729" w:rsidRPr="00886ECF" w:rsidRDefault="00375729" w:rsidP="00375729">
      <w:pPr>
        <w:pStyle w:val="BodyTextNoIndent"/>
      </w:pPr>
      <w:r w:rsidRPr="00886ECF">
        <w:t>QALI refines the standard hours worked measure of labour input. The productivity measures presented above are based on this simple count of total hours worked. The implicit assumption is that an hour worked by all skill groups is equally productive. QALI relaxes this assumption by weighting the hours worked by different skill groups according to their relative average wage. This calls on the assumption that relative wages of skill groups reflect t</w:t>
      </w:r>
      <w:r>
        <w:t>heir relative productivities.</w:t>
      </w:r>
    </w:p>
    <w:p w14:paraId="6477EF9D" w14:textId="77777777" w:rsidR="00375729" w:rsidRPr="00886ECF" w:rsidRDefault="00375729" w:rsidP="00375729">
      <w:pPr>
        <w:pStyle w:val="BodyTextNoIndent"/>
      </w:pPr>
      <w:r w:rsidRPr="00886ECF">
        <w:t>The difference between growth in QALI and growth in hours worked is the growth in average skill. It is strictly the change in skill composition.</w:t>
      </w:r>
      <w:r w:rsidR="001F400B">
        <w:rPr>
          <w:rStyle w:val="EndnoteReference"/>
        </w:rPr>
        <w:endnoteReference w:id="6"/>
      </w:r>
      <w:r w:rsidRPr="002B3C36">
        <w:rPr>
          <w:vertAlign w:val="superscript"/>
        </w:rPr>
        <w:t xml:space="preserve"> </w:t>
      </w:r>
      <w:r w:rsidRPr="00886ECF">
        <w:t>But if there is a general trend toward skill, the wedge between growth in QALI and in hours worked will be positive and can be thought of as the growth in the weighted average skill level.</w:t>
      </w:r>
    </w:p>
    <w:p w14:paraId="6830530B" w14:textId="77777777" w:rsidR="00375729" w:rsidRPr="00886ECF" w:rsidRDefault="00375729" w:rsidP="00375729">
      <w:pPr>
        <w:pStyle w:val="BodyTextNoIndent"/>
      </w:pPr>
      <w:r w:rsidRPr="00886ECF">
        <w:t>As noted above, IT may be skill biased, in which case an association between IT use and increase in skills may show up.</w:t>
      </w:r>
    </w:p>
    <w:p w14:paraId="20EEB440" w14:textId="77777777" w:rsidR="00375729" w:rsidRPr="00886ECF" w:rsidRDefault="00375729" w:rsidP="00375729">
      <w:pPr>
        <w:pStyle w:val="BodyTextNoIndent"/>
      </w:pPr>
      <w:r w:rsidRPr="00886ECF">
        <w:t>The possible link between IT use and skills was not investigated in any formal way. Rather, the degree of correlation between IT capital and QALI change was observed. Again, correlation does not necessarily mean causality, which could run in either direction.</w:t>
      </w:r>
    </w:p>
    <w:p w14:paraId="0085BA45" w14:textId="77777777" w:rsidR="00375729" w:rsidRPr="00185E7D" w:rsidRDefault="00375729" w:rsidP="00F37FA2">
      <w:pPr>
        <w:pStyle w:val="BCRHead3"/>
      </w:pPr>
      <w:bookmarkStart w:id="58" w:name="_Toc436909157"/>
      <w:bookmarkStart w:id="59" w:name="_Toc436920437"/>
      <w:r w:rsidRPr="00185E7D">
        <w:t>4.3.3</w:t>
      </w:r>
      <w:r w:rsidRPr="00185E7D">
        <w:tab/>
        <w:t>Intermediates</w:t>
      </w:r>
      <w:bookmarkEnd w:id="58"/>
      <w:bookmarkEnd w:id="59"/>
    </w:p>
    <w:p w14:paraId="25479354" w14:textId="77777777" w:rsidR="00375729" w:rsidRPr="00886ECF" w:rsidRDefault="00375729" w:rsidP="00375729">
      <w:pPr>
        <w:pStyle w:val="BodyTextNoIndent"/>
      </w:pPr>
      <w:r w:rsidRPr="00886ECF">
        <w:t>Finally, whether IT use allows any efficiency gains in the use of intermediate inputs was considered. Intermediate inputs are purchased materials such as components and energy, as well as purchased services, such as accountancy and data services.</w:t>
      </w:r>
    </w:p>
    <w:p w14:paraId="45EBC213" w14:textId="77777777" w:rsidR="00375729" w:rsidRPr="00886ECF" w:rsidRDefault="00375729" w:rsidP="00375729">
      <w:pPr>
        <w:pStyle w:val="BodyTextNoIndent"/>
      </w:pPr>
      <w:r w:rsidRPr="00886ECF">
        <w:t>As with the other possible efficiencies, this is only investigated in an informal way through correlation.</w:t>
      </w:r>
    </w:p>
    <w:p w14:paraId="00813FF7" w14:textId="77777777" w:rsidR="00375729" w:rsidRPr="00185E7D" w:rsidRDefault="00375729" w:rsidP="00F37FA2">
      <w:pPr>
        <w:pStyle w:val="BodyTextNoIndent"/>
      </w:pPr>
      <w:r w:rsidRPr="00886ECF">
        <w:t>The productivity of intermediate use is determined with respect to gross output rather than value added.</w:t>
      </w:r>
      <w:r w:rsidRPr="00185E7D">
        <w:rPr>
          <w:rFonts w:ascii="Cambria" w:eastAsiaTheme="majorEastAsia" w:hAnsi="Cambria" w:cstheme="majorBidi"/>
          <w:spacing w:val="-10"/>
          <w:kern w:val="28"/>
          <w:sz w:val="56"/>
          <w:szCs w:val="56"/>
        </w:rPr>
        <w:br w:type="page"/>
      </w:r>
      <w:bookmarkStart w:id="60" w:name="_Toc436920438"/>
      <w:r w:rsidRPr="006F4CD7">
        <w:rPr>
          <w:rStyle w:val="BCRHead2Char"/>
        </w:rPr>
        <w:t>5</w:t>
      </w:r>
      <w:r w:rsidRPr="006F4CD7">
        <w:rPr>
          <w:rStyle w:val="BCRHead2Char"/>
        </w:rPr>
        <w:tab/>
        <w:t>Implementation in the current study</w:t>
      </w:r>
      <w:bookmarkEnd w:id="60"/>
    </w:p>
    <w:p w14:paraId="797F957C" w14:textId="77777777" w:rsidR="00375729" w:rsidRPr="00886ECF" w:rsidRDefault="00375729" w:rsidP="00375729">
      <w:pPr>
        <w:pStyle w:val="BodyTextNoIndent"/>
      </w:pPr>
      <w:r w:rsidRPr="00886ECF">
        <w:t>This section outlines the data and methods used to implement the growth accounting in this study. It is important to note the analysis refers to two asset classes:</w:t>
      </w:r>
    </w:p>
    <w:p w14:paraId="2E969D13" w14:textId="77777777" w:rsidR="00375729" w:rsidRPr="00886ECF" w:rsidRDefault="00375729" w:rsidP="00012248">
      <w:pPr>
        <w:pStyle w:val="Bodybullet-Level2"/>
      </w:pPr>
      <w:r w:rsidRPr="00886ECF">
        <w:t>machinery and equipment (computers)</w:t>
      </w:r>
    </w:p>
    <w:p w14:paraId="6314BDFD" w14:textId="77777777" w:rsidR="00375729" w:rsidRPr="00886ECF" w:rsidRDefault="00375729" w:rsidP="00012248">
      <w:pPr>
        <w:pStyle w:val="Bodybullet-Level2"/>
      </w:pPr>
      <w:r w:rsidRPr="00886ECF">
        <w:t>intellectual property products (computer software).</w:t>
      </w:r>
    </w:p>
    <w:p w14:paraId="2DC975D1" w14:textId="77777777" w:rsidR="00375729" w:rsidRPr="00886ECF" w:rsidRDefault="00375729" w:rsidP="00375729">
      <w:pPr>
        <w:pStyle w:val="BodyTextNoIndent"/>
      </w:pPr>
      <w:r w:rsidRPr="00886ECF">
        <w:t xml:space="preserve">These asset classes do not include communications equipment. As outlined in sections 1 and 3, digital communications equipment cannot be separately identified in the ABS national accounts data. </w:t>
      </w:r>
    </w:p>
    <w:p w14:paraId="24B9A3C7" w14:textId="77777777" w:rsidR="00375729" w:rsidRPr="00886ECF" w:rsidRDefault="00375729" w:rsidP="00375729">
      <w:pPr>
        <w:pStyle w:val="BodyTextNoIndent"/>
      </w:pPr>
      <w:r w:rsidRPr="00886ECF">
        <w:t xml:space="preserve">The Productivity Commission took the same approach in </w:t>
      </w:r>
      <w:r w:rsidR="00C237F5">
        <w:t xml:space="preserve">its </w:t>
      </w:r>
      <w:r w:rsidRPr="00886ECF">
        <w:t xml:space="preserve">earlier growth accounting work. The analysis BCR presents in this document updates that earlier work. </w:t>
      </w:r>
    </w:p>
    <w:p w14:paraId="00CCBC66" w14:textId="011B4AF5" w:rsidR="00B722ED" w:rsidRDefault="00375729" w:rsidP="00375729">
      <w:pPr>
        <w:pStyle w:val="BodyTextNoIndent"/>
      </w:pPr>
      <w:r w:rsidRPr="00886ECF">
        <w:t xml:space="preserve">It would be an important and useful step if the ABS were to provide national accounts data that separately identifies communications equipment. </w:t>
      </w:r>
    </w:p>
    <w:p w14:paraId="0F175A0C" w14:textId="77777777" w:rsidR="00B722ED" w:rsidRDefault="00B722ED">
      <w:pPr>
        <w:spacing w:after="120"/>
        <w:ind w:left="1021" w:hanging="1021"/>
      </w:pPr>
      <w:r>
        <w:br w:type="page"/>
      </w:r>
    </w:p>
    <w:p w14:paraId="496443E2" w14:textId="77777777" w:rsidR="00375729" w:rsidRPr="00886ECF" w:rsidRDefault="00375729" w:rsidP="00F37FA2">
      <w:pPr>
        <w:pStyle w:val="BCRHead1"/>
      </w:pPr>
      <w:bookmarkStart w:id="61" w:name="_Toc436920439"/>
      <w:bookmarkStart w:id="62" w:name="_Toc437355474"/>
      <w:bookmarkStart w:id="63" w:name="_Toc437423877"/>
      <w:bookmarkStart w:id="64" w:name="_Toc437613069"/>
      <w:bookmarkStart w:id="65" w:name="_Toc442259401"/>
      <w:bookmarkStart w:id="66" w:name="_Toc442448185"/>
      <w:r w:rsidRPr="00886ECF">
        <w:t>5.</w:t>
      </w:r>
      <w:r w:rsidRPr="00886ECF">
        <w:tab/>
        <w:t>Data</w:t>
      </w:r>
      <w:bookmarkEnd w:id="61"/>
      <w:bookmarkEnd w:id="62"/>
      <w:bookmarkEnd w:id="63"/>
      <w:bookmarkEnd w:id="64"/>
      <w:bookmarkEnd w:id="65"/>
      <w:bookmarkEnd w:id="66"/>
      <w:r w:rsidRPr="00886ECF">
        <w:t xml:space="preserve"> </w:t>
      </w:r>
    </w:p>
    <w:p w14:paraId="268D2319" w14:textId="77777777" w:rsidR="00375729" w:rsidRPr="00886ECF" w:rsidRDefault="00375729" w:rsidP="00375729">
      <w:pPr>
        <w:pStyle w:val="BodyTextNoIndent"/>
      </w:pPr>
      <w:r w:rsidRPr="00886ECF">
        <w:t>Unless otherwise stated, the data for this paper were all drawn from the ABS productivity data cube, published on the ABS website as Cat. No. 5260.0.55.002.</w:t>
      </w:r>
    </w:p>
    <w:p w14:paraId="0F884DE7" w14:textId="77777777" w:rsidR="00375729" w:rsidRPr="00886ECF" w:rsidRDefault="00375729" w:rsidP="00375729">
      <w:pPr>
        <w:pStyle w:val="BodyTextNoIndent"/>
      </w:pPr>
      <w:r w:rsidRPr="00886ECF">
        <w:t>The ABS productivity estimates are based on the concept of a flow of capital services from productive capital stocks. Productive capital stocks represent the capacity of assets to deliver a flow of capital services. Depreciation is based on physical wear and tear rather than market value. The flow of capital services is assumed to be proportional to the volume of productive capital stock.</w:t>
      </w:r>
    </w:p>
    <w:p w14:paraId="7B2145E5" w14:textId="77777777" w:rsidR="00375729" w:rsidRPr="00886ECF" w:rsidRDefault="00375729" w:rsidP="00375729">
      <w:pPr>
        <w:pStyle w:val="BodyTextNoIndent"/>
      </w:pPr>
      <w:r w:rsidRPr="00886ECF">
        <w:t>A principal requirement for the growth accounting exercise is to split the total productive capital stock into IT and non-IT components. Direct estimates are not published.</w:t>
      </w:r>
      <w:r w:rsidR="001F400B">
        <w:rPr>
          <w:rStyle w:val="EndnoteReference"/>
        </w:rPr>
        <w:endnoteReference w:id="7"/>
      </w:r>
      <w:r w:rsidRPr="00E71A6F">
        <w:rPr>
          <w:vertAlign w:val="superscript"/>
        </w:rPr>
        <w:t xml:space="preserve"> </w:t>
      </w:r>
      <w:r w:rsidRPr="00886ECF">
        <w:t>The productivity data cube does, however, present the base data to enable construction of the two components.</w:t>
      </w:r>
    </w:p>
    <w:p w14:paraId="46835E1F" w14:textId="77777777" w:rsidR="00375729" w:rsidRPr="00886ECF" w:rsidRDefault="00375729" w:rsidP="00375729">
      <w:pPr>
        <w:pStyle w:val="BodyTextNoIndent"/>
      </w:pPr>
      <w:r w:rsidRPr="00886ECF">
        <w:t>The base data are productive capital stocks of 18 individual assets and their rental prices, in both the incorporated and unincorporated sectors, in each of the 16 major industries within the market sector. The rental price (or cost of capital) is the price of a unit of capital and can be thought of as the price a commercial lessor would charge to hire out a unit of an asset. It covers depreciation, a normal rate of return and expected capital gains.</w:t>
      </w:r>
    </w:p>
    <w:p w14:paraId="38BEB5E3" w14:textId="77777777" w:rsidR="00375729" w:rsidRPr="00886ECF" w:rsidRDefault="00375729" w:rsidP="00375729">
      <w:pPr>
        <w:pStyle w:val="BodyTextNoIndent"/>
      </w:pPr>
      <w:r w:rsidRPr="00886ECF">
        <w:t>The published data had to be formed into more aggregated stocks. For each industry, the incorporated and unincorporated holdings of each asset were first aggregated. The stocks of individual assets were then aggregated into IT and non-IT groupings. For the aggregate market sector analysis, IT and non-IT stocks were aggregated across industries.</w:t>
      </w:r>
    </w:p>
    <w:p w14:paraId="07548B27" w14:textId="77777777" w:rsidR="00375729" w:rsidRPr="00886ECF" w:rsidRDefault="00375729" w:rsidP="00375729">
      <w:pPr>
        <w:pStyle w:val="BodyTextNoIndent"/>
      </w:pPr>
      <w:r w:rsidRPr="00886ECF">
        <w:t>The Törnqvist relationship was used in aggregation. Törnqvist aggregation takes the following form, for example, in aggregating hardware in the incorporated sector (</w:t>
      </w:r>
      <m:oMath>
        <m:sSub>
          <m:sSubPr>
            <m:ctrlPr>
              <w:rPr>
                <w:rFonts w:ascii="Cambria Math" w:hAnsi="Cambria Math"/>
              </w:rPr>
            </m:ctrlPr>
          </m:sSubPr>
          <m:e>
            <m:r>
              <w:rPr>
                <w:rFonts w:ascii="Cambria Math" w:hAnsi="Cambria Math"/>
              </w:rPr>
              <m:t>H</m:t>
            </m:r>
          </m:e>
          <m:sub>
            <m:r>
              <w:rPr>
                <w:rFonts w:ascii="Cambria Math" w:hAnsi="Cambria Math"/>
              </w:rPr>
              <m:t>I</m:t>
            </m:r>
          </m:sub>
        </m:sSub>
      </m:oMath>
      <w:r w:rsidRPr="00886ECF">
        <w:t>) and hardware in the unincorporated sector (</w:t>
      </w:r>
      <m:oMath>
        <m:sSub>
          <m:sSubPr>
            <m:ctrlPr>
              <w:rPr>
                <w:rFonts w:ascii="Cambria Math" w:hAnsi="Cambria Math"/>
              </w:rPr>
            </m:ctrlPr>
          </m:sSubPr>
          <m:e>
            <m:r>
              <w:rPr>
                <w:rFonts w:ascii="Cambria Math" w:hAnsi="Cambria Math"/>
              </w:rPr>
              <m:t>H</m:t>
            </m:r>
          </m:e>
          <m:sub>
            <m:r>
              <w:rPr>
                <w:rFonts w:ascii="Cambria Math" w:hAnsi="Cambria Math"/>
              </w:rPr>
              <m:t>U</m:t>
            </m:r>
          </m:sub>
        </m:sSub>
      </m:oMath>
      <w:r w:rsidRPr="00886ECF">
        <w:t>) into total hardware (H):</w:t>
      </w:r>
    </w:p>
    <w:p w14:paraId="516B07CC" w14:textId="77777777" w:rsidR="00375729" w:rsidRPr="00886ECF" w:rsidRDefault="00375729" w:rsidP="00375729">
      <w:pPr>
        <w:pStyle w:val="BodyTextNoIndent"/>
      </w:pPr>
      <w:r w:rsidRPr="00886ECF">
        <w:t>13.</w:t>
      </w:r>
      <w:r w:rsidRPr="00886ECF">
        <w:tab/>
      </w:r>
      <w:r w:rsidRPr="00886ECF">
        <w:tab/>
      </w:r>
      <m:oMath>
        <m:f>
          <m:fPr>
            <m:ctrlPr>
              <w:rPr>
                <w:rFonts w:ascii="Cambria Math" w:hAnsi="Cambria Math"/>
              </w:rPr>
            </m:ctrlPr>
          </m:fPr>
          <m:num>
            <m:sSup>
              <m:sSupPr>
                <m:ctrlPr>
                  <w:rPr>
                    <w:rFonts w:ascii="Cambria Math" w:hAnsi="Cambria Math"/>
                  </w:rPr>
                </m:ctrlPr>
              </m:sSupPr>
              <m:e>
                <m:r>
                  <w:rPr>
                    <w:rFonts w:ascii="Cambria Math" w:hAnsi="Cambria Math"/>
                  </w:rPr>
                  <m:t>H</m:t>
                </m:r>
              </m:e>
              <m:sup>
                <m:r>
                  <w:rPr>
                    <w:rFonts w:ascii="Cambria Math" w:hAnsi="Cambria Math"/>
                  </w:rPr>
                  <m:t>t</m:t>
                </m:r>
              </m:sup>
            </m:sSup>
          </m:num>
          <m:den>
            <m:sSup>
              <m:sSupPr>
                <m:ctrlPr>
                  <w:rPr>
                    <w:rFonts w:ascii="Cambria Math" w:hAnsi="Cambria Math"/>
                  </w:rPr>
                </m:ctrlPr>
              </m:sSupPr>
              <m:e>
                <m:r>
                  <w:rPr>
                    <w:rFonts w:ascii="Cambria Math" w:hAnsi="Cambria Math"/>
                  </w:rPr>
                  <m:t>H</m:t>
                </m:r>
              </m:e>
              <m:sup>
                <m:r>
                  <w:rPr>
                    <w:rFonts w:ascii="Cambria Math" w:hAnsi="Cambria Math"/>
                  </w:rPr>
                  <m:t>t</m:t>
                </m:r>
                <m:r>
                  <m:rPr>
                    <m:sty m:val="p"/>
                  </m:rPr>
                  <w:rPr>
                    <w:rFonts w:ascii="Cambria Math" w:hAnsi="Cambria Math"/>
                  </w:rPr>
                  <m:t>-1</m:t>
                </m:r>
              </m:sup>
            </m:sSup>
          </m:den>
        </m:f>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H</m:t>
                        </m:r>
                      </m:e>
                      <m:sub>
                        <m:r>
                          <w:rPr>
                            <w:rFonts w:ascii="Cambria Math" w:hAnsi="Cambria Math"/>
                          </w:rPr>
                          <m:t>I</m:t>
                        </m:r>
                      </m:sub>
                      <m:sup>
                        <m:r>
                          <w:rPr>
                            <w:rFonts w:ascii="Cambria Math" w:hAnsi="Cambria Math"/>
                          </w:rPr>
                          <m:t>t</m:t>
                        </m:r>
                      </m:sup>
                    </m:sSubSup>
                  </m:num>
                  <m:den>
                    <m:sSubSup>
                      <m:sSubSupPr>
                        <m:ctrlPr>
                          <w:rPr>
                            <w:rFonts w:ascii="Cambria Math" w:hAnsi="Cambria Math"/>
                          </w:rPr>
                        </m:ctrlPr>
                      </m:sSubSupPr>
                      <m:e>
                        <m:r>
                          <w:rPr>
                            <w:rFonts w:ascii="Cambria Math" w:hAnsi="Cambria Math"/>
                          </w:rPr>
                          <m:t>H</m:t>
                        </m:r>
                      </m:e>
                      <m:sub>
                        <m:r>
                          <w:rPr>
                            <w:rFonts w:ascii="Cambria Math" w:hAnsi="Cambria Math"/>
                          </w:rPr>
                          <m:t>I</m:t>
                        </m:r>
                      </m:sub>
                      <m:sup>
                        <m:r>
                          <w:rPr>
                            <w:rFonts w:ascii="Cambria Math" w:hAnsi="Cambria Math"/>
                          </w:rPr>
                          <m:t>t</m:t>
                        </m:r>
                        <m:r>
                          <m:rPr>
                            <m:sty m:val="p"/>
                          </m:rPr>
                          <w:rPr>
                            <w:rFonts w:ascii="Cambria Math" w:hAnsi="Cambria Math"/>
                          </w:rPr>
                          <m:t>-1</m:t>
                        </m:r>
                      </m:sup>
                    </m:sSubSup>
                  </m:den>
                </m:f>
              </m:e>
            </m:d>
          </m:e>
          <m:sup>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sup>
            </m:sSubSup>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H</m:t>
                        </m:r>
                      </m:e>
                      <m:sub>
                        <m:r>
                          <w:rPr>
                            <w:rFonts w:ascii="Cambria Math" w:hAnsi="Cambria Math"/>
                          </w:rPr>
                          <m:t>U</m:t>
                        </m:r>
                      </m:sub>
                      <m:sup>
                        <m:r>
                          <w:rPr>
                            <w:rFonts w:ascii="Cambria Math" w:hAnsi="Cambria Math"/>
                          </w:rPr>
                          <m:t>t</m:t>
                        </m:r>
                      </m:sup>
                    </m:sSubSup>
                  </m:num>
                  <m:den>
                    <m:sSubSup>
                      <m:sSubSupPr>
                        <m:ctrlPr>
                          <w:rPr>
                            <w:rFonts w:ascii="Cambria Math" w:hAnsi="Cambria Math"/>
                          </w:rPr>
                        </m:ctrlPr>
                      </m:sSubSupPr>
                      <m:e>
                        <m:r>
                          <w:rPr>
                            <w:rFonts w:ascii="Cambria Math" w:hAnsi="Cambria Math"/>
                          </w:rPr>
                          <m:t>H</m:t>
                        </m:r>
                      </m:e>
                      <m:sub>
                        <m:r>
                          <w:rPr>
                            <w:rFonts w:ascii="Cambria Math" w:hAnsi="Cambria Math"/>
                          </w:rPr>
                          <m:t>U</m:t>
                        </m:r>
                      </m:sub>
                      <m:sup>
                        <m:r>
                          <w:rPr>
                            <w:rFonts w:ascii="Cambria Math" w:hAnsi="Cambria Math"/>
                          </w:rPr>
                          <m:t>t</m:t>
                        </m:r>
                        <m:r>
                          <m:rPr>
                            <m:sty m:val="p"/>
                          </m:rPr>
                          <w:rPr>
                            <w:rFonts w:ascii="Cambria Math" w:hAnsi="Cambria Math"/>
                          </w:rPr>
                          <m:t>-1</m:t>
                        </m:r>
                      </m:sup>
                    </m:sSubSup>
                  </m:den>
                </m:f>
              </m:e>
            </m:d>
          </m:e>
          <m:sup>
            <m:sSubSup>
              <m:sSubSupPr>
                <m:ctrlPr>
                  <w:rPr>
                    <w:rFonts w:ascii="Cambria Math" w:hAnsi="Cambria Math"/>
                  </w:rPr>
                </m:ctrlPr>
              </m:sSubSupPr>
              <m:e>
                <m:r>
                  <w:rPr>
                    <w:rFonts w:ascii="Cambria Math" w:hAnsi="Cambria Math"/>
                  </w:rPr>
                  <m:t>w</m:t>
                </m:r>
              </m:e>
              <m:sub>
                <m:r>
                  <w:rPr>
                    <w:rFonts w:ascii="Cambria Math" w:hAnsi="Cambria Math"/>
                  </w:rPr>
                  <m:t>U</m:t>
                </m:r>
              </m:sub>
              <m:sup>
                <m:r>
                  <w:rPr>
                    <w:rFonts w:ascii="Cambria Math" w:hAnsi="Cambria Math"/>
                  </w:rPr>
                  <m:t>t</m:t>
                </m:r>
              </m:sup>
            </m:sSubSup>
          </m:sup>
        </m:sSup>
      </m:oMath>
    </w:p>
    <w:p w14:paraId="1216F288" w14:textId="77777777" w:rsidR="00375729" w:rsidRPr="00886ECF" w:rsidRDefault="0051735F" w:rsidP="00375729">
      <w:pPr>
        <w:pStyle w:val="BodyTextNoIndent"/>
      </w:pPr>
      <w:r w:rsidRPr="00886ECF">
        <w:t>W</w:t>
      </w:r>
      <w:r w:rsidR="00375729" w:rsidRPr="00886ECF">
        <w:t>here</w:t>
      </w:r>
      <w:r>
        <w:t>:</w:t>
      </w:r>
    </w:p>
    <w:p w14:paraId="15630195" w14:textId="77777777" w:rsidR="00375729" w:rsidRPr="00886ECF" w:rsidRDefault="00375729" w:rsidP="00375729">
      <w:pPr>
        <w:pStyle w:val="BodyTextNoIndent"/>
      </w:pPr>
      <w:r w:rsidRPr="00886ECF">
        <w:tab/>
      </w:r>
      <m:oMath>
        <m:sSubSup>
          <m:sSubSupPr>
            <m:ctrlPr>
              <w:rPr>
                <w:rFonts w:ascii="Cambria Math" w:hAnsi="Cambria Math"/>
              </w:rPr>
            </m:ctrlPr>
          </m:sSubSupPr>
          <m:e>
            <m:r>
              <w:rPr>
                <w:rFonts w:ascii="Cambria Math" w:hAnsi="Cambria Math"/>
              </w:rPr>
              <m:t>w</m:t>
            </m:r>
          </m:e>
          <m:sub>
            <m:r>
              <w:rPr>
                <w:rFonts w:ascii="Cambria Math" w:hAnsi="Cambria Math"/>
              </w:rPr>
              <m:t>I</m:t>
            </m:r>
          </m:sub>
          <m:sup>
            <m:r>
              <w:rPr>
                <w:rFonts w:ascii="Cambria Math" w:hAnsi="Cambria Math"/>
              </w:rPr>
              <m:t>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t</m:t>
                </m:r>
                <m:r>
                  <m:rPr>
                    <m:sty m:val="p"/>
                  </m:rPr>
                  <w:rPr>
                    <w:rFonts w:ascii="Cambria Math" w:hAnsi="Cambria Math"/>
                  </w:rPr>
                  <m:t>-1</m:t>
                </m:r>
              </m:sup>
            </m:sSubSup>
          </m:e>
        </m:d>
      </m:oMath>
      <w:r w:rsidRPr="00886ECF">
        <w:t>and</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w</m:t>
            </m:r>
          </m:e>
          <m:sub>
            <m:r>
              <w:rPr>
                <w:rFonts w:ascii="Cambria Math" w:hAnsi="Cambria Math"/>
              </w:rPr>
              <m:t>U</m:t>
            </m:r>
          </m:sub>
          <m:sup>
            <m:r>
              <w:rPr>
                <w:rFonts w:ascii="Cambria Math" w:hAnsi="Cambria Math"/>
              </w:rPr>
              <m:t>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U</m:t>
                </m:r>
              </m:sub>
              <m:sup>
                <m:r>
                  <w:rPr>
                    <w:rFonts w:ascii="Cambria Math" w:hAnsi="Cambria Math"/>
                  </w:rPr>
                  <m:t>t</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U</m:t>
                </m:r>
              </m:sub>
              <m:sup>
                <m:r>
                  <w:rPr>
                    <w:rFonts w:ascii="Cambria Math" w:hAnsi="Cambria Math"/>
                  </w:rPr>
                  <m:t>t</m:t>
                </m:r>
                <m:r>
                  <m:rPr>
                    <m:sty m:val="p"/>
                  </m:rPr>
                  <w:rPr>
                    <w:rFonts w:ascii="Cambria Math" w:hAnsi="Cambria Math"/>
                  </w:rPr>
                  <m:t>-1</m:t>
                </m:r>
              </m:sup>
            </m:sSubSup>
          </m:e>
        </m:d>
      </m:oMath>
      <w:r w:rsidRPr="00886ECF">
        <w:t>.</w:t>
      </w:r>
    </w:p>
    <w:p w14:paraId="1240711F" w14:textId="77777777" w:rsidR="00375729" w:rsidRPr="00886ECF" w:rsidRDefault="00375729" w:rsidP="00375729">
      <w:pPr>
        <w:pStyle w:val="BodyTextNoIndent"/>
      </w:pPr>
      <w:r w:rsidRPr="00886ECF">
        <w:t>The shares</w:t>
      </w:r>
      <m:oMath>
        <m:r>
          <m:rPr>
            <m:sty m:val="p"/>
          </m:rPr>
          <w:rPr>
            <w:rFonts w:ascii="Cambria Math" w:hAnsi="Cambria Math"/>
          </w:rPr>
          <m:t xml:space="preserve"> </m:t>
        </m:r>
        <m:sSubSup>
          <m:sSubSupPr>
            <m:ctrlPr>
              <w:rPr>
                <w:rFonts w:ascii="Cambria Math" w:hAnsi="Cambria Math"/>
              </w:rPr>
            </m:ctrlPr>
          </m:sSubSupPr>
          <m:e>
            <m:r>
              <w:rPr>
                <w:rFonts w:ascii="Cambria Math" w:hAnsi="Cambria Math"/>
              </w:rPr>
              <m:t>s</m:t>
            </m:r>
          </m:e>
          <m:sub>
            <m:r>
              <w:rPr>
                <w:rFonts w:ascii="Cambria Math" w:hAnsi="Cambria Math"/>
              </w:rPr>
              <m:t>I</m:t>
            </m:r>
          </m:sub>
          <m:sup>
            <m:r>
              <w:rPr>
                <w:rFonts w:ascii="Cambria Math" w:hAnsi="Cambria Math"/>
              </w:rPr>
              <m:t>t</m:t>
            </m:r>
          </m:sup>
        </m:sSubSup>
      </m:oMath>
      <w:r w:rsidRPr="00886ECF">
        <w:t xml:space="preserve"> and </w:t>
      </w:r>
      <m:oMath>
        <m:sSubSup>
          <m:sSubSupPr>
            <m:ctrlPr>
              <w:rPr>
                <w:rFonts w:ascii="Cambria Math" w:hAnsi="Cambria Math"/>
              </w:rPr>
            </m:ctrlPr>
          </m:sSubSupPr>
          <m:e>
            <m:r>
              <w:rPr>
                <w:rFonts w:ascii="Cambria Math" w:hAnsi="Cambria Math"/>
              </w:rPr>
              <m:t>s</m:t>
            </m:r>
          </m:e>
          <m:sub>
            <m:r>
              <w:rPr>
                <w:rFonts w:ascii="Cambria Math" w:hAnsi="Cambria Math"/>
              </w:rPr>
              <m:t>U</m:t>
            </m:r>
          </m:sub>
          <m:sup>
            <m:r>
              <w:rPr>
                <w:rFonts w:ascii="Cambria Math" w:hAnsi="Cambria Math"/>
              </w:rPr>
              <m:t>t</m:t>
            </m:r>
          </m:sup>
        </m:sSubSup>
      </m:oMath>
      <w:r w:rsidRPr="00886ECF">
        <w:t xml:space="preserve"> are, respectively, the shares of the incorporated and unincorporated sectors in the total capital income attributable to hardware in the industry concerned. The income shares are formed from data on the productive capital stocks, multiplied by their rental price.</w:t>
      </w:r>
      <w:r w:rsidR="001F400B">
        <w:rPr>
          <w:rStyle w:val="EndnoteReference"/>
        </w:rPr>
        <w:endnoteReference w:id="8"/>
      </w:r>
    </w:p>
    <w:p w14:paraId="4D406A62" w14:textId="77777777" w:rsidR="00375729" w:rsidRPr="00F37FA2" w:rsidRDefault="00375729" w:rsidP="00F37FA2">
      <w:pPr>
        <w:pStyle w:val="BCRHead2"/>
      </w:pPr>
      <w:bookmarkStart w:id="67" w:name="_Toc436920440"/>
      <w:r w:rsidRPr="00F37FA2">
        <w:t>5.</w:t>
      </w:r>
      <w:r w:rsidR="00D550BC">
        <w:t>1</w:t>
      </w:r>
      <w:r w:rsidRPr="00F37FA2">
        <w:tab/>
        <w:t>Determining periods of analysis</w:t>
      </w:r>
      <w:bookmarkEnd w:id="67"/>
    </w:p>
    <w:p w14:paraId="3B3E0D50" w14:textId="77777777" w:rsidR="00375729" w:rsidRPr="00886ECF" w:rsidRDefault="00375729" w:rsidP="00375729">
      <w:pPr>
        <w:pStyle w:val="BodyTextNoIndent"/>
      </w:pPr>
      <w:r w:rsidRPr="00886ECF">
        <w:t xml:space="preserve">The essential element of the growth accounting exercise is to decompose rates of growth in labour productivity (LP) and multifactor productivity (MFP)—see </w:t>
      </w:r>
      <w:hyperlink w:anchor="Section4" w:history="1">
        <w:r w:rsidRPr="00085E5A">
          <w:rPr>
            <w:rStyle w:val="Hyperlink"/>
            <w:rFonts w:asciiTheme="minorHAnsi" w:hAnsiTheme="minorHAnsi"/>
          </w:rPr>
          <w:t>Section 4</w:t>
        </w:r>
      </w:hyperlink>
      <w:r w:rsidRPr="00886ECF">
        <w:t>.</w:t>
      </w:r>
    </w:p>
    <w:p w14:paraId="56919C7D" w14:textId="77777777" w:rsidR="00375729" w:rsidRPr="00886ECF" w:rsidRDefault="00375729" w:rsidP="00375729">
      <w:pPr>
        <w:pStyle w:val="BodyTextNoIndent"/>
      </w:pPr>
      <w:r w:rsidRPr="00886ECF">
        <w:t>To do this credibly, it is essential to decompose underlying or trend rates of LP and MFP growth. Contributions to short-term movements that were subject to influence, for example, from the business cycle could be quite misleading.</w:t>
      </w:r>
    </w:p>
    <w:p w14:paraId="2B2D4CDD" w14:textId="77777777" w:rsidR="005D7A4D" w:rsidRDefault="00375729" w:rsidP="00375729">
      <w:pPr>
        <w:pStyle w:val="BodyTextNoIndent"/>
      </w:pPr>
      <w:r w:rsidRPr="00886ECF">
        <w:t>A method similar to one used by the ABS was used to determine underlying rates of productivity growth. They were taken to be actual rates of productivity growth between the same points in successive productivity cycles, namely, from the peak in one cycle to the peak in the next.</w:t>
      </w:r>
    </w:p>
    <w:p w14:paraId="03EA91E1" w14:textId="77777777" w:rsidR="00375729" w:rsidRPr="00886ECF" w:rsidRDefault="00375729" w:rsidP="00375729">
      <w:pPr>
        <w:pStyle w:val="BodyTextNoIndent"/>
      </w:pPr>
      <w:r w:rsidRPr="00886ECF">
        <w:t>Peaks were determined as high points in actual values in the series above a smoothed version of the series. We formed the smoothed series with a Hodrick-Prescott filter</w:t>
      </w:r>
      <w:r w:rsidR="001F400B">
        <w:rPr>
          <w:rStyle w:val="EndnoteReference"/>
        </w:rPr>
        <w:endnoteReference w:id="9"/>
      </w:r>
      <w:r w:rsidRPr="002B3C36">
        <w:rPr>
          <w:vertAlign w:val="superscript"/>
        </w:rPr>
        <w:t xml:space="preserve"> </w:t>
      </w:r>
      <w:r w:rsidRPr="00886ECF">
        <w:t>(λ</w:t>
      </w:r>
      <w:r w:rsidR="006A530A">
        <w:t xml:space="preserve"> = </w:t>
      </w:r>
      <w:r w:rsidRPr="00886ECF">
        <w:t>100).</w:t>
      </w:r>
      <w:r w:rsidR="009A2198">
        <w:rPr>
          <w:rStyle w:val="EndnoteReference"/>
        </w:rPr>
        <w:endnoteReference w:id="10"/>
      </w:r>
      <w:r w:rsidRPr="00886ECF">
        <w:t xml:space="preserve"> At least initially, a peak is determined to be where an actual value is more than one per cent above the smoothed value and is the proportionately highest value above the smoothed series in a string of years above trend.</w:t>
      </w:r>
    </w:p>
    <w:p w14:paraId="58EB252D" w14:textId="77777777" w:rsidR="00375729" w:rsidRPr="00886ECF" w:rsidRDefault="00375729" w:rsidP="00375729">
      <w:pPr>
        <w:pStyle w:val="BodyTextNoIndent"/>
      </w:pPr>
      <w:r w:rsidRPr="00886ECF">
        <w:t>To illustrate, the actual and smoothed series for market sector labour productivity are shown in Figure 5.1.</w:t>
      </w:r>
    </w:p>
    <w:p w14:paraId="4FFE1147" w14:textId="77777777" w:rsidR="00375729" w:rsidRPr="00886ECF" w:rsidRDefault="00375729" w:rsidP="00B722ED">
      <w:pPr>
        <w:pStyle w:val="Figurecaption"/>
      </w:pPr>
      <w:r w:rsidRPr="00886ECF">
        <w:t>Figure 5.</w:t>
      </w:r>
      <w:r w:rsidR="00375FD5">
        <w:fldChar w:fldCharType="begin"/>
      </w:r>
      <w:r w:rsidR="00375FD5">
        <w:instrText xml:space="preserve"> SEQ Figure \* ARABIC </w:instrText>
      </w:r>
      <w:r w:rsidR="00375FD5">
        <w:fldChar w:fldCharType="separate"/>
      </w:r>
      <w:r w:rsidR="00E34FA7">
        <w:rPr>
          <w:noProof/>
        </w:rPr>
        <w:t>1</w:t>
      </w:r>
      <w:r w:rsidR="00375FD5">
        <w:rPr>
          <w:noProof/>
        </w:rPr>
        <w:fldChar w:fldCharType="end"/>
      </w:r>
      <w:r w:rsidRPr="00886ECF">
        <w:t xml:space="preserve"> Market sector labour productivity: original and smoothed </w:t>
      </w:r>
      <w:r>
        <w:t xml:space="preserve">with a Hodrick-Prescott filter </w:t>
      </w:r>
      <w:r w:rsidRPr="00886ECF">
        <w:t>(index, original 2012–13</w:t>
      </w:r>
      <w:r w:rsidR="006A530A">
        <w:t xml:space="preserve"> = </w:t>
      </w:r>
      <w:r w:rsidRPr="00886ECF">
        <w:t>100)</w:t>
      </w:r>
    </w:p>
    <w:p w14:paraId="60E9BA24" w14:textId="667A9967" w:rsidR="00375729" w:rsidRPr="00886ECF" w:rsidRDefault="00B722ED" w:rsidP="00375729">
      <w:pPr>
        <w:pStyle w:val="BodyTextNoIndent"/>
      </w:pPr>
      <w:r>
        <w:rPr>
          <w:noProof/>
          <w:lang w:eastAsia="en-AU"/>
        </w:rPr>
        <w:drawing>
          <wp:inline distT="0" distB="0" distL="0" distR="0" wp14:anchorId="6446F0A8" wp14:editId="5163387B">
            <wp:extent cx="3804285" cy="2286000"/>
            <wp:effectExtent l="0" t="0" r="571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4285" cy="2286000"/>
                    </a:xfrm>
                    <a:prstGeom prst="rect">
                      <a:avLst/>
                    </a:prstGeom>
                    <a:noFill/>
                  </pic:spPr>
                </pic:pic>
              </a:graphicData>
            </a:graphic>
          </wp:inline>
        </w:drawing>
      </w:r>
    </w:p>
    <w:p w14:paraId="0196DFC2" w14:textId="77777777" w:rsidR="00375729" w:rsidRPr="00886ECF" w:rsidRDefault="00375729" w:rsidP="00012248">
      <w:pPr>
        <w:pStyle w:val="SourceNotes"/>
      </w:pPr>
      <w:r w:rsidRPr="00886ECF">
        <w:t>Source: ABS Cat. No. 5260.0.55.002 and author’s estimates</w:t>
      </w:r>
    </w:p>
    <w:p w14:paraId="1412BF70" w14:textId="77777777" w:rsidR="00375729" w:rsidRPr="00886ECF" w:rsidRDefault="009B3F29" w:rsidP="00375729">
      <w:pPr>
        <w:pStyle w:val="BodyTextNoIndent"/>
      </w:pPr>
      <w:r>
        <w:t xml:space="preserve">The </w:t>
      </w:r>
      <w:r w:rsidR="00375729" w:rsidRPr="00886ECF">
        <w:t xml:space="preserve">BCR exercised judgment to determine periods for analysis. In part, this was in acknowledgment that the process used to identify peaks is not definitive. </w:t>
      </w:r>
    </w:p>
    <w:p w14:paraId="2E46FABD" w14:textId="77777777" w:rsidR="00375729" w:rsidRPr="00886ECF" w:rsidRDefault="00375729" w:rsidP="00375729">
      <w:pPr>
        <w:pStyle w:val="BodyTextNoIndent"/>
      </w:pPr>
      <w:r w:rsidRPr="00886ECF">
        <w:t>Barnes</w:t>
      </w:r>
      <w:r w:rsidRPr="00E71A6F">
        <w:rPr>
          <w:rStyle w:val="FootnoteReference"/>
        </w:rPr>
        <w:footnoteReference w:id="11"/>
      </w:r>
      <w:r w:rsidRPr="00886ECF">
        <w:t xml:space="preserve"> shows the identification of productivity peaks can be sensitive to the smoothing technique used. In some cases, an additional peak was introduced even though it does not strictly satisfy the decision rule. This allowed analysis of a period of specific interest. </w:t>
      </w:r>
    </w:p>
    <w:p w14:paraId="740DFBD6" w14:textId="77777777" w:rsidR="00375729" w:rsidRPr="00886ECF" w:rsidRDefault="00375729" w:rsidP="00375729">
      <w:pPr>
        <w:pStyle w:val="BodyTextNoIndent"/>
      </w:pPr>
      <w:r w:rsidRPr="00886ECF">
        <w:t>In some cases, identified peaks were suppressed where it was believed it would not provide any additional insight in the analysis, for example, where one peak is very close to another.</w:t>
      </w:r>
    </w:p>
    <w:p w14:paraId="57833AC3" w14:textId="77777777" w:rsidR="00375729" w:rsidRPr="00886ECF" w:rsidRDefault="00375729" w:rsidP="00375729">
      <w:pPr>
        <w:pStyle w:val="BodyTextNoIndent"/>
      </w:pPr>
      <w:r w:rsidRPr="00886ECF">
        <w:t>Peaks in the labour productivity series and multifactor series were determined separately. Nevertheless, there was a high degree of commonality in peaks in both series.</w:t>
      </w:r>
    </w:p>
    <w:p w14:paraId="6072305E" w14:textId="77777777" w:rsidR="00375729" w:rsidRPr="00886ECF" w:rsidRDefault="00375729" w:rsidP="00F37FA2">
      <w:pPr>
        <w:pStyle w:val="BCRHead2"/>
      </w:pPr>
      <w:bookmarkStart w:id="68" w:name="_Toc436920441"/>
      <w:r w:rsidRPr="00886ECF">
        <w:t>5.</w:t>
      </w:r>
      <w:r w:rsidR="00D550BC">
        <w:t>2</w:t>
      </w:r>
      <w:r w:rsidRPr="00886ECF">
        <w:tab/>
        <w:t>The industry analysis template</w:t>
      </w:r>
      <w:bookmarkEnd w:id="68"/>
      <w:r w:rsidRPr="00886ECF">
        <w:t xml:space="preserve"> </w:t>
      </w:r>
    </w:p>
    <w:p w14:paraId="17B664B6" w14:textId="77777777" w:rsidR="00375729" w:rsidRPr="00886ECF" w:rsidRDefault="00375729" w:rsidP="00375729">
      <w:pPr>
        <w:pStyle w:val="BodyTextNoIndent"/>
      </w:pPr>
      <w:r w:rsidRPr="00886ECF">
        <w:t>The growth accounting decompositions were carried out for individual industries according to a standard template. Following the issues discussed in section 4, the template covered:</w:t>
      </w:r>
    </w:p>
    <w:p w14:paraId="4B42566F" w14:textId="77777777" w:rsidR="00375729" w:rsidRPr="00886ECF" w:rsidRDefault="00375729" w:rsidP="00012248">
      <w:pPr>
        <w:pStyle w:val="Bodybullet-Level2"/>
      </w:pPr>
      <w:r w:rsidRPr="00886ECF">
        <w:t>Growth in hardware, software and total IT capital.</w:t>
      </w:r>
    </w:p>
    <w:p w14:paraId="4AFAC2A1" w14:textId="77777777" w:rsidR="00375729" w:rsidRPr="00886ECF" w:rsidRDefault="00375729" w:rsidP="00012248">
      <w:pPr>
        <w:pStyle w:val="Bodybullet-Level2"/>
      </w:pPr>
      <w:r w:rsidRPr="00886ECF">
        <w:t>Decomposition of growth in labour productivity, identifying the contribution of IT capital deepening.</w:t>
      </w:r>
    </w:p>
    <w:p w14:paraId="11098052" w14:textId="77777777" w:rsidR="00375729" w:rsidRPr="00886ECF" w:rsidRDefault="00375729" w:rsidP="00012248">
      <w:pPr>
        <w:pStyle w:val="Bodybullet-Level2"/>
      </w:pPr>
      <w:r w:rsidRPr="00886ECF">
        <w:t>An assessment of growth in skills and the correlation with IT use.</w:t>
      </w:r>
    </w:p>
    <w:p w14:paraId="348C777F" w14:textId="77777777" w:rsidR="00375729" w:rsidRPr="00886ECF" w:rsidRDefault="00375729" w:rsidP="00012248">
      <w:pPr>
        <w:pStyle w:val="Bodybullet-Level2"/>
      </w:pPr>
      <w:r w:rsidRPr="00886ECF">
        <w:t>An assessment of trends in non-IT capital productivity, in aggregate and for individual assets, and the correlation with IT use.</w:t>
      </w:r>
    </w:p>
    <w:p w14:paraId="0BD11556" w14:textId="77777777" w:rsidR="00375729" w:rsidRPr="00886ECF" w:rsidRDefault="00375729" w:rsidP="00012248">
      <w:pPr>
        <w:pStyle w:val="Bodybullet-Level2"/>
      </w:pPr>
      <w:r w:rsidRPr="00886ECF">
        <w:t>An assessment of the productivity of intermediates use and the correlation with IT use.</w:t>
      </w:r>
    </w:p>
    <w:p w14:paraId="6F2C41AE" w14:textId="77777777" w:rsidR="00375729" w:rsidRPr="00886ECF" w:rsidRDefault="00375729" w:rsidP="00012248">
      <w:pPr>
        <w:pStyle w:val="Bodybullet-Level2"/>
      </w:pPr>
      <w:r w:rsidRPr="00886ECF">
        <w:t>An assessment of MFP growth cycles and possible IT contributions through IT capital deepening and improvements on non-IT capital productivity.</w:t>
      </w:r>
    </w:p>
    <w:p w14:paraId="0FE0AE52" w14:textId="77777777" w:rsidR="00375729" w:rsidRPr="00886ECF" w:rsidRDefault="00375729" w:rsidP="00375729">
      <w:pPr>
        <w:pStyle w:val="BodyTextNoIndent"/>
      </w:pPr>
      <w:r w:rsidRPr="00886ECF">
        <w:t>The industry studies are presented individually in the Appendices. (Appendix labels follow the ABS industry division classifications.) A summary of results together with the market sector results are presented in section 6.</w:t>
      </w:r>
      <w:r w:rsidRPr="00886ECF">
        <w:br w:type="page"/>
      </w:r>
    </w:p>
    <w:p w14:paraId="398C27E0" w14:textId="77777777" w:rsidR="00375729" w:rsidRPr="00185E7D" w:rsidRDefault="00375729" w:rsidP="00F37FA2">
      <w:pPr>
        <w:pStyle w:val="BCRHead1"/>
      </w:pPr>
      <w:bookmarkStart w:id="69" w:name="_Toc436920442"/>
      <w:bookmarkStart w:id="70" w:name="_Toc442448186"/>
      <w:r w:rsidRPr="00185E7D">
        <w:t>6</w:t>
      </w:r>
      <w:r w:rsidRPr="00185E7D">
        <w:tab/>
      </w:r>
      <w:bookmarkEnd w:id="69"/>
      <w:r w:rsidRPr="00185E7D">
        <w:t>Key findings</w:t>
      </w:r>
      <w:bookmarkEnd w:id="70"/>
    </w:p>
    <w:p w14:paraId="50E29D08" w14:textId="77777777" w:rsidR="00375729" w:rsidRPr="00C519A8" w:rsidRDefault="00375729" w:rsidP="00375729">
      <w:pPr>
        <w:pStyle w:val="BodyTextNoIndent"/>
      </w:pPr>
      <w:r w:rsidRPr="00C519A8">
        <w:t>The results presented in this section cover the market sector of the economy for which the ABS generates productivity estimates. The productivity growth accounting was carried out for the market sector as a whole and for its industries.</w:t>
      </w:r>
    </w:p>
    <w:p w14:paraId="20AF21E3" w14:textId="77777777" w:rsidR="00375729" w:rsidRPr="00C519A8" w:rsidRDefault="00375729" w:rsidP="00375729">
      <w:pPr>
        <w:pStyle w:val="BodyTextNoIndent"/>
      </w:pPr>
      <w:r w:rsidRPr="00C519A8">
        <w:t xml:space="preserve">The log difference method has been used to calculate continuous growth rates. That is, the growth rate is the log of the ratio of values in the end year and start year of a period, divided by the number of years in the period. The alternative would be to calculate a discrete annual average growth rate which, when compounded or multiplied each year by one plus the growth rate, would take the starting value to the end value in a period. </w:t>
      </w:r>
    </w:p>
    <w:p w14:paraId="79B3BD1B" w14:textId="77777777" w:rsidR="00375729" w:rsidRPr="00C519A8" w:rsidRDefault="00375729" w:rsidP="00375729">
      <w:pPr>
        <w:pStyle w:val="BodyTextNoIndent"/>
      </w:pPr>
      <w:r w:rsidRPr="00C519A8">
        <w:t>The two methods produce similar results for small changes. The discrete method is more familiar, but the continuous method has the advantage in growth accounting of producing fewer or smaller approximation errors. That is, contributions from constituent factors such as capital deepening and MFP growth are more likely to add up to the growth in the parent variable (LP growth).</w:t>
      </w:r>
    </w:p>
    <w:p w14:paraId="7F6AA51F" w14:textId="77777777" w:rsidR="00375729" w:rsidRPr="00185E7D" w:rsidRDefault="00375729" w:rsidP="00F37FA2">
      <w:pPr>
        <w:pStyle w:val="BCRHead2"/>
      </w:pPr>
      <w:bookmarkStart w:id="71" w:name="_Toc436920443"/>
      <w:r w:rsidRPr="00185E7D">
        <w:t>6.1</w:t>
      </w:r>
      <w:r w:rsidRPr="00185E7D">
        <w:tab/>
        <w:t>Market sector productivity</w:t>
      </w:r>
      <w:bookmarkEnd w:id="71"/>
    </w:p>
    <w:p w14:paraId="394DA141" w14:textId="77777777" w:rsidR="00375729" w:rsidRPr="00185E7D" w:rsidRDefault="00375729" w:rsidP="00375729">
      <w:pPr>
        <w:pStyle w:val="BodyTextNoIndent"/>
      </w:pPr>
      <w:r w:rsidRPr="00185E7D">
        <w:t>The results are presented for both the current ABS market sector, which covers 16 industries, and for a previous market sector grouping covering 12 industries. These are referred to as the MS-16 and MS-12 respectively and their industry coverage is presented in Table 6.1.</w:t>
      </w:r>
    </w:p>
    <w:p w14:paraId="7230125A" w14:textId="77777777" w:rsidR="00375729" w:rsidRPr="00185E7D" w:rsidRDefault="00375729" w:rsidP="00375729">
      <w:pPr>
        <w:pStyle w:val="BodyTextNoIndent"/>
      </w:pPr>
      <w:r w:rsidRPr="00185E7D">
        <w:t>One advantage of the MS-12 grouping is that a longer time series, starting in 1989–90, can be analysed, whereas the MS-16 series starts in 1994–95. The other advantage is that it enables ready comparison with the earlier Productivity Commission analysis, which was based similarly on the 12</w:t>
      </w:r>
      <w:r w:rsidR="009B3F29">
        <w:noBreakHyphen/>
      </w:r>
      <w:r w:rsidRPr="00185E7D">
        <w:t>industry grouping.</w:t>
      </w:r>
    </w:p>
    <w:p w14:paraId="393CFB6F" w14:textId="77777777" w:rsidR="00375729" w:rsidRPr="00185E7D" w:rsidRDefault="00375729" w:rsidP="00375729">
      <w:pPr>
        <w:pStyle w:val="BodyTextNoIndent"/>
      </w:pPr>
      <w:r w:rsidRPr="00185E7D">
        <w:t>Nevertheless, greater weight should be given, in principle, to the MS-16 results. The rental, hiring and real estate services (RHRE) industry—included in MS-16 but not in MS-12—has stocks of IT assets that are leased to other industries. The ABS allocates leased assets on the basis of ownership rather than use. That is, they are counted as part of the RHRE capital stock.</w:t>
      </w:r>
      <w:r w:rsidR="001F400B">
        <w:rPr>
          <w:rStyle w:val="EndnoteReference"/>
        </w:rPr>
        <w:endnoteReference w:id="11"/>
      </w:r>
      <w:r w:rsidRPr="00185E7D">
        <w:t xml:space="preserve"> Use of assets rather than ownership matters for productivity purposes. And so an allocation based on use would be preferred. </w:t>
      </w:r>
    </w:p>
    <w:p w14:paraId="7386AB29" w14:textId="77777777" w:rsidR="00375729" w:rsidRPr="00185E7D" w:rsidRDefault="00375729" w:rsidP="00375729">
      <w:pPr>
        <w:pStyle w:val="BodyTextNoIndent"/>
        <w:rPr>
          <w:i/>
          <w:iCs/>
          <w:sz w:val="18"/>
          <w:szCs w:val="18"/>
        </w:rPr>
      </w:pPr>
      <w:r w:rsidRPr="00185E7D">
        <w:t>The MS-16 grouping averts this problem because all leased assets owned by RHRE are included as part of the market sector capital stock. This does not apply, however, to the MS-12 grouping.</w:t>
      </w:r>
      <w:r w:rsidRPr="00185E7D">
        <w:br w:type="page"/>
      </w:r>
    </w:p>
    <w:p w14:paraId="10613BEF" w14:textId="77777777" w:rsidR="00375729" w:rsidRPr="00185E7D" w:rsidRDefault="00375729" w:rsidP="00B722ED">
      <w:pPr>
        <w:pStyle w:val="Tablecaption"/>
        <w:rPr>
          <w:vertAlign w:val="superscript"/>
        </w:rPr>
      </w:pPr>
      <w:r w:rsidRPr="00185E7D">
        <w:t>Table 6.1: Industry coverage of MS-12 and MS-16 g</w:t>
      </w:r>
      <w:r>
        <w:t xml:space="preserve">roupings and proportion of GDP </w:t>
      </w:r>
      <w:r w:rsidRPr="00185E7D">
        <w:t>(at basic values) in 2013–14</w:t>
      </w:r>
      <w:r w:rsidRPr="00185E7D">
        <w:rPr>
          <w:vertAlign w:val="superscript"/>
        </w:rPr>
        <w:t>a</w:t>
      </w:r>
    </w:p>
    <w:tbl>
      <w:tblPr>
        <w:tblW w:w="59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13"/>
        <w:gridCol w:w="1015"/>
        <w:gridCol w:w="960"/>
      </w:tblGrid>
      <w:tr w:rsidR="00375729" w:rsidRPr="00185E7D" w14:paraId="3DE5A309" w14:textId="77777777" w:rsidTr="00301886">
        <w:trPr>
          <w:trHeight w:val="600"/>
        </w:trPr>
        <w:tc>
          <w:tcPr>
            <w:tcW w:w="3940" w:type="dxa"/>
            <w:tcBorders>
              <w:top w:val="single" w:sz="4" w:space="0" w:color="auto"/>
              <w:bottom w:val="single" w:sz="4" w:space="0" w:color="auto"/>
              <w:right w:val="single" w:sz="4" w:space="0" w:color="auto"/>
            </w:tcBorders>
            <w:shd w:val="clear" w:color="auto" w:fill="auto"/>
            <w:noWrap/>
            <w:vAlign w:val="bottom"/>
            <w:hideMark/>
          </w:tcPr>
          <w:p w14:paraId="7D44F2FF" w14:textId="77777777" w:rsidR="00375729" w:rsidRPr="00B722ED" w:rsidRDefault="00375729" w:rsidP="006C4B85">
            <w:pPr>
              <w:pStyle w:val="Tablecellheading"/>
            </w:pP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B2329" w14:textId="77777777" w:rsidR="00375729" w:rsidRPr="00B722ED" w:rsidRDefault="00375729" w:rsidP="006C4B85">
            <w:pPr>
              <w:pStyle w:val="Tablecellheading"/>
            </w:pPr>
            <w:r w:rsidRPr="00B722ED">
              <w:t>Inclusion in MS-12</w:t>
            </w:r>
          </w:p>
        </w:tc>
        <w:tc>
          <w:tcPr>
            <w:tcW w:w="960" w:type="dxa"/>
            <w:tcBorders>
              <w:top w:val="single" w:sz="4" w:space="0" w:color="auto"/>
              <w:left w:val="single" w:sz="4" w:space="0" w:color="auto"/>
              <w:bottom w:val="single" w:sz="4" w:space="0" w:color="auto"/>
            </w:tcBorders>
            <w:shd w:val="clear" w:color="auto" w:fill="auto"/>
            <w:vAlign w:val="center"/>
            <w:hideMark/>
          </w:tcPr>
          <w:p w14:paraId="66F0C5EA" w14:textId="77777777" w:rsidR="00375729" w:rsidRPr="00B722ED" w:rsidRDefault="00375729" w:rsidP="006C4B85">
            <w:pPr>
              <w:pStyle w:val="Tablecellheading"/>
            </w:pPr>
            <w:r w:rsidRPr="00B722ED">
              <w:t>Per cent of GDP</w:t>
            </w:r>
          </w:p>
        </w:tc>
      </w:tr>
      <w:tr w:rsidR="00375729" w:rsidRPr="00185E7D" w14:paraId="47BAB7D8" w14:textId="77777777" w:rsidTr="00301886">
        <w:trPr>
          <w:trHeight w:val="300"/>
        </w:trPr>
        <w:tc>
          <w:tcPr>
            <w:tcW w:w="3940" w:type="dxa"/>
            <w:tcBorders>
              <w:right w:val="single" w:sz="4" w:space="0" w:color="auto"/>
            </w:tcBorders>
            <w:shd w:val="clear" w:color="auto" w:fill="auto"/>
            <w:noWrap/>
            <w:vAlign w:val="bottom"/>
            <w:hideMark/>
          </w:tcPr>
          <w:p w14:paraId="2DAC61DE" w14:textId="77777777" w:rsidR="00375729" w:rsidRPr="00185E7D" w:rsidRDefault="00375729" w:rsidP="00B722ED">
            <w:pPr>
              <w:pStyle w:val="Tabletext"/>
            </w:pPr>
            <w:r w:rsidRPr="00185E7D">
              <w:t>A Agriculture, Forestry and Fishing</w:t>
            </w:r>
          </w:p>
        </w:tc>
        <w:tc>
          <w:tcPr>
            <w:tcW w:w="1015" w:type="dxa"/>
            <w:tcBorders>
              <w:left w:val="single" w:sz="4" w:space="0" w:color="auto"/>
              <w:right w:val="single" w:sz="4" w:space="0" w:color="auto"/>
            </w:tcBorders>
            <w:shd w:val="clear" w:color="auto" w:fill="auto"/>
            <w:noWrap/>
            <w:vAlign w:val="bottom"/>
            <w:hideMark/>
          </w:tcPr>
          <w:p w14:paraId="49335412"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512D08E2" w14:textId="77777777" w:rsidR="00375729" w:rsidRPr="00185E7D" w:rsidRDefault="00375729" w:rsidP="00B722ED">
            <w:pPr>
              <w:pStyle w:val="Tabletext"/>
              <w:rPr>
                <w:sz w:val="20"/>
                <w:szCs w:val="20"/>
              </w:rPr>
            </w:pPr>
            <w:r w:rsidRPr="00185E7D">
              <w:rPr>
                <w:sz w:val="20"/>
                <w:szCs w:val="20"/>
              </w:rPr>
              <w:t>2.5</w:t>
            </w:r>
          </w:p>
        </w:tc>
      </w:tr>
      <w:tr w:rsidR="00375729" w:rsidRPr="00185E7D" w14:paraId="1717382A" w14:textId="77777777" w:rsidTr="00301886">
        <w:trPr>
          <w:trHeight w:val="300"/>
        </w:trPr>
        <w:tc>
          <w:tcPr>
            <w:tcW w:w="3940" w:type="dxa"/>
            <w:tcBorders>
              <w:right w:val="single" w:sz="4" w:space="0" w:color="auto"/>
            </w:tcBorders>
            <w:shd w:val="clear" w:color="auto" w:fill="auto"/>
            <w:noWrap/>
            <w:vAlign w:val="bottom"/>
            <w:hideMark/>
          </w:tcPr>
          <w:p w14:paraId="612BA8F7" w14:textId="77777777" w:rsidR="00375729" w:rsidRPr="00185E7D" w:rsidRDefault="00375729" w:rsidP="00B722ED">
            <w:pPr>
              <w:pStyle w:val="Tabletext"/>
            </w:pPr>
            <w:r w:rsidRPr="00185E7D">
              <w:t>B Mining</w:t>
            </w:r>
          </w:p>
        </w:tc>
        <w:tc>
          <w:tcPr>
            <w:tcW w:w="1015" w:type="dxa"/>
            <w:tcBorders>
              <w:left w:val="single" w:sz="4" w:space="0" w:color="auto"/>
              <w:right w:val="single" w:sz="4" w:space="0" w:color="auto"/>
            </w:tcBorders>
            <w:shd w:val="clear" w:color="auto" w:fill="auto"/>
            <w:noWrap/>
            <w:vAlign w:val="bottom"/>
            <w:hideMark/>
          </w:tcPr>
          <w:p w14:paraId="62FE0137"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458193FD" w14:textId="77777777" w:rsidR="00375729" w:rsidRPr="00185E7D" w:rsidRDefault="00375729" w:rsidP="00B722ED">
            <w:pPr>
              <w:pStyle w:val="Tabletext"/>
              <w:rPr>
                <w:sz w:val="20"/>
                <w:szCs w:val="20"/>
              </w:rPr>
            </w:pPr>
            <w:r w:rsidRPr="00185E7D">
              <w:rPr>
                <w:sz w:val="20"/>
                <w:szCs w:val="20"/>
              </w:rPr>
              <w:t>8.9</w:t>
            </w:r>
          </w:p>
        </w:tc>
      </w:tr>
      <w:tr w:rsidR="00375729" w:rsidRPr="00185E7D" w14:paraId="26E80C80" w14:textId="77777777" w:rsidTr="00301886">
        <w:trPr>
          <w:trHeight w:val="300"/>
        </w:trPr>
        <w:tc>
          <w:tcPr>
            <w:tcW w:w="3940" w:type="dxa"/>
            <w:tcBorders>
              <w:right w:val="single" w:sz="4" w:space="0" w:color="auto"/>
            </w:tcBorders>
            <w:shd w:val="clear" w:color="auto" w:fill="auto"/>
            <w:noWrap/>
            <w:vAlign w:val="bottom"/>
            <w:hideMark/>
          </w:tcPr>
          <w:p w14:paraId="70D26245" w14:textId="77777777" w:rsidR="00375729" w:rsidRPr="00185E7D" w:rsidRDefault="00375729" w:rsidP="00B722ED">
            <w:pPr>
              <w:pStyle w:val="Tabletext"/>
            </w:pPr>
            <w:r w:rsidRPr="00185E7D">
              <w:t>C Manufacturing</w:t>
            </w:r>
          </w:p>
        </w:tc>
        <w:tc>
          <w:tcPr>
            <w:tcW w:w="1015" w:type="dxa"/>
            <w:tcBorders>
              <w:left w:val="single" w:sz="4" w:space="0" w:color="auto"/>
              <w:right w:val="single" w:sz="4" w:space="0" w:color="auto"/>
            </w:tcBorders>
            <w:shd w:val="clear" w:color="auto" w:fill="auto"/>
            <w:noWrap/>
            <w:vAlign w:val="bottom"/>
            <w:hideMark/>
          </w:tcPr>
          <w:p w14:paraId="5210E80D"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6DA325A5" w14:textId="77777777" w:rsidR="00375729" w:rsidRPr="00185E7D" w:rsidRDefault="00375729" w:rsidP="00B722ED">
            <w:pPr>
              <w:pStyle w:val="Tabletext"/>
              <w:rPr>
                <w:sz w:val="20"/>
                <w:szCs w:val="20"/>
              </w:rPr>
            </w:pPr>
            <w:r w:rsidRPr="00185E7D">
              <w:rPr>
                <w:sz w:val="20"/>
                <w:szCs w:val="20"/>
              </w:rPr>
              <w:t>6.8</w:t>
            </w:r>
          </w:p>
        </w:tc>
      </w:tr>
      <w:tr w:rsidR="00375729" w:rsidRPr="00185E7D" w14:paraId="2BFBF565" w14:textId="77777777" w:rsidTr="00301886">
        <w:trPr>
          <w:trHeight w:val="300"/>
        </w:trPr>
        <w:tc>
          <w:tcPr>
            <w:tcW w:w="3940" w:type="dxa"/>
            <w:tcBorders>
              <w:right w:val="single" w:sz="4" w:space="0" w:color="auto"/>
            </w:tcBorders>
            <w:shd w:val="clear" w:color="auto" w:fill="auto"/>
            <w:noWrap/>
            <w:vAlign w:val="bottom"/>
            <w:hideMark/>
          </w:tcPr>
          <w:p w14:paraId="2F345129" w14:textId="77777777" w:rsidR="00375729" w:rsidRPr="00185E7D" w:rsidRDefault="00375729" w:rsidP="00B722ED">
            <w:pPr>
              <w:pStyle w:val="Tabletext"/>
            </w:pPr>
            <w:r w:rsidRPr="00185E7D">
              <w:t>D Electricity, Gas, Water and Waste Services</w:t>
            </w:r>
          </w:p>
        </w:tc>
        <w:tc>
          <w:tcPr>
            <w:tcW w:w="1015" w:type="dxa"/>
            <w:tcBorders>
              <w:left w:val="single" w:sz="4" w:space="0" w:color="auto"/>
              <w:right w:val="single" w:sz="4" w:space="0" w:color="auto"/>
            </w:tcBorders>
            <w:shd w:val="clear" w:color="auto" w:fill="auto"/>
            <w:noWrap/>
            <w:vAlign w:val="bottom"/>
            <w:hideMark/>
          </w:tcPr>
          <w:p w14:paraId="051A5063"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5D8AAC2C" w14:textId="77777777" w:rsidR="00375729" w:rsidRPr="00185E7D" w:rsidRDefault="00375729" w:rsidP="00B722ED">
            <w:pPr>
              <w:pStyle w:val="Tabletext"/>
              <w:rPr>
                <w:sz w:val="20"/>
                <w:szCs w:val="20"/>
              </w:rPr>
            </w:pPr>
            <w:r w:rsidRPr="00185E7D">
              <w:rPr>
                <w:sz w:val="20"/>
                <w:szCs w:val="20"/>
              </w:rPr>
              <w:t>2.9</w:t>
            </w:r>
          </w:p>
        </w:tc>
      </w:tr>
      <w:tr w:rsidR="00375729" w:rsidRPr="00185E7D" w14:paraId="6F0C150B" w14:textId="77777777" w:rsidTr="00301886">
        <w:trPr>
          <w:trHeight w:val="300"/>
        </w:trPr>
        <w:tc>
          <w:tcPr>
            <w:tcW w:w="3940" w:type="dxa"/>
            <w:tcBorders>
              <w:right w:val="single" w:sz="4" w:space="0" w:color="auto"/>
            </w:tcBorders>
            <w:shd w:val="clear" w:color="auto" w:fill="auto"/>
            <w:noWrap/>
            <w:vAlign w:val="bottom"/>
            <w:hideMark/>
          </w:tcPr>
          <w:p w14:paraId="7C01DC42" w14:textId="77777777" w:rsidR="00375729" w:rsidRPr="00185E7D" w:rsidRDefault="00375729" w:rsidP="00B722ED">
            <w:pPr>
              <w:pStyle w:val="Tabletext"/>
            </w:pPr>
            <w:r w:rsidRPr="00185E7D">
              <w:t>E Construction</w:t>
            </w:r>
          </w:p>
        </w:tc>
        <w:tc>
          <w:tcPr>
            <w:tcW w:w="1015" w:type="dxa"/>
            <w:tcBorders>
              <w:left w:val="single" w:sz="4" w:space="0" w:color="auto"/>
              <w:right w:val="single" w:sz="4" w:space="0" w:color="auto"/>
            </w:tcBorders>
            <w:shd w:val="clear" w:color="auto" w:fill="auto"/>
            <w:noWrap/>
            <w:vAlign w:val="bottom"/>
            <w:hideMark/>
          </w:tcPr>
          <w:p w14:paraId="6E6BD57F"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39EA5D5A" w14:textId="77777777" w:rsidR="00375729" w:rsidRPr="00185E7D" w:rsidRDefault="00375729" w:rsidP="00B722ED">
            <w:pPr>
              <w:pStyle w:val="Tabletext"/>
              <w:rPr>
                <w:sz w:val="20"/>
                <w:szCs w:val="20"/>
              </w:rPr>
            </w:pPr>
            <w:r w:rsidRPr="00185E7D">
              <w:rPr>
                <w:sz w:val="20"/>
                <w:szCs w:val="20"/>
              </w:rPr>
              <w:t>8.4</w:t>
            </w:r>
          </w:p>
        </w:tc>
      </w:tr>
      <w:tr w:rsidR="00375729" w:rsidRPr="00185E7D" w14:paraId="742138AA" w14:textId="77777777" w:rsidTr="00301886">
        <w:trPr>
          <w:trHeight w:val="300"/>
        </w:trPr>
        <w:tc>
          <w:tcPr>
            <w:tcW w:w="3940" w:type="dxa"/>
            <w:tcBorders>
              <w:right w:val="single" w:sz="4" w:space="0" w:color="auto"/>
            </w:tcBorders>
            <w:shd w:val="clear" w:color="auto" w:fill="auto"/>
            <w:noWrap/>
            <w:vAlign w:val="bottom"/>
            <w:hideMark/>
          </w:tcPr>
          <w:p w14:paraId="3D902E8C" w14:textId="77777777" w:rsidR="00375729" w:rsidRPr="00185E7D" w:rsidRDefault="00375729" w:rsidP="00B722ED">
            <w:pPr>
              <w:pStyle w:val="Tabletext"/>
            </w:pPr>
            <w:r w:rsidRPr="00185E7D">
              <w:t>F Wholesale Trade</w:t>
            </w:r>
          </w:p>
        </w:tc>
        <w:tc>
          <w:tcPr>
            <w:tcW w:w="1015" w:type="dxa"/>
            <w:tcBorders>
              <w:left w:val="single" w:sz="4" w:space="0" w:color="auto"/>
              <w:right w:val="single" w:sz="4" w:space="0" w:color="auto"/>
            </w:tcBorders>
            <w:shd w:val="clear" w:color="auto" w:fill="auto"/>
            <w:noWrap/>
            <w:vAlign w:val="bottom"/>
            <w:hideMark/>
          </w:tcPr>
          <w:p w14:paraId="5F568BE5"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1641C4A2" w14:textId="77777777" w:rsidR="00375729" w:rsidRPr="00185E7D" w:rsidRDefault="00375729" w:rsidP="00B722ED">
            <w:pPr>
              <w:pStyle w:val="Tabletext"/>
              <w:rPr>
                <w:sz w:val="20"/>
                <w:szCs w:val="20"/>
              </w:rPr>
            </w:pPr>
            <w:r w:rsidRPr="00185E7D">
              <w:rPr>
                <w:sz w:val="20"/>
                <w:szCs w:val="20"/>
              </w:rPr>
              <w:t>4.2</w:t>
            </w:r>
          </w:p>
        </w:tc>
      </w:tr>
      <w:tr w:rsidR="00375729" w:rsidRPr="00185E7D" w14:paraId="30430633" w14:textId="77777777" w:rsidTr="00301886">
        <w:trPr>
          <w:trHeight w:val="300"/>
        </w:trPr>
        <w:tc>
          <w:tcPr>
            <w:tcW w:w="3940" w:type="dxa"/>
            <w:tcBorders>
              <w:right w:val="single" w:sz="4" w:space="0" w:color="auto"/>
            </w:tcBorders>
            <w:shd w:val="clear" w:color="auto" w:fill="auto"/>
            <w:noWrap/>
            <w:vAlign w:val="bottom"/>
            <w:hideMark/>
          </w:tcPr>
          <w:p w14:paraId="3987CC57" w14:textId="77777777" w:rsidR="00375729" w:rsidRPr="00185E7D" w:rsidRDefault="00375729" w:rsidP="00B722ED">
            <w:pPr>
              <w:pStyle w:val="Tabletext"/>
            </w:pPr>
            <w:r w:rsidRPr="00185E7D">
              <w:t>G Retail Trade</w:t>
            </w:r>
          </w:p>
        </w:tc>
        <w:tc>
          <w:tcPr>
            <w:tcW w:w="1015" w:type="dxa"/>
            <w:tcBorders>
              <w:left w:val="single" w:sz="4" w:space="0" w:color="auto"/>
              <w:right w:val="single" w:sz="4" w:space="0" w:color="auto"/>
            </w:tcBorders>
            <w:shd w:val="clear" w:color="auto" w:fill="auto"/>
            <w:noWrap/>
            <w:vAlign w:val="bottom"/>
            <w:hideMark/>
          </w:tcPr>
          <w:p w14:paraId="29B705BD"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6D63FF38" w14:textId="77777777" w:rsidR="00375729" w:rsidRPr="00185E7D" w:rsidRDefault="00375729" w:rsidP="00B722ED">
            <w:pPr>
              <w:pStyle w:val="Tabletext"/>
              <w:rPr>
                <w:sz w:val="20"/>
                <w:szCs w:val="20"/>
              </w:rPr>
            </w:pPr>
            <w:r w:rsidRPr="00185E7D">
              <w:rPr>
                <w:sz w:val="20"/>
                <w:szCs w:val="20"/>
              </w:rPr>
              <w:t>4.8</w:t>
            </w:r>
          </w:p>
        </w:tc>
      </w:tr>
      <w:tr w:rsidR="00375729" w:rsidRPr="00185E7D" w14:paraId="6293F78E" w14:textId="77777777" w:rsidTr="00301886">
        <w:trPr>
          <w:trHeight w:val="300"/>
        </w:trPr>
        <w:tc>
          <w:tcPr>
            <w:tcW w:w="3940" w:type="dxa"/>
            <w:tcBorders>
              <w:right w:val="single" w:sz="4" w:space="0" w:color="auto"/>
            </w:tcBorders>
            <w:shd w:val="clear" w:color="auto" w:fill="auto"/>
            <w:noWrap/>
            <w:vAlign w:val="bottom"/>
            <w:hideMark/>
          </w:tcPr>
          <w:p w14:paraId="165199F0" w14:textId="77777777" w:rsidR="00375729" w:rsidRPr="00185E7D" w:rsidRDefault="00375729" w:rsidP="00B722ED">
            <w:pPr>
              <w:pStyle w:val="Tabletext"/>
            </w:pPr>
            <w:r w:rsidRPr="00185E7D">
              <w:t>H Accommodation and Food Services</w:t>
            </w:r>
          </w:p>
        </w:tc>
        <w:tc>
          <w:tcPr>
            <w:tcW w:w="1015" w:type="dxa"/>
            <w:tcBorders>
              <w:left w:val="single" w:sz="4" w:space="0" w:color="auto"/>
              <w:right w:val="single" w:sz="4" w:space="0" w:color="auto"/>
            </w:tcBorders>
            <w:shd w:val="clear" w:color="auto" w:fill="auto"/>
            <w:noWrap/>
            <w:vAlign w:val="bottom"/>
            <w:hideMark/>
          </w:tcPr>
          <w:p w14:paraId="538B43A2"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20AE8794" w14:textId="77777777" w:rsidR="00375729" w:rsidRPr="00185E7D" w:rsidRDefault="00375729" w:rsidP="00B722ED">
            <w:pPr>
              <w:pStyle w:val="Tabletext"/>
              <w:rPr>
                <w:sz w:val="20"/>
                <w:szCs w:val="20"/>
              </w:rPr>
            </w:pPr>
            <w:r w:rsidRPr="00185E7D">
              <w:rPr>
                <w:sz w:val="20"/>
                <w:szCs w:val="20"/>
              </w:rPr>
              <w:t>2.4</w:t>
            </w:r>
          </w:p>
        </w:tc>
      </w:tr>
      <w:tr w:rsidR="00375729" w:rsidRPr="00185E7D" w14:paraId="7EC4281B" w14:textId="77777777" w:rsidTr="00301886">
        <w:trPr>
          <w:trHeight w:val="300"/>
        </w:trPr>
        <w:tc>
          <w:tcPr>
            <w:tcW w:w="3940" w:type="dxa"/>
            <w:tcBorders>
              <w:right w:val="single" w:sz="4" w:space="0" w:color="auto"/>
            </w:tcBorders>
            <w:shd w:val="clear" w:color="auto" w:fill="auto"/>
            <w:noWrap/>
            <w:vAlign w:val="bottom"/>
            <w:hideMark/>
          </w:tcPr>
          <w:p w14:paraId="618CE4AA" w14:textId="77777777" w:rsidR="00375729" w:rsidRPr="00185E7D" w:rsidRDefault="00375729" w:rsidP="00B722ED">
            <w:pPr>
              <w:pStyle w:val="Tabletext"/>
            </w:pPr>
            <w:r w:rsidRPr="00185E7D">
              <w:t>I Transport, Postal and Warehousing</w:t>
            </w:r>
          </w:p>
        </w:tc>
        <w:tc>
          <w:tcPr>
            <w:tcW w:w="1015" w:type="dxa"/>
            <w:tcBorders>
              <w:left w:val="single" w:sz="4" w:space="0" w:color="auto"/>
              <w:right w:val="single" w:sz="4" w:space="0" w:color="auto"/>
            </w:tcBorders>
            <w:shd w:val="clear" w:color="auto" w:fill="auto"/>
            <w:noWrap/>
            <w:vAlign w:val="bottom"/>
            <w:hideMark/>
          </w:tcPr>
          <w:p w14:paraId="752D450A"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64BE976D" w14:textId="77777777" w:rsidR="00375729" w:rsidRPr="00185E7D" w:rsidRDefault="00375729" w:rsidP="00B722ED">
            <w:pPr>
              <w:pStyle w:val="Tabletext"/>
              <w:rPr>
                <w:sz w:val="20"/>
                <w:szCs w:val="20"/>
              </w:rPr>
            </w:pPr>
            <w:r w:rsidRPr="00185E7D">
              <w:rPr>
                <w:sz w:val="20"/>
                <w:szCs w:val="20"/>
              </w:rPr>
              <w:t>5.1</w:t>
            </w:r>
          </w:p>
        </w:tc>
      </w:tr>
      <w:tr w:rsidR="00375729" w:rsidRPr="00185E7D" w14:paraId="21EDDE0B" w14:textId="77777777" w:rsidTr="00301886">
        <w:trPr>
          <w:trHeight w:val="300"/>
        </w:trPr>
        <w:tc>
          <w:tcPr>
            <w:tcW w:w="3940" w:type="dxa"/>
            <w:tcBorders>
              <w:right w:val="single" w:sz="4" w:space="0" w:color="auto"/>
            </w:tcBorders>
            <w:shd w:val="clear" w:color="auto" w:fill="auto"/>
            <w:noWrap/>
            <w:vAlign w:val="bottom"/>
            <w:hideMark/>
          </w:tcPr>
          <w:p w14:paraId="46438925" w14:textId="77777777" w:rsidR="00375729" w:rsidRPr="00185E7D" w:rsidRDefault="00375729" w:rsidP="00B722ED">
            <w:pPr>
              <w:pStyle w:val="Tabletext"/>
            </w:pPr>
            <w:r w:rsidRPr="00185E7D">
              <w:t>J Information, Media and Telecommunications</w:t>
            </w:r>
          </w:p>
        </w:tc>
        <w:tc>
          <w:tcPr>
            <w:tcW w:w="1015" w:type="dxa"/>
            <w:tcBorders>
              <w:left w:val="single" w:sz="4" w:space="0" w:color="auto"/>
              <w:right w:val="single" w:sz="4" w:space="0" w:color="auto"/>
            </w:tcBorders>
            <w:shd w:val="clear" w:color="auto" w:fill="auto"/>
            <w:noWrap/>
            <w:vAlign w:val="bottom"/>
            <w:hideMark/>
          </w:tcPr>
          <w:p w14:paraId="27F13BAA"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6C8ABFD2" w14:textId="77777777" w:rsidR="00375729" w:rsidRPr="00185E7D" w:rsidRDefault="00375729" w:rsidP="00B722ED">
            <w:pPr>
              <w:pStyle w:val="Tabletext"/>
              <w:rPr>
                <w:sz w:val="20"/>
                <w:szCs w:val="20"/>
              </w:rPr>
            </w:pPr>
            <w:r w:rsidRPr="00185E7D">
              <w:rPr>
                <w:sz w:val="20"/>
                <w:szCs w:val="20"/>
              </w:rPr>
              <w:t>3.0</w:t>
            </w:r>
          </w:p>
        </w:tc>
      </w:tr>
      <w:tr w:rsidR="00375729" w:rsidRPr="00185E7D" w14:paraId="6A3D1D63" w14:textId="77777777" w:rsidTr="00301886">
        <w:trPr>
          <w:trHeight w:val="300"/>
        </w:trPr>
        <w:tc>
          <w:tcPr>
            <w:tcW w:w="3940" w:type="dxa"/>
            <w:tcBorders>
              <w:right w:val="single" w:sz="4" w:space="0" w:color="auto"/>
            </w:tcBorders>
            <w:shd w:val="clear" w:color="auto" w:fill="auto"/>
            <w:noWrap/>
            <w:vAlign w:val="bottom"/>
            <w:hideMark/>
          </w:tcPr>
          <w:p w14:paraId="3D6BFE20" w14:textId="77777777" w:rsidR="00375729" w:rsidRPr="00185E7D" w:rsidRDefault="00375729" w:rsidP="00B722ED">
            <w:pPr>
              <w:pStyle w:val="Tabletext"/>
            </w:pPr>
            <w:r w:rsidRPr="00185E7D">
              <w:t>K Financial and Insurance Services</w:t>
            </w:r>
          </w:p>
        </w:tc>
        <w:tc>
          <w:tcPr>
            <w:tcW w:w="1015" w:type="dxa"/>
            <w:tcBorders>
              <w:left w:val="single" w:sz="4" w:space="0" w:color="auto"/>
              <w:right w:val="single" w:sz="4" w:space="0" w:color="auto"/>
            </w:tcBorders>
            <w:shd w:val="clear" w:color="auto" w:fill="auto"/>
            <w:noWrap/>
            <w:vAlign w:val="bottom"/>
            <w:hideMark/>
          </w:tcPr>
          <w:p w14:paraId="7300D8F4"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tcBorders>
            <w:shd w:val="clear" w:color="auto" w:fill="auto"/>
            <w:noWrap/>
            <w:vAlign w:val="bottom"/>
            <w:hideMark/>
          </w:tcPr>
          <w:p w14:paraId="029005DA" w14:textId="77777777" w:rsidR="00375729" w:rsidRPr="00185E7D" w:rsidRDefault="00375729" w:rsidP="00B722ED">
            <w:pPr>
              <w:pStyle w:val="Tabletext"/>
              <w:rPr>
                <w:sz w:val="20"/>
                <w:szCs w:val="20"/>
              </w:rPr>
            </w:pPr>
            <w:r w:rsidRPr="00185E7D">
              <w:rPr>
                <w:sz w:val="20"/>
                <w:szCs w:val="20"/>
              </w:rPr>
              <w:t>9.0</w:t>
            </w:r>
          </w:p>
        </w:tc>
      </w:tr>
      <w:tr w:rsidR="00375729" w:rsidRPr="00185E7D" w14:paraId="531A2484" w14:textId="77777777" w:rsidTr="00301886">
        <w:trPr>
          <w:trHeight w:val="300"/>
        </w:trPr>
        <w:tc>
          <w:tcPr>
            <w:tcW w:w="3940" w:type="dxa"/>
            <w:tcBorders>
              <w:right w:val="single" w:sz="4" w:space="0" w:color="auto"/>
            </w:tcBorders>
            <w:shd w:val="clear" w:color="auto" w:fill="auto"/>
            <w:noWrap/>
            <w:vAlign w:val="bottom"/>
            <w:hideMark/>
          </w:tcPr>
          <w:p w14:paraId="459D4AB7" w14:textId="77777777" w:rsidR="00375729" w:rsidRPr="00185E7D" w:rsidRDefault="00375729" w:rsidP="00B722ED">
            <w:pPr>
              <w:pStyle w:val="Tabletext"/>
            </w:pPr>
            <w:r w:rsidRPr="00185E7D">
              <w:t>L Rental, Hiring and Real Estate Services</w:t>
            </w:r>
          </w:p>
        </w:tc>
        <w:tc>
          <w:tcPr>
            <w:tcW w:w="1015" w:type="dxa"/>
            <w:tcBorders>
              <w:left w:val="single" w:sz="4" w:space="0" w:color="auto"/>
              <w:right w:val="single" w:sz="4" w:space="0" w:color="auto"/>
            </w:tcBorders>
            <w:shd w:val="clear" w:color="auto" w:fill="auto"/>
            <w:noWrap/>
            <w:vAlign w:val="bottom"/>
            <w:hideMark/>
          </w:tcPr>
          <w:p w14:paraId="3E48209A" w14:textId="77777777" w:rsidR="00375729" w:rsidRPr="00185E7D" w:rsidRDefault="00375729" w:rsidP="00B722ED">
            <w:pPr>
              <w:pStyle w:val="Tabletext"/>
            </w:pPr>
          </w:p>
        </w:tc>
        <w:tc>
          <w:tcPr>
            <w:tcW w:w="960" w:type="dxa"/>
            <w:tcBorders>
              <w:left w:val="single" w:sz="4" w:space="0" w:color="auto"/>
            </w:tcBorders>
            <w:shd w:val="clear" w:color="auto" w:fill="auto"/>
            <w:noWrap/>
            <w:vAlign w:val="bottom"/>
            <w:hideMark/>
          </w:tcPr>
          <w:p w14:paraId="701790C7" w14:textId="77777777" w:rsidR="00375729" w:rsidRPr="00185E7D" w:rsidRDefault="00375729" w:rsidP="00B722ED">
            <w:pPr>
              <w:pStyle w:val="Tabletext"/>
              <w:rPr>
                <w:sz w:val="20"/>
                <w:szCs w:val="20"/>
              </w:rPr>
            </w:pPr>
            <w:r w:rsidRPr="00185E7D">
              <w:rPr>
                <w:sz w:val="20"/>
                <w:szCs w:val="20"/>
              </w:rPr>
              <w:t>2.8</w:t>
            </w:r>
          </w:p>
        </w:tc>
      </w:tr>
      <w:tr w:rsidR="00375729" w:rsidRPr="00185E7D" w14:paraId="2D7AE8C0" w14:textId="77777777" w:rsidTr="00301886">
        <w:trPr>
          <w:trHeight w:val="300"/>
        </w:trPr>
        <w:tc>
          <w:tcPr>
            <w:tcW w:w="3940" w:type="dxa"/>
            <w:tcBorders>
              <w:right w:val="single" w:sz="4" w:space="0" w:color="auto"/>
            </w:tcBorders>
            <w:shd w:val="clear" w:color="auto" w:fill="auto"/>
            <w:noWrap/>
            <w:vAlign w:val="bottom"/>
            <w:hideMark/>
          </w:tcPr>
          <w:p w14:paraId="2CF7D078" w14:textId="77777777" w:rsidR="00375729" w:rsidRPr="00185E7D" w:rsidRDefault="00375729" w:rsidP="00B722ED">
            <w:pPr>
              <w:pStyle w:val="Tabletext"/>
            </w:pPr>
            <w:r w:rsidRPr="00185E7D">
              <w:t>M Professional, Scientific and Technical Services</w:t>
            </w:r>
          </w:p>
        </w:tc>
        <w:tc>
          <w:tcPr>
            <w:tcW w:w="1015" w:type="dxa"/>
            <w:tcBorders>
              <w:left w:val="single" w:sz="4" w:space="0" w:color="auto"/>
              <w:right w:val="single" w:sz="4" w:space="0" w:color="auto"/>
            </w:tcBorders>
            <w:shd w:val="clear" w:color="auto" w:fill="auto"/>
            <w:noWrap/>
            <w:vAlign w:val="bottom"/>
            <w:hideMark/>
          </w:tcPr>
          <w:p w14:paraId="3A055061" w14:textId="77777777" w:rsidR="00375729" w:rsidRPr="00185E7D" w:rsidRDefault="00375729" w:rsidP="00B722ED">
            <w:pPr>
              <w:pStyle w:val="Tabletext"/>
            </w:pPr>
          </w:p>
        </w:tc>
        <w:tc>
          <w:tcPr>
            <w:tcW w:w="960" w:type="dxa"/>
            <w:tcBorders>
              <w:left w:val="single" w:sz="4" w:space="0" w:color="auto"/>
            </w:tcBorders>
            <w:shd w:val="clear" w:color="auto" w:fill="auto"/>
            <w:noWrap/>
            <w:vAlign w:val="bottom"/>
            <w:hideMark/>
          </w:tcPr>
          <w:p w14:paraId="78E96955" w14:textId="77777777" w:rsidR="00375729" w:rsidRPr="00185E7D" w:rsidRDefault="00375729" w:rsidP="00B722ED">
            <w:pPr>
              <w:pStyle w:val="Tabletext"/>
              <w:rPr>
                <w:sz w:val="20"/>
                <w:szCs w:val="20"/>
              </w:rPr>
            </w:pPr>
            <w:r w:rsidRPr="00185E7D">
              <w:rPr>
                <w:sz w:val="20"/>
                <w:szCs w:val="20"/>
              </w:rPr>
              <w:t>6.8</w:t>
            </w:r>
          </w:p>
        </w:tc>
      </w:tr>
      <w:tr w:rsidR="00375729" w:rsidRPr="00185E7D" w14:paraId="45A834AF" w14:textId="77777777" w:rsidTr="00301886">
        <w:trPr>
          <w:trHeight w:val="300"/>
        </w:trPr>
        <w:tc>
          <w:tcPr>
            <w:tcW w:w="3940" w:type="dxa"/>
            <w:tcBorders>
              <w:right w:val="single" w:sz="4" w:space="0" w:color="auto"/>
            </w:tcBorders>
            <w:shd w:val="clear" w:color="auto" w:fill="auto"/>
            <w:noWrap/>
            <w:vAlign w:val="bottom"/>
            <w:hideMark/>
          </w:tcPr>
          <w:p w14:paraId="5F3FE5CA" w14:textId="77777777" w:rsidR="00375729" w:rsidRPr="00185E7D" w:rsidRDefault="00375729" w:rsidP="00B722ED">
            <w:pPr>
              <w:pStyle w:val="Tabletext"/>
            </w:pPr>
            <w:r w:rsidRPr="00185E7D">
              <w:t>N Administrative and Support Services</w:t>
            </w:r>
          </w:p>
        </w:tc>
        <w:tc>
          <w:tcPr>
            <w:tcW w:w="1015" w:type="dxa"/>
            <w:tcBorders>
              <w:left w:val="single" w:sz="4" w:space="0" w:color="auto"/>
              <w:right w:val="single" w:sz="4" w:space="0" w:color="auto"/>
            </w:tcBorders>
            <w:shd w:val="clear" w:color="auto" w:fill="auto"/>
            <w:noWrap/>
            <w:vAlign w:val="bottom"/>
            <w:hideMark/>
          </w:tcPr>
          <w:p w14:paraId="315F60A2" w14:textId="77777777" w:rsidR="00375729" w:rsidRPr="00185E7D" w:rsidRDefault="00375729" w:rsidP="00B722ED">
            <w:pPr>
              <w:pStyle w:val="Tabletext"/>
            </w:pPr>
          </w:p>
        </w:tc>
        <w:tc>
          <w:tcPr>
            <w:tcW w:w="960" w:type="dxa"/>
            <w:tcBorders>
              <w:left w:val="single" w:sz="4" w:space="0" w:color="auto"/>
            </w:tcBorders>
            <w:shd w:val="clear" w:color="auto" w:fill="auto"/>
            <w:noWrap/>
            <w:vAlign w:val="bottom"/>
            <w:hideMark/>
          </w:tcPr>
          <w:p w14:paraId="330AF00F" w14:textId="77777777" w:rsidR="00375729" w:rsidRPr="00185E7D" w:rsidRDefault="00375729" w:rsidP="00B722ED">
            <w:pPr>
              <w:pStyle w:val="Tabletext"/>
              <w:rPr>
                <w:sz w:val="20"/>
                <w:szCs w:val="20"/>
              </w:rPr>
            </w:pPr>
            <w:r w:rsidRPr="00185E7D">
              <w:rPr>
                <w:sz w:val="20"/>
                <w:szCs w:val="20"/>
              </w:rPr>
              <w:t>3.1</w:t>
            </w:r>
          </w:p>
        </w:tc>
      </w:tr>
      <w:tr w:rsidR="00375729" w:rsidRPr="00185E7D" w14:paraId="53AD8FB6" w14:textId="77777777" w:rsidTr="00301886">
        <w:trPr>
          <w:trHeight w:val="300"/>
        </w:trPr>
        <w:tc>
          <w:tcPr>
            <w:tcW w:w="3940" w:type="dxa"/>
            <w:tcBorders>
              <w:bottom w:val="nil"/>
              <w:right w:val="single" w:sz="4" w:space="0" w:color="auto"/>
            </w:tcBorders>
            <w:shd w:val="clear" w:color="auto" w:fill="auto"/>
            <w:noWrap/>
            <w:vAlign w:val="bottom"/>
            <w:hideMark/>
          </w:tcPr>
          <w:p w14:paraId="60F9F11E" w14:textId="77777777" w:rsidR="00375729" w:rsidRPr="00185E7D" w:rsidRDefault="00375729" w:rsidP="00B722ED">
            <w:pPr>
              <w:pStyle w:val="Tabletext"/>
            </w:pPr>
            <w:r w:rsidRPr="00185E7D">
              <w:t>R Arts and Recreation Services</w:t>
            </w:r>
          </w:p>
        </w:tc>
        <w:tc>
          <w:tcPr>
            <w:tcW w:w="1015" w:type="dxa"/>
            <w:tcBorders>
              <w:left w:val="single" w:sz="4" w:space="0" w:color="auto"/>
              <w:bottom w:val="nil"/>
              <w:right w:val="single" w:sz="4" w:space="0" w:color="auto"/>
            </w:tcBorders>
            <w:shd w:val="clear" w:color="auto" w:fill="auto"/>
            <w:noWrap/>
            <w:vAlign w:val="bottom"/>
            <w:hideMark/>
          </w:tcPr>
          <w:p w14:paraId="6FA3FA0A" w14:textId="77777777" w:rsidR="00375729" w:rsidRPr="00185E7D" w:rsidRDefault="00375729" w:rsidP="00B722ED">
            <w:pPr>
              <w:pStyle w:val="Tabletext"/>
            </w:pPr>
            <w:r w:rsidRPr="008676FB">
              <w:rPr>
                <w:rFonts w:ascii="Wingdings" w:hAnsi="Wingdings"/>
                <w:color w:val="000000"/>
              </w:rPr>
              <w:t></w:t>
            </w:r>
          </w:p>
        </w:tc>
        <w:tc>
          <w:tcPr>
            <w:tcW w:w="960" w:type="dxa"/>
            <w:tcBorders>
              <w:left w:val="single" w:sz="4" w:space="0" w:color="auto"/>
              <w:bottom w:val="nil"/>
            </w:tcBorders>
            <w:shd w:val="clear" w:color="auto" w:fill="auto"/>
            <w:noWrap/>
            <w:vAlign w:val="bottom"/>
            <w:hideMark/>
          </w:tcPr>
          <w:p w14:paraId="00BC524A" w14:textId="77777777" w:rsidR="00375729" w:rsidRPr="00185E7D" w:rsidRDefault="00375729" w:rsidP="00B722ED">
            <w:pPr>
              <w:pStyle w:val="Tabletext"/>
              <w:rPr>
                <w:sz w:val="20"/>
                <w:szCs w:val="20"/>
              </w:rPr>
            </w:pPr>
            <w:r w:rsidRPr="00185E7D">
              <w:rPr>
                <w:sz w:val="20"/>
                <w:szCs w:val="20"/>
              </w:rPr>
              <w:t>0.9</w:t>
            </w:r>
          </w:p>
        </w:tc>
      </w:tr>
      <w:tr w:rsidR="00375729" w:rsidRPr="00185E7D" w14:paraId="6E5C9246" w14:textId="77777777" w:rsidTr="00301886">
        <w:trPr>
          <w:trHeight w:val="300"/>
        </w:trPr>
        <w:tc>
          <w:tcPr>
            <w:tcW w:w="3940" w:type="dxa"/>
            <w:tcBorders>
              <w:top w:val="nil"/>
              <w:bottom w:val="single" w:sz="4" w:space="0" w:color="A6A6A6" w:themeColor="background1" w:themeShade="A6"/>
              <w:right w:val="single" w:sz="4" w:space="0" w:color="auto"/>
            </w:tcBorders>
            <w:shd w:val="clear" w:color="auto" w:fill="auto"/>
            <w:noWrap/>
            <w:vAlign w:val="bottom"/>
            <w:hideMark/>
          </w:tcPr>
          <w:p w14:paraId="446F271D" w14:textId="77777777" w:rsidR="00375729" w:rsidRPr="00185E7D" w:rsidRDefault="00375729" w:rsidP="00B722ED">
            <w:pPr>
              <w:pStyle w:val="Tabletext"/>
            </w:pPr>
            <w:r w:rsidRPr="00185E7D">
              <w:t>S Other Services</w:t>
            </w:r>
          </w:p>
        </w:tc>
        <w:tc>
          <w:tcPr>
            <w:tcW w:w="1015" w:type="dxa"/>
            <w:tcBorders>
              <w:top w:val="nil"/>
              <w:left w:val="single" w:sz="4" w:space="0" w:color="auto"/>
              <w:bottom w:val="single" w:sz="4" w:space="0" w:color="A6A6A6" w:themeColor="background1" w:themeShade="A6"/>
              <w:right w:val="single" w:sz="4" w:space="0" w:color="auto"/>
            </w:tcBorders>
            <w:shd w:val="clear" w:color="auto" w:fill="auto"/>
            <w:noWrap/>
            <w:vAlign w:val="bottom"/>
            <w:hideMark/>
          </w:tcPr>
          <w:p w14:paraId="773C5B59" w14:textId="77777777" w:rsidR="00375729" w:rsidRPr="00185E7D" w:rsidRDefault="00375729" w:rsidP="00B722ED">
            <w:pPr>
              <w:pStyle w:val="Tabletext"/>
            </w:pPr>
          </w:p>
        </w:tc>
        <w:tc>
          <w:tcPr>
            <w:tcW w:w="960" w:type="dxa"/>
            <w:tcBorders>
              <w:top w:val="nil"/>
              <w:left w:val="single" w:sz="4" w:space="0" w:color="auto"/>
              <w:bottom w:val="single" w:sz="4" w:space="0" w:color="A6A6A6" w:themeColor="background1" w:themeShade="A6"/>
            </w:tcBorders>
            <w:shd w:val="clear" w:color="auto" w:fill="auto"/>
            <w:noWrap/>
            <w:vAlign w:val="bottom"/>
            <w:hideMark/>
          </w:tcPr>
          <w:p w14:paraId="61896109" w14:textId="77777777" w:rsidR="00375729" w:rsidRPr="00185E7D" w:rsidRDefault="00375729" w:rsidP="00B722ED">
            <w:pPr>
              <w:pStyle w:val="Tabletext"/>
              <w:rPr>
                <w:sz w:val="20"/>
                <w:szCs w:val="20"/>
              </w:rPr>
            </w:pPr>
            <w:r w:rsidRPr="00185E7D">
              <w:rPr>
                <w:sz w:val="20"/>
                <w:szCs w:val="20"/>
              </w:rPr>
              <w:t>1.9</w:t>
            </w:r>
          </w:p>
        </w:tc>
      </w:tr>
      <w:tr w:rsidR="00375729" w:rsidRPr="00185E7D" w14:paraId="47766D79" w14:textId="77777777" w:rsidTr="00301886">
        <w:trPr>
          <w:trHeight w:val="397"/>
        </w:trPr>
        <w:tc>
          <w:tcPr>
            <w:tcW w:w="3940" w:type="dxa"/>
            <w:tcBorders>
              <w:top w:val="single" w:sz="4" w:space="0" w:color="A6A6A6" w:themeColor="background1" w:themeShade="A6"/>
              <w:right w:val="single" w:sz="4" w:space="0" w:color="auto"/>
            </w:tcBorders>
            <w:shd w:val="clear" w:color="auto" w:fill="auto"/>
            <w:noWrap/>
            <w:vAlign w:val="center"/>
            <w:hideMark/>
          </w:tcPr>
          <w:p w14:paraId="706478DE" w14:textId="77777777" w:rsidR="00375729" w:rsidRPr="00185E7D" w:rsidRDefault="00375729" w:rsidP="00B722ED">
            <w:pPr>
              <w:pStyle w:val="Tabletext"/>
              <w:rPr>
                <w:b/>
              </w:rPr>
            </w:pPr>
            <w:r w:rsidRPr="00185E7D">
              <w:rPr>
                <w:b/>
              </w:rPr>
              <w:t>Total</w:t>
            </w:r>
          </w:p>
        </w:tc>
        <w:tc>
          <w:tcPr>
            <w:tcW w:w="1015" w:type="dxa"/>
            <w:tcBorders>
              <w:top w:val="single" w:sz="4" w:space="0" w:color="A6A6A6" w:themeColor="background1" w:themeShade="A6"/>
              <w:left w:val="single" w:sz="4" w:space="0" w:color="auto"/>
              <w:bottom w:val="single" w:sz="4" w:space="0" w:color="auto"/>
              <w:right w:val="single" w:sz="4" w:space="0" w:color="auto"/>
            </w:tcBorders>
            <w:shd w:val="clear" w:color="auto" w:fill="auto"/>
            <w:noWrap/>
            <w:vAlign w:val="center"/>
            <w:hideMark/>
          </w:tcPr>
          <w:p w14:paraId="597DDD26" w14:textId="77777777" w:rsidR="00375729" w:rsidRPr="00185E7D" w:rsidRDefault="00375729" w:rsidP="00B722ED">
            <w:pPr>
              <w:pStyle w:val="Tabletext"/>
              <w:rPr>
                <w:b/>
                <w:sz w:val="20"/>
                <w:szCs w:val="20"/>
              </w:rPr>
            </w:pPr>
          </w:p>
        </w:tc>
        <w:tc>
          <w:tcPr>
            <w:tcW w:w="960" w:type="dxa"/>
            <w:tcBorders>
              <w:top w:val="single" w:sz="4" w:space="0" w:color="A6A6A6" w:themeColor="background1" w:themeShade="A6"/>
              <w:left w:val="single" w:sz="4" w:space="0" w:color="auto"/>
            </w:tcBorders>
            <w:shd w:val="clear" w:color="auto" w:fill="auto"/>
            <w:noWrap/>
            <w:vAlign w:val="center"/>
            <w:hideMark/>
          </w:tcPr>
          <w:p w14:paraId="4C99E86D" w14:textId="77777777" w:rsidR="00375729" w:rsidRPr="00185E7D" w:rsidRDefault="00375729" w:rsidP="00B722ED">
            <w:pPr>
              <w:pStyle w:val="Tabletext"/>
              <w:rPr>
                <w:b/>
                <w:sz w:val="20"/>
                <w:szCs w:val="20"/>
              </w:rPr>
            </w:pPr>
            <w:r w:rsidRPr="00185E7D">
              <w:rPr>
                <w:b/>
                <w:sz w:val="20"/>
                <w:szCs w:val="20"/>
              </w:rPr>
              <w:t>73.5</w:t>
            </w:r>
          </w:p>
        </w:tc>
      </w:tr>
    </w:tbl>
    <w:p w14:paraId="25528690" w14:textId="77777777" w:rsidR="00C667EC" w:rsidRPr="00323930" w:rsidRDefault="00375729" w:rsidP="00012248">
      <w:pPr>
        <w:pStyle w:val="SourceNotes"/>
      </w:pPr>
      <w:r w:rsidRPr="00185E7D">
        <w:t>Note: a. The letters A, B, C and so on refer to the industry division classifications used by the ABS</w:t>
      </w:r>
      <w:r w:rsidR="00C667EC">
        <w:t xml:space="preserve">. </w:t>
      </w:r>
      <w:r w:rsidR="00C667EC">
        <w:br/>
      </w:r>
      <w:r w:rsidR="00C667EC" w:rsidRPr="000E36A5">
        <w:t>Numbers may not add up due to rounding</w:t>
      </w:r>
      <w:r w:rsidR="00C667EC">
        <w:t xml:space="preserve">. </w:t>
      </w:r>
      <w:r w:rsidR="00C667EC" w:rsidRPr="00323930">
        <w:tab/>
      </w:r>
    </w:p>
    <w:p w14:paraId="6A01005A" w14:textId="77777777" w:rsidR="00375729" w:rsidRPr="00185E7D" w:rsidRDefault="00375729" w:rsidP="00012248">
      <w:pPr>
        <w:pStyle w:val="SourceNotes"/>
      </w:pPr>
      <w:r w:rsidRPr="00185E7D">
        <w:t>Source: ABS Cat No. 5204.0</w:t>
      </w:r>
    </w:p>
    <w:p w14:paraId="437765D2" w14:textId="77777777" w:rsidR="00375729" w:rsidRPr="00185E7D" w:rsidRDefault="00375729" w:rsidP="00F37FA2">
      <w:pPr>
        <w:pStyle w:val="BCRHead3"/>
      </w:pPr>
      <w:bookmarkStart w:id="72" w:name="_Toc436909164"/>
      <w:bookmarkStart w:id="73" w:name="_Toc436920444"/>
      <w:r w:rsidRPr="00185E7D">
        <w:t>6.1.1</w:t>
      </w:r>
      <w:r w:rsidRPr="00185E7D">
        <w:tab/>
        <w:t>16-industry market sector (MS-16)</w:t>
      </w:r>
      <w:bookmarkEnd w:id="72"/>
      <w:bookmarkEnd w:id="73"/>
    </w:p>
    <w:p w14:paraId="5689FD0F" w14:textId="77777777" w:rsidR="00375729" w:rsidRPr="00C519A8" w:rsidRDefault="00375729" w:rsidP="00375729">
      <w:pPr>
        <w:pStyle w:val="BodyTextNoIndent"/>
      </w:pPr>
      <w:r w:rsidRPr="00C519A8">
        <w:t>The initial step was to split the available series, which spans 1994–95 to 2013–14, into two at the year 2003–04. Neither 1994–95 nor 2013–14 were declared by the ABS to be productivity peaks, but 2003–04 was. The period 1994–95 to 2003–04 approximates a time of high productivity growth, whereas 2003–04 to 2013–14 was a period of slow (labour) productivity growth, dominated by the mining boom.</w:t>
      </w:r>
    </w:p>
    <w:p w14:paraId="06BE0524" w14:textId="77777777" w:rsidR="00375729" w:rsidRPr="00C519A8" w:rsidRDefault="00375729" w:rsidP="00F37FA2">
      <w:pPr>
        <w:pStyle w:val="BCRHead4"/>
      </w:pPr>
      <w:r w:rsidRPr="00C519A8">
        <w:t>Labour productivity</w:t>
      </w:r>
    </w:p>
    <w:p w14:paraId="42D7DDA4" w14:textId="77777777" w:rsidR="00375729" w:rsidRPr="00C519A8" w:rsidRDefault="00375729" w:rsidP="00375729">
      <w:pPr>
        <w:pStyle w:val="BodyTextNoIndent"/>
      </w:pPr>
      <w:r w:rsidRPr="00C519A8">
        <w:t>The labour productivity growth accounting for the two periods is presented in Table 6.2. The disappearance of MFP growth more than accounted for the 1.2 percentage point slowdown in labour productivity growth from the first to the second period. There was, however, more capital deepening from non-IT capital, principally associated with the mining boom.</w:t>
      </w:r>
    </w:p>
    <w:p w14:paraId="6E5EB2D1" w14:textId="77777777" w:rsidR="00375729" w:rsidRPr="00C519A8" w:rsidRDefault="00375729" w:rsidP="00375729">
      <w:pPr>
        <w:pStyle w:val="BodyTextNoIndent"/>
      </w:pPr>
      <w:r w:rsidRPr="00C519A8">
        <w:t>The key finding from the IT perspective is that the contribution of IT capital deepening to labour productivity declined quite markedly between periods. While it accounted for 0.8 of a percentage point of the annual rate of LP growth in the first period, IT capital deepening’s contribution fell in the 2000s to 0.5 of a percentage point. This came as the rate of IT growth slowed from 18.5 to 11.7 per cent a year, and the rate of growth in hours worked increased slightly from 1.1 to 1.2 per cent a year.</w:t>
      </w:r>
    </w:p>
    <w:p w14:paraId="41FEFEC0" w14:textId="77777777" w:rsidR="00375729" w:rsidRPr="00C519A8" w:rsidRDefault="00375729" w:rsidP="00375729">
      <w:pPr>
        <w:pStyle w:val="BodyTextNoIndent"/>
      </w:pPr>
      <w:r w:rsidRPr="00C519A8">
        <w:t>Nevertheless, 0.5 of a percentage point is still a large contribution.</w:t>
      </w:r>
    </w:p>
    <w:p w14:paraId="6E7FEB48" w14:textId="77777777" w:rsidR="00375729" w:rsidRPr="00185E7D" w:rsidRDefault="00375729" w:rsidP="00375729">
      <w:pPr>
        <w:pStyle w:val="BodyTextNoIndent"/>
      </w:pPr>
      <w:r w:rsidRPr="00C519A8">
        <w:t>In both periods, IT capital deepening accounted for about a quarter of LP growth and hardware accounted for about two-thirds of the IT capital deepening.</w:t>
      </w:r>
      <w:r w:rsidRPr="00185E7D">
        <w:fldChar w:fldCharType="begin"/>
      </w:r>
      <w:r w:rsidRPr="00185E7D">
        <w:instrText xml:space="preserve"> LINK Excel.Sheet.12 "\\\\dept.gov.au\\DFS\\Home\\dparham\\Desktop\\Docs\\1. GA project\\Aggregate\\1. Aggregate master blaster 150918.xlsx" "MS-16!R157C32:R164C34" \a \f 4 \h  \* MERGEFORMAT </w:instrText>
      </w:r>
      <w:r w:rsidRPr="00185E7D">
        <w:fldChar w:fldCharType="separate"/>
      </w:r>
    </w:p>
    <w:p w14:paraId="3C7219B3" w14:textId="77777777" w:rsidR="00375729" w:rsidRPr="00B722ED" w:rsidRDefault="00375729" w:rsidP="00B722ED">
      <w:pPr>
        <w:pStyle w:val="Tablecaption"/>
      </w:pPr>
      <w:r w:rsidRPr="00B722ED">
        <w:t>Table 6.2: Accounting for LP growth in the MS-16 before and after 2003–04a</w:t>
      </w:r>
    </w:p>
    <w:tbl>
      <w:tblPr>
        <w:tblW w:w="680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20"/>
        <w:gridCol w:w="1542"/>
        <w:gridCol w:w="1542"/>
      </w:tblGrid>
      <w:tr w:rsidR="00375729" w:rsidRPr="00185E7D" w14:paraId="7EF4F17A" w14:textId="77777777" w:rsidTr="00301886">
        <w:trPr>
          <w:trHeight w:val="495"/>
        </w:trPr>
        <w:tc>
          <w:tcPr>
            <w:tcW w:w="3720" w:type="dxa"/>
            <w:tcBorders>
              <w:top w:val="single" w:sz="4" w:space="0" w:color="auto"/>
              <w:bottom w:val="single" w:sz="4" w:space="0" w:color="auto"/>
              <w:right w:val="single" w:sz="4" w:space="0" w:color="auto"/>
            </w:tcBorders>
            <w:shd w:val="clear" w:color="auto" w:fill="auto"/>
            <w:noWrap/>
            <w:vAlign w:val="bottom"/>
            <w:hideMark/>
          </w:tcPr>
          <w:p w14:paraId="0050BB47" w14:textId="77777777" w:rsidR="00375729" w:rsidRPr="00185E7D" w:rsidRDefault="00375729" w:rsidP="00301886">
            <w:pPr>
              <w:pStyle w:val="BodyTextNoIndent"/>
              <w:rPr>
                <w:rFonts w:eastAsia="Times New Roman"/>
                <w:lang w:eastAsia="en-AU"/>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D3EB4" w14:textId="77777777" w:rsidR="00375729" w:rsidRPr="00185E7D" w:rsidRDefault="00375729" w:rsidP="00301886">
            <w:pPr>
              <w:pStyle w:val="BodyTextNoIndent"/>
              <w:rPr>
                <w:rFonts w:eastAsia="Times New Roman"/>
                <w:sz w:val="18"/>
                <w:szCs w:val="18"/>
                <w:lang w:eastAsia="en-AU"/>
              </w:rPr>
            </w:pPr>
            <w:r w:rsidRPr="00185E7D">
              <w:rPr>
                <w:rFonts w:eastAsia="Times New Roman"/>
                <w:sz w:val="18"/>
                <w:szCs w:val="18"/>
                <w:lang w:eastAsia="en-AU"/>
              </w:rPr>
              <w:t xml:space="preserve">1994–95 to </w:t>
            </w:r>
            <w:r w:rsidRPr="00185E7D">
              <w:rPr>
                <w:rFonts w:eastAsia="Times New Roman"/>
                <w:sz w:val="18"/>
                <w:szCs w:val="18"/>
                <w:lang w:eastAsia="en-AU"/>
              </w:rPr>
              <w:br/>
              <w:t>2003–04</w:t>
            </w:r>
          </w:p>
        </w:tc>
        <w:tc>
          <w:tcPr>
            <w:tcW w:w="1542" w:type="dxa"/>
            <w:tcBorders>
              <w:top w:val="single" w:sz="4" w:space="0" w:color="auto"/>
              <w:left w:val="single" w:sz="4" w:space="0" w:color="auto"/>
              <w:bottom w:val="single" w:sz="4" w:space="0" w:color="auto"/>
            </w:tcBorders>
            <w:shd w:val="clear" w:color="auto" w:fill="auto"/>
            <w:vAlign w:val="bottom"/>
            <w:hideMark/>
          </w:tcPr>
          <w:p w14:paraId="46CB43CD" w14:textId="77777777" w:rsidR="00375729" w:rsidRPr="00185E7D" w:rsidRDefault="00375729" w:rsidP="00301886">
            <w:pPr>
              <w:pStyle w:val="BodyTextNoIndent"/>
              <w:rPr>
                <w:rFonts w:eastAsia="Times New Roman"/>
                <w:sz w:val="18"/>
                <w:szCs w:val="18"/>
                <w:lang w:eastAsia="en-AU"/>
              </w:rPr>
            </w:pPr>
            <w:r w:rsidRPr="00185E7D">
              <w:rPr>
                <w:rFonts w:eastAsia="Times New Roman"/>
                <w:sz w:val="18"/>
                <w:szCs w:val="18"/>
                <w:lang w:eastAsia="en-AU"/>
              </w:rPr>
              <w:t xml:space="preserve">2003–04 to </w:t>
            </w:r>
            <w:r w:rsidRPr="00185E7D">
              <w:rPr>
                <w:rFonts w:eastAsia="Times New Roman"/>
                <w:sz w:val="18"/>
                <w:szCs w:val="18"/>
                <w:lang w:eastAsia="en-AU"/>
              </w:rPr>
              <w:br/>
              <w:t>2013–14</w:t>
            </w:r>
          </w:p>
        </w:tc>
      </w:tr>
      <w:tr w:rsidR="00375729" w:rsidRPr="00185E7D" w14:paraId="62E81645" w14:textId="77777777" w:rsidTr="00301886">
        <w:trPr>
          <w:trHeight w:val="300"/>
        </w:trPr>
        <w:tc>
          <w:tcPr>
            <w:tcW w:w="3720" w:type="dxa"/>
            <w:tcBorders>
              <w:top w:val="single" w:sz="4" w:space="0" w:color="auto"/>
              <w:bottom w:val="nil"/>
              <w:right w:val="single" w:sz="4" w:space="0" w:color="auto"/>
            </w:tcBorders>
            <w:shd w:val="clear" w:color="auto" w:fill="auto"/>
            <w:noWrap/>
            <w:vAlign w:val="center"/>
            <w:hideMark/>
          </w:tcPr>
          <w:p w14:paraId="15E0C5A4" w14:textId="77777777" w:rsidR="00375729" w:rsidRPr="00185E7D" w:rsidRDefault="00375729" w:rsidP="00301886">
            <w:pPr>
              <w:pStyle w:val="BodyTextNoIndent"/>
              <w:rPr>
                <w:rFonts w:eastAsia="Times New Roman"/>
                <w:lang w:eastAsia="en-AU"/>
              </w:rPr>
            </w:pPr>
            <w:r w:rsidRPr="00185E7D">
              <w:rPr>
                <w:rFonts w:eastAsia="Times New Roman"/>
                <w:lang w:eastAsia="en-AU"/>
              </w:rPr>
              <w:t>Capital deepening (pp)</w:t>
            </w:r>
          </w:p>
        </w:tc>
        <w:tc>
          <w:tcPr>
            <w:tcW w:w="1542" w:type="dxa"/>
            <w:tcBorders>
              <w:top w:val="single" w:sz="4" w:space="0" w:color="auto"/>
              <w:left w:val="single" w:sz="4" w:space="0" w:color="auto"/>
              <w:bottom w:val="nil"/>
              <w:right w:val="single" w:sz="4" w:space="0" w:color="auto"/>
            </w:tcBorders>
            <w:shd w:val="clear" w:color="auto" w:fill="auto"/>
            <w:noWrap/>
            <w:vAlign w:val="center"/>
            <w:hideMark/>
          </w:tcPr>
          <w:p w14:paraId="6B0AE2D7" w14:textId="77777777" w:rsidR="00375729" w:rsidRPr="00185E7D" w:rsidRDefault="00375729" w:rsidP="00301886">
            <w:pPr>
              <w:pStyle w:val="BodyTextNoIndent"/>
              <w:rPr>
                <w:rFonts w:eastAsia="Times New Roman"/>
                <w:lang w:eastAsia="en-AU"/>
              </w:rPr>
            </w:pPr>
            <w:r w:rsidRPr="00185E7D">
              <w:rPr>
                <w:rFonts w:eastAsia="Times New Roman"/>
                <w:lang w:eastAsia="en-AU"/>
              </w:rPr>
              <w:t>1.4</w:t>
            </w:r>
          </w:p>
        </w:tc>
        <w:tc>
          <w:tcPr>
            <w:tcW w:w="1542" w:type="dxa"/>
            <w:tcBorders>
              <w:top w:val="single" w:sz="4" w:space="0" w:color="auto"/>
              <w:left w:val="single" w:sz="4" w:space="0" w:color="auto"/>
            </w:tcBorders>
            <w:shd w:val="clear" w:color="auto" w:fill="auto"/>
            <w:noWrap/>
            <w:vAlign w:val="center"/>
            <w:hideMark/>
          </w:tcPr>
          <w:p w14:paraId="1BAD5023" w14:textId="77777777" w:rsidR="00375729" w:rsidRPr="00185E7D" w:rsidRDefault="00375729" w:rsidP="00301886">
            <w:pPr>
              <w:pStyle w:val="BodyTextNoIndent"/>
              <w:rPr>
                <w:rFonts w:eastAsia="Times New Roman"/>
                <w:lang w:eastAsia="en-AU"/>
              </w:rPr>
            </w:pPr>
            <w:r w:rsidRPr="00185E7D">
              <w:rPr>
                <w:rFonts w:eastAsia="Times New Roman"/>
                <w:lang w:eastAsia="en-AU"/>
              </w:rPr>
              <w:t>1.9</w:t>
            </w:r>
          </w:p>
        </w:tc>
      </w:tr>
      <w:tr w:rsidR="00375729" w:rsidRPr="00185E7D" w14:paraId="1FA42677" w14:textId="77777777" w:rsidTr="00301886">
        <w:trPr>
          <w:trHeight w:val="300"/>
        </w:trPr>
        <w:tc>
          <w:tcPr>
            <w:tcW w:w="3720" w:type="dxa"/>
            <w:tcBorders>
              <w:top w:val="nil"/>
              <w:bottom w:val="nil"/>
              <w:right w:val="single" w:sz="4" w:space="0" w:color="auto"/>
            </w:tcBorders>
            <w:shd w:val="clear" w:color="auto" w:fill="auto"/>
            <w:noWrap/>
            <w:vAlign w:val="bottom"/>
            <w:hideMark/>
          </w:tcPr>
          <w:p w14:paraId="7CAB40CF" w14:textId="77777777" w:rsidR="00375729" w:rsidRPr="00185E7D" w:rsidRDefault="00375729" w:rsidP="00301886">
            <w:pPr>
              <w:pStyle w:val="BodyTextNoIndent"/>
              <w:rPr>
                <w:rFonts w:eastAsia="Times New Roman"/>
                <w:lang w:eastAsia="en-AU"/>
              </w:rPr>
            </w:pPr>
            <w:r w:rsidRPr="00185E7D">
              <w:rPr>
                <w:rFonts w:eastAsia="Times New Roman"/>
                <w:lang w:eastAsia="en-AU"/>
              </w:rPr>
              <w:t>IT capital deepening (pp)</w:t>
            </w:r>
          </w:p>
        </w:tc>
        <w:tc>
          <w:tcPr>
            <w:tcW w:w="1542" w:type="dxa"/>
            <w:tcBorders>
              <w:top w:val="nil"/>
              <w:left w:val="single" w:sz="4" w:space="0" w:color="auto"/>
              <w:bottom w:val="nil"/>
              <w:right w:val="single" w:sz="4" w:space="0" w:color="auto"/>
            </w:tcBorders>
            <w:shd w:val="clear" w:color="auto" w:fill="auto"/>
            <w:noWrap/>
            <w:vAlign w:val="center"/>
            <w:hideMark/>
          </w:tcPr>
          <w:p w14:paraId="50E24D0B" w14:textId="77777777" w:rsidR="00375729" w:rsidRPr="00185E7D" w:rsidRDefault="00375729" w:rsidP="00301886">
            <w:pPr>
              <w:pStyle w:val="BodyTextNoIndent"/>
              <w:rPr>
                <w:rFonts w:eastAsia="Times New Roman"/>
                <w:lang w:eastAsia="en-AU"/>
              </w:rPr>
            </w:pPr>
            <w:r w:rsidRPr="00185E7D">
              <w:rPr>
                <w:rFonts w:eastAsia="Times New Roman"/>
                <w:lang w:eastAsia="en-AU"/>
              </w:rPr>
              <w:t>0.8</w:t>
            </w:r>
          </w:p>
        </w:tc>
        <w:tc>
          <w:tcPr>
            <w:tcW w:w="1542" w:type="dxa"/>
            <w:tcBorders>
              <w:left w:val="single" w:sz="4" w:space="0" w:color="auto"/>
            </w:tcBorders>
            <w:shd w:val="clear" w:color="auto" w:fill="auto"/>
            <w:noWrap/>
            <w:vAlign w:val="center"/>
            <w:hideMark/>
          </w:tcPr>
          <w:p w14:paraId="14B284FA" w14:textId="77777777" w:rsidR="00375729" w:rsidRPr="00185E7D" w:rsidRDefault="00375729" w:rsidP="00301886">
            <w:pPr>
              <w:pStyle w:val="BodyTextNoIndent"/>
              <w:rPr>
                <w:rFonts w:eastAsia="Times New Roman"/>
                <w:lang w:eastAsia="en-AU"/>
              </w:rPr>
            </w:pPr>
            <w:r w:rsidRPr="00185E7D">
              <w:rPr>
                <w:rFonts w:eastAsia="Times New Roman"/>
                <w:lang w:eastAsia="en-AU"/>
              </w:rPr>
              <w:t>0.5</w:t>
            </w:r>
          </w:p>
        </w:tc>
      </w:tr>
      <w:tr w:rsidR="00375729" w:rsidRPr="00185E7D" w14:paraId="5F8311B4" w14:textId="77777777" w:rsidTr="00301886">
        <w:trPr>
          <w:trHeight w:val="300"/>
        </w:trPr>
        <w:tc>
          <w:tcPr>
            <w:tcW w:w="3720" w:type="dxa"/>
            <w:tcBorders>
              <w:top w:val="nil"/>
              <w:bottom w:val="nil"/>
              <w:right w:val="single" w:sz="4" w:space="0" w:color="auto"/>
            </w:tcBorders>
            <w:shd w:val="clear" w:color="auto" w:fill="auto"/>
            <w:noWrap/>
            <w:vAlign w:val="bottom"/>
            <w:hideMark/>
          </w:tcPr>
          <w:p w14:paraId="77646D2E" w14:textId="77777777" w:rsidR="00375729" w:rsidRPr="00185E7D" w:rsidRDefault="0058764D" w:rsidP="00301886">
            <w:pPr>
              <w:pStyle w:val="BodyTextNoIndent"/>
              <w:rPr>
                <w:rFonts w:eastAsia="Times New Roman"/>
                <w:lang w:eastAsia="en-AU"/>
              </w:rPr>
            </w:pPr>
            <w:r>
              <w:rPr>
                <w:rFonts w:eastAsia="Times New Roman"/>
                <w:lang w:eastAsia="en-AU"/>
              </w:rPr>
              <w:t>H</w:t>
            </w:r>
            <w:r w:rsidR="00375729" w:rsidRPr="00185E7D">
              <w:rPr>
                <w:rFonts w:eastAsia="Times New Roman"/>
                <w:lang w:eastAsia="en-AU"/>
              </w:rPr>
              <w:t>ardware (pp)</w:t>
            </w:r>
          </w:p>
        </w:tc>
        <w:tc>
          <w:tcPr>
            <w:tcW w:w="1542" w:type="dxa"/>
            <w:tcBorders>
              <w:top w:val="nil"/>
              <w:left w:val="single" w:sz="4" w:space="0" w:color="auto"/>
              <w:bottom w:val="nil"/>
              <w:right w:val="single" w:sz="4" w:space="0" w:color="auto"/>
            </w:tcBorders>
            <w:shd w:val="clear" w:color="auto" w:fill="auto"/>
            <w:noWrap/>
            <w:vAlign w:val="bottom"/>
            <w:hideMark/>
          </w:tcPr>
          <w:p w14:paraId="62BD88A0" w14:textId="77777777" w:rsidR="00375729" w:rsidRPr="00185E7D" w:rsidRDefault="00375729" w:rsidP="00301886">
            <w:pPr>
              <w:pStyle w:val="BodyTextNoIndent"/>
              <w:rPr>
                <w:rFonts w:eastAsia="Times New Roman"/>
                <w:lang w:eastAsia="en-AU"/>
              </w:rPr>
            </w:pPr>
            <w:r w:rsidRPr="00185E7D">
              <w:rPr>
                <w:rFonts w:eastAsia="Times New Roman"/>
                <w:lang w:eastAsia="en-AU"/>
              </w:rPr>
              <w:t>0.5</w:t>
            </w:r>
          </w:p>
        </w:tc>
        <w:tc>
          <w:tcPr>
            <w:tcW w:w="1542" w:type="dxa"/>
            <w:tcBorders>
              <w:left w:val="single" w:sz="4" w:space="0" w:color="auto"/>
            </w:tcBorders>
            <w:shd w:val="clear" w:color="auto" w:fill="auto"/>
            <w:noWrap/>
            <w:vAlign w:val="bottom"/>
            <w:hideMark/>
          </w:tcPr>
          <w:p w14:paraId="1C2F5957" w14:textId="77777777" w:rsidR="00375729" w:rsidRPr="00185E7D" w:rsidRDefault="00375729" w:rsidP="00301886">
            <w:pPr>
              <w:pStyle w:val="BodyTextNoIndent"/>
              <w:rPr>
                <w:rFonts w:eastAsia="Times New Roman"/>
                <w:lang w:eastAsia="en-AU"/>
              </w:rPr>
            </w:pPr>
            <w:r w:rsidRPr="00185E7D">
              <w:rPr>
                <w:rFonts w:eastAsia="Times New Roman"/>
                <w:lang w:eastAsia="en-AU"/>
              </w:rPr>
              <w:t>0.3</w:t>
            </w:r>
          </w:p>
        </w:tc>
      </w:tr>
      <w:tr w:rsidR="00375729" w:rsidRPr="00185E7D" w14:paraId="7A984FFE" w14:textId="77777777" w:rsidTr="00301886">
        <w:trPr>
          <w:trHeight w:val="300"/>
        </w:trPr>
        <w:tc>
          <w:tcPr>
            <w:tcW w:w="3720" w:type="dxa"/>
            <w:tcBorders>
              <w:top w:val="nil"/>
              <w:bottom w:val="nil"/>
              <w:right w:val="single" w:sz="4" w:space="0" w:color="auto"/>
            </w:tcBorders>
            <w:shd w:val="clear" w:color="auto" w:fill="auto"/>
            <w:noWrap/>
            <w:vAlign w:val="bottom"/>
            <w:hideMark/>
          </w:tcPr>
          <w:p w14:paraId="424B21F3" w14:textId="77777777" w:rsidR="00375729" w:rsidRPr="00185E7D" w:rsidRDefault="0058764D" w:rsidP="00301886">
            <w:pPr>
              <w:pStyle w:val="BodyTextNoIndent"/>
              <w:rPr>
                <w:rFonts w:eastAsia="Times New Roman"/>
                <w:lang w:eastAsia="en-AU"/>
              </w:rPr>
            </w:pPr>
            <w:r>
              <w:rPr>
                <w:rFonts w:eastAsia="Times New Roman"/>
                <w:lang w:eastAsia="en-AU"/>
              </w:rPr>
              <w:t>S</w:t>
            </w:r>
            <w:r w:rsidR="00375729" w:rsidRPr="00185E7D">
              <w:rPr>
                <w:rFonts w:eastAsia="Times New Roman"/>
                <w:lang w:eastAsia="en-AU"/>
              </w:rPr>
              <w:t>oftware (pp)</w:t>
            </w:r>
          </w:p>
        </w:tc>
        <w:tc>
          <w:tcPr>
            <w:tcW w:w="1542" w:type="dxa"/>
            <w:tcBorders>
              <w:top w:val="nil"/>
              <w:left w:val="single" w:sz="4" w:space="0" w:color="auto"/>
              <w:bottom w:val="nil"/>
              <w:right w:val="single" w:sz="4" w:space="0" w:color="auto"/>
            </w:tcBorders>
            <w:shd w:val="clear" w:color="auto" w:fill="auto"/>
            <w:noWrap/>
            <w:vAlign w:val="bottom"/>
            <w:hideMark/>
          </w:tcPr>
          <w:p w14:paraId="57622EE8" w14:textId="77777777" w:rsidR="00375729" w:rsidRPr="00185E7D" w:rsidRDefault="00375729" w:rsidP="00301886">
            <w:pPr>
              <w:pStyle w:val="BodyTextNoIndent"/>
              <w:rPr>
                <w:rFonts w:eastAsia="Times New Roman"/>
                <w:lang w:eastAsia="en-AU"/>
              </w:rPr>
            </w:pPr>
            <w:r w:rsidRPr="00185E7D">
              <w:rPr>
                <w:rFonts w:eastAsia="Times New Roman"/>
                <w:lang w:eastAsia="en-AU"/>
              </w:rPr>
              <w:t>0.3</w:t>
            </w:r>
          </w:p>
        </w:tc>
        <w:tc>
          <w:tcPr>
            <w:tcW w:w="1542" w:type="dxa"/>
            <w:tcBorders>
              <w:left w:val="single" w:sz="4" w:space="0" w:color="auto"/>
            </w:tcBorders>
            <w:shd w:val="clear" w:color="auto" w:fill="auto"/>
            <w:noWrap/>
            <w:vAlign w:val="bottom"/>
            <w:hideMark/>
          </w:tcPr>
          <w:p w14:paraId="6CAE6CFE" w14:textId="77777777" w:rsidR="00375729" w:rsidRPr="00185E7D" w:rsidRDefault="00375729" w:rsidP="00301886">
            <w:pPr>
              <w:pStyle w:val="BodyTextNoIndent"/>
              <w:rPr>
                <w:rFonts w:eastAsia="Times New Roman"/>
                <w:lang w:eastAsia="en-AU"/>
              </w:rPr>
            </w:pPr>
            <w:r w:rsidRPr="00185E7D">
              <w:rPr>
                <w:rFonts w:eastAsia="Times New Roman"/>
                <w:lang w:eastAsia="en-AU"/>
              </w:rPr>
              <w:t>0.2</w:t>
            </w:r>
          </w:p>
        </w:tc>
      </w:tr>
      <w:tr w:rsidR="00375729" w:rsidRPr="00185E7D" w14:paraId="661668F0" w14:textId="77777777" w:rsidTr="00301886">
        <w:trPr>
          <w:trHeight w:val="300"/>
        </w:trPr>
        <w:tc>
          <w:tcPr>
            <w:tcW w:w="3720" w:type="dxa"/>
            <w:tcBorders>
              <w:top w:val="nil"/>
              <w:bottom w:val="nil"/>
              <w:right w:val="single" w:sz="4" w:space="0" w:color="auto"/>
            </w:tcBorders>
            <w:shd w:val="clear" w:color="auto" w:fill="auto"/>
            <w:noWrap/>
            <w:vAlign w:val="bottom"/>
            <w:hideMark/>
          </w:tcPr>
          <w:p w14:paraId="4041D010" w14:textId="77777777" w:rsidR="00375729" w:rsidRPr="00185E7D" w:rsidRDefault="00375729" w:rsidP="00301886">
            <w:pPr>
              <w:pStyle w:val="BodyTextNoIndent"/>
              <w:rPr>
                <w:rFonts w:eastAsia="Times New Roman"/>
                <w:lang w:eastAsia="en-AU"/>
              </w:rPr>
            </w:pPr>
            <w:r w:rsidRPr="00185E7D">
              <w:rPr>
                <w:rFonts w:eastAsia="Times New Roman"/>
                <w:lang w:eastAsia="en-AU"/>
              </w:rPr>
              <w:t>Non-IT capital deepening (pp)</w:t>
            </w:r>
          </w:p>
        </w:tc>
        <w:tc>
          <w:tcPr>
            <w:tcW w:w="1542" w:type="dxa"/>
            <w:tcBorders>
              <w:top w:val="nil"/>
              <w:left w:val="single" w:sz="4" w:space="0" w:color="auto"/>
              <w:bottom w:val="nil"/>
              <w:right w:val="single" w:sz="4" w:space="0" w:color="auto"/>
            </w:tcBorders>
            <w:shd w:val="clear" w:color="auto" w:fill="auto"/>
            <w:noWrap/>
            <w:vAlign w:val="center"/>
            <w:hideMark/>
          </w:tcPr>
          <w:p w14:paraId="37D7DB57" w14:textId="77777777" w:rsidR="00375729" w:rsidRPr="00185E7D" w:rsidRDefault="00375729" w:rsidP="00301886">
            <w:pPr>
              <w:pStyle w:val="BodyTextNoIndent"/>
              <w:rPr>
                <w:rFonts w:eastAsia="Times New Roman"/>
                <w:lang w:eastAsia="en-AU"/>
              </w:rPr>
            </w:pPr>
            <w:r w:rsidRPr="00185E7D">
              <w:rPr>
                <w:rFonts w:eastAsia="Times New Roman"/>
                <w:lang w:eastAsia="en-AU"/>
              </w:rPr>
              <w:t>0.6</w:t>
            </w:r>
          </w:p>
        </w:tc>
        <w:tc>
          <w:tcPr>
            <w:tcW w:w="1542" w:type="dxa"/>
            <w:tcBorders>
              <w:left w:val="single" w:sz="4" w:space="0" w:color="auto"/>
            </w:tcBorders>
            <w:shd w:val="clear" w:color="auto" w:fill="auto"/>
            <w:noWrap/>
            <w:vAlign w:val="center"/>
            <w:hideMark/>
          </w:tcPr>
          <w:p w14:paraId="6F06772A" w14:textId="77777777" w:rsidR="00375729" w:rsidRPr="00185E7D" w:rsidRDefault="00375729" w:rsidP="00301886">
            <w:pPr>
              <w:pStyle w:val="BodyTextNoIndent"/>
              <w:rPr>
                <w:rFonts w:eastAsia="Times New Roman"/>
                <w:lang w:eastAsia="en-AU"/>
              </w:rPr>
            </w:pPr>
            <w:r w:rsidRPr="00185E7D">
              <w:rPr>
                <w:rFonts w:eastAsia="Times New Roman"/>
                <w:lang w:eastAsia="en-AU"/>
              </w:rPr>
              <w:t>1.4</w:t>
            </w:r>
          </w:p>
        </w:tc>
      </w:tr>
      <w:tr w:rsidR="00375729" w:rsidRPr="00185E7D" w14:paraId="725267D9" w14:textId="77777777" w:rsidTr="00301886">
        <w:trPr>
          <w:trHeight w:val="300"/>
        </w:trPr>
        <w:tc>
          <w:tcPr>
            <w:tcW w:w="3720" w:type="dxa"/>
            <w:tcBorders>
              <w:top w:val="nil"/>
              <w:bottom w:val="nil"/>
              <w:right w:val="single" w:sz="4" w:space="0" w:color="auto"/>
            </w:tcBorders>
            <w:shd w:val="clear" w:color="auto" w:fill="auto"/>
            <w:noWrap/>
            <w:vAlign w:val="center"/>
            <w:hideMark/>
          </w:tcPr>
          <w:p w14:paraId="04C4A193" w14:textId="77777777" w:rsidR="00375729" w:rsidRPr="00185E7D" w:rsidRDefault="00375729" w:rsidP="00301886">
            <w:pPr>
              <w:pStyle w:val="BodyTextNoIndent"/>
              <w:rPr>
                <w:rFonts w:eastAsia="Times New Roman"/>
                <w:lang w:eastAsia="en-AU"/>
              </w:rPr>
            </w:pPr>
            <w:r w:rsidRPr="00185E7D">
              <w:rPr>
                <w:rFonts w:eastAsia="Times New Roman"/>
                <w:lang w:eastAsia="en-AU"/>
              </w:rPr>
              <w:t>MFP growth (pp and % pa)</w:t>
            </w:r>
          </w:p>
        </w:tc>
        <w:tc>
          <w:tcPr>
            <w:tcW w:w="1542" w:type="dxa"/>
            <w:tcBorders>
              <w:top w:val="nil"/>
              <w:left w:val="single" w:sz="4" w:space="0" w:color="auto"/>
              <w:bottom w:val="nil"/>
              <w:right w:val="single" w:sz="4" w:space="0" w:color="auto"/>
            </w:tcBorders>
            <w:shd w:val="clear" w:color="auto" w:fill="auto"/>
            <w:noWrap/>
            <w:vAlign w:val="center"/>
            <w:hideMark/>
          </w:tcPr>
          <w:p w14:paraId="0677247A" w14:textId="77777777" w:rsidR="00375729" w:rsidRPr="00185E7D" w:rsidRDefault="00375729" w:rsidP="00301886">
            <w:pPr>
              <w:pStyle w:val="BodyTextNoIndent"/>
              <w:rPr>
                <w:rFonts w:eastAsia="Times New Roman"/>
                <w:lang w:eastAsia="en-AU"/>
              </w:rPr>
            </w:pPr>
            <w:r w:rsidRPr="00185E7D">
              <w:rPr>
                <w:rFonts w:eastAsia="Times New Roman"/>
                <w:lang w:eastAsia="en-AU"/>
              </w:rPr>
              <w:t>1.6</w:t>
            </w:r>
          </w:p>
        </w:tc>
        <w:tc>
          <w:tcPr>
            <w:tcW w:w="1542" w:type="dxa"/>
            <w:tcBorders>
              <w:left w:val="single" w:sz="4" w:space="0" w:color="auto"/>
            </w:tcBorders>
            <w:shd w:val="clear" w:color="auto" w:fill="auto"/>
            <w:noWrap/>
            <w:vAlign w:val="center"/>
            <w:hideMark/>
          </w:tcPr>
          <w:p w14:paraId="23BF05E8" w14:textId="77777777" w:rsidR="00375729" w:rsidRPr="00185E7D" w:rsidRDefault="00375729" w:rsidP="00301886">
            <w:pPr>
              <w:pStyle w:val="BodyTextNoIndent"/>
              <w:rPr>
                <w:rFonts w:eastAsia="Times New Roman"/>
                <w:lang w:eastAsia="en-AU"/>
              </w:rPr>
            </w:pPr>
            <w:r w:rsidRPr="00185E7D">
              <w:rPr>
                <w:rFonts w:eastAsia="Times New Roman"/>
                <w:lang w:eastAsia="en-AU"/>
              </w:rPr>
              <w:t>-0.2</w:t>
            </w:r>
          </w:p>
        </w:tc>
      </w:tr>
      <w:tr w:rsidR="00375729" w:rsidRPr="00185E7D" w14:paraId="670B4F1A" w14:textId="77777777" w:rsidTr="00301886">
        <w:trPr>
          <w:trHeight w:val="300"/>
        </w:trPr>
        <w:tc>
          <w:tcPr>
            <w:tcW w:w="3720" w:type="dxa"/>
            <w:tcBorders>
              <w:top w:val="nil"/>
              <w:bottom w:val="single" w:sz="4" w:space="0" w:color="auto"/>
              <w:right w:val="single" w:sz="4" w:space="0" w:color="auto"/>
            </w:tcBorders>
            <w:shd w:val="clear" w:color="auto" w:fill="auto"/>
            <w:noWrap/>
            <w:vAlign w:val="center"/>
            <w:hideMark/>
          </w:tcPr>
          <w:p w14:paraId="5E66F67A" w14:textId="77777777" w:rsidR="00375729" w:rsidRPr="00185E7D" w:rsidRDefault="00375729" w:rsidP="00301886">
            <w:pPr>
              <w:pStyle w:val="BodyTextNoIndent"/>
              <w:rPr>
                <w:rFonts w:eastAsia="Times New Roman"/>
                <w:lang w:eastAsia="en-AU"/>
              </w:rPr>
            </w:pPr>
            <w:r w:rsidRPr="00185E7D">
              <w:rPr>
                <w:rFonts w:eastAsia="Times New Roman"/>
                <w:lang w:eastAsia="en-AU"/>
              </w:rPr>
              <w:t>Labour productivity growth (% pa)</w:t>
            </w:r>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F0A8FE5" w14:textId="77777777" w:rsidR="00375729" w:rsidRPr="00185E7D" w:rsidRDefault="00375729" w:rsidP="00301886">
            <w:pPr>
              <w:pStyle w:val="BodyTextNoIndent"/>
              <w:rPr>
                <w:rFonts w:eastAsia="Times New Roman"/>
                <w:lang w:eastAsia="en-AU"/>
              </w:rPr>
            </w:pPr>
            <w:r w:rsidRPr="00185E7D">
              <w:rPr>
                <w:rFonts w:eastAsia="Times New Roman"/>
                <w:lang w:eastAsia="en-AU"/>
              </w:rPr>
              <w:t>2.9</w:t>
            </w:r>
          </w:p>
        </w:tc>
        <w:tc>
          <w:tcPr>
            <w:tcW w:w="1542" w:type="dxa"/>
            <w:tcBorders>
              <w:left w:val="single" w:sz="4" w:space="0" w:color="auto"/>
            </w:tcBorders>
            <w:shd w:val="clear" w:color="auto" w:fill="auto"/>
            <w:noWrap/>
            <w:vAlign w:val="center"/>
            <w:hideMark/>
          </w:tcPr>
          <w:p w14:paraId="433F1B68" w14:textId="77777777" w:rsidR="00375729" w:rsidRPr="00185E7D" w:rsidRDefault="00375729" w:rsidP="00301886">
            <w:pPr>
              <w:pStyle w:val="BodyTextNoIndent"/>
              <w:rPr>
                <w:rFonts w:eastAsia="Times New Roman"/>
                <w:lang w:eastAsia="en-AU"/>
              </w:rPr>
            </w:pPr>
            <w:r w:rsidRPr="00185E7D">
              <w:rPr>
                <w:rFonts w:eastAsia="Times New Roman"/>
                <w:lang w:eastAsia="en-AU"/>
              </w:rPr>
              <w:t>1.7</w:t>
            </w:r>
          </w:p>
        </w:tc>
      </w:tr>
    </w:tbl>
    <w:p w14:paraId="37E68EFC" w14:textId="77777777" w:rsidR="00C667EC" w:rsidRPr="00323930" w:rsidRDefault="00375729" w:rsidP="00012248">
      <w:pPr>
        <w:pStyle w:val="SourceNotes"/>
      </w:pPr>
      <w:r w:rsidRPr="00185E7D">
        <w:fldChar w:fldCharType="end"/>
      </w:r>
      <w:r w:rsidRPr="00185E7D">
        <w:t>Note: a. Growth rates and contributions are calculated from differences in logged values</w:t>
      </w:r>
      <w:r w:rsidR="00C667EC">
        <w:t xml:space="preserve">. </w:t>
      </w:r>
      <w:r w:rsidR="00C667EC">
        <w:br/>
      </w:r>
      <w:r w:rsidR="00C667EC" w:rsidRPr="000E36A5">
        <w:t>Numbers may not add up due to rounding</w:t>
      </w:r>
      <w:r w:rsidR="00C667EC">
        <w:t xml:space="preserve">. </w:t>
      </w:r>
      <w:r w:rsidR="00C667EC" w:rsidRPr="00323930">
        <w:tab/>
      </w:r>
    </w:p>
    <w:p w14:paraId="23081AA9" w14:textId="77777777" w:rsidR="00375729" w:rsidRPr="00185E7D" w:rsidRDefault="00375729" w:rsidP="00012248">
      <w:pPr>
        <w:pStyle w:val="SourceNotes"/>
      </w:pPr>
      <w:r w:rsidRPr="00185E7D">
        <w:t>Source: Author estimates</w:t>
      </w:r>
    </w:p>
    <w:p w14:paraId="08F39951" w14:textId="77777777" w:rsidR="00375729" w:rsidRPr="00185E7D" w:rsidRDefault="00375729" w:rsidP="00375729">
      <w:pPr>
        <w:pStyle w:val="BodyTextNoIndent"/>
      </w:pPr>
      <w:r w:rsidRPr="00185E7D">
        <w:t>Each of the two periods was then divided, using 1998–</w:t>
      </w:r>
      <w:r w:rsidR="00F66A90" w:rsidRPr="00185E7D">
        <w:t>9</w:t>
      </w:r>
      <w:r w:rsidR="00F66A90">
        <w:t>9</w:t>
      </w:r>
      <w:r w:rsidR="00F66A90" w:rsidRPr="00185E7D">
        <w:t xml:space="preserve"> </w:t>
      </w:r>
      <w:r w:rsidRPr="00185E7D">
        <w:t>as the breakpoint in the first period and 2007–08 in the second. The resulting four periods are shown in Table 6.3. Because the two new breakpoints have been identified by the ABS as productivity peaks, the middle two periods—from 1998–99 to 2003–04 and 2003–04 to 2007–08—are ABS productivity cycles.</w:t>
      </w:r>
    </w:p>
    <w:p w14:paraId="044D7CB0" w14:textId="77777777" w:rsidR="00375729" w:rsidRPr="00185E7D" w:rsidRDefault="00375729" w:rsidP="00375729">
      <w:pPr>
        <w:pStyle w:val="BodyTextNoIndent"/>
      </w:pPr>
      <w:r w:rsidRPr="00185E7D">
        <w:t xml:space="preserve">The main additional information about IT capital deepening from the split into four periods is that the hardware contribution faded in the second half of the 2000s. Overall, IT capital deepening was weaker in the fourth period, due to the hardware contribution falling from 0.5 to 0.2 of a percentage point. </w:t>
      </w:r>
      <w:r w:rsidRPr="00185E7D">
        <w:fldChar w:fldCharType="begin"/>
      </w:r>
      <w:r w:rsidRPr="00185E7D">
        <w:instrText xml:space="preserve"> LINK Excel.Sheet.12 "\\\\dept.gov.au\\DFS\\Home\\dparham\\Desktop\\Docs\\1. GA project\\Aggregate\\1. Aggregate master blaster 150918.xlsx" "MS-16!R203C32:R210C36" \a \f 4 \h  \* MERGEFORMAT </w:instrText>
      </w:r>
      <w:r w:rsidRPr="00185E7D">
        <w:fldChar w:fldCharType="separate"/>
      </w:r>
    </w:p>
    <w:p w14:paraId="2BB5319F" w14:textId="77777777" w:rsidR="00375729" w:rsidRPr="00185E7D" w:rsidRDefault="00375729" w:rsidP="00B722ED">
      <w:pPr>
        <w:pStyle w:val="Tablecaption"/>
        <w:rPr>
          <w:vertAlign w:val="superscript"/>
        </w:rPr>
      </w:pPr>
      <w:r w:rsidRPr="00185E7D">
        <w:t>Table 6.3: Accounting for LP growth in the MS-16 over four periods</w:t>
      </w:r>
      <w:r w:rsidRPr="00185E7D">
        <w:rPr>
          <w:vertAlign w:val="superscript"/>
        </w:rPr>
        <w:t>a</w:t>
      </w:r>
    </w:p>
    <w:tbl>
      <w:tblPr>
        <w:tblW w:w="86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20"/>
        <w:gridCol w:w="1231"/>
        <w:gridCol w:w="1232"/>
        <w:gridCol w:w="1232"/>
        <w:gridCol w:w="1232"/>
      </w:tblGrid>
      <w:tr w:rsidR="00375729" w:rsidRPr="00185E7D" w14:paraId="38CD9F22" w14:textId="77777777" w:rsidTr="00301886">
        <w:trPr>
          <w:trHeight w:val="495"/>
        </w:trPr>
        <w:tc>
          <w:tcPr>
            <w:tcW w:w="3720" w:type="dxa"/>
            <w:tcBorders>
              <w:top w:val="single" w:sz="4" w:space="0" w:color="auto"/>
              <w:bottom w:val="single" w:sz="4" w:space="0" w:color="auto"/>
              <w:right w:val="single" w:sz="4" w:space="0" w:color="auto"/>
            </w:tcBorders>
            <w:shd w:val="clear" w:color="auto" w:fill="auto"/>
            <w:noWrap/>
            <w:vAlign w:val="bottom"/>
            <w:hideMark/>
          </w:tcPr>
          <w:p w14:paraId="613D77C0" w14:textId="77777777" w:rsidR="00375729" w:rsidRPr="00B722ED" w:rsidRDefault="00375729" w:rsidP="006C4B85">
            <w:pPr>
              <w:pStyle w:val="Tablecellheading"/>
            </w:pPr>
          </w:p>
        </w:tc>
        <w:tc>
          <w:tcPr>
            <w:tcW w:w="12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7FC89" w14:textId="77777777" w:rsidR="00375729" w:rsidRPr="00B722ED" w:rsidRDefault="00375729" w:rsidP="006C4B85">
            <w:pPr>
              <w:pStyle w:val="Tablecellheading"/>
            </w:pPr>
            <w:r w:rsidRPr="00B722ED">
              <w:t>1994-95 to 1998-99</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0FC9F2" w14:textId="77777777" w:rsidR="00375729" w:rsidRPr="00B722ED" w:rsidRDefault="00375729" w:rsidP="006C4B85">
            <w:pPr>
              <w:pStyle w:val="Tablecellheading"/>
            </w:pPr>
            <w:r w:rsidRPr="00B722ED">
              <w:t>1998-99 to 2003-04</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308E8" w14:textId="77777777" w:rsidR="00375729" w:rsidRPr="00B722ED" w:rsidRDefault="00375729" w:rsidP="006C4B85">
            <w:pPr>
              <w:pStyle w:val="Tablecellheading"/>
            </w:pPr>
            <w:r w:rsidRPr="00B722ED">
              <w:t>2003-04 to 2007-08</w:t>
            </w:r>
          </w:p>
        </w:tc>
        <w:tc>
          <w:tcPr>
            <w:tcW w:w="1232" w:type="dxa"/>
            <w:tcBorders>
              <w:top w:val="single" w:sz="4" w:space="0" w:color="auto"/>
              <w:left w:val="single" w:sz="4" w:space="0" w:color="auto"/>
              <w:bottom w:val="single" w:sz="4" w:space="0" w:color="auto"/>
            </w:tcBorders>
            <w:shd w:val="clear" w:color="auto" w:fill="auto"/>
            <w:vAlign w:val="bottom"/>
            <w:hideMark/>
          </w:tcPr>
          <w:p w14:paraId="54396467" w14:textId="77777777" w:rsidR="00375729" w:rsidRPr="00B722ED" w:rsidRDefault="00375729" w:rsidP="006C4B85">
            <w:pPr>
              <w:pStyle w:val="Tablecellheading"/>
            </w:pPr>
            <w:r w:rsidRPr="00B722ED">
              <w:t>2007-08 to 2013-14</w:t>
            </w:r>
          </w:p>
        </w:tc>
      </w:tr>
      <w:tr w:rsidR="00375729" w:rsidRPr="00185E7D" w14:paraId="17FDC78E" w14:textId="77777777" w:rsidTr="00301886">
        <w:trPr>
          <w:trHeight w:val="300"/>
        </w:trPr>
        <w:tc>
          <w:tcPr>
            <w:tcW w:w="3720" w:type="dxa"/>
            <w:tcBorders>
              <w:top w:val="single" w:sz="4" w:space="0" w:color="auto"/>
              <w:right w:val="single" w:sz="4" w:space="0" w:color="auto"/>
            </w:tcBorders>
            <w:shd w:val="clear" w:color="auto" w:fill="auto"/>
            <w:noWrap/>
            <w:vAlign w:val="bottom"/>
            <w:hideMark/>
          </w:tcPr>
          <w:p w14:paraId="435E9B6A" w14:textId="77777777" w:rsidR="00375729" w:rsidRPr="00185E7D" w:rsidRDefault="00375729" w:rsidP="006C4B85">
            <w:pPr>
              <w:pStyle w:val="Tablecellsub-heading"/>
            </w:pPr>
            <w:r w:rsidRPr="00185E7D">
              <w:t>Capital deepening (pp)</w:t>
            </w:r>
          </w:p>
        </w:tc>
        <w:tc>
          <w:tcPr>
            <w:tcW w:w="1231" w:type="dxa"/>
            <w:tcBorders>
              <w:top w:val="single" w:sz="4" w:space="0" w:color="auto"/>
              <w:left w:val="single" w:sz="4" w:space="0" w:color="auto"/>
              <w:bottom w:val="nil"/>
              <w:right w:val="single" w:sz="4" w:space="0" w:color="auto"/>
            </w:tcBorders>
            <w:shd w:val="clear" w:color="auto" w:fill="auto"/>
            <w:noWrap/>
            <w:vAlign w:val="bottom"/>
            <w:hideMark/>
          </w:tcPr>
          <w:p w14:paraId="1F7D16F7" w14:textId="77777777" w:rsidR="00375729" w:rsidRPr="00185E7D" w:rsidRDefault="00375729" w:rsidP="00B722ED">
            <w:pPr>
              <w:pStyle w:val="Tabletext"/>
            </w:pPr>
            <w:r w:rsidRPr="00185E7D">
              <w:t>1.5</w:t>
            </w:r>
          </w:p>
        </w:tc>
        <w:tc>
          <w:tcPr>
            <w:tcW w:w="1232" w:type="dxa"/>
            <w:tcBorders>
              <w:top w:val="single" w:sz="4" w:space="0" w:color="auto"/>
              <w:left w:val="single" w:sz="4" w:space="0" w:color="auto"/>
              <w:right w:val="single" w:sz="4" w:space="0" w:color="auto"/>
            </w:tcBorders>
            <w:shd w:val="clear" w:color="auto" w:fill="auto"/>
            <w:noWrap/>
            <w:vAlign w:val="bottom"/>
            <w:hideMark/>
          </w:tcPr>
          <w:p w14:paraId="1CE6B2F6" w14:textId="77777777" w:rsidR="00375729" w:rsidRPr="00185E7D" w:rsidRDefault="00375729" w:rsidP="00B722ED">
            <w:pPr>
              <w:pStyle w:val="Tabletext"/>
            </w:pPr>
            <w:r w:rsidRPr="00185E7D">
              <w:t>1.3</w:t>
            </w:r>
          </w:p>
        </w:tc>
        <w:tc>
          <w:tcPr>
            <w:tcW w:w="1232" w:type="dxa"/>
            <w:tcBorders>
              <w:top w:val="single" w:sz="4" w:space="0" w:color="auto"/>
              <w:left w:val="single" w:sz="4" w:space="0" w:color="auto"/>
              <w:bottom w:val="nil"/>
              <w:right w:val="single" w:sz="4" w:space="0" w:color="auto"/>
            </w:tcBorders>
            <w:shd w:val="clear" w:color="auto" w:fill="auto"/>
            <w:noWrap/>
            <w:vAlign w:val="bottom"/>
            <w:hideMark/>
          </w:tcPr>
          <w:p w14:paraId="596C47CE" w14:textId="77777777" w:rsidR="00375729" w:rsidRPr="00185E7D" w:rsidRDefault="00375729" w:rsidP="00B722ED">
            <w:pPr>
              <w:pStyle w:val="Tabletext"/>
            </w:pPr>
            <w:r w:rsidRPr="00185E7D">
              <w:t>1.6</w:t>
            </w:r>
          </w:p>
        </w:tc>
        <w:tc>
          <w:tcPr>
            <w:tcW w:w="1232" w:type="dxa"/>
            <w:tcBorders>
              <w:top w:val="single" w:sz="4" w:space="0" w:color="auto"/>
              <w:left w:val="single" w:sz="4" w:space="0" w:color="auto"/>
            </w:tcBorders>
            <w:shd w:val="clear" w:color="auto" w:fill="auto"/>
            <w:noWrap/>
            <w:vAlign w:val="bottom"/>
            <w:hideMark/>
          </w:tcPr>
          <w:p w14:paraId="2A0B8BC5" w14:textId="77777777" w:rsidR="00375729" w:rsidRPr="00185E7D" w:rsidRDefault="00375729" w:rsidP="00B722ED">
            <w:pPr>
              <w:pStyle w:val="Tabletext"/>
            </w:pPr>
            <w:r w:rsidRPr="00185E7D">
              <w:t>2.1</w:t>
            </w:r>
          </w:p>
        </w:tc>
      </w:tr>
      <w:tr w:rsidR="00375729" w:rsidRPr="00185E7D" w14:paraId="10A1514C" w14:textId="77777777" w:rsidTr="00301886">
        <w:trPr>
          <w:trHeight w:val="300"/>
        </w:trPr>
        <w:tc>
          <w:tcPr>
            <w:tcW w:w="3720" w:type="dxa"/>
            <w:tcBorders>
              <w:right w:val="single" w:sz="4" w:space="0" w:color="auto"/>
            </w:tcBorders>
            <w:shd w:val="clear" w:color="auto" w:fill="auto"/>
            <w:noWrap/>
            <w:vAlign w:val="bottom"/>
            <w:hideMark/>
          </w:tcPr>
          <w:p w14:paraId="7DDD54E5" w14:textId="77777777" w:rsidR="00375729" w:rsidRPr="00185E7D" w:rsidRDefault="00375729" w:rsidP="006C4B85">
            <w:pPr>
              <w:pStyle w:val="Tablecellsub-heading"/>
            </w:pPr>
            <w:r w:rsidRPr="00185E7D">
              <w:t>IT capital deepening (pp)</w:t>
            </w:r>
          </w:p>
        </w:tc>
        <w:tc>
          <w:tcPr>
            <w:tcW w:w="1231" w:type="dxa"/>
            <w:tcBorders>
              <w:top w:val="nil"/>
              <w:left w:val="single" w:sz="4" w:space="0" w:color="auto"/>
              <w:bottom w:val="nil"/>
              <w:right w:val="single" w:sz="4" w:space="0" w:color="auto"/>
            </w:tcBorders>
            <w:shd w:val="clear" w:color="auto" w:fill="auto"/>
            <w:noWrap/>
            <w:vAlign w:val="bottom"/>
            <w:hideMark/>
          </w:tcPr>
          <w:p w14:paraId="2F0ECBE1" w14:textId="77777777" w:rsidR="00375729" w:rsidRPr="00185E7D" w:rsidRDefault="00375729" w:rsidP="00B722ED">
            <w:pPr>
              <w:pStyle w:val="Tabletext"/>
            </w:pPr>
            <w:r w:rsidRPr="00185E7D">
              <w:t>0.8</w:t>
            </w:r>
          </w:p>
        </w:tc>
        <w:tc>
          <w:tcPr>
            <w:tcW w:w="1232" w:type="dxa"/>
            <w:tcBorders>
              <w:left w:val="single" w:sz="4" w:space="0" w:color="auto"/>
              <w:right w:val="single" w:sz="4" w:space="0" w:color="auto"/>
            </w:tcBorders>
            <w:shd w:val="clear" w:color="auto" w:fill="auto"/>
            <w:noWrap/>
            <w:vAlign w:val="bottom"/>
            <w:hideMark/>
          </w:tcPr>
          <w:p w14:paraId="65B045C9" w14:textId="77777777" w:rsidR="00375729" w:rsidRPr="00185E7D" w:rsidRDefault="00375729" w:rsidP="00B722ED">
            <w:pPr>
              <w:pStyle w:val="Tabletext"/>
            </w:pPr>
            <w:r w:rsidRPr="00185E7D">
              <w:t>0.7</w:t>
            </w:r>
          </w:p>
        </w:tc>
        <w:tc>
          <w:tcPr>
            <w:tcW w:w="1232" w:type="dxa"/>
            <w:tcBorders>
              <w:top w:val="nil"/>
              <w:left w:val="single" w:sz="4" w:space="0" w:color="auto"/>
              <w:bottom w:val="nil"/>
              <w:right w:val="single" w:sz="4" w:space="0" w:color="auto"/>
            </w:tcBorders>
            <w:shd w:val="clear" w:color="auto" w:fill="auto"/>
            <w:noWrap/>
            <w:vAlign w:val="bottom"/>
            <w:hideMark/>
          </w:tcPr>
          <w:p w14:paraId="36722210" w14:textId="77777777" w:rsidR="00375729" w:rsidRPr="00185E7D" w:rsidRDefault="00375729" w:rsidP="00B722ED">
            <w:pPr>
              <w:pStyle w:val="Tabletext"/>
            </w:pPr>
            <w:r w:rsidRPr="00185E7D">
              <w:t>0.7</w:t>
            </w:r>
          </w:p>
        </w:tc>
        <w:tc>
          <w:tcPr>
            <w:tcW w:w="1232" w:type="dxa"/>
            <w:tcBorders>
              <w:left w:val="single" w:sz="4" w:space="0" w:color="auto"/>
            </w:tcBorders>
            <w:shd w:val="clear" w:color="auto" w:fill="auto"/>
            <w:noWrap/>
            <w:vAlign w:val="bottom"/>
            <w:hideMark/>
          </w:tcPr>
          <w:p w14:paraId="539184D2" w14:textId="77777777" w:rsidR="00375729" w:rsidRPr="00185E7D" w:rsidRDefault="00375729" w:rsidP="00B722ED">
            <w:pPr>
              <w:pStyle w:val="Tabletext"/>
            </w:pPr>
            <w:r w:rsidRPr="00185E7D">
              <w:t>0.3</w:t>
            </w:r>
          </w:p>
        </w:tc>
      </w:tr>
      <w:tr w:rsidR="00375729" w:rsidRPr="00185E7D" w14:paraId="32C6887C" w14:textId="77777777" w:rsidTr="00301886">
        <w:trPr>
          <w:trHeight w:val="300"/>
        </w:trPr>
        <w:tc>
          <w:tcPr>
            <w:tcW w:w="3720" w:type="dxa"/>
            <w:tcBorders>
              <w:right w:val="single" w:sz="4" w:space="0" w:color="auto"/>
            </w:tcBorders>
            <w:shd w:val="clear" w:color="auto" w:fill="auto"/>
            <w:noWrap/>
            <w:vAlign w:val="bottom"/>
            <w:hideMark/>
          </w:tcPr>
          <w:p w14:paraId="17B87E65" w14:textId="77777777" w:rsidR="00375729" w:rsidRPr="00185E7D" w:rsidRDefault="0058764D" w:rsidP="006C4B85">
            <w:pPr>
              <w:pStyle w:val="Tablecellsub-heading"/>
            </w:pPr>
            <w:r>
              <w:t>H</w:t>
            </w:r>
            <w:r w:rsidR="00375729" w:rsidRPr="00185E7D">
              <w:t>ardware (pp)</w:t>
            </w:r>
          </w:p>
        </w:tc>
        <w:tc>
          <w:tcPr>
            <w:tcW w:w="1231" w:type="dxa"/>
            <w:tcBorders>
              <w:top w:val="nil"/>
              <w:left w:val="single" w:sz="4" w:space="0" w:color="auto"/>
              <w:bottom w:val="nil"/>
              <w:right w:val="single" w:sz="4" w:space="0" w:color="auto"/>
            </w:tcBorders>
            <w:shd w:val="clear" w:color="auto" w:fill="auto"/>
            <w:noWrap/>
            <w:vAlign w:val="bottom"/>
            <w:hideMark/>
          </w:tcPr>
          <w:p w14:paraId="1BD59B7F" w14:textId="77777777" w:rsidR="00375729" w:rsidRPr="00185E7D" w:rsidRDefault="00375729" w:rsidP="00B722ED">
            <w:pPr>
              <w:pStyle w:val="Tabletext"/>
            </w:pPr>
            <w:r w:rsidRPr="00185E7D">
              <w:t>0.5</w:t>
            </w:r>
          </w:p>
        </w:tc>
        <w:tc>
          <w:tcPr>
            <w:tcW w:w="1232" w:type="dxa"/>
            <w:tcBorders>
              <w:left w:val="single" w:sz="4" w:space="0" w:color="auto"/>
              <w:right w:val="single" w:sz="4" w:space="0" w:color="auto"/>
            </w:tcBorders>
            <w:shd w:val="clear" w:color="auto" w:fill="auto"/>
            <w:noWrap/>
            <w:vAlign w:val="bottom"/>
            <w:hideMark/>
          </w:tcPr>
          <w:p w14:paraId="6CBB1074" w14:textId="77777777" w:rsidR="00375729" w:rsidRPr="00185E7D" w:rsidRDefault="00375729" w:rsidP="00B722ED">
            <w:pPr>
              <w:pStyle w:val="Tabletext"/>
            </w:pPr>
            <w:r w:rsidRPr="00185E7D">
              <w:t>0.5</w:t>
            </w:r>
          </w:p>
        </w:tc>
        <w:tc>
          <w:tcPr>
            <w:tcW w:w="1232" w:type="dxa"/>
            <w:tcBorders>
              <w:top w:val="nil"/>
              <w:left w:val="single" w:sz="4" w:space="0" w:color="auto"/>
              <w:bottom w:val="nil"/>
              <w:right w:val="single" w:sz="4" w:space="0" w:color="auto"/>
            </w:tcBorders>
            <w:shd w:val="clear" w:color="auto" w:fill="auto"/>
            <w:noWrap/>
            <w:vAlign w:val="bottom"/>
            <w:hideMark/>
          </w:tcPr>
          <w:p w14:paraId="5F73309E" w14:textId="77777777" w:rsidR="00375729" w:rsidRPr="00185E7D" w:rsidRDefault="00375729" w:rsidP="00B722ED">
            <w:pPr>
              <w:pStyle w:val="Tabletext"/>
            </w:pPr>
            <w:r w:rsidRPr="00185E7D">
              <w:t>0.5</w:t>
            </w:r>
          </w:p>
        </w:tc>
        <w:tc>
          <w:tcPr>
            <w:tcW w:w="1232" w:type="dxa"/>
            <w:tcBorders>
              <w:left w:val="single" w:sz="4" w:space="0" w:color="auto"/>
            </w:tcBorders>
            <w:shd w:val="clear" w:color="auto" w:fill="auto"/>
            <w:noWrap/>
            <w:vAlign w:val="bottom"/>
            <w:hideMark/>
          </w:tcPr>
          <w:p w14:paraId="611D0E9D" w14:textId="77777777" w:rsidR="00375729" w:rsidRPr="00185E7D" w:rsidRDefault="00375729" w:rsidP="00B722ED">
            <w:pPr>
              <w:pStyle w:val="Tabletext"/>
            </w:pPr>
            <w:r w:rsidRPr="00185E7D">
              <w:t>0.2</w:t>
            </w:r>
          </w:p>
        </w:tc>
      </w:tr>
      <w:tr w:rsidR="00375729" w:rsidRPr="00185E7D" w14:paraId="2037086C" w14:textId="77777777" w:rsidTr="00301886">
        <w:trPr>
          <w:trHeight w:val="300"/>
        </w:trPr>
        <w:tc>
          <w:tcPr>
            <w:tcW w:w="3720" w:type="dxa"/>
            <w:tcBorders>
              <w:right w:val="single" w:sz="4" w:space="0" w:color="auto"/>
            </w:tcBorders>
            <w:shd w:val="clear" w:color="auto" w:fill="auto"/>
            <w:noWrap/>
            <w:vAlign w:val="bottom"/>
            <w:hideMark/>
          </w:tcPr>
          <w:p w14:paraId="056EC2A9" w14:textId="77777777" w:rsidR="00375729" w:rsidRPr="00185E7D" w:rsidRDefault="0058764D" w:rsidP="006C4B85">
            <w:pPr>
              <w:pStyle w:val="Tablecellsub-heading"/>
            </w:pPr>
            <w:r>
              <w:t>S</w:t>
            </w:r>
            <w:r w:rsidR="00375729" w:rsidRPr="00185E7D">
              <w:t>oftware (pp)</w:t>
            </w:r>
          </w:p>
        </w:tc>
        <w:tc>
          <w:tcPr>
            <w:tcW w:w="1231" w:type="dxa"/>
            <w:tcBorders>
              <w:top w:val="nil"/>
              <w:left w:val="single" w:sz="4" w:space="0" w:color="auto"/>
              <w:bottom w:val="nil"/>
              <w:right w:val="single" w:sz="4" w:space="0" w:color="auto"/>
            </w:tcBorders>
            <w:shd w:val="clear" w:color="auto" w:fill="auto"/>
            <w:noWrap/>
            <w:vAlign w:val="bottom"/>
            <w:hideMark/>
          </w:tcPr>
          <w:p w14:paraId="052E770F" w14:textId="77777777" w:rsidR="00375729" w:rsidRPr="00185E7D" w:rsidRDefault="00375729" w:rsidP="00B722ED">
            <w:pPr>
              <w:pStyle w:val="Tabletext"/>
            </w:pPr>
            <w:r w:rsidRPr="00185E7D">
              <w:t>0.3</w:t>
            </w:r>
          </w:p>
        </w:tc>
        <w:tc>
          <w:tcPr>
            <w:tcW w:w="1232" w:type="dxa"/>
            <w:tcBorders>
              <w:left w:val="single" w:sz="4" w:space="0" w:color="auto"/>
              <w:right w:val="single" w:sz="4" w:space="0" w:color="auto"/>
            </w:tcBorders>
            <w:shd w:val="clear" w:color="auto" w:fill="auto"/>
            <w:noWrap/>
            <w:vAlign w:val="bottom"/>
            <w:hideMark/>
          </w:tcPr>
          <w:p w14:paraId="629A2DA0" w14:textId="77777777" w:rsidR="00375729" w:rsidRPr="00185E7D" w:rsidRDefault="00375729" w:rsidP="00B722ED">
            <w:pPr>
              <w:pStyle w:val="Tabletext"/>
            </w:pPr>
            <w:r w:rsidRPr="00185E7D">
              <w:t>0.3</w:t>
            </w:r>
          </w:p>
        </w:tc>
        <w:tc>
          <w:tcPr>
            <w:tcW w:w="1232" w:type="dxa"/>
            <w:tcBorders>
              <w:top w:val="nil"/>
              <w:left w:val="single" w:sz="4" w:space="0" w:color="auto"/>
              <w:bottom w:val="nil"/>
              <w:right w:val="single" w:sz="4" w:space="0" w:color="auto"/>
            </w:tcBorders>
            <w:shd w:val="clear" w:color="auto" w:fill="auto"/>
            <w:noWrap/>
            <w:vAlign w:val="bottom"/>
            <w:hideMark/>
          </w:tcPr>
          <w:p w14:paraId="4FD52F49" w14:textId="77777777" w:rsidR="00375729" w:rsidRPr="00185E7D" w:rsidRDefault="00375729" w:rsidP="00B722ED">
            <w:pPr>
              <w:pStyle w:val="Tabletext"/>
            </w:pPr>
            <w:r w:rsidRPr="00185E7D">
              <w:t>0.2</w:t>
            </w:r>
          </w:p>
        </w:tc>
        <w:tc>
          <w:tcPr>
            <w:tcW w:w="1232" w:type="dxa"/>
            <w:tcBorders>
              <w:left w:val="single" w:sz="4" w:space="0" w:color="auto"/>
            </w:tcBorders>
            <w:shd w:val="clear" w:color="auto" w:fill="auto"/>
            <w:noWrap/>
            <w:vAlign w:val="bottom"/>
            <w:hideMark/>
          </w:tcPr>
          <w:p w14:paraId="4083ED65" w14:textId="77777777" w:rsidR="00375729" w:rsidRPr="00185E7D" w:rsidRDefault="00375729" w:rsidP="00B722ED">
            <w:pPr>
              <w:pStyle w:val="Tabletext"/>
            </w:pPr>
            <w:r w:rsidRPr="00185E7D">
              <w:t>0.2</w:t>
            </w:r>
          </w:p>
        </w:tc>
      </w:tr>
      <w:tr w:rsidR="00375729" w:rsidRPr="00185E7D" w14:paraId="05C3E7E8" w14:textId="77777777" w:rsidTr="00301886">
        <w:trPr>
          <w:trHeight w:val="300"/>
        </w:trPr>
        <w:tc>
          <w:tcPr>
            <w:tcW w:w="3720" w:type="dxa"/>
            <w:tcBorders>
              <w:right w:val="single" w:sz="4" w:space="0" w:color="auto"/>
            </w:tcBorders>
            <w:shd w:val="clear" w:color="auto" w:fill="auto"/>
            <w:noWrap/>
            <w:vAlign w:val="bottom"/>
            <w:hideMark/>
          </w:tcPr>
          <w:p w14:paraId="7A4ACAB5" w14:textId="77777777" w:rsidR="00375729" w:rsidRPr="00185E7D" w:rsidRDefault="00375729" w:rsidP="006C4B85">
            <w:pPr>
              <w:pStyle w:val="Tablecellsub-heading"/>
            </w:pPr>
            <w:r w:rsidRPr="00185E7D">
              <w:t>Non-IT capital deepening</w:t>
            </w:r>
          </w:p>
        </w:tc>
        <w:tc>
          <w:tcPr>
            <w:tcW w:w="1231" w:type="dxa"/>
            <w:tcBorders>
              <w:top w:val="nil"/>
              <w:left w:val="single" w:sz="4" w:space="0" w:color="auto"/>
              <w:bottom w:val="nil"/>
              <w:right w:val="single" w:sz="4" w:space="0" w:color="auto"/>
            </w:tcBorders>
            <w:shd w:val="clear" w:color="auto" w:fill="auto"/>
            <w:noWrap/>
            <w:vAlign w:val="bottom"/>
            <w:hideMark/>
          </w:tcPr>
          <w:p w14:paraId="224F79CB" w14:textId="77777777" w:rsidR="00375729" w:rsidRPr="00185E7D" w:rsidRDefault="00375729" w:rsidP="00B722ED">
            <w:pPr>
              <w:pStyle w:val="Tabletext"/>
            </w:pPr>
            <w:r w:rsidRPr="00185E7D">
              <w:t>0.6</w:t>
            </w:r>
          </w:p>
        </w:tc>
        <w:tc>
          <w:tcPr>
            <w:tcW w:w="1232" w:type="dxa"/>
            <w:tcBorders>
              <w:left w:val="single" w:sz="4" w:space="0" w:color="auto"/>
              <w:right w:val="single" w:sz="4" w:space="0" w:color="auto"/>
            </w:tcBorders>
            <w:shd w:val="clear" w:color="auto" w:fill="auto"/>
            <w:noWrap/>
            <w:vAlign w:val="bottom"/>
            <w:hideMark/>
          </w:tcPr>
          <w:p w14:paraId="5E0013EC" w14:textId="77777777" w:rsidR="00375729" w:rsidRPr="00185E7D" w:rsidRDefault="00375729" w:rsidP="00B722ED">
            <w:pPr>
              <w:pStyle w:val="Tabletext"/>
            </w:pPr>
            <w:r w:rsidRPr="00185E7D">
              <w:t>0.5</w:t>
            </w:r>
          </w:p>
        </w:tc>
        <w:tc>
          <w:tcPr>
            <w:tcW w:w="1232" w:type="dxa"/>
            <w:tcBorders>
              <w:top w:val="nil"/>
              <w:left w:val="single" w:sz="4" w:space="0" w:color="auto"/>
              <w:bottom w:val="nil"/>
              <w:right w:val="single" w:sz="4" w:space="0" w:color="auto"/>
            </w:tcBorders>
            <w:shd w:val="clear" w:color="auto" w:fill="auto"/>
            <w:noWrap/>
            <w:vAlign w:val="bottom"/>
            <w:hideMark/>
          </w:tcPr>
          <w:p w14:paraId="440920E5" w14:textId="77777777" w:rsidR="00375729" w:rsidRPr="00185E7D" w:rsidRDefault="00375729" w:rsidP="00B722ED">
            <w:pPr>
              <w:pStyle w:val="Tabletext"/>
            </w:pPr>
            <w:r w:rsidRPr="00185E7D">
              <w:t>0.9</w:t>
            </w:r>
          </w:p>
        </w:tc>
        <w:tc>
          <w:tcPr>
            <w:tcW w:w="1232" w:type="dxa"/>
            <w:tcBorders>
              <w:left w:val="single" w:sz="4" w:space="0" w:color="auto"/>
            </w:tcBorders>
            <w:shd w:val="clear" w:color="auto" w:fill="auto"/>
            <w:noWrap/>
            <w:vAlign w:val="bottom"/>
            <w:hideMark/>
          </w:tcPr>
          <w:p w14:paraId="2D3FDB11" w14:textId="77777777" w:rsidR="00375729" w:rsidRPr="00185E7D" w:rsidRDefault="00375729" w:rsidP="00B722ED">
            <w:pPr>
              <w:pStyle w:val="Tabletext"/>
            </w:pPr>
            <w:r w:rsidRPr="00185E7D">
              <w:t>1.8</w:t>
            </w:r>
          </w:p>
        </w:tc>
      </w:tr>
      <w:tr w:rsidR="00375729" w:rsidRPr="00185E7D" w14:paraId="4AEDDA9B" w14:textId="77777777" w:rsidTr="00301886">
        <w:trPr>
          <w:trHeight w:val="300"/>
        </w:trPr>
        <w:tc>
          <w:tcPr>
            <w:tcW w:w="3720" w:type="dxa"/>
            <w:tcBorders>
              <w:right w:val="single" w:sz="4" w:space="0" w:color="auto"/>
            </w:tcBorders>
            <w:shd w:val="clear" w:color="auto" w:fill="auto"/>
            <w:noWrap/>
            <w:vAlign w:val="bottom"/>
            <w:hideMark/>
          </w:tcPr>
          <w:p w14:paraId="47A462C2" w14:textId="77777777" w:rsidR="00375729" w:rsidRPr="00185E7D" w:rsidRDefault="00375729" w:rsidP="006C4B85">
            <w:pPr>
              <w:pStyle w:val="Tablecellsub-heading"/>
            </w:pPr>
            <w:r w:rsidRPr="00185E7D">
              <w:t>MFP growth (pp and %pa)</w:t>
            </w:r>
          </w:p>
        </w:tc>
        <w:tc>
          <w:tcPr>
            <w:tcW w:w="1231" w:type="dxa"/>
            <w:tcBorders>
              <w:top w:val="nil"/>
              <w:left w:val="single" w:sz="4" w:space="0" w:color="auto"/>
              <w:bottom w:val="nil"/>
              <w:right w:val="single" w:sz="4" w:space="0" w:color="auto"/>
            </w:tcBorders>
            <w:shd w:val="clear" w:color="auto" w:fill="auto"/>
            <w:noWrap/>
            <w:vAlign w:val="bottom"/>
            <w:hideMark/>
          </w:tcPr>
          <w:p w14:paraId="086D7E27" w14:textId="77777777" w:rsidR="00375729" w:rsidRPr="00185E7D" w:rsidRDefault="00375729" w:rsidP="00B722ED">
            <w:pPr>
              <w:pStyle w:val="Tabletext"/>
            </w:pPr>
            <w:r w:rsidRPr="00185E7D">
              <w:t>2.3</w:t>
            </w:r>
          </w:p>
        </w:tc>
        <w:tc>
          <w:tcPr>
            <w:tcW w:w="1232" w:type="dxa"/>
            <w:tcBorders>
              <w:left w:val="single" w:sz="4" w:space="0" w:color="auto"/>
              <w:right w:val="single" w:sz="4" w:space="0" w:color="auto"/>
            </w:tcBorders>
            <w:shd w:val="clear" w:color="auto" w:fill="auto"/>
            <w:noWrap/>
            <w:vAlign w:val="bottom"/>
            <w:hideMark/>
          </w:tcPr>
          <w:p w14:paraId="6B8D5131" w14:textId="77777777" w:rsidR="00375729" w:rsidRPr="00185E7D" w:rsidRDefault="00375729" w:rsidP="00B722ED">
            <w:pPr>
              <w:pStyle w:val="Tabletext"/>
            </w:pPr>
            <w:r w:rsidRPr="00185E7D">
              <w:t>1.0</w:t>
            </w:r>
          </w:p>
        </w:tc>
        <w:tc>
          <w:tcPr>
            <w:tcW w:w="1232" w:type="dxa"/>
            <w:tcBorders>
              <w:top w:val="nil"/>
              <w:left w:val="single" w:sz="4" w:space="0" w:color="auto"/>
              <w:bottom w:val="nil"/>
              <w:right w:val="single" w:sz="4" w:space="0" w:color="auto"/>
            </w:tcBorders>
            <w:shd w:val="clear" w:color="auto" w:fill="auto"/>
            <w:noWrap/>
            <w:vAlign w:val="bottom"/>
            <w:hideMark/>
          </w:tcPr>
          <w:p w14:paraId="2770B964" w14:textId="77777777" w:rsidR="00375729" w:rsidRPr="00185E7D" w:rsidRDefault="00375729" w:rsidP="00B722ED">
            <w:pPr>
              <w:pStyle w:val="Tabletext"/>
            </w:pPr>
            <w:r w:rsidRPr="00185E7D">
              <w:t>-0.4</w:t>
            </w:r>
          </w:p>
        </w:tc>
        <w:tc>
          <w:tcPr>
            <w:tcW w:w="1232" w:type="dxa"/>
            <w:tcBorders>
              <w:left w:val="single" w:sz="4" w:space="0" w:color="auto"/>
            </w:tcBorders>
            <w:shd w:val="clear" w:color="auto" w:fill="auto"/>
            <w:noWrap/>
            <w:vAlign w:val="bottom"/>
            <w:hideMark/>
          </w:tcPr>
          <w:p w14:paraId="2A84FD15" w14:textId="77777777" w:rsidR="00375729" w:rsidRPr="00185E7D" w:rsidRDefault="00375729" w:rsidP="00B722ED">
            <w:pPr>
              <w:pStyle w:val="Tabletext"/>
            </w:pPr>
            <w:r w:rsidRPr="00185E7D">
              <w:t>0.0</w:t>
            </w:r>
          </w:p>
        </w:tc>
      </w:tr>
      <w:tr w:rsidR="00375729" w:rsidRPr="00185E7D" w14:paraId="3E497665" w14:textId="77777777" w:rsidTr="00301886">
        <w:trPr>
          <w:trHeight w:val="300"/>
        </w:trPr>
        <w:tc>
          <w:tcPr>
            <w:tcW w:w="3720" w:type="dxa"/>
            <w:tcBorders>
              <w:right w:val="single" w:sz="4" w:space="0" w:color="auto"/>
            </w:tcBorders>
            <w:shd w:val="clear" w:color="auto" w:fill="auto"/>
            <w:noWrap/>
            <w:vAlign w:val="bottom"/>
            <w:hideMark/>
          </w:tcPr>
          <w:p w14:paraId="21E84D31" w14:textId="77777777" w:rsidR="00375729" w:rsidRPr="00185E7D" w:rsidRDefault="00375729" w:rsidP="006C4B85">
            <w:pPr>
              <w:pStyle w:val="Tablecellsub-heading"/>
            </w:pPr>
            <w:r w:rsidRPr="00185E7D">
              <w:t>Labour productivity growth (%pa)</w:t>
            </w:r>
          </w:p>
        </w:tc>
        <w:tc>
          <w:tcPr>
            <w:tcW w:w="1231" w:type="dxa"/>
            <w:tcBorders>
              <w:top w:val="nil"/>
              <w:left w:val="single" w:sz="4" w:space="0" w:color="auto"/>
              <w:bottom w:val="single" w:sz="4" w:space="0" w:color="auto"/>
              <w:right w:val="single" w:sz="4" w:space="0" w:color="auto"/>
            </w:tcBorders>
            <w:shd w:val="clear" w:color="auto" w:fill="auto"/>
            <w:noWrap/>
            <w:vAlign w:val="bottom"/>
            <w:hideMark/>
          </w:tcPr>
          <w:p w14:paraId="67E62551" w14:textId="77777777" w:rsidR="00375729" w:rsidRPr="00185E7D" w:rsidRDefault="00375729" w:rsidP="00B722ED">
            <w:pPr>
              <w:pStyle w:val="Tabletext"/>
            </w:pPr>
            <w:r w:rsidRPr="00185E7D">
              <w:t>3.8</w:t>
            </w:r>
          </w:p>
        </w:tc>
        <w:tc>
          <w:tcPr>
            <w:tcW w:w="1232" w:type="dxa"/>
            <w:tcBorders>
              <w:left w:val="single" w:sz="4" w:space="0" w:color="auto"/>
              <w:right w:val="single" w:sz="4" w:space="0" w:color="auto"/>
            </w:tcBorders>
            <w:shd w:val="clear" w:color="auto" w:fill="auto"/>
            <w:noWrap/>
            <w:vAlign w:val="bottom"/>
            <w:hideMark/>
          </w:tcPr>
          <w:p w14:paraId="03329070" w14:textId="77777777" w:rsidR="00375729" w:rsidRPr="00185E7D" w:rsidRDefault="00375729" w:rsidP="00B722ED">
            <w:pPr>
              <w:pStyle w:val="Tabletext"/>
            </w:pPr>
            <w:r w:rsidRPr="00185E7D">
              <w:t>2.3</w:t>
            </w:r>
          </w:p>
        </w:tc>
        <w:tc>
          <w:tcPr>
            <w:tcW w:w="1232" w:type="dxa"/>
            <w:tcBorders>
              <w:top w:val="nil"/>
              <w:left w:val="single" w:sz="4" w:space="0" w:color="auto"/>
              <w:bottom w:val="single" w:sz="4" w:space="0" w:color="auto"/>
              <w:right w:val="single" w:sz="4" w:space="0" w:color="auto"/>
            </w:tcBorders>
            <w:shd w:val="clear" w:color="auto" w:fill="auto"/>
            <w:noWrap/>
            <w:vAlign w:val="bottom"/>
            <w:hideMark/>
          </w:tcPr>
          <w:p w14:paraId="45DBBD67" w14:textId="77777777" w:rsidR="00375729" w:rsidRPr="00185E7D" w:rsidRDefault="00375729" w:rsidP="00B722ED">
            <w:pPr>
              <w:pStyle w:val="Tabletext"/>
            </w:pPr>
            <w:r w:rsidRPr="00185E7D">
              <w:t>1.2</w:t>
            </w:r>
          </w:p>
        </w:tc>
        <w:tc>
          <w:tcPr>
            <w:tcW w:w="1232" w:type="dxa"/>
            <w:tcBorders>
              <w:left w:val="single" w:sz="4" w:space="0" w:color="auto"/>
            </w:tcBorders>
            <w:shd w:val="clear" w:color="auto" w:fill="auto"/>
            <w:noWrap/>
            <w:vAlign w:val="bottom"/>
            <w:hideMark/>
          </w:tcPr>
          <w:p w14:paraId="19FDF269" w14:textId="77777777" w:rsidR="00375729" w:rsidRPr="00185E7D" w:rsidRDefault="00375729" w:rsidP="00B722ED">
            <w:pPr>
              <w:pStyle w:val="Tabletext"/>
            </w:pPr>
            <w:r w:rsidRPr="00185E7D">
              <w:t>2.1</w:t>
            </w:r>
          </w:p>
        </w:tc>
      </w:tr>
    </w:tbl>
    <w:p w14:paraId="234FC8C6" w14:textId="77777777" w:rsidR="00E6193A" w:rsidRPr="00323930" w:rsidRDefault="00375729" w:rsidP="00012248">
      <w:pPr>
        <w:pStyle w:val="SourceNotes"/>
      </w:pPr>
      <w:r w:rsidRPr="00185E7D">
        <w:fldChar w:fldCharType="end"/>
      </w:r>
      <w:r w:rsidRPr="00185E7D">
        <w:t>Note: a. Growth rates and contributions are calculated from differences in logged values</w:t>
      </w:r>
      <w:r w:rsidR="00E6193A">
        <w:t xml:space="preserve">. </w:t>
      </w:r>
      <w:r w:rsidR="00E6193A" w:rsidRPr="000E36A5">
        <w:t>Numbers may not add up due to rounding</w:t>
      </w:r>
      <w:r w:rsidR="00E6193A">
        <w:t xml:space="preserve">. </w:t>
      </w:r>
      <w:r w:rsidR="00E6193A" w:rsidRPr="00323930">
        <w:tab/>
      </w:r>
    </w:p>
    <w:p w14:paraId="46D623BA" w14:textId="77777777" w:rsidR="00375729" w:rsidRPr="00185E7D" w:rsidRDefault="00375729" w:rsidP="00012248">
      <w:pPr>
        <w:pStyle w:val="SourceNotes"/>
      </w:pPr>
      <w:r w:rsidRPr="00185E7D">
        <w:t>Source: Author estimates</w:t>
      </w:r>
    </w:p>
    <w:p w14:paraId="20258192" w14:textId="77777777" w:rsidR="00375729" w:rsidRPr="00185E7D" w:rsidRDefault="00375729" w:rsidP="00F37FA2">
      <w:pPr>
        <w:pStyle w:val="BCRHead4"/>
      </w:pPr>
      <w:r w:rsidRPr="00185E7D">
        <w:t>Non-IT capital productivity</w:t>
      </w:r>
    </w:p>
    <w:p w14:paraId="59E88033" w14:textId="77777777" w:rsidR="00375729" w:rsidRPr="00C519A8" w:rsidRDefault="00375729" w:rsidP="00375729">
      <w:pPr>
        <w:pStyle w:val="BodyTextNoIndent"/>
      </w:pPr>
      <w:r w:rsidRPr="00C519A8">
        <w:t xml:space="preserve">As discussed in section 4, </w:t>
      </w:r>
      <w:r w:rsidR="005D7A4D" w:rsidRPr="00C519A8">
        <w:t>there</w:t>
      </w:r>
      <w:r w:rsidRPr="00C519A8">
        <w:t xml:space="preserve"> is an interest in the potential for IT to lower the unit requirements for other assets. Lower unit requirements would show up as higher productivity of non-IT assets.</w:t>
      </w:r>
    </w:p>
    <w:p w14:paraId="478B0D47" w14:textId="77777777" w:rsidR="00375729" w:rsidRPr="00C519A8" w:rsidRDefault="00375729" w:rsidP="00375729">
      <w:pPr>
        <w:pStyle w:val="BodyTextNoIndent"/>
      </w:pPr>
      <w:r w:rsidRPr="00C519A8">
        <w:t>As can be seen in Figure 6.1, at the aggregate MS-16 level the productivity of non-IT capital increased up to 2003–04. This improvement was correlated with the increased uptake of IT. (Correlation, however, does not necessarily mean there was a causal relationship between IT use and lower requirements for other assets.)</w:t>
      </w:r>
    </w:p>
    <w:p w14:paraId="3C893416" w14:textId="77777777" w:rsidR="00375729" w:rsidRPr="00C519A8" w:rsidRDefault="00375729" w:rsidP="00375729">
      <w:pPr>
        <w:pStyle w:val="BodyTextNoIndent"/>
      </w:pPr>
      <w:r w:rsidRPr="00C519A8">
        <w:t>Non-IT capital productivity deteriorated after 2003–04. While this was also a period of slower growth in IT, the most likely cause of the productivity fall was the expansion of the mining capital stock, in advance of output growth, as part of the mining boom. Capital productivity has declined markedly in mining.</w:t>
      </w:r>
      <w:r w:rsidRPr="002B3C36">
        <w:rPr>
          <w:rStyle w:val="FootnoteReference"/>
        </w:rPr>
        <w:footnoteReference w:id="12"/>
      </w:r>
      <w:r w:rsidRPr="002B3C36">
        <w:rPr>
          <w:vertAlign w:val="superscript"/>
        </w:rPr>
        <w:t xml:space="preserve"> </w:t>
      </w:r>
    </w:p>
    <w:p w14:paraId="769FFAEB" w14:textId="77777777" w:rsidR="00375729" w:rsidRPr="00C519A8" w:rsidRDefault="00375729" w:rsidP="00375729">
      <w:pPr>
        <w:pStyle w:val="DPReport-FigureTableTitle"/>
      </w:pPr>
      <w:r w:rsidRPr="00C519A8">
        <w:t>Figure 6.1: The productivity of all capital and non-IT capital in the MS-16 (index, 2012–13</w:t>
      </w:r>
      <w:r w:rsidR="006A530A">
        <w:t xml:space="preserve"> = </w:t>
      </w:r>
      <w:r w:rsidRPr="00C519A8">
        <w:t>100)</w:t>
      </w:r>
    </w:p>
    <w:p w14:paraId="7269FBC9" w14:textId="712659E5"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25C9AB27" wp14:editId="10E30AE9">
            <wp:extent cx="4584700" cy="2755900"/>
            <wp:effectExtent l="0" t="0" r="6350" b="635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6ED35F1" w14:textId="77777777" w:rsidR="00375729" w:rsidRPr="00185E7D" w:rsidRDefault="00375729" w:rsidP="00012248">
      <w:pPr>
        <w:pStyle w:val="SourceNotes"/>
      </w:pPr>
      <w:r w:rsidRPr="00185E7D">
        <w:t>Source: Author estimates</w:t>
      </w:r>
    </w:p>
    <w:p w14:paraId="353B5C5B" w14:textId="77777777" w:rsidR="00375729" w:rsidRPr="00C519A8" w:rsidRDefault="00375729" w:rsidP="00375729">
      <w:pPr>
        <w:pStyle w:val="BodyTextNoIndent"/>
      </w:pPr>
      <w:r w:rsidRPr="00C519A8">
        <w:t xml:space="preserve">We also examined the productivity of individual non-IT assets. Assets, aside from ownership transfer costs and industry-specific assets (such as mineral exploration and livestock), are listed in Table 6.4. </w:t>
      </w:r>
    </w:p>
    <w:p w14:paraId="4152E7EC" w14:textId="77777777" w:rsidR="00375729" w:rsidRPr="00185E7D" w:rsidRDefault="00375729" w:rsidP="00375729">
      <w:pPr>
        <w:pStyle w:val="BodyTextNoIndent"/>
      </w:pPr>
      <w:r w:rsidRPr="00C519A8">
        <w:t>The table shows the share of each asset in the total capital income in the MS-16 in 2003–04, to give an indication of the relative importance of each asset. It then provides a comparison of the annual average rate of growth in capital productivity for each asset, before and after 2003–04. The time path of capital productivity for selected assets is also shown in Figure 6.2.</w:t>
      </w:r>
      <w:r w:rsidRPr="00185E7D">
        <w:fldChar w:fldCharType="begin"/>
      </w:r>
      <w:r w:rsidRPr="00185E7D">
        <w:instrText xml:space="preserve"> LINK Excel.Sheet.12 "\\\\dept.gov.au\\DFS\\Home\\dparham\\Desktop\\Docs\\1. GA project\\Aggregate\\1. Aggregate master blaster 150918.xlsx" MS-16!R270C1:R281C4 \a \f 4 \h  \* MERGEFORMAT </w:instrText>
      </w:r>
      <w:r w:rsidRPr="00185E7D">
        <w:fldChar w:fldCharType="separate"/>
      </w:r>
    </w:p>
    <w:p w14:paraId="249832E9"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7DE5D6E1" w14:textId="77777777" w:rsidR="00375729" w:rsidRPr="00B722ED" w:rsidRDefault="00375729" w:rsidP="00B722ED">
      <w:pPr>
        <w:pStyle w:val="Tablecaption"/>
      </w:pPr>
      <w:r w:rsidRPr="00B722ED">
        <w:t>Table 6.4: Share of non-IT assets in 2003–04 capital income (%) and annual average rate of growth in capital productivity (% pa)</w:t>
      </w:r>
    </w:p>
    <w:tbl>
      <w:tblPr>
        <w:tblW w:w="723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4"/>
        <w:gridCol w:w="1228"/>
        <w:gridCol w:w="1229"/>
        <w:gridCol w:w="1229"/>
      </w:tblGrid>
      <w:tr w:rsidR="00375729" w:rsidRPr="00185E7D" w14:paraId="5FE02E75" w14:textId="77777777" w:rsidTr="00301886">
        <w:trPr>
          <w:trHeight w:val="300"/>
        </w:trPr>
        <w:tc>
          <w:tcPr>
            <w:tcW w:w="3544" w:type="dxa"/>
            <w:tcBorders>
              <w:top w:val="single" w:sz="4" w:space="0" w:color="auto"/>
              <w:bottom w:val="nil"/>
              <w:right w:val="single" w:sz="4" w:space="0" w:color="auto"/>
            </w:tcBorders>
            <w:shd w:val="clear" w:color="auto" w:fill="auto"/>
            <w:noWrap/>
            <w:vAlign w:val="bottom"/>
          </w:tcPr>
          <w:p w14:paraId="75716574" w14:textId="77777777" w:rsidR="00375729" w:rsidRPr="00713D97" w:rsidRDefault="00375729" w:rsidP="00301886">
            <w:pPr>
              <w:pStyle w:val="BCRBodytext"/>
            </w:pPr>
          </w:p>
        </w:tc>
        <w:tc>
          <w:tcPr>
            <w:tcW w:w="1228" w:type="dxa"/>
            <w:vMerge w:val="restart"/>
            <w:tcBorders>
              <w:top w:val="single" w:sz="4" w:space="0" w:color="auto"/>
              <w:left w:val="single" w:sz="4" w:space="0" w:color="auto"/>
              <w:right w:val="single" w:sz="4" w:space="0" w:color="auto"/>
            </w:tcBorders>
            <w:shd w:val="clear" w:color="auto" w:fill="auto"/>
            <w:vAlign w:val="center"/>
          </w:tcPr>
          <w:p w14:paraId="1A4E0CC0" w14:textId="77777777" w:rsidR="00375729" w:rsidRPr="00713D97" w:rsidRDefault="00375729" w:rsidP="006C4B85">
            <w:pPr>
              <w:pStyle w:val="Tablecellheading"/>
            </w:pPr>
            <w:r w:rsidRPr="00713D97">
              <w:t>2003–04 income share</w:t>
            </w:r>
          </w:p>
        </w:tc>
        <w:tc>
          <w:tcPr>
            <w:tcW w:w="2458" w:type="dxa"/>
            <w:gridSpan w:val="2"/>
            <w:tcBorders>
              <w:top w:val="single" w:sz="4" w:space="0" w:color="auto"/>
              <w:left w:val="single" w:sz="4" w:space="0" w:color="auto"/>
              <w:bottom w:val="single" w:sz="4" w:space="0" w:color="auto"/>
            </w:tcBorders>
            <w:shd w:val="clear" w:color="auto" w:fill="auto"/>
            <w:vAlign w:val="center"/>
          </w:tcPr>
          <w:p w14:paraId="3F4BF419" w14:textId="77777777" w:rsidR="00375729" w:rsidRPr="00713D97" w:rsidRDefault="00375729" w:rsidP="006C4B85">
            <w:pPr>
              <w:pStyle w:val="Tablecellheading"/>
            </w:pPr>
            <w:r w:rsidRPr="00713D97">
              <w:t>Productivity growth</w:t>
            </w:r>
          </w:p>
        </w:tc>
      </w:tr>
      <w:tr w:rsidR="00375729" w:rsidRPr="00185E7D" w14:paraId="0C013A8D" w14:textId="77777777" w:rsidTr="00301886">
        <w:trPr>
          <w:trHeight w:val="510"/>
        </w:trPr>
        <w:tc>
          <w:tcPr>
            <w:tcW w:w="3544" w:type="dxa"/>
            <w:tcBorders>
              <w:top w:val="nil"/>
              <w:bottom w:val="single" w:sz="4" w:space="0" w:color="auto"/>
              <w:right w:val="single" w:sz="4" w:space="0" w:color="auto"/>
            </w:tcBorders>
            <w:shd w:val="clear" w:color="auto" w:fill="auto"/>
            <w:noWrap/>
            <w:vAlign w:val="bottom"/>
            <w:hideMark/>
          </w:tcPr>
          <w:p w14:paraId="3663345E" w14:textId="77777777" w:rsidR="00375729" w:rsidRPr="00713D97" w:rsidRDefault="00375729" w:rsidP="00301886">
            <w:pPr>
              <w:pStyle w:val="BCRBodytext"/>
            </w:pPr>
          </w:p>
        </w:tc>
        <w:tc>
          <w:tcPr>
            <w:tcW w:w="1228" w:type="dxa"/>
            <w:vMerge/>
            <w:tcBorders>
              <w:left w:val="single" w:sz="4" w:space="0" w:color="auto"/>
              <w:bottom w:val="single" w:sz="4" w:space="0" w:color="auto"/>
              <w:right w:val="single" w:sz="4" w:space="0" w:color="auto"/>
            </w:tcBorders>
            <w:shd w:val="clear" w:color="auto" w:fill="auto"/>
            <w:vAlign w:val="center"/>
            <w:hideMark/>
          </w:tcPr>
          <w:p w14:paraId="16DCC947" w14:textId="77777777" w:rsidR="00375729" w:rsidRPr="00713D97" w:rsidRDefault="00375729" w:rsidP="00301886">
            <w:pPr>
              <w:pStyle w:val="BCRBodytext"/>
            </w:pP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25514" w14:textId="77777777" w:rsidR="00375729" w:rsidRPr="00713D97" w:rsidRDefault="00375729" w:rsidP="006C4B85">
            <w:pPr>
              <w:pStyle w:val="Tablecellsub-heading"/>
            </w:pPr>
            <w:r w:rsidRPr="00713D97">
              <w:t>1994–95 to 2003–04</w:t>
            </w:r>
          </w:p>
        </w:tc>
        <w:tc>
          <w:tcPr>
            <w:tcW w:w="1229" w:type="dxa"/>
            <w:tcBorders>
              <w:top w:val="single" w:sz="4" w:space="0" w:color="auto"/>
              <w:left w:val="single" w:sz="4" w:space="0" w:color="auto"/>
              <w:bottom w:val="single" w:sz="4" w:space="0" w:color="auto"/>
            </w:tcBorders>
            <w:shd w:val="clear" w:color="auto" w:fill="auto"/>
            <w:vAlign w:val="center"/>
            <w:hideMark/>
          </w:tcPr>
          <w:p w14:paraId="5326A127" w14:textId="77777777" w:rsidR="00375729" w:rsidRPr="00713D97" w:rsidRDefault="00375729" w:rsidP="006C4B85">
            <w:pPr>
              <w:pStyle w:val="Tablecellsub-heading"/>
            </w:pPr>
            <w:r w:rsidRPr="00713D97">
              <w:t>2003–04 to 2013–14</w:t>
            </w:r>
          </w:p>
        </w:tc>
      </w:tr>
      <w:tr w:rsidR="00375729" w:rsidRPr="00185E7D" w14:paraId="5BDA3172" w14:textId="77777777" w:rsidTr="00301886">
        <w:trPr>
          <w:trHeight w:val="340"/>
        </w:trPr>
        <w:tc>
          <w:tcPr>
            <w:tcW w:w="3544" w:type="dxa"/>
            <w:tcBorders>
              <w:top w:val="single" w:sz="4" w:space="0" w:color="auto"/>
              <w:right w:val="single" w:sz="4" w:space="0" w:color="auto"/>
            </w:tcBorders>
            <w:shd w:val="clear" w:color="auto" w:fill="auto"/>
            <w:noWrap/>
            <w:vAlign w:val="bottom"/>
            <w:hideMark/>
          </w:tcPr>
          <w:p w14:paraId="262FDD7C" w14:textId="77777777" w:rsidR="00375729" w:rsidRPr="00713D97" w:rsidRDefault="00375729" w:rsidP="00B722ED">
            <w:pPr>
              <w:pStyle w:val="Tabletext"/>
            </w:pPr>
            <w:r w:rsidRPr="00713D97">
              <w:t>Research and development</w:t>
            </w:r>
          </w:p>
        </w:tc>
        <w:tc>
          <w:tcPr>
            <w:tcW w:w="1228" w:type="dxa"/>
            <w:tcBorders>
              <w:top w:val="single" w:sz="4" w:space="0" w:color="auto"/>
              <w:left w:val="single" w:sz="4" w:space="0" w:color="auto"/>
              <w:right w:val="single" w:sz="4" w:space="0" w:color="auto"/>
            </w:tcBorders>
            <w:shd w:val="clear" w:color="auto" w:fill="auto"/>
            <w:noWrap/>
            <w:vAlign w:val="center"/>
            <w:hideMark/>
          </w:tcPr>
          <w:p w14:paraId="1550A29C" w14:textId="77777777" w:rsidR="00375729" w:rsidRPr="00713D97" w:rsidRDefault="00375729" w:rsidP="00B722ED">
            <w:pPr>
              <w:pStyle w:val="Tabletext"/>
            </w:pPr>
            <w:r w:rsidRPr="00713D97">
              <w:t>3</w:t>
            </w:r>
          </w:p>
        </w:tc>
        <w:tc>
          <w:tcPr>
            <w:tcW w:w="1229" w:type="dxa"/>
            <w:tcBorders>
              <w:top w:val="single" w:sz="4" w:space="0" w:color="auto"/>
              <w:left w:val="single" w:sz="4" w:space="0" w:color="auto"/>
              <w:right w:val="single" w:sz="4" w:space="0" w:color="auto"/>
            </w:tcBorders>
            <w:shd w:val="clear" w:color="auto" w:fill="auto"/>
            <w:noWrap/>
            <w:vAlign w:val="center"/>
            <w:hideMark/>
          </w:tcPr>
          <w:p w14:paraId="517AF5DD" w14:textId="77777777" w:rsidR="00375729" w:rsidRPr="00713D97" w:rsidRDefault="00375729" w:rsidP="00B722ED">
            <w:pPr>
              <w:pStyle w:val="Tabletext"/>
            </w:pPr>
            <w:r w:rsidRPr="00713D97">
              <w:t>-1.1</w:t>
            </w:r>
          </w:p>
        </w:tc>
        <w:tc>
          <w:tcPr>
            <w:tcW w:w="1229" w:type="dxa"/>
            <w:tcBorders>
              <w:top w:val="single" w:sz="4" w:space="0" w:color="auto"/>
              <w:left w:val="single" w:sz="4" w:space="0" w:color="auto"/>
            </w:tcBorders>
            <w:shd w:val="clear" w:color="auto" w:fill="auto"/>
            <w:noWrap/>
            <w:vAlign w:val="center"/>
            <w:hideMark/>
          </w:tcPr>
          <w:p w14:paraId="75370C27" w14:textId="77777777" w:rsidR="00375729" w:rsidRPr="00713D97" w:rsidRDefault="00375729" w:rsidP="00B722ED">
            <w:pPr>
              <w:pStyle w:val="Tabletext"/>
            </w:pPr>
            <w:r w:rsidRPr="00713D97">
              <w:t>-4.6</w:t>
            </w:r>
          </w:p>
        </w:tc>
      </w:tr>
      <w:tr w:rsidR="00375729" w:rsidRPr="00185E7D" w14:paraId="54D2039A" w14:textId="77777777" w:rsidTr="00301886">
        <w:trPr>
          <w:trHeight w:val="300"/>
        </w:trPr>
        <w:tc>
          <w:tcPr>
            <w:tcW w:w="3544" w:type="dxa"/>
            <w:tcBorders>
              <w:right w:val="single" w:sz="4" w:space="0" w:color="auto"/>
            </w:tcBorders>
            <w:shd w:val="clear" w:color="auto" w:fill="auto"/>
            <w:noWrap/>
            <w:vAlign w:val="bottom"/>
            <w:hideMark/>
          </w:tcPr>
          <w:p w14:paraId="5CA7D73A" w14:textId="77777777" w:rsidR="00375729" w:rsidRPr="00713D97" w:rsidRDefault="00375729" w:rsidP="00B722ED">
            <w:pPr>
              <w:pStyle w:val="Tabletext"/>
            </w:pPr>
            <w:r w:rsidRPr="00713D97">
              <w:t>Inventories—Non-farm</w:t>
            </w:r>
          </w:p>
        </w:tc>
        <w:tc>
          <w:tcPr>
            <w:tcW w:w="1228" w:type="dxa"/>
            <w:tcBorders>
              <w:left w:val="single" w:sz="4" w:space="0" w:color="auto"/>
              <w:right w:val="single" w:sz="4" w:space="0" w:color="auto"/>
            </w:tcBorders>
            <w:shd w:val="clear" w:color="auto" w:fill="auto"/>
            <w:noWrap/>
            <w:vAlign w:val="center"/>
            <w:hideMark/>
          </w:tcPr>
          <w:p w14:paraId="2DF8ACBB" w14:textId="77777777" w:rsidR="00375729" w:rsidRPr="00713D97" w:rsidRDefault="00375729" w:rsidP="00B722ED">
            <w:pPr>
              <w:pStyle w:val="Tabletext"/>
            </w:pPr>
            <w:r w:rsidRPr="00713D97">
              <w:t>6</w:t>
            </w:r>
          </w:p>
        </w:tc>
        <w:tc>
          <w:tcPr>
            <w:tcW w:w="1229" w:type="dxa"/>
            <w:tcBorders>
              <w:left w:val="single" w:sz="4" w:space="0" w:color="auto"/>
              <w:right w:val="single" w:sz="4" w:space="0" w:color="auto"/>
            </w:tcBorders>
            <w:shd w:val="clear" w:color="auto" w:fill="auto"/>
            <w:noWrap/>
            <w:vAlign w:val="center"/>
            <w:hideMark/>
          </w:tcPr>
          <w:p w14:paraId="3807418C" w14:textId="77777777" w:rsidR="00375729" w:rsidRPr="00713D97" w:rsidRDefault="00375729" w:rsidP="00B722ED">
            <w:pPr>
              <w:pStyle w:val="Tabletext"/>
            </w:pPr>
            <w:r w:rsidRPr="00713D97">
              <w:t>0.2</w:t>
            </w:r>
          </w:p>
        </w:tc>
        <w:tc>
          <w:tcPr>
            <w:tcW w:w="1229" w:type="dxa"/>
            <w:tcBorders>
              <w:left w:val="single" w:sz="4" w:space="0" w:color="auto"/>
            </w:tcBorders>
            <w:shd w:val="clear" w:color="auto" w:fill="auto"/>
            <w:noWrap/>
            <w:vAlign w:val="center"/>
            <w:hideMark/>
          </w:tcPr>
          <w:p w14:paraId="096A79DF" w14:textId="77777777" w:rsidR="00375729" w:rsidRPr="00713D97" w:rsidRDefault="00375729" w:rsidP="00B722ED">
            <w:pPr>
              <w:pStyle w:val="Tabletext"/>
            </w:pPr>
            <w:r w:rsidRPr="00713D97">
              <w:t>1.3</w:t>
            </w:r>
          </w:p>
        </w:tc>
      </w:tr>
      <w:tr w:rsidR="00375729" w:rsidRPr="00185E7D" w14:paraId="316E6390" w14:textId="77777777" w:rsidTr="00301886">
        <w:trPr>
          <w:trHeight w:val="300"/>
        </w:trPr>
        <w:tc>
          <w:tcPr>
            <w:tcW w:w="3544" w:type="dxa"/>
            <w:tcBorders>
              <w:right w:val="single" w:sz="4" w:space="0" w:color="auto"/>
            </w:tcBorders>
            <w:shd w:val="clear" w:color="auto" w:fill="auto"/>
            <w:noWrap/>
            <w:vAlign w:val="bottom"/>
            <w:hideMark/>
          </w:tcPr>
          <w:p w14:paraId="17E10F80" w14:textId="77777777" w:rsidR="00375729" w:rsidRPr="00713D97" w:rsidRDefault="00375729" w:rsidP="00B722ED">
            <w:pPr>
              <w:pStyle w:val="Tabletext"/>
            </w:pPr>
            <w:r w:rsidRPr="00713D97">
              <w:t>Land</w:t>
            </w:r>
          </w:p>
        </w:tc>
        <w:tc>
          <w:tcPr>
            <w:tcW w:w="1228" w:type="dxa"/>
            <w:tcBorders>
              <w:left w:val="single" w:sz="4" w:space="0" w:color="auto"/>
              <w:right w:val="single" w:sz="4" w:space="0" w:color="auto"/>
            </w:tcBorders>
            <w:shd w:val="clear" w:color="auto" w:fill="auto"/>
            <w:noWrap/>
            <w:vAlign w:val="center"/>
            <w:hideMark/>
          </w:tcPr>
          <w:p w14:paraId="301C7233" w14:textId="77777777" w:rsidR="00375729" w:rsidRPr="00713D97" w:rsidRDefault="00375729" w:rsidP="00B722ED">
            <w:pPr>
              <w:pStyle w:val="Tabletext"/>
            </w:pPr>
            <w:r w:rsidRPr="00713D97">
              <w:t>11</w:t>
            </w:r>
          </w:p>
        </w:tc>
        <w:tc>
          <w:tcPr>
            <w:tcW w:w="1229" w:type="dxa"/>
            <w:tcBorders>
              <w:left w:val="single" w:sz="4" w:space="0" w:color="auto"/>
              <w:right w:val="single" w:sz="4" w:space="0" w:color="auto"/>
            </w:tcBorders>
            <w:shd w:val="clear" w:color="auto" w:fill="auto"/>
            <w:noWrap/>
            <w:vAlign w:val="center"/>
            <w:hideMark/>
          </w:tcPr>
          <w:p w14:paraId="4E55DA0E" w14:textId="77777777" w:rsidR="00375729" w:rsidRPr="00713D97" w:rsidRDefault="00375729" w:rsidP="00B722ED">
            <w:pPr>
              <w:pStyle w:val="Tabletext"/>
            </w:pPr>
            <w:r w:rsidRPr="00713D97">
              <w:t>3.6</w:t>
            </w:r>
          </w:p>
        </w:tc>
        <w:tc>
          <w:tcPr>
            <w:tcW w:w="1229" w:type="dxa"/>
            <w:tcBorders>
              <w:left w:val="single" w:sz="4" w:space="0" w:color="auto"/>
            </w:tcBorders>
            <w:shd w:val="clear" w:color="auto" w:fill="auto"/>
            <w:noWrap/>
            <w:vAlign w:val="center"/>
            <w:hideMark/>
          </w:tcPr>
          <w:p w14:paraId="4E9B2885" w14:textId="77777777" w:rsidR="00375729" w:rsidRPr="00713D97" w:rsidRDefault="00375729" w:rsidP="00B722ED">
            <w:pPr>
              <w:pStyle w:val="Tabletext"/>
            </w:pPr>
            <w:r w:rsidRPr="00713D97">
              <w:t>1.1</w:t>
            </w:r>
          </w:p>
        </w:tc>
      </w:tr>
      <w:tr w:rsidR="00375729" w:rsidRPr="00185E7D" w14:paraId="05FF3ACF" w14:textId="77777777" w:rsidTr="00301886">
        <w:trPr>
          <w:trHeight w:val="300"/>
        </w:trPr>
        <w:tc>
          <w:tcPr>
            <w:tcW w:w="3544" w:type="dxa"/>
            <w:tcBorders>
              <w:right w:val="single" w:sz="4" w:space="0" w:color="auto"/>
            </w:tcBorders>
            <w:shd w:val="clear" w:color="auto" w:fill="auto"/>
            <w:noWrap/>
            <w:vAlign w:val="bottom"/>
            <w:hideMark/>
          </w:tcPr>
          <w:p w14:paraId="72EE5EB4" w14:textId="77777777" w:rsidR="00375729" w:rsidRPr="00713D97" w:rsidRDefault="00375729" w:rsidP="00B722ED">
            <w:pPr>
              <w:pStyle w:val="Tabletext"/>
            </w:pPr>
            <w:r w:rsidRPr="00713D97">
              <w:t>Machinery and equipment</w:t>
            </w:r>
          </w:p>
        </w:tc>
        <w:tc>
          <w:tcPr>
            <w:tcW w:w="1228" w:type="dxa"/>
            <w:tcBorders>
              <w:left w:val="single" w:sz="4" w:space="0" w:color="auto"/>
              <w:right w:val="single" w:sz="4" w:space="0" w:color="auto"/>
            </w:tcBorders>
            <w:shd w:val="clear" w:color="auto" w:fill="auto"/>
            <w:noWrap/>
            <w:vAlign w:val="center"/>
            <w:hideMark/>
          </w:tcPr>
          <w:p w14:paraId="3DB425F6" w14:textId="77777777" w:rsidR="00375729" w:rsidRPr="00713D97" w:rsidRDefault="00375729" w:rsidP="00B722ED">
            <w:pPr>
              <w:pStyle w:val="Tabletext"/>
            </w:pPr>
          </w:p>
        </w:tc>
        <w:tc>
          <w:tcPr>
            <w:tcW w:w="1229" w:type="dxa"/>
            <w:tcBorders>
              <w:left w:val="single" w:sz="4" w:space="0" w:color="auto"/>
              <w:right w:val="single" w:sz="4" w:space="0" w:color="auto"/>
            </w:tcBorders>
            <w:shd w:val="clear" w:color="auto" w:fill="auto"/>
            <w:noWrap/>
            <w:vAlign w:val="center"/>
            <w:hideMark/>
          </w:tcPr>
          <w:p w14:paraId="432130E6" w14:textId="77777777" w:rsidR="00375729" w:rsidRPr="00713D97" w:rsidRDefault="00375729" w:rsidP="00B722ED">
            <w:pPr>
              <w:pStyle w:val="Tabletext"/>
            </w:pPr>
          </w:p>
        </w:tc>
        <w:tc>
          <w:tcPr>
            <w:tcW w:w="1229" w:type="dxa"/>
            <w:tcBorders>
              <w:left w:val="single" w:sz="4" w:space="0" w:color="auto"/>
            </w:tcBorders>
            <w:shd w:val="clear" w:color="auto" w:fill="auto"/>
            <w:noWrap/>
            <w:vAlign w:val="center"/>
            <w:hideMark/>
          </w:tcPr>
          <w:p w14:paraId="6B5DBBEC" w14:textId="77777777" w:rsidR="00375729" w:rsidRPr="00713D97" w:rsidRDefault="00375729" w:rsidP="00B722ED">
            <w:pPr>
              <w:pStyle w:val="Tabletext"/>
            </w:pPr>
          </w:p>
        </w:tc>
      </w:tr>
      <w:tr w:rsidR="00375729" w:rsidRPr="00185E7D" w14:paraId="384C0734" w14:textId="77777777" w:rsidTr="00301886">
        <w:trPr>
          <w:trHeight w:val="300"/>
        </w:trPr>
        <w:tc>
          <w:tcPr>
            <w:tcW w:w="3544" w:type="dxa"/>
            <w:tcBorders>
              <w:right w:val="single" w:sz="4" w:space="0" w:color="auto"/>
            </w:tcBorders>
            <w:shd w:val="clear" w:color="auto" w:fill="auto"/>
            <w:noWrap/>
            <w:vAlign w:val="bottom"/>
            <w:hideMark/>
          </w:tcPr>
          <w:p w14:paraId="2B7FC43C" w14:textId="77777777" w:rsidR="00375729" w:rsidRPr="00713D97" w:rsidRDefault="00375729" w:rsidP="00B722ED">
            <w:pPr>
              <w:pStyle w:val="Tabletext"/>
            </w:pPr>
            <w:r w:rsidRPr="00713D97">
              <w:t xml:space="preserve"> - Electrical and electronic equip</w:t>
            </w:r>
          </w:p>
        </w:tc>
        <w:tc>
          <w:tcPr>
            <w:tcW w:w="1228" w:type="dxa"/>
            <w:tcBorders>
              <w:left w:val="single" w:sz="4" w:space="0" w:color="auto"/>
              <w:right w:val="single" w:sz="4" w:space="0" w:color="auto"/>
            </w:tcBorders>
            <w:shd w:val="clear" w:color="auto" w:fill="auto"/>
            <w:noWrap/>
            <w:vAlign w:val="center"/>
            <w:hideMark/>
          </w:tcPr>
          <w:p w14:paraId="5F97EBA4" w14:textId="77777777" w:rsidR="00375729" w:rsidRPr="00713D97" w:rsidRDefault="00375729" w:rsidP="00B722ED">
            <w:pPr>
              <w:pStyle w:val="Tabletext"/>
            </w:pPr>
            <w:r w:rsidRPr="00713D97">
              <w:t>7</w:t>
            </w:r>
          </w:p>
        </w:tc>
        <w:tc>
          <w:tcPr>
            <w:tcW w:w="1229" w:type="dxa"/>
            <w:tcBorders>
              <w:left w:val="single" w:sz="4" w:space="0" w:color="auto"/>
              <w:right w:val="single" w:sz="4" w:space="0" w:color="auto"/>
            </w:tcBorders>
            <w:shd w:val="clear" w:color="auto" w:fill="auto"/>
            <w:noWrap/>
            <w:vAlign w:val="center"/>
            <w:hideMark/>
          </w:tcPr>
          <w:p w14:paraId="6237D51B" w14:textId="77777777" w:rsidR="00375729" w:rsidRPr="00713D97" w:rsidRDefault="00375729" w:rsidP="00B722ED">
            <w:pPr>
              <w:pStyle w:val="Tabletext"/>
            </w:pPr>
            <w:r w:rsidRPr="00713D97">
              <w:t>-5.8</w:t>
            </w:r>
          </w:p>
        </w:tc>
        <w:tc>
          <w:tcPr>
            <w:tcW w:w="1229" w:type="dxa"/>
            <w:tcBorders>
              <w:left w:val="single" w:sz="4" w:space="0" w:color="auto"/>
            </w:tcBorders>
            <w:shd w:val="clear" w:color="auto" w:fill="auto"/>
            <w:noWrap/>
            <w:vAlign w:val="center"/>
            <w:hideMark/>
          </w:tcPr>
          <w:p w14:paraId="12F7678B" w14:textId="77777777" w:rsidR="00375729" w:rsidRPr="00713D97" w:rsidRDefault="00375729" w:rsidP="00B722ED">
            <w:pPr>
              <w:pStyle w:val="Tabletext"/>
            </w:pPr>
            <w:r w:rsidRPr="00713D97">
              <w:t>-5.8</w:t>
            </w:r>
          </w:p>
        </w:tc>
      </w:tr>
      <w:tr w:rsidR="00375729" w:rsidRPr="00185E7D" w14:paraId="7C335243" w14:textId="77777777" w:rsidTr="00301886">
        <w:trPr>
          <w:trHeight w:val="300"/>
        </w:trPr>
        <w:tc>
          <w:tcPr>
            <w:tcW w:w="3544" w:type="dxa"/>
            <w:tcBorders>
              <w:right w:val="single" w:sz="4" w:space="0" w:color="auto"/>
            </w:tcBorders>
            <w:shd w:val="clear" w:color="auto" w:fill="auto"/>
            <w:noWrap/>
            <w:vAlign w:val="bottom"/>
            <w:hideMark/>
          </w:tcPr>
          <w:p w14:paraId="57BD2936" w14:textId="77777777" w:rsidR="00375729" w:rsidRPr="00713D97" w:rsidRDefault="00375729" w:rsidP="00B722ED">
            <w:pPr>
              <w:pStyle w:val="Tabletext"/>
            </w:pPr>
            <w:r w:rsidRPr="00713D97">
              <w:t xml:space="preserve"> - Industrial machinery and equip</w:t>
            </w:r>
          </w:p>
        </w:tc>
        <w:tc>
          <w:tcPr>
            <w:tcW w:w="1228" w:type="dxa"/>
            <w:tcBorders>
              <w:left w:val="single" w:sz="4" w:space="0" w:color="auto"/>
              <w:right w:val="single" w:sz="4" w:space="0" w:color="auto"/>
            </w:tcBorders>
            <w:shd w:val="clear" w:color="auto" w:fill="auto"/>
            <w:noWrap/>
            <w:vAlign w:val="center"/>
            <w:hideMark/>
          </w:tcPr>
          <w:p w14:paraId="0EE2D5DC" w14:textId="77777777" w:rsidR="00375729" w:rsidRPr="00713D97" w:rsidRDefault="00375729" w:rsidP="00B722ED">
            <w:pPr>
              <w:pStyle w:val="Tabletext"/>
            </w:pPr>
            <w:r w:rsidRPr="00713D97">
              <w:t>16</w:t>
            </w:r>
          </w:p>
        </w:tc>
        <w:tc>
          <w:tcPr>
            <w:tcW w:w="1229" w:type="dxa"/>
            <w:tcBorders>
              <w:left w:val="single" w:sz="4" w:space="0" w:color="auto"/>
              <w:right w:val="single" w:sz="4" w:space="0" w:color="auto"/>
            </w:tcBorders>
            <w:shd w:val="clear" w:color="auto" w:fill="auto"/>
            <w:noWrap/>
            <w:vAlign w:val="center"/>
            <w:hideMark/>
          </w:tcPr>
          <w:p w14:paraId="2F331936" w14:textId="77777777" w:rsidR="00375729" w:rsidRPr="00713D97" w:rsidRDefault="00375729" w:rsidP="00B722ED">
            <w:pPr>
              <w:pStyle w:val="Tabletext"/>
            </w:pPr>
            <w:r w:rsidRPr="00713D97">
              <w:t>2.6</w:t>
            </w:r>
          </w:p>
        </w:tc>
        <w:tc>
          <w:tcPr>
            <w:tcW w:w="1229" w:type="dxa"/>
            <w:tcBorders>
              <w:left w:val="single" w:sz="4" w:space="0" w:color="auto"/>
            </w:tcBorders>
            <w:shd w:val="clear" w:color="auto" w:fill="auto"/>
            <w:noWrap/>
            <w:vAlign w:val="center"/>
            <w:hideMark/>
          </w:tcPr>
          <w:p w14:paraId="565B009C" w14:textId="77777777" w:rsidR="00375729" w:rsidRPr="00713D97" w:rsidRDefault="00375729" w:rsidP="00B722ED">
            <w:pPr>
              <w:pStyle w:val="Tabletext"/>
            </w:pPr>
            <w:r w:rsidRPr="00713D97">
              <w:t>-1.9</w:t>
            </w:r>
          </w:p>
        </w:tc>
      </w:tr>
      <w:tr w:rsidR="00375729" w:rsidRPr="00185E7D" w14:paraId="29BE3D92" w14:textId="77777777" w:rsidTr="00301886">
        <w:trPr>
          <w:trHeight w:val="300"/>
        </w:trPr>
        <w:tc>
          <w:tcPr>
            <w:tcW w:w="3544" w:type="dxa"/>
            <w:tcBorders>
              <w:right w:val="single" w:sz="4" w:space="0" w:color="auto"/>
            </w:tcBorders>
            <w:shd w:val="clear" w:color="auto" w:fill="auto"/>
            <w:noWrap/>
            <w:vAlign w:val="bottom"/>
            <w:hideMark/>
          </w:tcPr>
          <w:p w14:paraId="57E7BC44" w14:textId="77777777" w:rsidR="00375729" w:rsidRPr="00713D97" w:rsidRDefault="00375729" w:rsidP="00B722ED">
            <w:pPr>
              <w:pStyle w:val="Tabletext"/>
            </w:pPr>
            <w:r w:rsidRPr="00713D97">
              <w:t xml:space="preserve"> - Other plant and equipment</w:t>
            </w:r>
          </w:p>
        </w:tc>
        <w:tc>
          <w:tcPr>
            <w:tcW w:w="1228" w:type="dxa"/>
            <w:tcBorders>
              <w:left w:val="single" w:sz="4" w:space="0" w:color="auto"/>
              <w:right w:val="single" w:sz="4" w:space="0" w:color="auto"/>
            </w:tcBorders>
            <w:shd w:val="clear" w:color="auto" w:fill="auto"/>
            <w:noWrap/>
            <w:vAlign w:val="center"/>
            <w:hideMark/>
          </w:tcPr>
          <w:p w14:paraId="702E5424" w14:textId="77777777" w:rsidR="00375729" w:rsidRPr="00713D97" w:rsidRDefault="00375729" w:rsidP="00B722ED">
            <w:pPr>
              <w:pStyle w:val="Tabletext"/>
            </w:pPr>
            <w:r w:rsidRPr="00713D97">
              <w:t>7</w:t>
            </w:r>
          </w:p>
        </w:tc>
        <w:tc>
          <w:tcPr>
            <w:tcW w:w="1229" w:type="dxa"/>
            <w:tcBorders>
              <w:left w:val="single" w:sz="4" w:space="0" w:color="auto"/>
              <w:right w:val="single" w:sz="4" w:space="0" w:color="auto"/>
            </w:tcBorders>
            <w:shd w:val="clear" w:color="auto" w:fill="auto"/>
            <w:noWrap/>
            <w:vAlign w:val="center"/>
            <w:hideMark/>
          </w:tcPr>
          <w:p w14:paraId="3C5EE84F" w14:textId="77777777" w:rsidR="00375729" w:rsidRPr="00713D97" w:rsidRDefault="00375729" w:rsidP="00B722ED">
            <w:pPr>
              <w:pStyle w:val="Tabletext"/>
            </w:pPr>
            <w:r w:rsidRPr="00713D97">
              <w:t>-0.9</w:t>
            </w:r>
          </w:p>
        </w:tc>
        <w:tc>
          <w:tcPr>
            <w:tcW w:w="1229" w:type="dxa"/>
            <w:tcBorders>
              <w:left w:val="single" w:sz="4" w:space="0" w:color="auto"/>
            </w:tcBorders>
            <w:shd w:val="clear" w:color="auto" w:fill="auto"/>
            <w:noWrap/>
            <w:vAlign w:val="center"/>
            <w:hideMark/>
          </w:tcPr>
          <w:p w14:paraId="2002E2A9" w14:textId="77777777" w:rsidR="00375729" w:rsidRPr="00713D97" w:rsidRDefault="00375729" w:rsidP="00B722ED">
            <w:pPr>
              <w:pStyle w:val="Tabletext"/>
            </w:pPr>
            <w:r w:rsidRPr="00713D97">
              <w:t>-0.7</w:t>
            </w:r>
          </w:p>
        </w:tc>
      </w:tr>
      <w:tr w:rsidR="00375729" w:rsidRPr="00185E7D" w14:paraId="6D86B8EA" w14:textId="77777777" w:rsidTr="00301886">
        <w:trPr>
          <w:trHeight w:val="300"/>
        </w:trPr>
        <w:tc>
          <w:tcPr>
            <w:tcW w:w="3544" w:type="dxa"/>
            <w:tcBorders>
              <w:right w:val="single" w:sz="4" w:space="0" w:color="auto"/>
            </w:tcBorders>
            <w:shd w:val="clear" w:color="auto" w:fill="auto"/>
            <w:noWrap/>
            <w:vAlign w:val="bottom"/>
            <w:hideMark/>
          </w:tcPr>
          <w:p w14:paraId="024CCB28" w14:textId="77777777" w:rsidR="00375729" w:rsidRPr="00713D97" w:rsidRDefault="00375729" w:rsidP="00B722ED">
            <w:pPr>
              <w:pStyle w:val="Tabletext"/>
            </w:pPr>
            <w:r w:rsidRPr="00713D97">
              <w:t xml:space="preserve"> - Other transport equipment</w:t>
            </w:r>
          </w:p>
        </w:tc>
        <w:tc>
          <w:tcPr>
            <w:tcW w:w="1228" w:type="dxa"/>
            <w:tcBorders>
              <w:left w:val="single" w:sz="4" w:space="0" w:color="auto"/>
              <w:right w:val="single" w:sz="4" w:space="0" w:color="auto"/>
            </w:tcBorders>
            <w:shd w:val="clear" w:color="auto" w:fill="auto"/>
            <w:noWrap/>
            <w:vAlign w:val="center"/>
            <w:hideMark/>
          </w:tcPr>
          <w:p w14:paraId="571A6B16" w14:textId="77777777" w:rsidR="00375729" w:rsidRPr="00713D97" w:rsidRDefault="00375729" w:rsidP="00B722ED">
            <w:pPr>
              <w:pStyle w:val="Tabletext"/>
            </w:pPr>
            <w:r w:rsidRPr="00713D97">
              <w:t>5</w:t>
            </w:r>
          </w:p>
        </w:tc>
        <w:tc>
          <w:tcPr>
            <w:tcW w:w="1229" w:type="dxa"/>
            <w:tcBorders>
              <w:left w:val="single" w:sz="4" w:space="0" w:color="auto"/>
              <w:right w:val="single" w:sz="4" w:space="0" w:color="auto"/>
            </w:tcBorders>
            <w:shd w:val="clear" w:color="auto" w:fill="auto"/>
            <w:noWrap/>
            <w:vAlign w:val="center"/>
            <w:hideMark/>
          </w:tcPr>
          <w:p w14:paraId="2B8B159E" w14:textId="77777777" w:rsidR="00375729" w:rsidRPr="00713D97" w:rsidRDefault="00375729" w:rsidP="00B722ED">
            <w:pPr>
              <w:pStyle w:val="Tabletext"/>
            </w:pPr>
            <w:r w:rsidRPr="00713D97">
              <w:t>2.3</w:t>
            </w:r>
          </w:p>
        </w:tc>
        <w:tc>
          <w:tcPr>
            <w:tcW w:w="1229" w:type="dxa"/>
            <w:tcBorders>
              <w:left w:val="single" w:sz="4" w:space="0" w:color="auto"/>
            </w:tcBorders>
            <w:shd w:val="clear" w:color="auto" w:fill="auto"/>
            <w:noWrap/>
            <w:vAlign w:val="center"/>
            <w:hideMark/>
          </w:tcPr>
          <w:p w14:paraId="11C92B16" w14:textId="77777777" w:rsidR="00375729" w:rsidRPr="00713D97" w:rsidRDefault="00375729" w:rsidP="00B722ED">
            <w:pPr>
              <w:pStyle w:val="Tabletext"/>
            </w:pPr>
            <w:r w:rsidRPr="00713D97">
              <w:t>-1.3</w:t>
            </w:r>
          </w:p>
        </w:tc>
      </w:tr>
      <w:tr w:rsidR="00375729" w:rsidRPr="00185E7D" w14:paraId="253B5C5A" w14:textId="77777777" w:rsidTr="00301886">
        <w:trPr>
          <w:trHeight w:val="300"/>
        </w:trPr>
        <w:tc>
          <w:tcPr>
            <w:tcW w:w="3544" w:type="dxa"/>
            <w:tcBorders>
              <w:right w:val="single" w:sz="4" w:space="0" w:color="auto"/>
            </w:tcBorders>
            <w:shd w:val="clear" w:color="auto" w:fill="auto"/>
            <w:noWrap/>
            <w:vAlign w:val="bottom"/>
            <w:hideMark/>
          </w:tcPr>
          <w:p w14:paraId="6470E59D" w14:textId="77777777" w:rsidR="00375729" w:rsidRPr="00713D97" w:rsidRDefault="00375729" w:rsidP="00B722ED">
            <w:pPr>
              <w:pStyle w:val="Tabletext"/>
            </w:pPr>
            <w:r w:rsidRPr="00713D97">
              <w:t xml:space="preserve"> - Road vehicles</w:t>
            </w:r>
          </w:p>
        </w:tc>
        <w:tc>
          <w:tcPr>
            <w:tcW w:w="1228" w:type="dxa"/>
            <w:tcBorders>
              <w:left w:val="single" w:sz="4" w:space="0" w:color="auto"/>
              <w:right w:val="single" w:sz="4" w:space="0" w:color="auto"/>
            </w:tcBorders>
            <w:shd w:val="clear" w:color="auto" w:fill="auto"/>
            <w:noWrap/>
            <w:vAlign w:val="center"/>
            <w:hideMark/>
          </w:tcPr>
          <w:p w14:paraId="5A259492" w14:textId="77777777" w:rsidR="00375729" w:rsidRPr="00713D97" w:rsidRDefault="00375729" w:rsidP="00B722ED">
            <w:pPr>
              <w:pStyle w:val="Tabletext"/>
            </w:pPr>
            <w:r w:rsidRPr="00713D97">
              <w:t>10</w:t>
            </w:r>
          </w:p>
        </w:tc>
        <w:tc>
          <w:tcPr>
            <w:tcW w:w="1229" w:type="dxa"/>
            <w:tcBorders>
              <w:left w:val="single" w:sz="4" w:space="0" w:color="auto"/>
              <w:right w:val="single" w:sz="4" w:space="0" w:color="auto"/>
            </w:tcBorders>
            <w:shd w:val="clear" w:color="auto" w:fill="auto"/>
            <w:noWrap/>
            <w:vAlign w:val="center"/>
            <w:hideMark/>
          </w:tcPr>
          <w:p w14:paraId="6EC18B63" w14:textId="77777777" w:rsidR="00375729" w:rsidRPr="00713D97" w:rsidRDefault="00375729" w:rsidP="00B722ED">
            <w:pPr>
              <w:pStyle w:val="Tabletext"/>
            </w:pPr>
            <w:r w:rsidRPr="00713D97">
              <w:t>0.5</w:t>
            </w:r>
          </w:p>
        </w:tc>
        <w:tc>
          <w:tcPr>
            <w:tcW w:w="1229" w:type="dxa"/>
            <w:tcBorders>
              <w:left w:val="single" w:sz="4" w:space="0" w:color="auto"/>
            </w:tcBorders>
            <w:shd w:val="clear" w:color="auto" w:fill="auto"/>
            <w:noWrap/>
            <w:vAlign w:val="center"/>
            <w:hideMark/>
          </w:tcPr>
          <w:p w14:paraId="120D59D1" w14:textId="77777777" w:rsidR="00375729" w:rsidRPr="00713D97" w:rsidRDefault="00375729" w:rsidP="00B722ED">
            <w:pPr>
              <w:pStyle w:val="Tabletext"/>
            </w:pPr>
            <w:r w:rsidRPr="00713D97">
              <w:t>-3.3</w:t>
            </w:r>
          </w:p>
        </w:tc>
      </w:tr>
      <w:tr w:rsidR="00375729" w:rsidRPr="00185E7D" w14:paraId="4D5D7FD1" w14:textId="77777777" w:rsidTr="00301886">
        <w:trPr>
          <w:trHeight w:val="300"/>
        </w:trPr>
        <w:tc>
          <w:tcPr>
            <w:tcW w:w="3544" w:type="dxa"/>
            <w:tcBorders>
              <w:bottom w:val="single" w:sz="4" w:space="0" w:color="auto"/>
              <w:right w:val="single" w:sz="4" w:space="0" w:color="auto"/>
            </w:tcBorders>
            <w:shd w:val="clear" w:color="auto" w:fill="auto"/>
            <w:noWrap/>
            <w:vAlign w:val="bottom"/>
            <w:hideMark/>
          </w:tcPr>
          <w:p w14:paraId="7152AFBA" w14:textId="77777777" w:rsidR="00375729" w:rsidRPr="00713D97" w:rsidRDefault="00375729" w:rsidP="00B722ED">
            <w:pPr>
              <w:pStyle w:val="Tabletext"/>
            </w:pPr>
            <w:r w:rsidRPr="00713D97">
              <w:t>Non-dwelling construction</w:t>
            </w:r>
          </w:p>
        </w:tc>
        <w:tc>
          <w:tcPr>
            <w:tcW w:w="1228" w:type="dxa"/>
            <w:tcBorders>
              <w:left w:val="single" w:sz="4" w:space="0" w:color="auto"/>
              <w:bottom w:val="single" w:sz="4" w:space="0" w:color="auto"/>
              <w:right w:val="single" w:sz="4" w:space="0" w:color="auto"/>
            </w:tcBorders>
            <w:shd w:val="clear" w:color="auto" w:fill="auto"/>
            <w:noWrap/>
            <w:vAlign w:val="center"/>
            <w:hideMark/>
          </w:tcPr>
          <w:p w14:paraId="0C2C53E8" w14:textId="77777777" w:rsidR="00375729" w:rsidRPr="00713D97" w:rsidRDefault="00375729" w:rsidP="00B722ED">
            <w:pPr>
              <w:pStyle w:val="Tabletext"/>
            </w:pPr>
            <w:r w:rsidRPr="00713D97">
              <w:t>31</w:t>
            </w:r>
          </w:p>
        </w:tc>
        <w:tc>
          <w:tcPr>
            <w:tcW w:w="1229" w:type="dxa"/>
            <w:tcBorders>
              <w:left w:val="single" w:sz="4" w:space="0" w:color="auto"/>
              <w:bottom w:val="single" w:sz="4" w:space="0" w:color="auto"/>
              <w:right w:val="single" w:sz="4" w:space="0" w:color="auto"/>
            </w:tcBorders>
            <w:shd w:val="clear" w:color="auto" w:fill="auto"/>
            <w:noWrap/>
            <w:vAlign w:val="center"/>
            <w:hideMark/>
          </w:tcPr>
          <w:p w14:paraId="1B9B9CF6" w14:textId="77777777" w:rsidR="00375729" w:rsidRPr="00713D97" w:rsidRDefault="00375729" w:rsidP="00B722ED">
            <w:pPr>
              <w:pStyle w:val="Tabletext"/>
            </w:pPr>
            <w:r w:rsidRPr="00713D97">
              <w:t>1.7</w:t>
            </w:r>
          </w:p>
        </w:tc>
        <w:tc>
          <w:tcPr>
            <w:tcW w:w="1229" w:type="dxa"/>
            <w:tcBorders>
              <w:left w:val="single" w:sz="4" w:space="0" w:color="auto"/>
            </w:tcBorders>
            <w:shd w:val="clear" w:color="auto" w:fill="auto"/>
            <w:noWrap/>
            <w:vAlign w:val="center"/>
            <w:hideMark/>
          </w:tcPr>
          <w:p w14:paraId="3BE14D41" w14:textId="77777777" w:rsidR="00375729" w:rsidRPr="00713D97" w:rsidRDefault="00375729" w:rsidP="00B722ED">
            <w:pPr>
              <w:pStyle w:val="Tabletext"/>
            </w:pPr>
            <w:r w:rsidRPr="00713D97">
              <w:t>-2.0</w:t>
            </w:r>
          </w:p>
        </w:tc>
      </w:tr>
    </w:tbl>
    <w:p w14:paraId="16FD6087" w14:textId="77777777" w:rsidR="00375729" w:rsidRPr="00C519A8" w:rsidRDefault="00375729" w:rsidP="00012248">
      <w:pPr>
        <w:pStyle w:val="SourceNotes"/>
      </w:pPr>
      <w:r w:rsidRPr="00185E7D">
        <w:fldChar w:fldCharType="end"/>
      </w:r>
      <w:r>
        <w:t>Source: Author estimates</w:t>
      </w:r>
    </w:p>
    <w:p w14:paraId="116CC83A" w14:textId="77777777" w:rsidR="00375729" w:rsidRPr="00185E7D" w:rsidRDefault="00375729" w:rsidP="00B722ED">
      <w:pPr>
        <w:pStyle w:val="Figurecaption"/>
      </w:pPr>
      <w:r w:rsidRPr="00185E7D">
        <w:t>Figure 6.2: Capital productivity for selected non-IT assets (index, 2012–13</w:t>
      </w:r>
      <w:r w:rsidR="006A530A">
        <w:t xml:space="preserve"> = </w:t>
      </w:r>
      <w:r w:rsidRPr="00185E7D">
        <w:t>100)</w:t>
      </w:r>
    </w:p>
    <w:p w14:paraId="154A20DB" w14:textId="18CAEAD0" w:rsidR="00375729" w:rsidRPr="00185E7D" w:rsidRDefault="00B722ED" w:rsidP="00375729">
      <w:pPr>
        <w:pStyle w:val="BodyTextNoIndent"/>
        <w:rPr>
          <w:rFonts w:ascii="Cambria" w:hAnsi="Cambria"/>
        </w:rPr>
      </w:pPr>
      <w:r>
        <w:rPr>
          <w:rFonts w:ascii="Cambria" w:hAnsi="Cambria"/>
          <w:noProof/>
          <w:lang w:eastAsia="en-AU"/>
        </w:rPr>
        <w:drawing>
          <wp:inline distT="0" distB="0" distL="0" distR="0" wp14:anchorId="0C8FF75E" wp14:editId="716708D6">
            <wp:extent cx="4584700" cy="2755900"/>
            <wp:effectExtent l="0" t="0" r="635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7DB257C" w14:textId="77777777" w:rsidR="00375729" w:rsidRPr="00185E7D" w:rsidRDefault="00375729" w:rsidP="00012248">
      <w:pPr>
        <w:pStyle w:val="SourceNotes"/>
      </w:pPr>
      <w:r w:rsidRPr="00185E7D">
        <w:t>Source: Author estimates</w:t>
      </w:r>
    </w:p>
    <w:p w14:paraId="0D39DB2B" w14:textId="77777777" w:rsidR="00375729" w:rsidRPr="00C519A8" w:rsidRDefault="00375729" w:rsidP="00375729">
      <w:pPr>
        <w:pStyle w:val="BodyTextNoIndent"/>
      </w:pPr>
      <w:r w:rsidRPr="00C519A8">
        <w:t>Land shows the largest increase in capital productivity with growth of 3.6 per cent a year up to 2003–04. Unlike most assets, land continued to show positive growth in productivity after 2003–04. Figure 6.2 shows the strong growth continued to 2007–08.</w:t>
      </w:r>
    </w:p>
    <w:p w14:paraId="7F99C148" w14:textId="77777777" w:rsidR="00375729" w:rsidRPr="00C519A8" w:rsidRDefault="00375729" w:rsidP="00375729">
      <w:pPr>
        <w:pStyle w:val="BodyTextNoIndent"/>
      </w:pPr>
      <w:r w:rsidRPr="00C519A8">
        <w:t>The improvement in non-dwelling construction productivity in the first period is significant, given that this asset class accounted for around 30 per cent of capital costs and showed improvement in its productivity at a rate of 1.7 per cent a year. It was after 2004–05 that the productivity of non</w:t>
      </w:r>
      <w:r w:rsidR="00F66A90">
        <w:noBreakHyphen/>
      </w:r>
      <w:r w:rsidRPr="00C519A8">
        <w:t>dwelling construction declined. Again, this would have been heavily influenced by the mining boom, given that most of the investment was in mine construction, which is included in this asset class.</w:t>
      </w:r>
    </w:p>
    <w:p w14:paraId="4898DDFE" w14:textId="77777777" w:rsidR="00375729" w:rsidRPr="00C519A8" w:rsidRDefault="00375729" w:rsidP="00375729">
      <w:pPr>
        <w:pStyle w:val="BodyTextNoIndent"/>
      </w:pPr>
      <w:r w:rsidRPr="00C519A8">
        <w:t>Industrial machinery and equipment is another asset of interest. With an income share of 16</w:t>
      </w:r>
      <w:r w:rsidR="00F66A90">
        <w:t> </w:t>
      </w:r>
      <w:r w:rsidRPr="00C519A8">
        <w:t>per</w:t>
      </w:r>
      <w:r w:rsidR="00F66A90">
        <w:t> </w:t>
      </w:r>
      <w:r w:rsidRPr="00C519A8">
        <w:t>cent, it matters. It had strong growth in productivity of 2.6 per cent a year in the 1990s.</w:t>
      </w:r>
    </w:p>
    <w:p w14:paraId="2B893669" w14:textId="77777777" w:rsidR="00375729" w:rsidRPr="00C519A8" w:rsidRDefault="00375729" w:rsidP="00375729">
      <w:pPr>
        <w:pStyle w:val="BodyTextNoIndent"/>
      </w:pPr>
      <w:r w:rsidRPr="00C519A8">
        <w:t>Inventories was the only asset class to show stronger (positive) productivity growth in the second period than in the first.</w:t>
      </w:r>
    </w:p>
    <w:p w14:paraId="49F92B84" w14:textId="77777777" w:rsidR="00375729" w:rsidRPr="00C519A8" w:rsidRDefault="00375729" w:rsidP="00F37FA2">
      <w:pPr>
        <w:pStyle w:val="BCRHead4"/>
      </w:pPr>
      <w:r w:rsidRPr="00C519A8">
        <w:t>MFP growth</w:t>
      </w:r>
    </w:p>
    <w:p w14:paraId="77074AD4" w14:textId="77777777" w:rsidR="00375729" w:rsidRPr="00185E7D" w:rsidRDefault="00375729" w:rsidP="00375729">
      <w:pPr>
        <w:pStyle w:val="BodyTextNoIndent"/>
      </w:pPr>
      <w:r w:rsidRPr="00185E7D">
        <w:t>As discussed in section 4, the possible effect of IT on MFP was examined by, firstly, decomposing MFP growth into contributions from labour productivity growth and capital productivity growth and then examining how IT may influence each of these.</w:t>
      </w:r>
    </w:p>
    <w:p w14:paraId="6DCEAC16" w14:textId="77777777" w:rsidR="00375729" w:rsidRPr="00185E7D" w:rsidRDefault="00375729" w:rsidP="00375729">
      <w:pPr>
        <w:pStyle w:val="BodyTextNoIndent"/>
      </w:pPr>
      <w:r w:rsidRPr="00185E7D">
        <w:t xml:space="preserve">The first part is shown in Table 6.5 as the contribution of labour productivity plus the contribution of capital productivity growth equals MFP growth. Lower, and indeed negative, MFP growth in the post 2003–04 period can be attributed to a weaker </w:t>
      </w:r>
      <w:r w:rsidR="00F66A90">
        <w:t>labour productivity</w:t>
      </w:r>
      <w:r w:rsidR="00F66A90" w:rsidRPr="00185E7D">
        <w:t xml:space="preserve"> </w:t>
      </w:r>
      <w:r w:rsidRPr="00185E7D">
        <w:t>contribution and, even more, to a more-negative capital productivity contribution.</w:t>
      </w:r>
    </w:p>
    <w:p w14:paraId="2CACB89C" w14:textId="77777777" w:rsidR="00375729" w:rsidRPr="00C519A8" w:rsidRDefault="00375729" w:rsidP="00375729">
      <w:pPr>
        <w:pStyle w:val="BodyTextNoIndent"/>
      </w:pPr>
      <w:r w:rsidRPr="00185E7D">
        <w:t>The IT part of the LP contribution is through the IT capital deepening contribution. It is smaller than shown in Table 6.2 because the IT capital deepening contributions in that table have to be weighted by the labour income share to be part of the LP contribution to MFP growth in Table 6.5.</w:t>
      </w:r>
      <w:r w:rsidRPr="00185E7D">
        <w:fldChar w:fldCharType="begin"/>
      </w:r>
      <w:r w:rsidRPr="00185E7D">
        <w:instrText xml:space="preserve"> LINK Excel.Sheet.12 "\\\\dept.gov.au\\DFS\\Home\\dparham\\Desktop\\Docs\\1. GA project\\Aggregate\\1. Aggregate master blaster 150918.xlsx" "MS-16!R213C32:R221C34" \a \f 4 \h  \* MERGEFORMAT </w:instrText>
      </w:r>
      <w:r w:rsidRPr="00185E7D">
        <w:fldChar w:fldCharType="separate"/>
      </w:r>
    </w:p>
    <w:p w14:paraId="793312CF" w14:textId="77777777" w:rsidR="00375729" w:rsidRPr="00185E7D" w:rsidRDefault="00375729" w:rsidP="00B722ED">
      <w:pPr>
        <w:pStyle w:val="Tablecaption"/>
      </w:pPr>
      <w:r w:rsidRPr="00185E7D">
        <w:t>Table 6.5: Accounting for MFP growth in the MS-16 before and after 2003–04</w:t>
      </w:r>
    </w:p>
    <w:tbl>
      <w:tblPr>
        <w:tblpPr w:leftFromText="180" w:rightFromText="180" w:vertAnchor="text" w:tblpY="1"/>
        <w:tblOverlap w:val="never"/>
        <w:tblW w:w="662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06"/>
        <w:gridCol w:w="1258"/>
        <w:gridCol w:w="1259"/>
      </w:tblGrid>
      <w:tr w:rsidR="00375729" w:rsidRPr="00185E7D" w14:paraId="706951E7" w14:textId="77777777" w:rsidTr="00B722ED">
        <w:trPr>
          <w:trHeight w:val="495"/>
        </w:trPr>
        <w:tc>
          <w:tcPr>
            <w:tcW w:w="4106" w:type="dxa"/>
            <w:tcBorders>
              <w:top w:val="single" w:sz="4" w:space="0" w:color="auto"/>
              <w:bottom w:val="single" w:sz="4" w:space="0" w:color="auto"/>
              <w:right w:val="single" w:sz="4" w:space="0" w:color="auto"/>
            </w:tcBorders>
            <w:shd w:val="clear" w:color="auto" w:fill="auto"/>
            <w:noWrap/>
            <w:vAlign w:val="bottom"/>
            <w:hideMark/>
          </w:tcPr>
          <w:p w14:paraId="37657CBF" w14:textId="77777777" w:rsidR="00375729" w:rsidRPr="00B722ED" w:rsidRDefault="00375729" w:rsidP="006C4B85">
            <w:pPr>
              <w:pStyle w:val="Tablecellheading"/>
            </w:pPr>
          </w:p>
        </w:tc>
        <w:tc>
          <w:tcPr>
            <w:tcW w:w="12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6F7471" w14:textId="77777777" w:rsidR="00375729" w:rsidRPr="00B722ED" w:rsidRDefault="00375729" w:rsidP="006C4B85">
            <w:pPr>
              <w:pStyle w:val="Tablecellheading"/>
              <w:rPr>
                <w:b/>
                <w:i/>
                <w:iCs/>
              </w:rPr>
            </w:pPr>
            <w:r w:rsidRPr="00B722ED">
              <w:t>1994</w:t>
            </w:r>
            <w:r w:rsidRPr="00B722ED">
              <w:softHyphen/>
              <w:t>–95 to 2003–04</w:t>
            </w:r>
          </w:p>
        </w:tc>
        <w:tc>
          <w:tcPr>
            <w:tcW w:w="1259" w:type="dxa"/>
            <w:tcBorders>
              <w:top w:val="single" w:sz="4" w:space="0" w:color="auto"/>
              <w:left w:val="single" w:sz="4" w:space="0" w:color="auto"/>
              <w:bottom w:val="single" w:sz="4" w:space="0" w:color="auto"/>
            </w:tcBorders>
            <w:shd w:val="clear" w:color="auto" w:fill="auto"/>
            <w:vAlign w:val="bottom"/>
            <w:hideMark/>
          </w:tcPr>
          <w:p w14:paraId="0DD2F0B7" w14:textId="77777777" w:rsidR="00375729" w:rsidRPr="00B722ED" w:rsidRDefault="00375729" w:rsidP="006C4B85">
            <w:pPr>
              <w:pStyle w:val="Tablecellheading"/>
              <w:rPr>
                <w:b/>
                <w:i/>
                <w:iCs/>
              </w:rPr>
            </w:pPr>
            <w:r w:rsidRPr="00B722ED">
              <w:t>2003–04 to 2013–14</w:t>
            </w:r>
          </w:p>
        </w:tc>
      </w:tr>
      <w:tr w:rsidR="00375729" w:rsidRPr="00185E7D" w14:paraId="62F00876" w14:textId="77777777" w:rsidTr="00B722ED">
        <w:trPr>
          <w:trHeight w:val="300"/>
        </w:trPr>
        <w:tc>
          <w:tcPr>
            <w:tcW w:w="4106" w:type="dxa"/>
            <w:tcBorders>
              <w:top w:val="single" w:sz="4" w:space="0" w:color="auto"/>
              <w:right w:val="single" w:sz="4" w:space="0" w:color="auto"/>
            </w:tcBorders>
            <w:shd w:val="clear" w:color="auto" w:fill="auto"/>
            <w:noWrap/>
            <w:vAlign w:val="bottom"/>
            <w:hideMark/>
          </w:tcPr>
          <w:p w14:paraId="1377F851" w14:textId="77777777" w:rsidR="00375729" w:rsidRPr="00377E72" w:rsidRDefault="00375729" w:rsidP="006C4B85">
            <w:pPr>
              <w:pStyle w:val="Tablecellsub-heading"/>
              <w:rPr>
                <w:i/>
                <w:iCs/>
                <w:sz w:val="20"/>
                <w:szCs w:val="20"/>
              </w:rPr>
            </w:pPr>
            <w:r w:rsidRPr="00CF3D6E">
              <w:t>Labour productivity contribution (pp)</w:t>
            </w:r>
          </w:p>
        </w:tc>
        <w:tc>
          <w:tcPr>
            <w:tcW w:w="1258" w:type="dxa"/>
            <w:tcBorders>
              <w:top w:val="single" w:sz="4" w:space="0" w:color="auto"/>
              <w:left w:val="single" w:sz="4" w:space="0" w:color="auto"/>
              <w:right w:val="single" w:sz="4" w:space="0" w:color="auto"/>
            </w:tcBorders>
            <w:shd w:val="clear" w:color="auto" w:fill="auto"/>
            <w:noWrap/>
            <w:vAlign w:val="bottom"/>
            <w:hideMark/>
          </w:tcPr>
          <w:p w14:paraId="7C7DF664" w14:textId="77777777" w:rsidR="00375729" w:rsidRPr="00377E72" w:rsidRDefault="00375729" w:rsidP="00B722ED">
            <w:pPr>
              <w:pStyle w:val="Tabletext"/>
              <w:rPr>
                <w:bCs/>
                <w:i/>
                <w:iCs/>
                <w:sz w:val="20"/>
                <w:szCs w:val="20"/>
              </w:rPr>
            </w:pPr>
            <w:r w:rsidRPr="00CF3D6E">
              <w:t>1.8</w:t>
            </w:r>
          </w:p>
        </w:tc>
        <w:tc>
          <w:tcPr>
            <w:tcW w:w="1259" w:type="dxa"/>
            <w:tcBorders>
              <w:top w:val="single" w:sz="4" w:space="0" w:color="auto"/>
              <w:left w:val="single" w:sz="4" w:space="0" w:color="auto"/>
            </w:tcBorders>
            <w:shd w:val="clear" w:color="auto" w:fill="auto"/>
            <w:noWrap/>
            <w:vAlign w:val="bottom"/>
            <w:hideMark/>
          </w:tcPr>
          <w:p w14:paraId="076258A9" w14:textId="77777777" w:rsidR="00375729" w:rsidRPr="00377E72" w:rsidRDefault="00375729" w:rsidP="00B722ED">
            <w:pPr>
              <w:pStyle w:val="Tabletext"/>
              <w:rPr>
                <w:bCs/>
                <w:i/>
                <w:iCs/>
                <w:sz w:val="20"/>
                <w:szCs w:val="20"/>
              </w:rPr>
            </w:pPr>
            <w:r w:rsidRPr="00CF3D6E">
              <w:t>1.0</w:t>
            </w:r>
          </w:p>
        </w:tc>
      </w:tr>
      <w:tr w:rsidR="00375729" w:rsidRPr="00185E7D" w14:paraId="799ACAFC" w14:textId="77777777" w:rsidTr="00B722ED">
        <w:trPr>
          <w:trHeight w:val="300"/>
        </w:trPr>
        <w:tc>
          <w:tcPr>
            <w:tcW w:w="4106" w:type="dxa"/>
            <w:tcBorders>
              <w:right w:val="single" w:sz="4" w:space="0" w:color="auto"/>
            </w:tcBorders>
            <w:shd w:val="clear" w:color="auto" w:fill="auto"/>
            <w:noWrap/>
            <w:vAlign w:val="bottom"/>
            <w:hideMark/>
          </w:tcPr>
          <w:p w14:paraId="2D817222" w14:textId="77777777" w:rsidR="00375729" w:rsidRPr="00185E7D" w:rsidRDefault="00375729" w:rsidP="006C4B85">
            <w:pPr>
              <w:pStyle w:val="Tablecellsub-heading"/>
              <w:rPr>
                <w:i/>
                <w:iCs/>
                <w:sz w:val="20"/>
                <w:szCs w:val="20"/>
              </w:rPr>
            </w:pPr>
            <w:r w:rsidRPr="00185E7D">
              <w:t>IT capital deepening component (pp)</w:t>
            </w:r>
          </w:p>
        </w:tc>
        <w:tc>
          <w:tcPr>
            <w:tcW w:w="1258" w:type="dxa"/>
            <w:tcBorders>
              <w:left w:val="single" w:sz="4" w:space="0" w:color="auto"/>
              <w:right w:val="single" w:sz="4" w:space="0" w:color="auto"/>
            </w:tcBorders>
            <w:shd w:val="clear" w:color="auto" w:fill="auto"/>
            <w:noWrap/>
            <w:vAlign w:val="bottom"/>
            <w:hideMark/>
          </w:tcPr>
          <w:p w14:paraId="5A043EF8" w14:textId="77777777" w:rsidR="00375729" w:rsidRPr="00185E7D" w:rsidRDefault="00375729" w:rsidP="00B722ED">
            <w:pPr>
              <w:pStyle w:val="Tabletext"/>
              <w:rPr>
                <w:bCs/>
                <w:i/>
                <w:iCs/>
                <w:sz w:val="20"/>
                <w:szCs w:val="20"/>
              </w:rPr>
            </w:pPr>
            <w:r w:rsidRPr="00185E7D">
              <w:t>0.5</w:t>
            </w:r>
          </w:p>
        </w:tc>
        <w:tc>
          <w:tcPr>
            <w:tcW w:w="1259" w:type="dxa"/>
            <w:tcBorders>
              <w:left w:val="single" w:sz="4" w:space="0" w:color="auto"/>
            </w:tcBorders>
            <w:shd w:val="clear" w:color="auto" w:fill="auto"/>
            <w:noWrap/>
            <w:vAlign w:val="bottom"/>
            <w:hideMark/>
          </w:tcPr>
          <w:p w14:paraId="6FF087E8" w14:textId="77777777" w:rsidR="00375729" w:rsidRPr="00185E7D" w:rsidRDefault="00375729" w:rsidP="00B722ED">
            <w:pPr>
              <w:pStyle w:val="Tabletext"/>
              <w:rPr>
                <w:bCs/>
                <w:i/>
                <w:iCs/>
                <w:sz w:val="20"/>
                <w:szCs w:val="20"/>
              </w:rPr>
            </w:pPr>
            <w:r w:rsidRPr="00185E7D">
              <w:t>0.3</w:t>
            </w:r>
          </w:p>
        </w:tc>
      </w:tr>
      <w:tr w:rsidR="00375729" w:rsidRPr="00185E7D" w14:paraId="6292D709" w14:textId="77777777" w:rsidTr="00B722ED">
        <w:trPr>
          <w:trHeight w:val="300"/>
        </w:trPr>
        <w:tc>
          <w:tcPr>
            <w:tcW w:w="4106" w:type="dxa"/>
            <w:tcBorders>
              <w:right w:val="single" w:sz="4" w:space="0" w:color="auto"/>
            </w:tcBorders>
            <w:shd w:val="clear" w:color="auto" w:fill="auto"/>
            <w:noWrap/>
            <w:vAlign w:val="bottom"/>
            <w:hideMark/>
          </w:tcPr>
          <w:p w14:paraId="426A218E" w14:textId="77777777" w:rsidR="00375729" w:rsidRPr="00185A6D" w:rsidRDefault="00375729" w:rsidP="006C4B85">
            <w:pPr>
              <w:pStyle w:val="Tablecellsub-heading"/>
              <w:rPr>
                <w:i/>
                <w:iCs/>
                <w:sz w:val="20"/>
                <w:szCs w:val="20"/>
              </w:rPr>
            </w:pPr>
            <w:r w:rsidRPr="00CF3D6E">
              <w:t>Capital productivity contribution (pp)</w:t>
            </w:r>
          </w:p>
        </w:tc>
        <w:tc>
          <w:tcPr>
            <w:tcW w:w="1258" w:type="dxa"/>
            <w:tcBorders>
              <w:left w:val="single" w:sz="4" w:space="0" w:color="auto"/>
              <w:right w:val="single" w:sz="4" w:space="0" w:color="auto"/>
            </w:tcBorders>
            <w:shd w:val="clear" w:color="auto" w:fill="auto"/>
            <w:noWrap/>
            <w:vAlign w:val="bottom"/>
            <w:hideMark/>
          </w:tcPr>
          <w:p w14:paraId="7C960FBC" w14:textId="77777777" w:rsidR="00375729" w:rsidRPr="00185A6D" w:rsidRDefault="00375729" w:rsidP="00B722ED">
            <w:pPr>
              <w:pStyle w:val="Tabletext"/>
              <w:rPr>
                <w:bCs/>
                <w:i/>
                <w:iCs/>
                <w:sz w:val="20"/>
                <w:szCs w:val="20"/>
              </w:rPr>
            </w:pPr>
            <w:r w:rsidRPr="00CF3D6E">
              <w:t>-0.2</w:t>
            </w:r>
          </w:p>
        </w:tc>
        <w:tc>
          <w:tcPr>
            <w:tcW w:w="1259" w:type="dxa"/>
            <w:tcBorders>
              <w:left w:val="single" w:sz="4" w:space="0" w:color="auto"/>
            </w:tcBorders>
            <w:shd w:val="clear" w:color="auto" w:fill="auto"/>
            <w:noWrap/>
            <w:vAlign w:val="bottom"/>
            <w:hideMark/>
          </w:tcPr>
          <w:p w14:paraId="23E6A69F" w14:textId="77777777" w:rsidR="00375729" w:rsidRPr="00185A6D" w:rsidRDefault="00375729" w:rsidP="00B722ED">
            <w:pPr>
              <w:pStyle w:val="Tabletext"/>
              <w:rPr>
                <w:bCs/>
                <w:i/>
                <w:iCs/>
                <w:sz w:val="20"/>
                <w:szCs w:val="20"/>
              </w:rPr>
            </w:pPr>
            <w:r w:rsidRPr="00CF3D6E">
              <w:t>-1.1</w:t>
            </w:r>
          </w:p>
        </w:tc>
      </w:tr>
      <w:tr w:rsidR="00375729" w:rsidRPr="00185E7D" w14:paraId="4B34215B" w14:textId="77777777" w:rsidTr="00B722ED">
        <w:trPr>
          <w:trHeight w:val="300"/>
        </w:trPr>
        <w:tc>
          <w:tcPr>
            <w:tcW w:w="4106" w:type="dxa"/>
            <w:tcBorders>
              <w:right w:val="single" w:sz="4" w:space="0" w:color="auto"/>
            </w:tcBorders>
            <w:shd w:val="clear" w:color="auto" w:fill="auto"/>
            <w:noWrap/>
            <w:vAlign w:val="bottom"/>
            <w:hideMark/>
          </w:tcPr>
          <w:p w14:paraId="365053BB" w14:textId="77777777" w:rsidR="00375729" w:rsidRPr="00185E7D" w:rsidRDefault="00375729" w:rsidP="006C4B85">
            <w:pPr>
              <w:pStyle w:val="Tablecellsub-heading"/>
              <w:rPr>
                <w:i/>
                <w:iCs/>
                <w:sz w:val="20"/>
                <w:szCs w:val="20"/>
              </w:rPr>
            </w:pPr>
            <w:r w:rsidRPr="00185E7D">
              <w:t>IT contribution (pp)</w:t>
            </w:r>
          </w:p>
        </w:tc>
        <w:tc>
          <w:tcPr>
            <w:tcW w:w="1258" w:type="dxa"/>
            <w:tcBorders>
              <w:left w:val="single" w:sz="4" w:space="0" w:color="auto"/>
              <w:right w:val="single" w:sz="4" w:space="0" w:color="auto"/>
            </w:tcBorders>
            <w:shd w:val="clear" w:color="auto" w:fill="auto"/>
            <w:noWrap/>
            <w:vAlign w:val="bottom"/>
            <w:hideMark/>
          </w:tcPr>
          <w:p w14:paraId="42A8F025" w14:textId="77777777" w:rsidR="00375729" w:rsidRPr="00185E7D" w:rsidRDefault="00375729" w:rsidP="00B722ED">
            <w:pPr>
              <w:pStyle w:val="Tabletext"/>
              <w:rPr>
                <w:bCs/>
                <w:i/>
                <w:iCs/>
                <w:sz w:val="20"/>
                <w:szCs w:val="20"/>
              </w:rPr>
            </w:pPr>
            <w:r w:rsidRPr="00185E7D">
              <w:t>-0.6</w:t>
            </w:r>
          </w:p>
        </w:tc>
        <w:tc>
          <w:tcPr>
            <w:tcW w:w="1259" w:type="dxa"/>
            <w:tcBorders>
              <w:left w:val="single" w:sz="4" w:space="0" w:color="auto"/>
            </w:tcBorders>
            <w:shd w:val="clear" w:color="auto" w:fill="auto"/>
            <w:noWrap/>
            <w:vAlign w:val="bottom"/>
            <w:hideMark/>
          </w:tcPr>
          <w:p w14:paraId="661192A8" w14:textId="77777777" w:rsidR="00375729" w:rsidRPr="00185E7D" w:rsidRDefault="00375729" w:rsidP="00B722ED">
            <w:pPr>
              <w:pStyle w:val="Tabletext"/>
              <w:rPr>
                <w:bCs/>
                <w:i/>
                <w:iCs/>
                <w:sz w:val="20"/>
                <w:szCs w:val="20"/>
              </w:rPr>
            </w:pPr>
            <w:r w:rsidRPr="00185E7D">
              <w:t>-0.4</w:t>
            </w:r>
          </w:p>
        </w:tc>
      </w:tr>
      <w:tr w:rsidR="00375729" w:rsidRPr="00185E7D" w14:paraId="1E38E2F0" w14:textId="77777777" w:rsidTr="00B722ED">
        <w:trPr>
          <w:trHeight w:val="300"/>
        </w:trPr>
        <w:tc>
          <w:tcPr>
            <w:tcW w:w="4106" w:type="dxa"/>
            <w:tcBorders>
              <w:right w:val="single" w:sz="4" w:space="0" w:color="auto"/>
            </w:tcBorders>
            <w:shd w:val="clear" w:color="auto" w:fill="auto"/>
            <w:noWrap/>
            <w:vAlign w:val="bottom"/>
            <w:hideMark/>
          </w:tcPr>
          <w:p w14:paraId="29F0703C" w14:textId="77777777" w:rsidR="00375729" w:rsidRPr="00185E7D" w:rsidRDefault="00375729" w:rsidP="006C4B85">
            <w:pPr>
              <w:pStyle w:val="Tablecellsub-heading"/>
              <w:rPr>
                <w:i/>
                <w:iCs/>
                <w:sz w:val="20"/>
                <w:szCs w:val="20"/>
              </w:rPr>
            </w:pPr>
            <w:r w:rsidRPr="00185E7D">
              <w:t>Non-IT contribution (pp)</w:t>
            </w:r>
          </w:p>
        </w:tc>
        <w:tc>
          <w:tcPr>
            <w:tcW w:w="1258" w:type="dxa"/>
            <w:tcBorders>
              <w:left w:val="single" w:sz="4" w:space="0" w:color="auto"/>
              <w:right w:val="single" w:sz="4" w:space="0" w:color="auto"/>
            </w:tcBorders>
            <w:shd w:val="clear" w:color="auto" w:fill="auto"/>
            <w:noWrap/>
            <w:vAlign w:val="bottom"/>
            <w:hideMark/>
          </w:tcPr>
          <w:p w14:paraId="080E6EEA" w14:textId="77777777" w:rsidR="00375729" w:rsidRPr="00185E7D" w:rsidRDefault="00375729" w:rsidP="00B722ED">
            <w:pPr>
              <w:pStyle w:val="Tabletext"/>
              <w:rPr>
                <w:bCs/>
                <w:i/>
                <w:iCs/>
                <w:sz w:val="20"/>
                <w:szCs w:val="20"/>
              </w:rPr>
            </w:pPr>
            <w:r w:rsidRPr="00185E7D">
              <w:t>0.5</w:t>
            </w:r>
          </w:p>
        </w:tc>
        <w:tc>
          <w:tcPr>
            <w:tcW w:w="1259" w:type="dxa"/>
            <w:tcBorders>
              <w:left w:val="single" w:sz="4" w:space="0" w:color="auto"/>
            </w:tcBorders>
            <w:shd w:val="clear" w:color="auto" w:fill="auto"/>
            <w:noWrap/>
            <w:vAlign w:val="bottom"/>
            <w:hideMark/>
          </w:tcPr>
          <w:p w14:paraId="2CC1B491" w14:textId="77777777" w:rsidR="00375729" w:rsidRPr="00185E7D" w:rsidRDefault="00375729" w:rsidP="00B722ED">
            <w:pPr>
              <w:pStyle w:val="Tabletext"/>
              <w:rPr>
                <w:bCs/>
                <w:i/>
                <w:iCs/>
                <w:sz w:val="20"/>
                <w:szCs w:val="20"/>
              </w:rPr>
            </w:pPr>
            <w:r w:rsidRPr="00185E7D">
              <w:t>-0.7</w:t>
            </w:r>
          </w:p>
        </w:tc>
      </w:tr>
      <w:tr w:rsidR="00375729" w:rsidRPr="00185E7D" w14:paraId="76620431" w14:textId="77777777" w:rsidTr="00B722ED">
        <w:trPr>
          <w:trHeight w:val="300"/>
        </w:trPr>
        <w:tc>
          <w:tcPr>
            <w:tcW w:w="4106" w:type="dxa"/>
            <w:tcBorders>
              <w:right w:val="single" w:sz="4" w:space="0" w:color="auto"/>
            </w:tcBorders>
            <w:shd w:val="clear" w:color="auto" w:fill="auto"/>
            <w:noWrap/>
            <w:vAlign w:val="bottom"/>
            <w:hideMark/>
          </w:tcPr>
          <w:p w14:paraId="0766D6E0" w14:textId="77777777" w:rsidR="00375729" w:rsidRPr="00185A6D" w:rsidRDefault="00375729" w:rsidP="006C4B85">
            <w:pPr>
              <w:pStyle w:val="Tablecellsub-heading"/>
              <w:rPr>
                <w:i/>
                <w:iCs/>
                <w:sz w:val="20"/>
                <w:szCs w:val="20"/>
              </w:rPr>
            </w:pPr>
            <w:r w:rsidRPr="00CF3D6E">
              <w:t>MFP growth (% pa)</w:t>
            </w:r>
          </w:p>
        </w:tc>
        <w:tc>
          <w:tcPr>
            <w:tcW w:w="1258" w:type="dxa"/>
            <w:tcBorders>
              <w:left w:val="single" w:sz="4" w:space="0" w:color="auto"/>
              <w:bottom w:val="single" w:sz="4" w:space="0" w:color="auto"/>
              <w:right w:val="single" w:sz="4" w:space="0" w:color="auto"/>
            </w:tcBorders>
            <w:shd w:val="clear" w:color="auto" w:fill="auto"/>
            <w:noWrap/>
            <w:vAlign w:val="bottom"/>
            <w:hideMark/>
          </w:tcPr>
          <w:p w14:paraId="0F4E0002" w14:textId="77777777" w:rsidR="00375729" w:rsidRPr="00185A6D" w:rsidRDefault="00375729" w:rsidP="00B722ED">
            <w:pPr>
              <w:pStyle w:val="Tabletext"/>
              <w:rPr>
                <w:bCs/>
                <w:i/>
                <w:iCs/>
                <w:sz w:val="20"/>
                <w:szCs w:val="20"/>
              </w:rPr>
            </w:pPr>
            <w:r w:rsidRPr="00CF3D6E">
              <w:t>1.6</w:t>
            </w:r>
          </w:p>
        </w:tc>
        <w:tc>
          <w:tcPr>
            <w:tcW w:w="1259" w:type="dxa"/>
            <w:tcBorders>
              <w:left w:val="single" w:sz="4" w:space="0" w:color="auto"/>
            </w:tcBorders>
            <w:shd w:val="clear" w:color="auto" w:fill="auto"/>
            <w:noWrap/>
            <w:vAlign w:val="bottom"/>
            <w:hideMark/>
          </w:tcPr>
          <w:p w14:paraId="3E62FBC8" w14:textId="77777777" w:rsidR="00375729" w:rsidRPr="00185A6D" w:rsidRDefault="00375729" w:rsidP="00B722ED">
            <w:pPr>
              <w:pStyle w:val="Tabletext"/>
              <w:rPr>
                <w:bCs/>
                <w:i/>
                <w:iCs/>
                <w:sz w:val="20"/>
                <w:szCs w:val="20"/>
              </w:rPr>
            </w:pPr>
            <w:r w:rsidRPr="00CF3D6E">
              <w:t>-0.2</w:t>
            </w:r>
          </w:p>
        </w:tc>
      </w:tr>
    </w:tbl>
    <w:p w14:paraId="2947B228" w14:textId="318757EA" w:rsidR="00E6193A" w:rsidRPr="00323930" w:rsidRDefault="00375729" w:rsidP="00012248">
      <w:pPr>
        <w:pStyle w:val="SourceNotes"/>
      </w:pPr>
      <w:r w:rsidRPr="00185E7D">
        <w:fldChar w:fldCharType="end"/>
      </w:r>
      <w:r w:rsidR="00B722ED">
        <w:br w:type="textWrapping" w:clear="all"/>
      </w:r>
      <w:r w:rsidRPr="00185E7D">
        <w:t>Source: Author estimates</w:t>
      </w:r>
      <w:r w:rsidR="00E6193A">
        <w:t xml:space="preserve">. </w:t>
      </w:r>
      <w:r w:rsidR="00E6193A" w:rsidRPr="000E36A5">
        <w:t>Numbers may not add up due to rounding</w:t>
      </w:r>
      <w:r w:rsidR="00E6193A">
        <w:t xml:space="preserve">. </w:t>
      </w:r>
      <w:r w:rsidR="00E6193A" w:rsidRPr="00323930">
        <w:tab/>
      </w:r>
    </w:p>
    <w:p w14:paraId="3E8A60CE" w14:textId="77777777" w:rsidR="00375729" w:rsidRPr="00185E7D" w:rsidRDefault="00375729" w:rsidP="00375729">
      <w:pPr>
        <w:pStyle w:val="BodyTextNoIndent"/>
      </w:pPr>
      <w:r w:rsidRPr="00185E7D">
        <w:t>At this aggregate level, IT appears to have had some association with MFP growth in the first period. It contributed half a percentage point through labour productivity and may have had some influence on the positive improvement in non-IT capital productivity. In the second period, the contribution to labour productivity growth was smaller and the non-IT contribution was negative.</w:t>
      </w:r>
    </w:p>
    <w:p w14:paraId="5DB0821F" w14:textId="77777777" w:rsidR="00375729" w:rsidRPr="00185E7D" w:rsidRDefault="00375729" w:rsidP="00F37FA2">
      <w:pPr>
        <w:pStyle w:val="BCRHead3"/>
      </w:pPr>
      <w:bookmarkStart w:id="74" w:name="_Toc436909165"/>
      <w:bookmarkStart w:id="75" w:name="_Toc436920445"/>
      <w:bookmarkStart w:id="76" w:name="_Toc437355476"/>
      <w:bookmarkStart w:id="77" w:name="_Toc437423879"/>
      <w:bookmarkStart w:id="78" w:name="_Toc437613071"/>
      <w:bookmarkStart w:id="79" w:name="_Toc442259403"/>
      <w:r w:rsidRPr="00185E7D">
        <w:t>6.1.2</w:t>
      </w:r>
      <w:r w:rsidRPr="00185E7D">
        <w:tab/>
        <w:t>12-industry market sector (MS-12)</w:t>
      </w:r>
      <w:bookmarkEnd w:id="74"/>
      <w:bookmarkEnd w:id="75"/>
      <w:bookmarkEnd w:id="76"/>
      <w:bookmarkEnd w:id="77"/>
      <w:bookmarkEnd w:id="78"/>
      <w:bookmarkEnd w:id="79"/>
    </w:p>
    <w:p w14:paraId="577CBD72" w14:textId="77777777" w:rsidR="00375729" w:rsidRPr="00185E7D" w:rsidRDefault="00375729" w:rsidP="00375729">
      <w:pPr>
        <w:pStyle w:val="BodyTextNoIndent"/>
      </w:pPr>
      <w:r w:rsidRPr="00185E7D">
        <w:t>Labour productivity growth accounting was also carried out for the MS-12, for comparison with the MS-16 results above and with the earlier PC results for the MS-12.</w:t>
      </w:r>
    </w:p>
    <w:p w14:paraId="677CA49D" w14:textId="77777777" w:rsidR="00375729" w:rsidRPr="00185E7D" w:rsidRDefault="00375729" w:rsidP="00375729">
      <w:pPr>
        <w:pStyle w:val="BodyTextNoIndent"/>
      </w:pPr>
      <w:r w:rsidRPr="00185E7D">
        <w:t>As it turns out, there are not big differences between the MS-16 results (Table 6.3) and the MS-12 results (Table 6.6). There is more IT capital deepening in the MS-16 in the first two periods (the 1990s) due to more hardware capital deepening. In the last period (late 2000s) there is slightly more IT capital deepening in the MS-12, due to greater software capital deepening.</w:t>
      </w:r>
    </w:p>
    <w:p w14:paraId="33C411F3" w14:textId="77777777" w:rsidR="00375729" w:rsidRPr="00185E7D" w:rsidRDefault="00375729" w:rsidP="00375729">
      <w:pPr>
        <w:pStyle w:val="BodyTextNoIndent"/>
      </w:pPr>
      <w:r w:rsidRPr="00185E7D">
        <w:t>There are no major differences between the MS-16 and MS-12 results, despite the fact rental, hiring and real estate services industry holds a large share of hardware assets—accounting for around 13 per cent of total hardware income in 2003–04.</w:t>
      </w:r>
      <w:r w:rsidRPr="00185E7D">
        <w:fldChar w:fldCharType="begin"/>
      </w:r>
      <w:r w:rsidRPr="00185E7D">
        <w:instrText xml:space="preserve"> LINK Excel.Sheet.12 "\\\\dept.gov.au\\DFS\\Home\\dparham\\Desktop\\Docs\\1. GA project\\Aggregate\\1. Aggregate master blaster 150918.xlsx" MS-12!R181C36:R190C40 \a \f 4 \h  \* MERGEFORMAT </w:instrText>
      </w:r>
      <w:r w:rsidRPr="00185E7D">
        <w:fldChar w:fldCharType="separate"/>
      </w:r>
    </w:p>
    <w:p w14:paraId="03F154DF" w14:textId="77777777" w:rsidR="00375729" w:rsidRPr="00185E7D" w:rsidRDefault="00375729" w:rsidP="00B722ED">
      <w:pPr>
        <w:pStyle w:val="Tablecaption"/>
      </w:pPr>
      <w:r w:rsidRPr="00185E7D">
        <w:t xml:space="preserve">Table 6.6: Accounting for LP growth in the MS-12 over four periods </w:t>
      </w:r>
    </w:p>
    <w:tbl>
      <w:tblPr>
        <w:tblW w:w="84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61"/>
        <w:gridCol w:w="1300"/>
        <w:gridCol w:w="1300"/>
        <w:gridCol w:w="1300"/>
        <w:gridCol w:w="1300"/>
      </w:tblGrid>
      <w:tr w:rsidR="00375729" w:rsidRPr="00185E7D" w14:paraId="255679F2" w14:textId="77777777" w:rsidTr="00301886">
        <w:trPr>
          <w:trHeight w:val="495"/>
        </w:trPr>
        <w:tc>
          <w:tcPr>
            <w:tcW w:w="3261" w:type="dxa"/>
            <w:tcBorders>
              <w:top w:val="single" w:sz="4" w:space="0" w:color="auto"/>
              <w:bottom w:val="single" w:sz="4" w:space="0" w:color="auto"/>
              <w:right w:val="single" w:sz="4" w:space="0" w:color="auto"/>
            </w:tcBorders>
            <w:shd w:val="clear" w:color="auto" w:fill="auto"/>
            <w:noWrap/>
            <w:vAlign w:val="bottom"/>
            <w:hideMark/>
          </w:tcPr>
          <w:p w14:paraId="5C51AE53" w14:textId="77777777" w:rsidR="00375729" w:rsidRPr="00B722ED" w:rsidRDefault="00375729" w:rsidP="006C4B85">
            <w:pPr>
              <w:pStyle w:val="Tablecellheading"/>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9992A6" w14:textId="77777777" w:rsidR="00375729" w:rsidRPr="00B722ED" w:rsidRDefault="00375729" w:rsidP="006C4B85">
            <w:pPr>
              <w:pStyle w:val="Tablecellheading"/>
            </w:pPr>
            <w:r w:rsidRPr="00B722ED">
              <w:t>1993-94 to 1998-99</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BC4BE" w14:textId="77777777" w:rsidR="00375729" w:rsidRPr="00B722ED" w:rsidRDefault="00375729" w:rsidP="006C4B85">
            <w:pPr>
              <w:pStyle w:val="Tablecellheading"/>
            </w:pPr>
            <w:r w:rsidRPr="00B722ED">
              <w:t>1998-99 to 2003-04</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79014" w14:textId="77777777" w:rsidR="00375729" w:rsidRPr="00B722ED" w:rsidRDefault="00375729" w:rsidP="006C4B85">
            <w:pPr>
              <w:pStyle w:val="Tablecellheading"/>
            </w:pPr>
            <w:r w:rsidRPr="00B722ED">
              <w:t>2003-04 to 2007-08</w:t>
            </w:r>
          </w:p>
        </w:tc>
        <w:tc>
          <w:tcPr>
            <w:tcW w:w="1300" w:type="dxa"/>
            <w:tcBorders>
              <w:top w:val="single" w:sz="4" w:space="0" w:color="auto"/>
              <w:left w:val="single" w:sz="4" w:space="0" w:color="auto"/>
              <w:bottom w:val="single" w:sz="4" w:space="0" w:color="auto"/>
            </w:tcBorders>
            <w:shd w:val="clear" w:color="auto" w:fill="auto"/>
            <w:vAlign w:val="bottom"/>
            <w:hideMark/>
          </w:tcPr>
          <w:p w14:paraId="34BF2E0D" w14:textId="77777777" w:rsidR="00375729" w:rsidRPr="00B722ED" w:rsidRDefault="00375729" w:rsidP="006C4B85">
            <w:pPr>
              <w:pStyle w:val="Tablecellheading"/>
            </w:pPr>
            <w:r w:rsidRPr="00B722ED">
              <w:t>2007-08 to 2013-14</w:t>
            </w:r>
          </w:p>
        </w:tc>
      </w:tr>
      <w:tr w:rsidR="00375729" w:rsidRPr="00185E7D" w14:paraId="0510F4C4" w14:textId="77777777" w:rsidTr="00301886">
        <w:trPr>
          <w:trHeight w:val="300"/>
        </w:trPr>
        <w:tc>
          <w:tcPr>
            <w:tcW w:w="3261" w:type="dxa"/>
            <w:tcBorders>
              <w:top w:val="single" w:sz="4" w:space="0" w:color="auto"/>
              <w:right w:val="single" w:sz="4" w:space="0" w:color="auto"/>
            </w:tcBorders>
            <w:shd w:val="clear" w:color="auto" w:fill="auto"/>
            <w:noWrap/>
            <w:vAlign w:val="bottom"/>
            <w:hideMark/>
          </w:tcPr>
          <w:p w14:paraId="01910EDC" w14:textId="77777777" w:rsidR="00375729" w:rsidRPr="00CF3D6E" w:rsidRDefault="00375729" w:rsidP="006C4B85">
            <w:pPr>
              <w:pStyle w:val="Tablecellsub-heading"/>
            </w:pPr>
            <w:r w:rsidRPr="00CF3D6E">
              <w:t>Capital deepening (pp)</w:t>
            </w:r>
          </w:p>
        </w:tc>
        <w:tc>
          <w:tcPr>
            <w:tcW w:w="1300" w:type="dxa"/>
            <w:tcBorders>
              <w:top w:val="single" w:sz="4" w:space="0" w:color="auto"/>
              <w:left w:val="single" w:sz="4" w:space="0" w:color="auto"/>
              <w:right w:val="single" w:sz="4" w:space="0" w:color="auto"/>
            </w:tcBorders>
            <w:shd w:val="clear" w:color="auto" w:fill="auto"/>
            <w:noWrap/>
            <w:vAlign w:val="bottom"/>
            <w:hideMark/>
          </w:tcPr>
          <w:p w14:paraId="34F3CE83" w14:textId="77777777" w:rsidR="00375729" w:rsidRPr="00CF3D6E" w:rsidRDefault="00375729" w:rsidP="00B722ED">
            <w:pPr>
              <w:pStyle w:val="Tabletext"/>
            </w:pPr>
            <w:r w:rsidRPr="00CF3D6E">
              <w:t>1.3</w:t>
            </w:r>
          </w:p>
        </w:tc>
        <w:tc>
          <w:tcPr>
            <w:tcW w:w="1300" w:type="dxa"/>
            <w:tcBorders>
              <w:top w:val="single" w:sz="4" w:space="0" w:color="auto"/>
              <w:left w:val="single" w:sz="4" w:space="0" w:color="auto"/>
              <w:right w:val="single" w:sz="4" w:space="0" w:color="auto"/>
            </w:tcBorders>
            <w:shd w:val="clear" w:color="auto" w:fill="auto"/>
            <w:noWrap/>
            <w:vAlign w:val="bottom"/>
            <w:hideMark/>
          </w:tcPr>
          <w:p w14:paraId="08464119" w14:textId="77777777" w:rsidR="00375729" w:rsidRPr="00CF3D6E" w:rsidRDefault="00375729" w:rsidP="00B722ED">
            <w:pPr>
              <w:pStyle w:val="Tabletext"/>
            </w:pPr>
            <w:r w:rsidRPr="00CF3D6E">
              <w:t>1.3</w:t>
            </w:r>
          </w:p>
        </w:tc>
        <w:tc>
          <w:tcPr>
            <w:tcW w:w="1300" w:type="dxa"/>
            <w:tcBorders>
              <w:top w:val="single" w:sz="4" w:space="0" w:color="auto"/>
              <w:left w:val="single" w:sz="4" w:space="0" w:color="auto"/>
              <w:right w:val="single" w:sz="4" w:space="0" w:color="auto"/>
            </w:tcBorders>
            <w:shd w:val="clear" w:color="auto" w:fill="auto"/>
            <w:noWrap/>
            <w:vAlign w:val="bottom"/>
            <w:hideMark/>
          </w:tcPr>
          <w:p w14:paraId="0A3C2255" w14:textId="77777777" w:rsidR="00375729" w:rsidRPr="00CF3D6E" w:rsidRDefault="00375729" w:rsidP="00B722ED">
            <w:pPr>
              <w:pStyle w:val="Tabletext"/>
            </w:pPr>
            <w:r w:rsidRPr="00CF3D6E">
              <w:t>1.6</w:t>
            </w:r>
          </w:p>
        </w:tc>
        <w:tc>
          <w:tcPr>
            <w:tcW w:w="1300" w:type="dxa"/>
            <w:tcBorders>
              <w:top w:val="single" w:sz="4" w:space="0" w:color="auto"/>
              <w:left w:val="single" w:sz="4" w:space="0" w:color="auto"/>
            </w:tcBorders>
            <w:shd w:val="clear" w:color="auto" w:fill="auto"/>
            <w:noWrap/>
            <w:vAlign w:val="bottom"/>
            <w:hideMark/>
          </w:tcPr>
          <w:p w14:paraId="3FFDC23A" w14:textId="77777777" w:rsidR="00375729" w:rsidRPr="00CF3D6E" w:rsidRDefault="00375729" w:rsidP="00B722ED">
            <w:pPr>
              <w:pStyle w:val="Tabletext"/>
            </w:pPr>
            <w:r w:rsidRPr="00CF3D6E">
              <w:t>2.5</w:t>
            </w:r>
          </w:p>
        </w:tc>
      </w:tr>
      <w:tr w:rsidR="00375729" w:rsidRPr="00185E7D" w14:paraId="7AAE0034" w14:textId="77777777" w:rsidTr="00301886">
        <w:trPr>
          <w:trHeight w:val="300"/>
        </w:trPr>
        <w:tc>
          <w:tcPr>
            <w:tcW w:w="3261" w:type="dxa"/>
            <w:tcBorders>
              <w:right w:val="single" w:sz="4" w:space="0" w:color="auto"/>
            </w:tcBorders>
            <w:shd w:val="clear" w:color="auto" w:fill="auto"/>
            <w:noWrap/>
            <w:vAlign w:val="bottom"/>
            <w:hideMark/>
          </w:tcPr>
          <w:p w14:paraId="768ABC25" w14:textId="1E29AA08" w:rsidR="00375729" w:rsidRPr="00713D97" w:rsidRDefault="00375729" w:rsidP="006C4B85">
            <w:pPr>
              <w:pStyle w:val="Tablecellsub-heading"/>
            </w:pPr>
            <w:r w:rsidRPr="00713D97">
              <w:t>IT capital deepening (pp)</w:t>
            </w:r>
          </w:p>
        </w:tc>
        <w:tc>
          <w:tcPr>
            <w:tcW w:w="1300" w:type="dxa"/>
            <w:tcBorders>
              <w:left w:val="single" w:sz="4" w:space="0" w:color="auto"/>
              <w:right w:val="single" w:sz="4" w:space="0" w:color="auto"/>
            </w:tcBorders>
            <w:shd w:val="clear" w:color="auto" w:fill="auto"/>
            <w:noWrap/>
            <w:vAlign w:val="bottom"/>
            <w:hideMark/>
          </w:tcPr>
          <w:p w14:paraId="4360D971" w14:textId="77777777" w:rsidR="00375729" w:rsidRPr="00713D97" w:rsidRDefault="00375729" w:rsidP="00B722ED">
            <w:pPr>
              <w:pStyle w:val="Tabletext"/>
            </w:pPr>
            <w:r w:rsidRPr="00713D97">
              <w:t>0.8</w:t>
            </w:r>
          </w:p>
        </w:tc>
        <w:tc>
          <w:tcPr>
            <w:tcW w:w="1300" w:type="dxa"/>
            <w:tcBorders>
              <w:left w:val="single" w:sz="4" w:space="0" w:color="auto"/>
              <w:right w:val="single" w:sz="4" w:space="0" w:color="auto"/>
            </w:tcBorders>
            <w:shd w:val="clear" w:color="auto" w:fill="auto"/>
            <w:noWrap/>
            <w:vAlign w:val="bottom"/>
            <w:hideMark/>
          </w:tcPr>
          <w:p w14:paraId="7582A395" w14:textId="77777777" w:rsidR="00375729" w:rsidRPr="00713D97" w:rsidRDefault="00375729" w:rsidP="00B722ED">
            <w:pPr>
              <w:pStyle w:val="Tabletext"/>
            </w:pPr>
            <w:r w:rsidRPr="00713D97">
              <w:t>0.7</w:t>
            </w:r>
          </w:p>
        </w:tc>
        <w:tc>
          <w:tcPr>
            <w:tcW w:w="1300" w:type="dxa"/>
            <w:tcBorders>
              <w:left w:val="single" w:sz="4" w:space="0" w:color="auto"/>
              <w:right w:val="single" w:sz="4" w:space="0" w:color="auto"/>
            </w:tcBorders>
            <w:shd w:val="clear" w:color="auto" w:fill="auto"/>
            <w:noWrap/>
            <w:vAlign w:val="bottom"/>
            <w:hideMark/>
          </w:tcPr>
          <w:p w14:paraId="2FCA7BAC" w14:textId="77777777" w:rsidR="00375729" w:rsidRPr="00713D97" w:rsidRDefault="00375729" w:rsidP="00B722ED">
            <w:pPr>
              <w:pStyle w:val="Tabletext"/>
            </w:pPr>
            <w:r w:rsidRPr="00713D97">
              <w:t>0.6</w:t>
            </w:r>
          </w:p>
        </w:tc>
        <w:tc>
          <w:tcPr>
            <w:tcW w:w="1300" w:type="dxa"/>
            <w:tcBorders>
              <w:left w:val="single" w:sz="4" w:space="0" w:color="auto"/>
            </w:tcBorders>
            <w:shd w:val="clear" w:color="auto" w:fill="auto"/>
            <w:noWrap/>
            <w:vAlign w:val="bottom"/>
            <w:hideMark/>
          </w:tcPr>
          <w:p w14:paraId="05F748BC" w14:textId="77777777" w:rsidR="00375729" w:rsidRPr="00713D97" w:rsidRDefault="00375729" w:rsidP="00B722ED">
            <w:pPr>
              <w:pStyle w:val="Tabletext"/>
            </w:pPr>
            <w:r w:rsidRPr="00713D97">
              <w:t>0.3</w:t>
            </w:r>
          </w:p>
        </w:tc>
      </w:tr>
      <w:tr w:rsidR="00375729" w:rsidRPr="00185E7D" w14:paraId="0B411D5C" w14:textId="77777777" w:rsidTr="00301886">
        <w:trPr>
          <w:trHeight w:val="300"/>
        </w:trPr>
        <w:tc>
          <w:tcPr>
            <w:tcW w:w="3261" w:type="dxa"/>
            <w:tcBorders>
              <w:right w:val="single" w:sz="4" w:space="0" w:color="auto"/>
            </w:tcBorders>
            <w:shd w:val="clear" w:color="auto" w:fill="auto"/>
            <w:noWrap/>
            <w:vAlign w:val="bottom"/>
            <w:hideMark/>
          </w:tcPr>
          <w:p w14:paraId="004AB5AB" w14:textId="77777777" w:rsidR="00375729" w:rsidRPr="00CF3D6E" w:rsidRDefault="0058764D" w:rsidP="006C4B85">
            <w:pPr>
              <w:pStyle w:val="Tablecellsub-heading"/>
            </w:pPr>
            <w:r>
              <w:t>H</w:t>
            </w:r>
            <w:r w:rsidR="00375729" w:rsidRPr="00CF3D6E">
              <w:t>ardware (pp)</w:t>
            </w:r>
          </w:p>
        </w:tc>
        <w:tc>
          <w:tcPr>
            <w:tcW w:w="1300" w:type="dxa"/>
            <w:tcBorders>
              <w:left w:val="single" w:sz="4" w:space="0" w:color="auto"/>
              <w:right w:val="single" w:sz="4" w:space="0" w:color="auto"/>
            </w:tcBorders>
            <w:shd w:val="clear" w:color="auto" w:fill="auto"/>
            <w:noWrap/>
            <w:vAlign w:val="bottom"/>
            <w:hideMark/>
          </w:tcPr>
          <w:p w14:paraId="4D280E74" w14:textId="77777777" w:rsidR="00375729" w:rsidRPr="00CF3D6E" w:rsidRDefault="00375729" w:rsidP="00B722ED">
            <w:pPr>
              <w:pStyle w:val="Tabletext"/>
              <w:rPr>
                <w:i/>
              </w:rPr>
            </w:pPr>
            <w:r w:rsidRPr="00CF3D6E">
              <w:rPr>
                <w:i/>
              </w:rPr>
              <w:t>0.4</w:t>
            </w:r>
          </w:p>
        </w:tc>
        <w:tc>
          <w:tcPr>
            <w:tcW w:w="1300" w:type="dxa"/>
            <w:tcBorders>
              <w:left w:val="single" w:sz="4" w:space="0" w:color="auto"/>
              <w:right w:val="single" w:sz="4" w:space="0" w:color="auto"/>
            </w:tcBorders>
            <w:shd w:val="clear" w:color="auto" w:fill="auto"/>
            <w:noWrap/>
            <w:vAlign w:val="bottom"/>
            <w:hideMark/>
          </w:tcPr>
          <w:p w14:paraId="14BF4DDD" w14:textId="77777777" w:rsidR="00375729" w:rsidRPr="00CF3D6E" w:rsidRDefault="00375729" w:rsidP="00B722ED">
            <w:pPr>
              <w:pStyle w:val="Tabletext"/>
              <w:rPr>
                <w:i/>
              </w:rPr>
            </w:pPr>
            <w:r w:rsidRPr="00CF3D6E">
              <w:rPr>
                <w:i/>
              </w:rPr>
              <w:t>0.5</w:t>
            </w:r>
          </w:p>
        </w:tc>
        <w:tc>
          <w:tcPr>
            <w:tcW w:w="1300" w:type="dxa"/>
            <w:tcBorders>
              <w:left w:val="single" w:sz="4" w:space="0" w:color="auto"/>
              <w:right w:val="single" w:sz="4" w:space="0" w:color="auto"/>
            </w:tcBorders>
            <w:shd w:val="clear" w:color="auto" w:fill="auto"/>
            <w:noWrap/>
            <w:vAlign w:val="bottom"/>
            <w:hideMark/>
          </w:tcPr>
          <w:p w14:paraId="0A1AD15C" w14:textId="77777777" w:rsidR="00375729" w:rsidRPr="00CF3D6E" w:rsidRDefault="00375729" w:rsidP="00B722ED">
            <w:pPr>
              <w:pStyle w:val="Tabletext"/>
              <w:rPr>
                <w:i/>
              </w:rPr>
            </w:pPr>
            <w:r w:rsidRPr="00CF3D6E">
              <w:rPr>
                <w:i/>
              </w:rPr>
              <w:t>0.4</w:t>
            </w:r>
          </w:p>
        </w:tc>
        <w:tc>
          <w:tcPr>
            <w:tcW w:w="1300" w:type="dxa"/>
            <w:tcBorders>
              <w:left w:val="single" w:sz="4" w:space="0" w:color="auto"/>
            </w:tcBorders>
            <w:shd w:val="clear" w:color="auto" w:fill="auto"/>
            <w:noWrap/>
            <w:vAlign w:val="bottom"/>
            <w:hideMark/>
          </w:tcPr>
          <w:p w14:paraId="41DE6122" w14:textId="77777777" w:rsidR="00375729" w:rsidRPr="00CF3D6E" w:rsidRDefault="00375729" w:rsidP="00B722ED">
            <w:pPr>
              <w:pStyle w:val="Tabletext"/>
              <w:rPr>
                <w:i/>
              </w:rPr>
            </w:pPr>
            <w:r w:rsidRPr="00CF3D6E">
              <w:rPr>
                <w:i/>
              </w:rPr>
              <w:t>0.2</w:t>
            </w:r>
          </w:p>
        </w:tc>
      </w:tr>
      <w:tr w:rsidR="00375729" w:rsidRPr="00185E7D" w14:paraId="3B3FA334" w14:textId="77777777" w:rsidTr="00301886">
        <w:trPr>
          <w:trHeight w:val="300"/>
        </w:trPr>
        <w:tc>
          <w:tcPr>
            <w:tcW w:w="3261" w:type="dxa"/>
            <w:tcBorders>
              <w:right w:val="single" w:sz="4" w:space="0" w:color="auto"/>
            </w:tcBorders>
            <w:shd w:val="clear" w:color="auto" w:fill="auto"/>
            <w:noWrap/>
            <w:vAlign w:val="bottom"/>
            <w:hideMark/>
          </w:tcPr>
          <w:p w14:paraId="5C101B40" w14:textId="77777777" w:rsidR="00375729" w:rsidRPr="00CF3D6E" w:rsidRDefault="0058764D" w:rsidP="006C4B85">
            <w:pPr>
              <w:pStyle w:val="Tablecellsub-heading"/>
            </w:pPr>
            <w:r>
              <w:t>S</w:t>
            </w:r>
            <w:r w:rsidR="00375729" w:rsidRPr="00CF3D6E">
              <w:t>oftware (pp)</w:t>
            </w:r>
          </w:p>
        </w:tc>
        <w:tc>
          <w:tcPr>
            <w:tcW w:w="1300" w:type="dxa"/>
            <w:tcBorders>
              <w:left w:val="single" w:sz="4" w:space="0" w:color="auto"/>
              <w:right w:val="single" w:sz="4" w:space="0" w:color="auto"/>
            </w:tcBorders>
            <w:shd w:val="clear" w:color="auto" w:fill="auto"/>
            <w:noWrap/>
            <w:vAlign w:val="bottom"/>
            <w:hideMark/>
          </w:tcPr>
          <w:p w14:paraId="70F2555E" w14:textId="77777777" w:rsidR="00375729" w:rsidRPr="00CF3D6E" w:rsidRDefault="00375729" w:rsidP="00B722ED">
            <w:pPr>
              <w:pStyle w:val="Tabletext"/>
              <w:rPr>
                <w:i/>
              </w:rPr>
            </w:pPr>
            <w:r w:rsidRPr="00CF3D6E">
              <w:rPr>
                <w:i/>
              </w:rPr>
              <w:t>0.3</w:t>
            </w:r>
          </w:p>
        </w:tc>
        <w:tc>
          <w:tcPr>
            <w:tcW w:w="1300" w:type="dxa"/>
            <w:tcBorders>
              <w:left w:val="single" w:sz="4" w:space="0" w:color="auto"/>
              <w:right w:val="single" w:sz="4" w:space="0" w:color="auto"/>
            </w:tcBorders>
            <w:shd w:val="clear" w:color="auto" w:fill="auto"/>
            <w:noWrap/>
            <w:vAlign w:val="bottom"/>
            <w:hideMark/>
          </w:tcPr>
          <w:p w14:paraId="1BC1DF4D" w14:textId="77777777" w:rsidR="00375729" w:rsidRPr="00CF3D6E" w:rsidRDefault="00375729" w:rsidP="00B722ED">
            <w:pPr>
              <w:pStyle w:val="Tabletext"/>
              <w:rPr>
                <w:i/>
              </w:rPr>
            </w:pPr>
            <w:r w:rsidRPr="00CF3D6E">
              <w:rPr>
                <w:i/>
              </w:rPr>
              <w:t>0.3</w:t>
            </w:r>
          </w:p>
        </w:tc>
        <w:tc>
          <w:tcPr>
            <w:tcW w:w="1300" w:type="dxa"/>
            <w:tcBorders>
              <w:left w:val="single" w:sz="4" w:space="0" w:color="auto"/>
              <w:right w:val="single" w:sz="4" w:space="0" w:color="auto"/>
            </w:tcBorders>
            <w:shd w:val="clear" w:color="auto" w:fill="auto"/>
            <w:noWrap/>
            <w:vAlign w:val="bottom"/>
            <w:hideMark/>
          </w:tcPr>
          <w:p w14:paraId="77A05307" w14:textId="77777777" w:rsidR="00375729" w:rsidRPr="00CF3D6E" w:rsidRDefault="00375729" w:rsidP="00B722ED">
            <w:pPr>
              <w:pStyle w:val="Tabletext"/>
              <w:rPr>
                <w:i/>
              </w:rPr>
            </w:pPr>
            <w:r w:rsidRPr="00CF3D6E">
              <w:rPr>
                <w:i/>
              </w:rPr>
              <w:t>0.2</w:t>
            </w:r>
          </w:p>
        </w:tc>
        <w:tc>
          <w:tcPr>
            <w:tcW w:w="1300" w:type="dxa"/>
            <w:tcBorders>
              <w:left w:val="single" w:sz="4" w:space="0" w:color="auto"/>
            </w:tcBorders>
            <w:shd w:val="clear" w:color="auto" w:fill="auto"/>
            <w:noWrap/>
            <w:vAlign w:val="bottom"/>
            <w:hideMark/>
          </w:tcPr>
          <w:p w14:paraId="5C9E2D60" w14:textId="77777777" w:rsidR="00375729" w:rsidRPr="00CF3D6E" w:rsidRDefault="00375729" w:rsidP="00B722ED">
            <w:pPr>
              <w:pStyle w:val="Tabletext"/>
              <w:rPr>
                <w:i/>
              </w:rPr>
            </w:pPr>
            <w:r w:rsidRPr="00CF3D6E">
              <w:rPr>
                <w:i/>
              </w:rPr>
              <w:t>0.2</w:t>
            </w:r>
          </w:p>
        </w:tc>
      </w:tr>
      <w:tr w:rsidR="00375729" w:rsidRPr="00185E7D" w14:paraId="455A52DD" w14:textId="77777777" w:rsidTr="00301886">
        <w:trPr>
          <w:trHeight w:val="300"/>
        </w:trPr>
        <w:tc>
          <w:tcPr>
            <w:tcW w:w="3261" w:type="dxa"/>
            <w:tcBorders>
              <w:right w:val="single" w:sz="4" w:space="0" w:color="auto"/>
            </w:tcBorders>
            <w:shd w:val="clear" w:color="auto" w:fill="auto"/>
            <w:noWrap/>
            <w:vAlign w:val="bottom"/>
            <w:hideMark/>
          </w:tcPr>
          <w:p w14:paraId="1364C7E0" w14:textId="43F0B2D2" w:rsidR="00375729" w:rsidRPr="00713D97" w:rsidRDefault="00375729" w:rsidP="006C4B85">
            <w:pPr>
              <w:pStyle w:val="Tablecellsub-heading"/>
            </w:pPr>
            <w:r w:rsidRPr="00713D97">
              <w:t>Non-IT capital deepening (pp)</w:t>
            </w:r>
          </w:p>
        </w:tc>
        <w:tc>
          <w:tcPr>
            <w:tcW w:w="1300" w:type="dxa"/>
            <w:tcBorders>
              <w:left w:val="single" w:sz="4" w:space="0" w:color="auto"/>
              <w:right w:val="single" w:sz="4" w:space="0" w:color="auto"/>
            </w:tcBorders>
            <w:shd w:val="clear" w:color="auto" w:fill="auto"/>
            <w:noWrap/>
            <w:vAlign w:val="bottom"/>
            <w:hideMark/>
          </w:tcPr>
          <w:p w14:paraId="1C54A8E1" w14:textId="77777777" w:rsidR="00375729" w:rsidRPr="00713D97" w:rsidRDefault="00375729" w:rsidP="00B722ED">
            <w:pPr>
              <w:pStyle w:val="Tabletext"/>
            </w:pPr>
            <w:r w:rsidRPr="00713D97">
              <w:t>0.5</w:t>
            </w:r>
          </w:p>
        </w:tc>
        <w:tc>
          <w:tcPr>
            <w:tcW w:w="1300" w:type="dxa"/>
            <w:tcBorders>
              <w:left w:val="single" w:sz="4" w:space="0" w:color="auto"/>
              <w:right w:val="single" w:sz="4" w:space="0" w:color="auto"/>
            </w:tcBorders>
            <w:shd w:val="clear" w:color="auto" w:fill="auto"/>
            <w:noWrap/>
            <w:vAlign w:val="bottom"/>
            <w:hideMark/>
          </w:tcPr>
          <w:p w14:paraId="76DF84AB" w14:textId="77777777" w:rsidR="00375729" w:rsidRPr="00713D97" w:rsidRDefault="00375729" w:rsidP="00B722ED">
            <w:pPr>
              <w:pStyle w:val="Tabletext"/>
            </w:pPr>
            <w:r w:rsidRPr="00713D97">
              <w:t>0.6</w:t>
            </w:r>
          </w:p>
        </w:tc>
        <w:tc>
          <w:tcPr>
            <w:tcW w:w="1300" w:type="dxa"/>
            <w:tcBorders>
              <w:left w:val="single" w:sz="4" w:space="0" w:color="auto"/>
              <w:right w:val="single" w:sz="4" w:space="0" w:color="auto"/>
            </w:tcBorders>
            <w:shd w:val="clear" w:color="auto" w:fill="auto"/>
            <w:noWrap/>
            <w:vAlign w:val="bottom"/>
            <w:hideMark/>
          </w:tcPr>
          <w:p w14:paraId="77F19884" w14:textId="77777777" w:rsidR="00375729" w:rsidRPr="00713D97" w:rsidRDefault="00375729" w:rsidP="00B722ED">
            <w:pPr>
              <w:pStyle w:val="Tabletext"/>
            </w:pPr>
            <w:r w:rsidRPr="00713D97">
              <w:t>1.0</w:t>
            </w:r>
          </w:p>
        </w:tc>
        <w:tc>
          <w:tcPr>
            <w:tcW w:w="1300" w:type="dxa"/>
            <w:tcBorders>
              <w:left w:val="single" w:sz="4" w:space="0" w:color="auto"/>
            </w:tcBorders>
            <w:shd w:val="clear" w:color="auto" w:fill="auto"/>
            <w:noWrap/>
            <w:vAlign w:val="bottom"/>
            <w:hideMark/>
          </w:tcPr>
          <w:p w14:paraId="0A74FEA9" w14:textId="77777777" w:rsidR="00375729" w:rsidRPr="00713D97" w:rsidRDefault="00375729" w:rsidP="00B722ED">
            <w:pPr>
              <w:pStyle w:val="Tabletext"/>
            </w:pPr>
            <w:r w:rsidRPr="00713D97">
              <w:t>2.2</w:t>
            </w:r>
          </w:p>
        </w:tc>
      </w:tr>
      <w:tr w:rsidR="00375729" w:rsidRPr="00185E7D" w14:paraId="6A70C661" w14:textId="77777777" w:rsidTr="00301886">
        <w:trPr>
          <w:trHeight w:val="300"/>
        </w:trPr>
        <w:tc>
          <w:tcPr>
            <w:tcW w:w="3261" w:type="dxa"/>
            <w:tcBorders>
              <w:right w:val="single" w:sz="4" w:space="0" w:color="auto"/>
            </w:tcBorders>
            <w:shd w:val="clear" w:color="auto" w:fill="auto"/>
            <w:noWrap/>
            <w:vAlign w:val="bottom"/>
            <w:hideMark/>
          </w:tcPr>
          <w:p w14:paraId="3529CE57" w14:textId="77777777" w:rsidR="00375729" w:rsidRPr="00CF3D6E" w:rsidRDefault="00375729" w:rsidP="006C4B85">
            <w:pPr>
              <w:pStyle w:val="Tablecellsub-heading"/>
            </w:pPr>
            <w:r w:rsidRPr="00CF3D6E">
              <w:t>MFP growth (% pa and pp)</w:t>
            </w:r>
          </w:p>
        </w:tc>
        <w:tc>
          <w:tcPr>
            <w:tcW w:w="1300" w:type="dxa"/>
            <w:tcBorders>
              <w:left w:val="single" w:sz="4" w:space="0" w:color="auto"/>
              <w:right w:val="single" w:sz="4" w:space="0" w:color="auto"/>
            </w:tcBorders>
            <w:shd w:val="clear" w:color="auto" w:fill="auto"/>
            <w:noWrap/>
            <w:vAlign w:val="bottom"/>
            <w:hideMark/>
          </w:tcPr>
          <w:p w14:paraId="1FDDA238" w14:textId="77777777" w:rsidR="00375729" w:rsidRPr="00CF3D6E" w:rsidRDefault="00375729" w:rsidP="00B722ED">
            <w:pPr>
              <w:pStyle w:val="Tabletext"/>
            </w:pPr>
            <w:r w:rsidRPr="00CF3D6E">
              <w:t>2.6</w:t>
            </w:r>
          </w:p>
        </w:tc>
        <w:tc>
          <w:tcPr>
            <w:tcW w:w="1300" w:type="dxa"/>
            <w:tcBorders>
              <w:left w:val="single" w:sz="4" w:space="0" w:color="auto"/>
              <w:right w:val="single" w:sz="4" w:space="0" w:color="auto"/>
            </w:tcBorders>
            <w:shd w:val="clear" w:color="auto" w:fill="auto"/>
            <w:noWrap/>
            <w:vAlign w:val="bottom"/>
            <w:hideMark/>
          </w:tcPr>
          <w:p w14:paraId="14A5042E" w14:textId="77777777" w:rsidR="00375729" w:rsidRPr="00CF3D6E" w:rsidRDefault="00375729" w:rsidP="00B722ED">
            <w:pPr>
              <w:pStyle w:val="Tabletext"/>
            </w:pPr>
            <w:r w:rsidRPr="00CF3D6E">
              <w:t>1.0</w:t>
            </w:r>
          </w:p>
        </w:tc>
        <w:tc>
          <w:tcPr>
            <w:tcW w:w="1300" w:type="dxa"/>
            <w:tcBorders>
              <w:left w:val="single" w:sz="4" w:space="0" w:color="auto"/>
              <w:right w:val="single" w:sz="4" w:space="0" w:color="auto"/>
            </w:tcBorders>
            <w:shd w:val="clear" w:color="auto" w:fill="auto"/>
            <w:noWrap/>
            <w:vAlign w:val="bottom"/>
            <w:hideMark/>
          </w:tcPr>
          <w:p w14:paraId="199E1747" w14:textId="77777777" w:rsidR="00375729" w:rsidRPr="00CF3D6E" w:rsidRDefault="00375729" w:rsidP="00B722ED">
            <w:pPr>
              <w:pStyle w:val="Tabletext"/>
            </w:pPr>
            <w:r w:rsidRPr="00CF3D6E">
              <w:t>0.0</w:t>
            </w:r>
          </w:p>
        </w:tc>
        <w:tc>
          <w:tcPr>
            <w:tcW w:w="1300" w:type="dxa"/>
            <w:tcBorders>
              <w:left w:val="single" w:sz="4" w:space="0" w:color="auto"/>
            </w:tcBorders>
            <w:shd w:val="clear" w:color="auto" w:fill="auto"/>
            <w:noWrap/>
            <w:vAlign w:val="bottom"/>
            <w:hideMark/>
          </w:tcPr>
          <w:p w14:paraId="60EFCBF8" w14:textId="77777777" w:rsidR="00375729" w:rsidRPr="00CF3D6E" w:rsidRDefault="00375729" w:rsidP="00B722ED">
            <w:pPr>
              <w:pStyle w:val="Tabletext"/>
            </w:pPr>
            <w:r w:rsidRPr="00CF3D6E">
              <w:t>-0.1</w:t>
            </w:r>
          </w:p>
        </w:tc>
      </w:tr>
      <w:tr w:rsidR="00375729" w:rsidRPr="00185E7D" w14:paraId="0720A891" w14:textId="77777777" w:rsidTr="00301886">
        <w:trPr>
          <w:trHeight w:val="300"/>
        </w:trPr>
        <w:tc>
          <w:tcPr>
            <w:tcW w:w="3261" w:type="dxa"/>
            <w:tcBorders>
              <w:bottom w:val="single" w:sz="4" w:space="0" w:color="auto"/>
              <w:right w:val="single" w:sz="4" w:space="0" w:color="auto"/>
            </w:tcBorders>
            <w:shd w:val="clear" w:color="auto" w:fill="auto"/>
            <w:noWrap/>
            <w:vAlign w:val="bottom"/>
            <w:hideMark/>
          </w:tcPr>
          <w:p w14:paraId="0377568D" w14:textId="77777777" w:rsidR="00375729" w:rsidRPr="00CF3D6E" w:rsidRDefault="00375729" w:rsidP="006C4B85">
            <w:pPr>
              <w:pStyle w:val="Tablecellsub-heading"/>
            </w:pPr>
            <w:r w:rsidRPr="00CF3D6E">
              <w:t>Labour productivity growth (% pa)</w:t>
            </w:r>
          </w:p>
        </w:tc>
        <w:tc>
          <w:tcPr>
            <w:tcW w:w="1300" w:type="dxa"/>
            <w:tcBorders>
              <w:left w:val="single" w:sz="4" w:space="0" w:color="auto"/>
              <w:right w:val="single" w:sz="4" w:space="0" w:color="auto"/>
            </w:tcBorders>
            <w:shd w:val="clear" w:color="auto" w:fill="auto"/>
            <w:noWrap/>
            <w:vAlign w:val="bottom"/>
            <w:hideMark/>
          </w:tcPr>
          <w:p w14:paraId="14401480" w14:textId="77777777" w:rsidR="00375729" w:rsidRPr="00CF3D6E" w:rsidRDefault="00375729" w:rsidP="00B722ED">
            <w:pPr>
              <w:pStyle w:val="Tabletext"/>
            </w:pPr>
            <w:r w:rsidRPr="00CF3D6E">
              <w:t>3.9</w:t>
            </w:r>
          </w:p>
        </w:tc>
        <w:tc>
          <w:tcPr>
            <w:tcW w:w="1300" w:type="dxa"/>
            <w:tcBorders>
              <w:left w:val="single" w:sz="4" w:space="0" w:color="auto"/>
              <w:bottom w:val="single" w:sz="4" w:space="0" w:color="auto"/>
              <w:right w:val="single" w:sz="4" w:space="0" w:color="auto"/>
            </w:tcBorders>
            <w:shd w:val="clear" w:color="auto" w:fill="auto"/>
            <w:noWrap/>
            <w:vAlign w:val="bottom"/>
            <w:hideMark/>
          </w:tcPr>
          <w:p w14:paraId="795F2B98" w14:textId="77777777" w:rsidR="00375729" w:rsidRPr="00CF3D6E" w:rsidRDefault="00375729" w:rsidP="00B722ED">
            <w:pPr>
              <w:pStyle w:val="Tabletext"/>
            </w:pPr>
            <w:r w:rsidRPr="00CF3D6E">
              <w:t>2.3</w:t>
            </w:r>
          </w:p>
        </w:tc>
        <w:tc>
          <w:tcPr>
            <w:tcW w:w="1300" w:type="dxa"/>
            <w:tcBorders>
              <w:left w:val="single" w:sz="4" w:space="0" w:color="auto"/>
              <w:right w:val="single" w:sz="4" w:space="0" w:color="auto"/>
            </w:tcBorders>
            <w:shd w:val="clear" w:color="auto" w:fill="auto"/>
            <w:noWrap/>
            <w:vAlign w:val="bottom"/>
            <w:hideMark/>
          </w:tcPr>
          <w:p w14:paraId="53184FCB" w14:textId="77777777" w:rsidR="00375729" w:rsidRPr="00CF3D6E" w:rsidRDefault="00375729" w:rsidP="00B722ED">
            <w:pPr>
              <w:pStyle w:val="Tabletext"/>
            </w:pPr>
            <w:r w:rsidRPr="00CF3D6E">
              <w:t>1.6</w:t>
            </w:r>
          </w:p>
        </w:tc>
        <w:tc>
          <w:tcPr>
            <w:tcW w:w="1300" w:type="dxa"/>
            <w:tcBorders>
              <w:left w:val="single" w:sz="4" w:space="0" w:color="auto"/>
              <w:bottom w:val="single" w:sz="4" w:space="0" w:color="auto"/>
            </w:tcBorders>
            <w:shd w:val="clear" w:color="auto" w:fill="auto"/>
            <w:noWrap/>
            <w:vAlign w:val="bottom"/>
            <w:hideMark/>
          </w:tcPr>
          <w:p w14:paraId="66B9F609" w14:textId="77777777" w:rsidR="00375729" w:rsidRPr="00CF3D6E" w:rsidRDefault="00375729" w:rsidP="00B722ED">
            <w:pPr>
              <w:pStyle w:val="Tabletext"/>
            </w:pPr>
            <w:r w:rsidRPr="00CF3D6E">
              <w:t>2.4</w:t>
            </w:r>
          </w:p>
        </w:tc>
      </w:tr>
    </w:tbl>
    <w:p w14:paraId="0AEF685E" w14:textId="77777777" w:rsidR="00E6193A" w:rsidRPr="00323930" w:rsidRDefault="00375729" w:rsidP="00012248">
      <w:pPr>
        <w:pStyle w:val="SourceNotes"/>
      </w:pPr>
      <w:r w:rsidRPr="00185E7D">
        <w:fldChar w:fldCharType="end"/>
      </w:r>
      <w:r w:rsidRPr="00185E7D">
        <w:t>Note: a. Growth rates and contributions are calculated as differences in logged values</w:t>
      </w:r>
      <w:r w:rsidR="00E6193A">
        <w:t xml:space="preserve">. </w:t>
      </w:r>
      <w:r w:rsidR="00E6193A" w:rsidRPr="000E36A5">
        <w:t>Numbers may not add up due to rounding</w:t>
      </w:r>
      <w:r w:rsidR="00E6193A">
        <w:t xml:space="preserve">. </w:t>
      </w:r>
      <w:r w:rsidR="00E6193A" w:rsidRPr="00323930">
        <w:tab/>
      </w:r>
    </w:p>
    <w:p w14:paraId="1D839FA3" w14:textId="77777777" w:rsidR="00375729" w:rsidRPr="00185E7D" w:rsidRDefault="00375729" w:rsidP="00012248">
      <w:pPr>
        <w:pStyle w:val="SourceNotes"/>
      </w:pPr>
      <w:r w:rsidRPr="00185E7D">
        <w:t>Source: Author estimates</w:t>
      </w:r>
    </w:p>
    <w:p w14:paraId="5D90009D" w14:textId="77777777" w:rsidR="00375729" w:rsidRPr="00C519A8" w:rsidRDefault="00375729" w:rsidP="00375729">
      <w:pPr>
        <w:pStyle w:val="BodyTextNoIndent"/>
      </w:pPr>
      <w:r w:rsidRPr="00C519A8">
        <w:t>There are not large differences between the MS-12 results generated here and the results from the earlier PC exercise (Table 6.7). The ABS productivity estimates have been revised, with both MFP growth and LP growth larger in the period 1993–94 to 1998–99, which is common to both exercises. There has also been some revision to IT data, with a redistribution of capital deepening away from IT to non-IT in the current analysis, compared with the PC analysis.</w:t>
      </w:r>
    </w:p>
    <w:p w14:paraId="78745D0D"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2322A9A5" w14:textId="77777777" w:rsidR="00375729" w:rsidRPr="00185E7D" w:rsidRDefault="00375729" w:rsidP="006C4B85">
      <w:pPr>
        <w:pStyle w:val="Tablecaption"/>
      </w:pPr>
      <w:r w:rsidRPr="00185E7D">
        <w:t>Table 6.7: Results from 2004 Productivity Commission growth accounting for the MS-12</w:t>
      </w:r>
    </w:p>
    <w:tbl>
      <w:tblPr>
        <w:tblStyle w:val="TableGrid"/>
        <w:tblpPr w:leftFromText="180" w:rightFromText="180" w:vertAnchor="text" w:tblpY="1"/>
        <w:tblOverlap w:val="never"/>
        <w:tblW w:w="6516" w:type="dxa"/>
        <w:tblLook w:val="04A0" w:firstRow="1" w:lastRow="0" w:firstColumn="1" w:lastColumn="0" w:noHBand="0" w:noVBand="1"/>
      </w:tblPr>
      <w:tblGrid>
        <w:gridCol w:w="3256"/>
        <w:gridCol w:w="1630"/>
        <w:gridCol w:w="1630"/>
      </w:tblGrid>
      <w:tr w:rsidR="00375729" w:rsidRPr="00185E7D" w14:paraId="276B205B" w14:textId="77777777" w:rsidTr="006C4B85">
        <w:trPr>
          <w:tblHeader/>
        </w:trPr>
        <w:tc>
          <w:tcPr>
            <w:tcW w:w="3256" w:type="dxa"/>
          </w:tcPr>
          <w:p w14:paraId="03D2E467" w14:textId="77777777" w:rsidR="00375729" w:rsidRPr="006C4B85" w:rsidRDefault="00375729" w:rsidP="006C4B85">
            <w:pPr>
              <w:pStyle w:val="Tablecellheading"/>
            </w:pPr>
          </w:p>
        </w:tc>
        <w:tc>
          <w:tcPr>
            <w:tcW w:w="1630" w:type="dxa"/>
          </w:tcPr>
          <w:p w14:paraId="4C910581" w14:textId="77777777" w:rsidR="00375729" w:rsidRPr="006C4B85" w:rsidRDefault="00375729" w:rsidP="006C4B85">
            <w:pPr>
              <w:pStyle w:val="Tablecellheading"/>
            </w:pPr>
            <w:r w:rsidRPr="006C4B85">
              <w:t xml:space="preserve">1988-89 to </w:t>
            </w:r>
            <w:r w:rsidRPr="006C4B85">
              <w:br/>
              <w:t>1993-94</w:t>
            </w:r>
          </w:p>
        </w:tc>
        <w:tc>
          <w:tcPr>
            <w:tcW w:w="1630" w:type="dxa"/>
          </w:tcPr>
          <w:p w14:paraId="728D07A4" w14:textId="77777777" w:rsidR="00375729" w:rsidRPr="006C4B85" w:rsidRDefault="00375729" w:rsidP="006C4B85">
            <w:pPr>
              <w:pStyle w:val="Tablecellheading"/>
            </w:pPr>
            <w:r w:rsidRPr="006C4B85">
              <w:t xml:space="preserve">1993-94 to </w:t>
            </w:r>
            <w:r w:rsidRPr="006C4B85">
              <w:br/>
              <w:t>1998-99</w:t>
            </w:r>
          </w:p>
        </w:tc>
      </w:tr>
      <w:tr w:rsidR="00375729" w:rsidRPr="00185E7D" w14:paraId="705C92BA" w14:textId="77777777" w:rsidTr="006C4B85">
        <w:tc>
          <w:tcPr>
            <w:tcW w:w="3256" w:type="dxa"/>
          </w:tcPr>
          <w:p w14:paraId="53C50D9D" w14:textId="77777777" w:rsidR="00375729" w:rsidRPr="00CF3D6E" w:rsidRDefault="00375729" w:rsidP="006C4B85">
            <w:pPr>
              <w:pStyle w:val="Tablecellsub-heading"/>
            </w:pPr>
            <w:r w:rsidRPr="00CF3D6E">
              <w:t>Capital deepening (pp)</w:t>
            </w:r>
          </w:p>
        </w:tc>
        <w:tc>
          <w:tcPr>
            <w:tcW w:w="1630" w:type="dxa"/>
          </w:tcPr>
          <w:p w14:paraId="49A80F9C" w14:textId="77777777" w:rsidR="00375729" w:rsidRPr="00CF3D6E" w:rsidRDefault="00375729" w:rsidP="006C4B85">
            <w:pPr>
              <w:pStyle w:val="Tabletext"/>
            </w:pPr>
            <w:r w:rsidRPr="00CF3D6E">
              <w:t>1.3</w:t>
            </w:r>
          </w:p>
        </w:tc>
        <w:tc>
          <w:tcPr>
            <w:tcW w:w="1630" w:type="dxa"/>
          </w:tcPr>
          <w:p w14:paraId="4F6BA9C4" w14:textId="77777777" w:rsidR="00375729" w:rsidRPr="00CF3D6E" w:rsidRDefault="00375729" w:rsidP="006C4B85">
            <w:pPr>
              <w:pStyle w:val="Tabletext"/>
            </w:pPr>
            <w:r w:rsidRPr="00CF3D6E">
              <w:t>1.3</w:t>
            </w:r>
          </w:p>
        </w:tc>
      </w:tr>
      <w:tr w:rsidR="00375729" w:rsidRPr="00185E7D" w14:paraId="73CF23D9" w14:textId="77777777" w:rsidTr="006C4B85">
        <w:tc>
          <w:tcPr>
            <w:tcW w:w="3256" w:type="dxa"/>
          </w:tcPr>
          <w:p w14:paraId="2A75D133" w14:textId="2EBEAFD9" w:rsidR="00375729" w:rsidRPr="00713D97" w:rsidRDefault="00375729" w:rsidP="006C4B85">
            <w:pPr>
              <w:pStyle w:val="Tablecellsub-heading"/>
            </w:pPr>
            <w:r w:rsidRPr="00713D97">
              <w:t>IT capital deepening (pp)</w:t>
            </w:r>
          </w:p>
        </w:tc>
        <w:tc>
          <w:tcPr>
            <w:tcW w:w="1630" w:type="dxa"/>
          </w:tcPr>
          <w:p w14:paraId="04E74D19" w14:textId="77777777" w:rsidR="00375729" w:rsidRPr="00713D97" w:rsidRDefault="00375729" w:rsidP="006C4B85">
            <w:pPr>
              <w:pStyle w:val="Tabletext"/>
            </w:pPr>
            <w:r w:rsidRPr="00713D97">
              <w:t>0.6</w:t>
            </w:r>
          </w:p>
        </w:tc>
        <w:tc>
          <w:tcPr>
            <w:tcW w:w="1630" w:type="dxa"/>
          </w:tcPr>
          <w:p w14:paraId="38857B12" w14:textId="77777777" w:rsidR="00375729" w:rsidRPr="00713D97" w:rsidRDefault="00375729" w:rsidP="006C4B85">
            <w:pPr>
              <w:pStyle w:val="Tabletext"/>
            </w:pPr>
            <w:r w:rsidRPr="00713D97">
              <w:t>1.0</w:t>
            </w:r>
          </w:p>
        </w:tc>
      </w:tr>
      <w:tr w:rsidR="00375729" w:rsidRPr="00185E7D" w14:paraId="20C285E6" w14:textId="77777777" w:rsidTr="006C4B85">
        <w:tc>
          <w:tcPr>
            <w:tcW w:w="3256" w:type="dxa"/>
          </w:tcPr>
          <w:p w14:paraId="6C9F3284" w14:textId="77777777" w:rsidR="00375729" w:rsidRPr="00CF3D6E" w:rsidRDefault="0058764D" w:rsidP="006C4B85">
            <w:pPr>
              <w:pStyle w:val="Tablecellsub-heading"/>
            </w:pPr>
            <w:r>
              <w:t>H</w:t>
            </w:r>
            <w:r w:rsidR="00375729" w:rsidRPr="00CF3D6E">
              <w:t>ardware (pp)</w:t>
            </w:r>
          </w:p>
        </w:tc>
        <w:tc>
          <w:tcPr>
            <w:tcW w:w="1630" w:type="dxa"/>
          </w:tcPr>
          <w:p w14:paraId="3261E75E" w14:textId="77777777" w:rsidR="00375729" w:rsidRPr="00CF3D6E" w:rsidRDefault="00375729" w:rsidP="006C4B85">
            <w:pPr>
              <w:pStyle w:val="Tabletext"/>
              <w:rPr>
                <w:i/>
              </w:rPr>
            </w:pPr>
            <w:r w:rsidRPr="00CF3D6E">
              <w:rPr>
                <w:i/>
              </w:rPr>
              <w:t>0.2</w:t>
            </w:r>
          </w:p>
        </w:tc>
        <w:tc>
          <w:tcPr>
            <w:tcW w:w="1630" w:type="dxa"/>
          </w:tcPr>
          <w:p w14:paraId="70F5CCE6" w14:textId="77777777" w:rsidR="00375729" w:rsidRPr="00CF3D6E" w:rsidRDefault="00375729" w:rsidP="006C4B85">
            <w:pPr>
              <w:pStyle w:val="Tabletext"/>
              <w:rPr>
                <w:i/>
              </w:rPr>
            </w:pPr>
            <w:r w:rsidRPr="00CF3D6E">
              <w:rPr>
                <w:i/>
              </w:rPr>
              <w:t>0.6</w:t>
            </w:r>
          </w:p>
        </w:tc>
      </w:tr>
      <w:tr w:rsidR="00375729" w:rsidRPr="00185E7D" w14:paraId="6E3EFB38" w14:textId="77777777" w:rsidTr="006C4B85">
        <w:tc>
          <w:tcPr>
            <w:tcW w:w="3256" w:type="dxa"/>
          </w:tcPr>
          <w:p w14:paraId="61978339" w14:textId="77777777" w:rsidR="00375729" w:rsidRPr="00CF3D6E" w:rsidRDefault="0058764D" w:rsidP="006C4B85">
            <w:pPr>
              <w:pStyle w:val="Tablecellsub-heading"/>
            </w:pPr>
            <w:r>
              <w:t>S</w:t>
            </w:r>
            <w:r w:rsidR="00375729" w:rsidRPr="00CF3D6E">
              <w:t>oftware (pp)</w:t>
            </w:r>
          </w:p>
        </w:tc>
        <w:tc>
          <w:tcPr>
            <w:tcW w:w="1630" w:type="dxa"/>
          </w:tcPr>
          <w:p w14:paraId="0C92042B" w14:textId="77777777" w:rsidR="00375729" w:rsidRPr="00CF3D6E" w:rsidRDefault="00375729" w:rsidP="006C4B85">
            <w:pPr>
              <w:pStyle w:val="Tabletext"/>
              <w:rPr>
                <w:i/>
              </w:rPr>
            </w:pPr>
            <w:r w:rsidRPr="00CF3D6E">
              <w:rPr>
                <w:i/>
              </w:rPr>
              <w:t>0.4</w:t>
            </w:r>
          </w:p>
        </w:tc>
        <w:tc>
          <w:tcPr>
            <w:tcW w:w="1630" w:type="dxa"/>
          </w:tcPr>
          <w:p w14:paraId="58B68CA8" w14:textId="77777777" w:rsidR="00375729" w:rsidRPr="00CF3D6E" w:rsidRDefault="00375729" w:rsidP="006C4B85">
            <w:pPr>
              <w:pStyle w:val="Tabletext"/>
              <w:rPr>
                <w:i/>
              </w:rPr>
            </w:pPr>
            <w:r w:rsidRPr="00CF3D6E">
              <w:rPr>
                <w:i/>
              </w:rPr>
              <w:t>0.3</w:t>
            </w:r>
          </w:p>
        </w:tc>
      </w:tr>
      <w:tr w:rsidR="00375729" w:rsidRPr="00185E7D" w14:paraId="7ACB201B" w14:textId="77777777" w:rsidTr="006C4B85">
        <w:tc>
          <w:tcPr>
            <w:tcW w:w="3256" w:type="dxa"/>
          </w:tcPr>
          <w:p w14:paraId="01388CA8" w14:textId="09BA214A" w:rsidR="00375729" w:rsidRPr="00713D97" w:rsidRDefault="00375729" w:rsidP="006C4B85">
            <w:pPr>
              <w:pStyle w:val="Tablecellsub-heading"/>
            </w:pPr>
            <w:r w:rsidRPr="00713D97">
              <w:t>Non-IT capital deepening (pp)</w:t>
            </w:r>
          </w:p>
        </w:tc>
        <w:tc>
          <w:tcPr>
            <w:tcW w:w="1630" w:type="dxa"/>
          </w:tcPr>
          <w:p w14:paraId="7178BF80" w14:textId="77777777" w:rsidR="00375729" w:rsidRPr="00713D97" w:rsidRDefault="00375729" w:rsidP="006C4B85">
            <w:pPr>
              <w:pStyle w:val="Tabletext"/>
            </w:pPr>
            <w:r w:rsidRPr="00713D97">
              <w:t>0.7</w:t>
            </w:r>
          </w:p>
        </w:tc>
        <w:tc>
          <w:tcPr>
            <w:tcW w:w="1630" w:type="dxa"/>
          </w:tcPr>
          <w:p w14:paraId="405793BA" w14:textId="77777777" w:rsidR="00375729" w:rsidRPr="00713D97" w:rsidRDefault="00375729" w:rsidP="006C4B85">
            <w:pPr>
              <w:pStyle w:val="Tabletext"/>
            </w:pPr>
            <w:r w:rsidRPr="00713D97">
              <w:t>0.4</w:t>
            </w:r>
          </w:p>
        </w:tc>
      </w:tr>
      <w:tr w:rsidR="00375729" w:rsidRPr="00185E7D" w14:paraId="75DD79B9" w14:textId="77777777" w:rsidTr="006C4B85">
        <w:tc>
          <w:tcPr>
            <w:tcW w:w="3256" w:type="dxa"/>
          </w:tcPr>
          <w:p w14:paraId="5D9BAE55" w14:textId="77777777" w:rsidR="00375729" w:rsidRPr="00CF3D6E" w:rsidRDefault="00375729" w:rsidP="006C4B85">
            <w:pPr>
              <w:pStyle w:val="Tablecellsub-heading"/>
            </w:pPr>
            <w:r w:rsidRPr="00CF3D6E">
              <w:t>MFP growth (% pa and pp)</w:t>
            </w:r>
          </w:p>
        </w:tc>
        <w:tc>
          <w:tcPr>
            <w:tcW w:w="1630" w:type="dxa"/>
          </w:tcPr>
          <w:p w14:paraId="387BDCE7" w14:textId="77777777" w:rsidR="00375729" w:rsidRPr="00CF3D6E" w:rsidRDefault="00375729" w:rsidP="006C4B85">
            <w:pPr>
              <w:pStyle w:val="Tabletext"/>
            </w:pPr>
            <w:r w:rsidRPr="00CF3D6E">
              <w:t>0.7</w:t>
            </w:r>
          </w:p>
        </w:tc>
        <w:tc>
          <w:tcPr>
            <w:tcW w:w="1630" w:type="dxa"/>
          </w:tcPr>
          <w:p w14:paraId="02D66496" w14:textId="77777777" w:rsidR="00375729" w:rsidRPr="00CF3D6E" w:rsidRDefault="00375729" w:rsidP="006C4B85">
            <w:pPr>
              <w:pStyle w:val="Tabletext"/>
            </w:pPr>
            <w:r w:rsidRPr="00CF3D6E">
              <w:t>1.8</w:t>
            </w:r>
          </w:p>
        </w:tc>
      </w:tr>
      <w:tr w:rsidR="00375729" w:rsidRPr="00185E7D" w14:paraId="48110DE7" w14:textId="77777777" w:rsidTr="006C4B85">
        <w:tc>
          <w:tcPr>
            <w:tcW w:w="3256" w:type="dxa"/>
          </w:tcPr>
          <w:p w14:paraId="4C93A6FE" w14:textId="77777777" w:rsidR="00375729" w:rsidRPr="00CF3D6E" w:rsidRDefault="00375729" w:rsidP="006C4B85">
            <w:pPr>
              <w:pStyle w:val="Tablecellsub-heading"/>
            </w:pPr>
            <w:r w:rsidRPr="00CF3D6E">
              <w:t>Labour productivity growth (% pa)</w:t>
            </w:r>
          </w:p>
        </w:tc>
        <w:tc>
          <w:tcPr>
            <w:tcW w:w="1630" w:type="dxa"/>
          </w:tcPr>
          <w:p w14:paraId="577A47B2" w14:textId="77777777" w:rsidR="00375729" w:rsidRPr="00CF3D6E" w:rsidRDefault="00375729" w:rsidP="006C4B85">
            <w:pPr>
              <w:pStyle w:val="Tabletext"/>
            </w:pPr>
            <w:r w:rsidRPr="00CF3D6E">
              <w:t>2.0</w:t>
            </w:r>
          </w:p>
        </w:tc>
        <w:tc>
          <w:tcPr>
            <w:tcW w:w="1630" w:type="dxa"/>
          </w:tcPr>
          <w:p w14:paraId="091D6750" w14:textId="77777777" w:rsidR="00375729" w:rsidRPr="00CF3D6E" w:rsidRDefault="00375729" w:rsidP="006C4B85">
            <w:pPr>
              <w:pStyle w:val="Tabletext"/>
            </w:pPr>
            <w:r w:rsidRPr="00CF3D6E">
              <w:t>3.2</w:t>
            </w:r>
          </w:p>
        </w:tc>
      </w:tr>
    </w:tbl>
    <w:p w14:paraId="0CE5B589" w14:textId="77777777" w:rsidR="00375729" w:rsidRPr="00185E7D" w:rsidRDefault="006C4B85" w:rsidP="006C4B85">
      <w:pPr>
        <w:pStyle w:val="SourceNotes"/>
        <w:ind w:firstLine="720"/>
      </w:pPr>
      <w:r>
        <w:br w:type="textWrapping" w:clear="all"/>
      </w:r>
      <w:r w:rsidR="00375729" w:rsidRPr="008A2E55">
        <w:t xml:space="preserve">Source: </w:t>
      </w:r>
      <w:r w:rsidR="009D544E" w:rsidRPr="0051735F">
        <w:t>Productivity</w:t>
      </w:r>
      <w:r w:rsidR="009D544E">
        <w:t xml:space="preserve"> Commission (2004), ‘ICT Use and Productivity: A Synthesis from Studies of Australian Firms’, Commission Research Paper.</w:t>
      </w:r>
    </w:p>
    <w:p w14:paraId="647EC61F" w14:textId="77777777" w:rsidR="00375729" w:rsidRPr="00185E7D" w:rsidRDefault="00375729" w:rsidP="00F37FA2">
      <w:pPr>
        <w:pStyle w:val="BCRHead2"/>
      </w:pPr>
      <w:bookmarkStart w:id="80" w:name="_Toc436920446"/>
      <w:r w:rsidRPr="00185E7D">
        <w:t>6.2</w:t>
      </w:r>
      <w:r w:rsidRPr="00185E7D">
        <w:tab/>
        <w:t>Industries overview</w:t>
      </w:r>
      <w:bookmarkEnd w:id="80"/>
    </w:p>
    <w:p w14:paraId="6E839064" w14:textId="77777777" w:rsidR="00375729" w:rsidRPr="00C519A8" w:rsidRDefault="00375729" w:rsidP="00375729">
      <w:pPr>
        <w:pStyle w:val="BodyTextNoIndent"/>
      </w:pPr>
      <w:r w:rsidRPr="00C519A8">
        <w:t>Growth accounting was also carried out for individual industries. Selected industry studies are reported in detail in the Appendices. Here, major industry effects are highlighted.</w:t>
      </w:r>
    </w:p>
    <w:p w14:paraId="48473334" w14:textId="77777777" w:rsidR="00375729" w:rsidRPr="00185E7D" w:rsidRDefault="00375729" w:rsidP="00F37FA2">
      <w:pPr>
        <w:pStyle w:val="BCRHead3"/>
      </w:pPr>
      <w:bookmarkStart w:id="81" w:name="_Toc436909167"/>
      <w:bookmarkStart w:id="82" w:name="_Toc436920447"/>
      <w:r w:rsidRPr="00185E7D">
        <w:t>6.2.1</w:t>
      </w:r>
      <w:r w:rsidRPr="00185E7D">
        <w:tab/>
        <w:t>IT capital deepening</w:t>
      </w:r>
      <w:bookmarkEnd w:id="81"/>
      <w:bookmarkEnd w:id="82"/>
      <w:r w:rsidRPr="00185E7D">
        <w:t xml:space="preserve"> </w:t>
      </w:r>
    </w:p>
    <w:p w14:paraId="6E843ADD" w14:textId="77777777" w:rsidR="00375729" w:rsidRPr="00C519A8" w:rsidRDefault="00375729" w:rsidP="00375729">
      <w:pPr>
        <w:pStyle w:val="BodyTextNoIndent"/>
      </w:pPr>
      <w:r w:rsidRPr="00C519A8">
        <w:t xml:space="preserve">Figure 6.3 shows how IT capital deepening has varied across industries. It has averaged 1.5 per cent a year in finance and insurance services and even more in rental, hiring and real estate services. Information, media and telecommunications services had IT capital deepening at a little more than </w:t>
      </w:r>
      <w:r w:rsidR="00F66A90">
        <w:t>1 </w:t>
      </w:r>
      <w:r w:rsidRPr="00C519A8">
        <w:t>per</w:t>
      </w:r>
      <w:r w:rsidR="00F66A90">
        <w:t> </w:t>
      </w:r>
      <w:r w:rsidRPr="00C519A8">
        <w:t>cent a year. Most industries are around 0.5 per cent a year or below.</w:t>
      </w:r>
    </w:p>
    <w:p w14:paraId="61D31C7B" w14:textId="77777777" w:rsidR="00375729" w:rsidRPr="00185E7D" w:rsidRDefault="00375729" w:rsidP="006C4B85">
      <w:pPr>
        <w:pStyle w:val="Figurecaption"/>
      </w:pPr>
      <w:r w:rsidRPr="00185E7D">
        <w:t>Figure 6.3: Average and peak</w:t>
      </w:r>
      <w:r w:rsidRPr="00185E7D">
        <w:rPr>
          <w:vertAlign w:val="superscript"/>
        </w:rPr>
        <w:t>a</w:t>
      </w:r>
      <w:r w:rsidRPr="00185E7D">
        <w:t xml:space="preserve"> rates of IT capital deepening in MS-16 industries from 1989-90 to 2013-14</w:t>
      </w:r>
      <w:r w:rsidRPr="00185E7D">
        <w:rPr>
          <w:vertAlign w:val="superscript"/>
        </w:rPr>
        <w:t>b</w:t>
      </w:r>
      <w:r w:rsidRPr="00185E7D">
        <w:t xml:space="preserve"> (per cent per year)</w:t>
      </w:r>
    </w:p>
    <w:p w14:paraId="7AF87F9C" w14:textId="0455179A"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11B53DEB" wp14:editId="5DAE5739">
            <wp:extent cx="4664075" cy="2999740"/>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4075" cy="2999740"/>
                    </a:xfrm>
                    <a:prstGeom prst="rect">
                      <a:avLst/>
                    </a:prstGeom>
                    <a:noFill/>
                  </pic:spPr>
                </pic:pic>
              </a:graphicData>
            </a:graphic>
          </wp:inline>
        </w:drawing>
      </w:r>
    </w:p>
    <w:p w14:paraId="2A447737" w14:textId="03B85172" w:rsidR="00375729" w:rsidRPr="00D22B7F" w:rsidRDefault="006C4B85" w:rsidP="0058764D">
      <w:pPr>
        <w:pStyle w:val="SourceNotes"/>
      </w:pPr>
      <w:r>
        <w:t xml:space="preserve">Note: </w:t>
      </w:r>
      <w:r w:rsidR="00375729" w:rsidRPr="00D22B7F">
        <w:t>a. Peak rates are the highest rate over any productivity cycle</w:t>
      </w:r>
      <w:r w:rsidR="0058764D">
        <w:t xml:space="preserve">. </w:t>
      </w:r>
      <w:r w:rsidR="00375729" w:rsidRPr="00D22B7F">
        <w:t>b. From 1994-95 for industries L, M, N and S.</w:t>
      </w:r>
    </w:p>
    <w:p w14:paraId="1F9E300E" w14:textId="77777777" w:rsidR="00375729" w:rsidRPr="00D22B7F" w:rsidRDefault="00375729" w:rsidP="00012248">
      <w:pPr>
        <w:pStyle w:val="SourceNotes"/>
      </w:pPr>
      <w:r w:rsidRPr="00D22B7F">
        <w:t>Source: Author estimates</w:t>
      </w:r>
    </w:p>
    <w:p w14:paraId="12A64FF9" w14:textId="77777777" w:rsidR="00375729" w:rsidRPr="00C519A8" w:rsidRDefault="00375729" w:rsidP="00375729">
      <w:pPr>
        <w:pStyle w:val="BodyTextNoIndent"/>
      </w:pPr>
      <w:r w:rsidRPr="00C519A8">
        <w:t>Table 6.8 shows the ratio of average IT capital deepening to average LP growth over the available series for each industry. It suggests that IT capital deepening has provided important proportional contributions to LP growth in nearly all industries.</w:t>
      </w:r>
      <w:r w:rsidRPr="00185E7D">
        <w:fldChar w:fldCharType="begin"/>
      </w:r>
      <w:r w:rsidRPr="00C519A8">
        <w:instrText xml:space="preserve"> LINK Excel.Sheet.12 "\\\\dept.gov.au\\DFS\\Home\\dparham\\Desktop\\Docs\\1. GA project\\Industry studies\\1. Results overview 150904.xlsx" "productivity!R4C27:R12C30" \a \f 4 \h  \* MERGEFORMAT </w:instrText>
      </w:r>
      <w:r w:rsidRPr="00185E7D">
        <w:fldChar w:fldCharType="separate"/>
      </w:r>
    </w:p>
    <w:p w14:paraId="1156B07E" w14:textId="77777777" w:rsidR="00375729" w:rsidRPr="00185E7D" w:rsidRDefault="00375729" w:rsidP="006C4B85">
      <w:pPr>
        <w:pStyle w:val="Tablecaption"/>
      </w:pPr>
      <w:r w:rsidRPr="00185E7D">
        <w:t>Table 6.8: Ratio of average rate of IT capital deepening to average LP g</w:t>
      </w:r>
      <w:r>
        <w:t>rowth in MS-16 industries from 1</w:t>
      </w:r>
      <w:r w:rsidRPr="00185E7D">
        <w:t>989–90 to 2013–14 (%)</w:t>
      </w:r>
    </w:p>
    <w:tbl>
      <w:tblPr>
        <w:tblW w:w="805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gridCol w:w="1187"/>
        <w:gridCol w:w="2800"/>
        <w:gridCol w:w="1187"/>
      </w:tblGrid>
      <w:tr w:rsidR="00375729" w:rsidRPr="00185E7D" w14:paraId="4C125A50" w14:textId="77777777" w:rsidTr="00301886">
        <w:trPr>
          <w:trHeight w:val="397"/>
        </w:trPr>
        <w:tc>
          <w:tcPr>
            <w:tcW w:w="2880" w:type="dxa"/>
            <w:tcBorders>
              <w:top w:val="single" w:sz="4" w:space="0" w:color="auto"/>
              <w:bottom w:val="single" w:sz="4" w:space="0" w:color="auto"/>
              <w:right w:val="single" w:sz="4" w:space="0" w:color="auto"/>
            </w:tcBorders>
            <w:shd w:val="clear" w:color="auto" w:fill="auto"/>
            <w:noWrap/>
            <w:vAlign w:val="center"/>
            <w:hideMark/>
          </w:tcPr>
          <w:p w14:paraId="45BD8B9E" w14:textId="77777777" w:rsidR="00375729" w:rsidRPr="00C519A8" w:rsidRDefault="00375729" w:rsidP="006C4B85">
            <w:pPr>
              <w:pStyle w:val="Tablecellheading"/>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20EEF" w14:textId="77777777" w:rsidR="00375729" w:rsidRPr="00C519A8" w:rsidRDefault="00375729" w:rsidP="006C4B85">
            <w:pPr>
              <w:pStyle w:val="Tablecellheading"/>
            </w:pPr>
            <w:r w:rsidRPr="00C519A8">
              <w:t>Ratio</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94D4" w14:textId="77777777" w:rsidR="00375729" w:rsidRPr="00C519A8" w:rsidRDefault="00375729" w:rsidP="006C4B85">
            <w:pPr>
              <w:pStyle w:val="Tablecellheading"/>
            </w:pPr>
          </w:p>
        </w:tc>
        <w:tc>
          <w:tcPr>
            <w:tcW w:w="1187" w:type="dxa"/>
            <w:tcBorders>
              <w:top w:val="single" w:sz="4" w:space="0" w:color="auto"/>
              <w:left w:val="single" w:sz="4" w:space="0" w:color="auto"/>
              <w:bottom w:val="single" w:sz="4" w:space="0" w:color="auto"/>
            </w:tcBorders>
            <w:shd w:val="clear" w:color="auto" w:fill="auto"/>
            <w:vAlign w:val="center"/>
            <w:hideMark/>
          </w:tcPr>
          <w:p w14:paraId="2F117716" w14:textId="77777777" w:rsidR="00375729" w:rsidRPr="00C519A8" w:rsidRDefault="00375729" w:rsidP="006C4B85">
            <w:pPr>
              <w:pStyle w:val="Tablecellheading"/>
            </w:pPr>
            <w:r w:rsidRPr="00C519A8">
              <w:t>Ratio</w:t>
            </w:r>
          </w:p>
        </w:tc>
      </w:tr>
      <w:tr w:rsidR="00375729" w:rsidRPr="00185E7D" w14:paraId="710E1D1D" w14:textId="77777777" w:rsidTr="00301886">
        <w:trPr>
          <w:trHeight w:val="300"/>
        </w:trPr>
        <w:tc>
          <w:tcPr>
            <w:tcW w:w="2880" w:type="dxa"/>
            <w:tcBorders>
              <w:top w:val="single" w:sz="4" w:space="0" w:color="auto"/>
              <w:right w:val="single" w:sz="4" w:space="0" w:color="auto"/>
            </w:tcBorders>
            <w:shd w:val="clear" w:color="auto" w:fill="auto"/>
            <w:noWrap/>
            <w:vAlign w:val="bottom"/>
            <w:hideMark/>
          </w:tcPr>
          <w:p w14:paraId="771F884D" w14:textId="77777777" w:rsidR="00375729" w:rsidRPr="00C519A8" w:rsidRDefault="00375729" w:rsidP="006C4B85">
            <w:pPr>
              <w:pStyle w:val="Tablecellsub-heading"/>
            </w:pPr>
            <w:r w:rsidRPr="00C519A8">
              <w:t>A. Agriculture</w:t>
            </w:r>
          </w:p>
        </w:tc>
        <w:tc>
          <w:tcPr>
            <w:tcW w:w="1187" w:type="dxa"/>
            <w:tcBorders>
              <w:top w:val="single" w:sz="4" w:space="0" w:color="auto"/>
              <w:left w:val="single" w:sz="4" w:space="0" w:color="auto"/>
              <w:right w:val="single" w:sz="4" w:space="0" w:color="auto"/>
            </w:tcBorders>
            <w:shd w:val="clear" w:color="auto" w:fill="auto"/>
            <w:noWrap/>
            <w:vAlign w:val="center"/>
            <w:hideMark/>
          </w:tcPr>
          <w:p w14:paraId="0FBCD8A1" w14:textId="77777777" w:rsidR="00375729" w:rsidRPr="00C519A8" w:rsidRDefault="00375729" w:rsidP="006C4B85">
            <w:pPr>
              <w:pStyle w:val="Tabletext"/>
            </w:pPr>
            <w:r w:rsidRPr="00C519A8">
              <w:t>2</w:t>
            </w:r>
          </w:p>
        </w:tc>
        <w:tc>
          <w:tcPr>
            <w:tcW w:w="2800" w:type="dxa"/>
            <w:tcBorders>
              <w:top w:val="single" w:sz="4" w:space="0" w:color="auto"/>
              <w:left w:val="single" w:sz="4" w:space="0" w:color="auto"/>
              <w:right w:val="single" w:sz="4" w:space="0" w:color="auto"/>
            </w:tcBorders>
            <w:shd w:val="clear" w:color="auto" w:fill="auto"/>
            <w:noWrap/>
            <w:vAlign w:val="bottom"/>
            <w:hideMark/>
          </w:tcPr>
          <w:p w14:paraId="5ACF4645" w14:textId="77777777" w:rsidR="00375729" w:rsidRPr="00C519A8" w:rsidRDefault="00375729" w:rsidP="006C4B85">
            <w:pPr>
              <w:pStyle w:val="Tablecellsub-heading"/>
            </w:pPr>
            <w:r w:rsidRPr="00C519A8">
              <w:t>I. Trans, post, warehousing</w:t>
            </w:r>
          </w:p>
        </w:tc>
        <w:tc>
          <w:tcPr>
            <w:tcW w:w="1187" w:type="dxa"/>
            <w:tcBorders>
              <w:top w:val="single" w:sz="4" w:space="0" w:color="auto"/>
              <w:left w:val="single" w:sz="4" w:space="0" w:color="auto"/>
            </w:tcBorders>
            <w:shd w:val="clear" w:color="auto" w:fill="auto"/>
            <w:noWrap/>
            <w:vAlign w:val="center"/>
            <w:hideMark/>
          </w:tcPr>
          <w:p w14:paraId="5CC79E3B" w14:textId="77777777" w:rsidR="00375729" w:rsidRPr="00C519A8" w:rsidRDefault="00375729" w:rsidP="006C4B85">
            <w:pPr>
              <w:pStyle w:val="Tabletext"/>
            </w:pPr>
            <w:r w:rsidRPr="00C519A8">
              <w:t>14</w:t>
            </w:r>
          </w:p>
        </w:tc>
      </w:tr>
      <w:tr w:rsidR="00375729" w:rsidRPr="00185E7D" w14:paraId="073B4B84" w14:textId="77777777" w:rsidTr="00301886">
        <w:trPr>
          <w:trHeight w:val="300"/>
        </w:trPr>
        <w:tc>
          <w:tcPr>
            <w:tcW w:w="2880" w:type="dxa"/>
            <w:tcBorders>
              <w:right w:val="single" w:sz="4" w:space="0" w:color="auto"/>
            </w:tcBorders>
            <w:shd w:val="clear" w:color="auto" w:fill="auto"/>
            <w:noWrap/>
            <w:vAlign w:val="bottom"/>
            <w:hideMark/>
          </w:tcPr>
          <w:p w14:paraId="457FE004" w14:textId="77777777" w:rsidR="00375729" w:rsidRPr="00C519A8" w:rsidRDefault="00375729" w:rsidP="006C4B85">
            <w:pPr>
              <w:pStyle w:val="Tablecellsub-heading"/>
            </w:pPr>
            <w:r w:rsidRPr="00C519A8">
              <w:t>B. Mining</w:t>
            </w:r>
          </w:p>
        </w:tc>
        <w:tc>
          <w:tcPr>
            <w:tcW w:w="1187" w:type="dxa"/>
            <w:tcBorders>
              <w:left w:val="single" w:sz="4" w:space="0" w:color="auto"/>
              <w:right w:val="single" w:sz="4" w:space="0" w:color="auto"/>
            </w:tcBorders>
            <w:shd w:val="clear" w:color="auto" w:fill="auto"/>
            <w:noWrap/>
            <w:vAlign w:val="center"/>
            <w:hideMark/>
          </w:tcPr>
          <w:p w14:paraId="55C1C44E" w14:textId="77777777" w:rsidR="00375729" w:rsidRPr="00C519A8" w:rsidRDefault="00375729" w:rsidP="006C4B85">
            <w:pPr>
              <w:pStyle w:val="Tabletext"/>
            </w:pPr>
            <w:r w:rsidRPr="00C519A8">
              <w:t>(-ve)</w:t>
            </w:r>
          </w:p>
        </w:tc>
        <w:tc>
          <w:tcPr>
            <w:tcW w:w="2800" w:type="dxa"/>
            <w:tcBorders>
              <w:left w:val="single" w:sz="4" w:space="0" w:color="auto"/>
              <w:right w:val="single" w:sz="4" w:space="0" w:color="auto"/>
            </w:tcBorders>
            <w:shd w:val="clear" w:color="auto" w:fill="auto"/>
            <w:noWrap/>
            <w:vAlign w:val="bottom"/>
            <w:hideMark/>
          </w:tcPr>
          <w:p w14:paraId="0594CFC9" w14:textId="77777777" w:rsidR="00375729" w:rsidRPr="00C519A8" w:rsidRDefault="00375729" w:rsidP="006C4B85">
            <w:pPr>
              <w:pStyle w:val="Tablecellsub-heading"/>
            </w:pPr>
            <w:r w:rsidRPr="00C519A8">
              <w:t>J. Info, media, telecomm</w:t>
            </w:r>
          </w:p>
        </w:tc>
        <w:tc>
          <w:tcPr>
            <w:tcW w:w="1187" w:type="dxa"/>
            <w:tcBorders>
              <w:left w:val="single" w:sz="4" w:space="0" w:color="auto"/>
            </w:tcBorders>
            <w:shd w:val="clear" w:color="auto" w:fill="auto"/>
            <w:noWrap/>
            <w:vAlign w:val="center"/>
            <w:hideMark/>
          </w:tcPr>
          <w:p w14:paraId="38F417A1" w14:textId="77777777" w:rsidR="00375729" w:rsidRPr="00C519A8" w:rsidRDefault="00375729" w:rsidP="006C4B85">
            <w:pPr>
              <w:pStyle w:val="Tabletext"/>
            </w:pPr>
            <w:r w:rsidRPr="00C519A8">
              <w:t>24</w:t>
            </w:r>
          </w:p>
        </w:tc>
      </w:tr>
      <w:tr w:rsidR="00375729" w:rsidRPr="00185E7D" w14:paraId="68B76706" w14:textId="77777777" w:rsidTr="00301886">
        <w:trPr>
          <w:trHeight w:val="300"/>
        </w:trPr>
        <w:tc>
          <w:tcPr>
            <w:tcW w:w="2880" w:type="dxa"/>
            <w:tcBorders>
              <w:right w:val="single" w:sz="4" w:space="0" w:color="auto"/>
            </w:tcBorders>
            <w:shd w:val="clear" w:color="auto" w:fill="auto"/>
            <w:noWrap/>
            <w:vAlign w:val="bottom"/>
            <w:hideMark/>
          </w:tcPr>
          <w:p w14:paraId="08CCBA22" w14:textId="77777777" w:rsidR="00375729" w:rsidRPr="00C519A8" w:rsidRDefault="00375729" w:rsidP="006C4B85">
            <w:pPr>
              <w:pStyle w:val="Tablecellsub-heading"/>
            </w:pPr>
            <w:r w:rsidRPr="00C519A8">
              <w:t>C. Manufacturing</w:t>
            </w:r>
          </w:p>
        </w:tc>
        <w:tc>
          <w:tcPr>
            <w:tcW w:w="1187" w:type="dxa"/>
            <w:tcBorders>
              <w:left w:val="single" w:sz="4" w:space="0" w:color="auto"/>
              <w:right w:val="single" w:sz="4" w:space="0" w:color="auto"/>
            </w:tcBorders>
            <w:shd w:val="clear" w:color="auto" w:fill="auto"/>
            <w:noWrap/>
            <w:vAlign w:val="center"/>
            <w:hideMark/>
          </w:tcPr>
          <w:p w14:paraId="310D6027" w14:textId="77777777" w:rsidR="00375729" w:rsidRPr="00C519A8" w:rsidRDefault="00375729" w:rsidP="006C4B85">
            <w:pPr>
              <w:pStyle w:val="Tabletext"/>
            </w:pPr>
            <w:r w:rsidRPr="00C519A8">
              <w:t>25</w:t>
            </w:r>
          </w:p>
        </w:tc>
        <w:tc>
          <w:tcPr>
            <w:tcW w:w="2800" w:type="dxa"/>
            <w:tcBorders>
              <w:left w:val="single" w:sz="4" w:space="0" w:color="auto"/>
              <w:right w:val="single" w:sz="4" w:space="0" w:color="auto"/>
            </w:tcBorders>
            <w:shd w:val="clear" w:color="auto" w:fill="auto"/>
            <w:noWrap/>
            <w:vAlign w:val="bottom"/>
            <w:hideMark/>
          </w:tcPr>
          <w:p w14:paraId="692E7BAD" w14:textId="77777777" w:rsidR="00375729" w:rsidRPr="00C519A8" w:rsidRDefault="00375729" w:rsidP="006C4B85">
            <w:pPr>
              <w:pStyle w:val="Tablecellsub-heading"/>
            </w:pPr>
            <w:r w:rsidRPr="00C519A8">
              <w:t>K. Finan and insur services</w:t>
            </w:r>
          </w:p>
        </w:tc>
        <w:tc>
          <w:tcPr>
            <w:tcW w:w="1187" w:type="dxa"/>
            <w:tcBorders>
              <w:left w:val="single" w:sz="4" w:space="0" w:color="auto"/>
            </w:tcBorders>
            <w:shd w:val="clear" w:color="auto" w:fill="auto"/>
            <w:noWrap/>
            <w:vAlign w:val="center"/>
            <w:hideMark/>
          </w:tcPr>
          <w:p w14:paraId="374B8EF0" w14:textId="77777777" w:rsidR="00375729" w:rsidRPr="00C519A8" w:rsidRDefault="00375729" w:rsidP="006C4B85">
            <w:pPr>
              <w:pStyle w:val="Tabletext"/>
            </w:pPr>
            <w:r w:rsidRPr="00C519A8">
              <w:t>38</w:t>
            </w:r>
          </w:p>
        </w:tc>
      </w:tr>
      <w:tr w:rsidR="00375729" w:rsidRPr="00185E7D" w14:paraId="4C917A7C" w14:textId="77777777" w:rsidTr="00301886">
        <w:trPr>
          <w:trHeight w:val="300"/>
        </w:trPr>
        <w:tc>
          <w:tcPr>
            <w:tcW w:w="2880" w:type="dxa"/>
            <w:tcBorders>
              <w:right w:val="single" w:sz="4" w:space="0" w:color="auto"/>
            </w:tcBorders>
            <w:shd w:val="clear" w:color="auto" w:fill="auto"/>
            <w:noWrap/>
            <w:vAlign w:val="bottom"/>
            <w:hideMark/>
          </w:tcPr>
          <w:p w14:paraId="5EF84937" w14:textId="77777777" w:rsidR="00375729" w:rsidRPr="00C519A8" w:rsidRDefault="00375729" w:rsidP="006C4B85">
            <w:pPr>
              <w:pStyle w:val="Tablecellsub-heading"/>
            </w:pPr>
            <w:r w:rsidRPr="00C519A8">
              <w:t>D. EGWWS</w:t>
            </w:r>
          </w:p>
        </w:tc>
        <w:tc>
          <w:tcPr>
            <w:tcW w:w="1187" w:type="dxa"/>
            <w:tcBorders>
              <w:left w:val="single" w:sz="4" w:space="0" w:color="auto"/>
              <w:right w:val="single" w:sz="4" w:space="0" w:color="auto"/>
            </w:tcBorders>
            <w:shd w:val="clear" w:color="auto" w:fill="auto"/>
            <w:noWrap/>
            <w:vAlign w:val="center"/>
            <w:hideMark/>
          </w:tcPr>
          <w:p w14:paraId="761D9C5E" w14:textId="77777777" w:rsidR="00375729" w:rsidRPr="00C519A8" w:rsidRDefault="00375729" w:rsidP="006C4B85">
            <w:pPr>
              <w:pStyle w:val="Tabletext"/>
            </w:pPr>
            <w:r w:rsidRPr="00C519A8">
              <w:t>&gt;100</w:t>
            </w:r>
          </w:p>
        </w:tc>
        <w:tc>
          <w:tcPr>
            <w:tcW w:w="2800" w:type="dxa"/>
            <w:tcBorders>
              <w:left w:val="single" w:sz="4" w:space="0" w:color="auto"/>
              <w:right w:val="single" w:sz="4" w:space="0" w:color="auto"/>
            </w:tcBorders>
            <w:shd w:val="clear" w:color="auto" w:fill="auto"/>
            <w:noWrap/>
            <w:vAlign w:val="bottom"/>
            <w:hideMark/>
          </w:tcPr>
          <w:p w14:paraId="6904B6BC" w14:textId="77777777" w:rsidR="00375729" w:rsidRPr="00C519A8" w:rsidRDefault="00375729" w:rsidP="006C4B85">
            <w:pPr>
              <w:pStyle w:val="Tablecellsub-heading"/>
            </w:pPr>
            <w:r w:rsidRPr="00C519A8">
              <w:t>L. Rental, hiring, real estate</w:t>
            </w:r>
            <w:r w:rsidRPr="00E71A6F">
              <w:rPr>
                <w:vertAlign w:val="superscript"/>
              </w:rPr>
              <w:t>a</w:t>
            </w:r>
          </w:p>
        </w:tc>
        <w:tc>
          <w:tcPr>
            <w:tcW w:w="1187" w:type="dxa"/>
            <w:tcBorders>
              <w:left w:val="single" w:sz="4" w:space="0" w:color="auto"/>
            </w:tcBorders>
            <w:shd w:val="clear" w:color="auto" w:fill="auto"/>
            <w:noWrap/>
            <w:vAlign w:val="center"/>
            <w:hideMark/>
          </w:tcPr>
          <w:p w14:paraId="74E33C69" w14:textId="77777777" w:rsidR="00375729" w:rsidRPr="00C519A8" w:rsidRDefault="00375729" w:rsidP="006C4B85">
            <w:pPr>
              <w:pStyle w:val="Tabletext"/>
            </w:pPr>
            <w:r w:rsidRPr="00C519A8">
              <w:t>&gt;100</w:t>
            </w:r>
          </w:p>
        </w:tc>
      </w:tr>
      <w:tr w:rsidR="00375729" w:rsidRPr="00185E7D" w14:paraId="2111E073" w14:textId="77777777" w:rsidTr="00301886">
        <w:trPr>
          <w:trHeight w:val="300"/>
        </w:trPr>
        <w:tc>
          <w:tcPr>
            <w:tcW w:w="2880" w:type="dxa"/>
            <w:tcBorders>
              <w:right w:val="single" w:sz="4" w:space="0" w:color="auto"/>
            </w:tcBorders>
            <w:shd w:val="clear" w:color="auto" w:fill="auto"/>
            <w:noWrap/>
            <w:vAlign w:val="bottom"/>
            <w:hideMark/>
          </w:tcPr>
          <w:p w14:paraId="0414C815" w14:textId="77777777" w:rsidR="00375729" w:rsidRPr="00C519A8" w:rsidRDefault="00375729" w:rsidP="006C4B85">
            <w:pPr>
              <w:pStyle w:val="Tablecellsub-heading"/>
            </w:pPr>
            <w:r w:rsidRPr="00C519A8">
              <w:t>E. Construction</w:t>
            </w:r>
          </w:p>
        </w:tc>
        <w:tc>
          <w:tcPr>
            <w:tcW w:w="1187" w:type="dxa"/>
            <w:tcBorders>
              <w:left w:val="single" w:sz="4" w:space="0" w:color="auto"/>
              <w:right w:val="single" w:sz="4" w:space="0" w:color="auto"/>
            </w:tcBorders>
            <w:shd w:val="clear" w:color="auto" w:fill="auto"/>
            <w:noWrap/>
            <w:vAlign w:val="center"/>
            <w:hideMark/>
          </w:tcPr>
          <w:p w14:paraId="2C4C89B9" w14:textId="77777777" w:rsidR="00375729" w:rsidRPr="00C519A8" w:rsidRDefault="00375729" w:rsidP="006C4B85">
            <w:pPr>
              <w:pStyle w:val="Tabletext"/>
            </w:pPr>
            <w:r w:rsidRPr="00C519A8">
              <w:t>17</w:t>
            </w:r>
          </w:p>
        </w:tc>
        <w:tc>
          <w:tcPr>
            <w:tcW w:w="2800" w:type="dxa"/>
            <w:tcBorders>
              <w:left w:val="single" w:sz="4" w:space="0" w:color="auto"/>
              <w:right w:val="single" w:sz="4" w:space="0" w:color="auto"/>
            </w:tcBorders>
            <w:shd w:val="clear" w:color="auto" w:fill="auto"/>
            <w:noWrap/>
            <w:vAlign w:val="bottom"/>
            <w:hideMark/>
          </w:tcPr>
          <w:p w14:paraId="0F4C4B9C" w14:textId="77777777" w:rsidR="00375729" w:rsidRPr="00C519A8" w:rsidRDefault="00375729" w:rsidP="006C4B85">
            <w:pPr>
              <w:pStyle w:val="Tablecellsub-heading"/>
            </w:pPr>
            <w:r w:rsidRPr="00C519A8">
              <w:t>M. Prof, scientific, technical</w:t>
            </w:r>
            <w:r w:rsidRPr="00E71A6F">
              <w:rPr>
                <w:vertAlign w:val="superscript"/>
              </w:rPr>
              <w:t>a</w:t>
            </w:r>
          </w:p>
        </w:tc>
        <w:tc>
          <w:tcPr>
            <w:tcW w:w="1187" w:type="dxa"/>
            <w:tcBorders>
              <w:left w:val="single" w:sz="4" w:space="0" w:color="auto"/>
            </w:tcBorders>
            <w:shd w:val="clear" w:color="auto" w:fill="auto"/>
            <w:noWrap/>
            <w:vAlign w:val="center"/>
            <w:hideMark/>
          </w:tcPr>
          <w:p w14:paraId="7CFD6B7F" w14:textId="77777777" w:rsidR="00375729" w:rsidRPr="00C519A8" w:rsidRDefault="00375729" w:rsidP="006C4B85">
            <w:pPr>
              <w:pStyle w:val="Tabletext"/>
            </w:pPr>
            <w:r w:rsidRPr="00C519A8">
              <w:t>38</w:t>
            </w:r>
          </w:p>
        </w:tc>
      </w:tr>
      <w:tr w:rsidR="00375729" w:rsidRPr="00185E7D" w14:paraId="76D5D085" w14:textId="77777777" w:rsidTr="00301886">
        <w:trPr>
          <w:trHeight w:val="300"/>
        </w:trPr>
        <w:tc>
          <w:tcPr>
            <w:tcW w:w="2880" w:type="dxa"/>
            <w:tcBorders>
              <w:right w:val="single" w:sz="4" w:space="0" w:color="auto"/>
            </w:tcBorders>
            <w:shd w:val="clear" w:color="auto" w:fill="auto"/>
            <w:noWrap/>
            <w:vAlign w:val="bottom"/>
            <w:hideMark/>
          </w:tcPr>
          <w:p w14:paraId="45DC5240" w14:textId="77777777" w:rsidR="00375729" w:rsidRPr="00C519A8" w:rsidRDefault="00375729" w:rsidP="006C4B85">
            <w:pPr>
              <w:pStyle w:val="Tablecellsub-heading"/>
            </w:pPr>
            <w:r w:rsidRPr="00C519A8">
              <w:t>F. Wholesale trade</w:t>
            </w:r>
          </w:p>
        </w:tc>
        <w:tc>
          <w:tcPr>
            <w:tcW w:w="1187" w:type="dxa"/>
            <w:tcBorders>
              <w:left w:val="single" w:sz="4" w:space="0" w:color="auto"/>
              <w:right w:val="single" w:sz="4" w:space="0" w:color="auto"/>
            </w:tcBorders>
            <w:shd w:val="clear" w:color="auto" w:fill="auto"/>
            <w:noWrap/>
            <w:vAlign w:val="center"/>
            <w:hideMark/>
          </w:tcPr>
          <w:p w14:paraId="304C3D1D" w14:textId="77777777" w:rsidR="00375729" w:rsidRPr="00C519A8" w:rsidRDefault="00375729" w:rsidP="006C4B85">
            <w:pPr>
              <w:pStyle w:val="Tabletext"/>
            </w:pPr>
            <w:r w:rsidRPr="00C519A8">
              <w:t>20</w:t>
            </w:r>
          </w:p>
        </w:tc>
        <w:tc>
          <w:tcPr>
            <w:tcW w:w="2800" w:type="dxa"/>
            <w:tcBorders>
              <w:left w:val="single" w:sz="4" w:space="0" w:color="auto"/>
              <w:right w:val="single" w:sz="4" w:space="0" w:color="auto"/>
            </w:tcBorders>
            <w:shd w:val="clear" w:color="auto" w:fill="auto"/>
            <w:noWrap/>
            <w:vAlign w:val="bottom"/>
            <w:hideMark/>
          </w:tcPr>
          <w:p w14:paraId="77D14F88" w14:textId="77777777" w:rsidR="00375729" w:rsidRPr="00C519A8" w:rsidRDefault="00375729" w:rsidP="006C4B85">
            <w:pPr>
              <w:pStyle w:val="Tablecellsub-heading"/>
            </w:pPr>
            <w:r w:rsidRPr="00C519A8">
              <w:t>N. Administrative support</w:t>
            </w:r>
            <w:r w:rsidRPr="00E71A6F">
              <w:rPr>
                <w:vertAlign w:val="superscript"/>
              </w:rPr>
              <w:t>a</w:t>
            </w:r>
          </w:p>
        </w:tc>
        <w:tc>
          <w:tcPr>
            <w:tcW w:w="1187" w:type="dxa"/>
            <w:tcBorders>
              <w:left w:val="single" w:sz="4" w:space="0" w:color="auto"/>
            </w:tcBorders>
            <w:shd w:val="clear" w:color="auto" w:fill="auto"/>
            <w:noWrap/>
            <w:vAlign w:val="center"/>
            <w:hideMark/>
          </w:tcPr>
          <w:p w14:paraId="33E517FB" w14:textId="77777777" w:rsidR="00375729" w:rsidRPr="00C519A8" w:rsidRDefault="00375729" w:rsidP="006C4B85">
            <w:pPr>
              <w:pStyle w:val="Tabletext"/>
            </w:pPr>
            <w:r w:rsidRPr="00C519A8">
              <w:t>56</w:t>
            </w:r>
          </w:p>
        </w:tc>
      </w:tr>
      <w:tr w:rsidR="00375729" w:rsidRPr="00185E7D" w14:paraId="0C3B32D7" w14:textId="77777777" w:rsidTr="00301886">
        <w:trPr>
          <w:trHeight w:val="300"/>
        </w:trPr>
        <w:tc>
          <w:tcPr>
            <w:tcW w:w="2880" w:type="dxa"/>
            <w:tcBorders>
              <w:right w:val="single" w:sz="4" w:space="0" w:color="auto"/>
            </w:tcBorders>
            <w:shd w:val="clear" w:color="auto" w:fill="auto"/>
            <w:noWrap/>
            <w:vAlign w:val="bottom"/>
            <w:hideMark/>
          </w:tcPr>
          <w:p w14:paraId="03AD8471" w14:textId="77777777" w:rsidR="00375729" w:rsidRPr="00C519A8" w:rsidRDefault="00375729" w:rsidP="006C4B85">
            <w:pPr>
              <w:pStyle w:val="Tablecellsub-heading"/>
            </w:pPr>
            <w:r w:rsidRPr="00C519A8">
              <w:t>G. Retail trade</w:t>
            </w:r>
          </w:p>
        </w:tc>
        <w:tc>
          <w:tcPr>
            <w:tcW w:w="1187" w:type="dxa"/>
            <w:tcBorders>
              <w:left w:val="single" w:sz="4" w:space="0" w:color="auto"/>
              <w:right w:val="single" w:sz="4" w:space="0" w:color="auto"/>
            </w:tcBorders>
            <w:shd w:val="clear" w:color="auto" w:fill="auto"/>
            <w:noWrap/>
            <w:vAlign w:val="center"/>
            <w:hideMark/>
          </w:tcPr>
          <w:p w14:paraId="32BE9BEC" w14:textId="77777777" w:rsidR="00375729" w:rsidRPr="00C519A8" w:rsidRDefault="00375729" w:rsidP="006C4B85">
            <w:pPr>
              <w:pStyle w:val="Tabletext"/>
            </w:pPr>
            <w:r w:rsidRPr="00C519A8">
              <w:t>20</w:t>
            </w:r>
          </w:p>
        </w:tc>
        <w:tc>
          <w:tcPr>
            <w:tcW w:w="2800" w:type="dxa"/>
            <w:tcBorders>
              <w:left w:val="single" w:sz="4" w:space="0" w:color="auto"/>
              <w:right w:val="single" w:sz="4" w:space="0" w:color="auto"/>
            </w:tcBorders>
            <w:shd w:val="clear" w:color="auto" w:fill="auto"/>
            <w:noWrap/>
            <w:vAlign w:val="bottom"/>
            <w:hideMark/>
          </w:tcPr>
          <w:p w14:paraId="55708167" w14:textId="77777777" w:rsidR="00375729" w:rsidRPr="00C519A8" w:rsidRDefault="00375729" w:rsidP="006C4B85">
            <w:pPr>
              <w:pStyle w:val="Tablecellsub-heading"/>
            </w:pPr>
            <w:r w:rsidRPr="00C519A8">
              <w:t>R. Arts and recreation</w:t>
            </w:r>
          </w:p>
        </w:tc>
        <w:tc>
          <w:tcPr>
            <w:tcW w:w="1187" w:type="dxa"/>
            <w:tcBorders>
              <w:left w:val="single" w:sz="4" w:space="0" w:color="auto"/>
            </w:tcBorders>
            <w:shd w:val="clear" w:color="auto" w:fill="auto"/>
            <w:noWrap/>
            <w:vAlign w:val="center"/>
            <w:hideMark/>
          </w:tcPr>
          <w:p w14:paraId="58212FFF" w14:textId="77777777" w:rsidR="00375729" w:rsidRPr="00C519A8" w:rsidRDefault="00375729" w:rsidP="006C4B85">
            <w:pPr>
              <w:pStyle w:val="Tabletext"/>
            </w:pPr>
            <w:r w:rsidRPr="00C519A8">
              <w:t>71</w:t>
            </w:r>
          </w:p>
        </w:tc>
      </w:tr>
      <w:tr w:rsidR="00375729" w:rsidRPr="00185E7D" w14:paraId="2EF8F8C6" w14:textId="77777777" w:rsidTr="00301886">
        <w:trPr>
          <w:trHeight w:val="300"/>
        </w:trPr>
        <w:tc>
          <w:tcPr>
            <w:tcW w:w="2880" w:type="dxa"/>
            <w:tcBorders>
              <w:right w:val="single" w:sz="4" w:space="0" w:color="auto"/>
            </w:tcBorders>
            <w:shd w:val="clear" w:color="auto" w:fill="auto"/>
            <w:noWrap/>
            <w:vAlign w:val="bottom"/>
            <w:hideMark/>
          </w:tcPr>
          <w:p w14:paraId="561A167B" w14:textId="77777777" w:rsidR="00375729" w:rsidRPr="00C519A8" w:rsidRDefault="00375729" w:rsidP="006C4B85">
            <w:pPr>
              <w:pStyle w:val="Tablecellsub-heading"/>
            </w:pPr>
            <w:r w:rsidRPr="00C519A8">
              <w:t>H. Accom and food services</w:t>
            </w:r>
          </w:p>
        </w:tc>
        <w:tc>
          <w:tcPr>
            <w:tcW w:w="1187" w:type="dxa"/>
            <w:tcBorders>
              <w:left w:val="single" w:sz="4" w:space="0" w:color="auto"/>
              <w:bottom w:val="single" w:sz="4" w:space="0" w:color="auto"/>
              <w:right w:val="single" w:sz="4" w:space="0" w:color="auto"/>
            </w:tcBorders>
            <w:shd w:val="clear" w:color="auto" w:fill="auto"/>
            <w:noWrap/>
            <w:vAlign w:val="center"/>
            <w:hideMark/>
          </w:tcPr>
          <w:p w14:paraId="41DD4540" w14:textId="77777777" w:rsidR="00375729" w:rsidRPr="00C519A8" w:rsidRDefault="00375729" w:rsidP="006C4B85">
            <w:pPr>
              <w:pStyle w:val="Tabletext"/>
            </w:pPr>
            <w:r w:rsidRPr="00C519A8">
              <w:t>18</w:t>
            </w:r>
          </w:p>
        </w:tc>
        <w:tc>
          <w:tcPr>
            <w:tcW w:w="2800" w:type="dxa"/>
            <w:tcBorders>
              <w:left w:val="single" w:sz="4" w:space="0" w:color="auto"/>
              <w:right w:val="single" w:sz="4" w:space="0" w:color="auto"/>
            </w:tcBorders>
            <w:shd w:val="clear" w:color="auto" w:fill="auto"/>
            <w:noWrap/>
            <w:vAlign w:val="bottom"/>
            <w:hideMark/>
          </w:tcPr>
          <w:p w14:paraId="60B6768C" w14:textId="77777777" w:rsidR="00375729" w:rsidRPr="00C519A8" w:rsidRDefault="00375729" w:rsidP="006C4B85">
            <w:pPr>
              <w:pStyle w:val="Tablecellsub-heading"/>
            </w:pPr>
            <w:r w:rsidRPr="00C519A8">
              <w:t>S. Other services</w:t>
            </w:r>
            <w:r w:rsidRPr="00E71A6F">
              <w:rPr>
                <w:vertAlign w:val="superscript"/>
              </w:rPr>
              <w:t>a</w:t>
            </w:r>
          </w:p>
        </w:tc>
        <w:tc>
          <w:tcPr>
            <w:tcW w:w="1187" w:type="dxa"/>
            <w:tcBorders>
              <w:left w:val="single" w:sz="4" w:space="0" w:color="auto"/>
              <w:bottom w:val="single" w:sz="4" w:space="0" w:color="auto"/>
            </w:tcBorders>
            <w:shd w:val="clear" w:color="auto" w:fill="auto"/>
            <w:noWrap/>
            <w:vAlign w:val="center"/>
            <w:hideMark/>
          </w:tcPr>
          <w:p w14:paraId="52EED1F1" w14:textId="77777777" w:rsidR="00375729" w:rsidRPr="00C519A8" w:rsidRDefault="00375729" w:rsidP="006C4B85">
            <w:pPr>
              <w:pStyle w:val="Tabletext"/>
            </w:pPr>
            <w:r w:rsidRPr="00C519A8">
              <w:t>32</w:t>
            </w:r>
          </w:p>
        </w:tc>
      </w:tr>
    </w:tbl>
    <w:p w14:paraId="206C7ED3" w14:textId="77777777" w:rsidR="00375729" w:rsidRPr="00185E7D" w:rsidRDefault="00375729" w:rsidP="00012248">
      <w:pPr>
        <w:pStyle w:val="SourceNotes"/>
      </w:pPr>
      <w:r w:rsidRPr="00185E7D">
        <w:fldChar w:fldCharType="end"/>
      </w:r>
      <w:r w:rsidRPr="00185E7D">
        <w:t xml:space="preserve">Note: a. From 1994–95 </w:t>
      </w:r>
    </w:p>
    <w:p w14:paraId="7D4A35A5" w14:textId="77777777" w:rsidR="00375729" w:rsidRPr="00185E7D" w:rsidRDefault="00375729" w:rsidP="00012248">
      <w:pPr>
        <w:pStyle w:val="SourceNotes"/>
      </w:pPr>
      <w:r w:rsidRPr="00185E7D">
        <w:t>Source: Author estimates</w:t>
      </w:r>
    </w:p>
    <w:p w14:paraId="22F908B5" w14:textId="77777777" w:rsidR="00375729" w:rsidRPr="00185E7D" w:rsidRDefault="00375729" w:rsidP="00F37FA2">
      <w:pPr>
        <w:pStyle w:val="BCRHead3"/>
      </w:pPr>
      <w:bookmarkStart w:id="83" w:name="_Toc436909168"/>
      <w:bookmarkStart w:id="84" w:name="_Toc436920448"/>
      <w:r w:rsidRPr="00185E7D">
        <w:t>6.2.2</w:t>
      </w:r>
      <w:r w:rsidRPr="00185E7D">
        <w:tab/>
        <w:t>Non-IT capital productivity</w:t>
      </w:r>
      <w:bookmarkEnd w:id="83"/>
      <w:bookmarkEnd w:id="84"/>
    </w:p>
    <w:p w14:paraId="46CFD4B5" w14:textId="77777777" w:rsidR="00375729" w:rsidRPr="00C519A8" w:rsidRDefault="00375729" w:rsidP="00375729">
      <w:pPr>
        <w:pStyle w:val="BodyTextNoIndent"/>
      </w:pPr>
      <w:r w:rsidRPr="00C519A8">
        <w:t>Figure 6.</w:t>
      </w:r>
      <w:r>
        <w:t>4</w:t>
      </w:r>
      <w:r w:rsidRPr="00C519A8">
        <w:t xml:space="preserve"> shows the growth in non-IT capital productivity varied widely across industries. FIS had very strong growth at over </w:t>
      </w:r>
      <w:r w:rsidR="00F66A90">
        <w:t>3</w:t>
      </w:r>
      <w:r w:rsidR="00F66A90" w:rsidRPr="00C519A8">
        <w:t xml:space="preserve"> </w:t>
      </w:r>
      <w:r w:rsidRPr="00C519A8">
        <w:t>per cent a year. On the other hand, there were some notable negatives in mining, manufacturing and electricity, gas, water and waste services, which have collectively contributed overwhelmingly to the decline in Australia’s capital productivity.</w:t>
      </w:r>
      <w:r w:rsidRPr="002B3C36">
        <w:rPr>
          <w:rStyle w:val="FootnoteReference"/>
        </w:rPr>
        <w:footnoteReference w:id="13"/>
      </w:r>
      <w:r w:rsidRPr="00C519A8">
        <w:t xml:space="preserve">  There are also some strong negatives among services industries.</w:t>
      </w:r>
    </w:p>
    <w:p w14:paraId="2E1FEC23" w14:textId="77777777" w:rsidR="00375729" w:rsidRPr="00185E7D" w:rsidRDefault="00375729" w:rsidP="006C4B85">
      <w:pPr>
        <w:pStyle w:val="Figurecaption"/>
      </w:pPr>
      <w:r w:rsidRPr="00185E7D">
        <w:t>Figure 6.4: Rates of growth in non-IT capital productivity (%) and correlation betwe</w:t>
      </w:r>
      <w:r>
        <w:t xml:space="preserve">en non-IT capital productivity </w:t>
      </w:r>
      <w:r w:rsidRPr="00185E7D">
        <w:t xml:space="preserve">and IT stocks, by industry </w:t>
      </w:r>
    </w:p>
    <w:p w14:paraId="19B2C007" w14:textId="02D7E92D"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2F16060D" wp14:editId="13DC3B34">
            <wp:extent cx="4523740" cy="299339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3740" cy="2993390"/>
                    </a:xfrm>
                    <a:prstGeom prst="rect">
                      <a:avLst/>
                    </a:prstGeom>
                    <a:noFill/>
                  </pic:spPr>
                </pic:pic>
              </a:graphicData>
            </a:graphic>
          </wp:inline>
        </w:drawing>
      </w:r>
    </w:p>
    <w:p w14:paraId="797D80B1" w14:textId="77777777" w:rsidR="00375729" w:rsidRPr="00185E7D" w:rsidRDefault="00375729" w:rsidP="00012248">
      <w:pPr>
        <w:pStyle w:val="SourceNotes"/>
      </w:pPr>
      <w:r w:rsidRPr="00185E7D">
        <w:t>Source: Author estimates</w:t>
      </w:r>
    </w:p>
    <w:p w14:paraId="5EBEF053" w14:textId="77777777" w:rsidR="00375729" w:rsidRPr="00C519A8" w:rsidRDefault="00375729" w:rsidP="00375729">
      <w:pPr>
        <w:pStyle w:val="BodyTextNoIndent"/>
      </w:pPr>
      <w:r w:rsidRPr="0007787F">
        <w:t xml:space="preserve">Possible associations with IT use become clearer when the </w:t>
      </w:r>
      <w:r w:rsidR="00F66A90" w:rsidRPr="0007787F">
        <w:t xml:space="preserve">productivity </w:t>
      </w:r>
      <w:r w:rsidRPr="0007787F">
        <w:t xml:space="preserve">of individual assets </w:t>
      </w:r>
      <w:r w:rsidR="00A433D1" w:rsidRPr="0007787F">
        <w:t xml:space="preserve">is </w:t>
      </w:r>
      <w:r w:rsidRPr="0007787F">
        <w:t>reviewed.</w:t>
      </w:r>
      <w:r w:rsidRPr="00C519A8">
        <w:t xml:space="preserve"> </w:t>
      </w:r>
    </w:p>
    <w:p w14:paraId="5E167AE4" w14:textId="77777777" w:rsidR="00375729" w:rsidRPr="00C519A8" w:rsidRDefault="00375729" w:rsidP="00375729">
      <w:pPr>
        <w:pStyle w:val="BodyTextNoIndent"/>
      </w:pPr>
      <w:r w:rsidRPr="00C519A8">
        <w:t>Inventories productivity has grown strongly in some industries—especially construction (Figure 6.</w:t>
      </w:r>
      <w:r>
        <w:t>5</w:t>
      </w:r>
      <w:r w:rsidRPr="00C519A8">
        <w:t>). The correlation with IT use is also generally high, as indicated by the orange bars in Figure 6.</w:t>
      </w:r>
      <w:r>
        <w:t>5</w:t>
      </w:r>
      <w:r w:rsidRPr="00C519A8">
        <w:t>. (Perfect correlation would be indicated by a value of one.)</w:t>
      </w:r>
    </w:p>
    <w:p w14:paraId="1F755565" w14:textId="77777777" w:rsidR="00375729" w:rsidRPr="00185E7D" w:rsidRDefault="00375729" w:rsidP="006C4B85">
      <w:pPr>
        <w:pStyle w:val="Figurecaption"/>
      </w:pPr>
      <w:r w:rsidRPr="00185E7D">
        <w:t>Figure 6.</w:t>
      </w:r>
      <w:r>
        <w:t>5</w:t>
      </w:r>
      <w:r w:rsidRPr="00185E7D">
        <w:t>: Growth in the productivity of inventories use (% pa) and coefficient of correlation with IT use, by industry</w:t>
      </w:r>
    </w:p>
    <w:p w14:paraId="7359D1FD" w14:textId="557D2409"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13D5A1E2" wp14:editId="316A48F1">
            <wp:extent cx="4730750" cy="32981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0750" cy="3298190"/>
                    </a:xfrm>
                    <a:prstGeom prst="rect">
                      <a:avLst/>
                    </a:prstGeom>
                    <a:noFill/>
                  </pic:spPr>
                </pic:pic>
              </a:graphicData>
            </a:graphic>
          </wp:inline>
        </w:drawing>
      </w:r>
    </w:p>
    <w:p w14:paraId="57D9CFFE" w14:textId="77777777" w:rsidR="00375729" w:rsidRPr="00185E7D" w:rsidRDefault="00375729" w:rsidP="00012248">
      <w:pPr>
        <w:pStyle w:val="SourceNotes"/>
      </w:pPr>
      <w:r w:rsidRPr="00185E7D">
        <w:t>Note: a. Industry does not hold inventories</w:t>
      </w:r>
    </w:p>
    <w:p w14:paraId="5A0D317E" w14:textId="77777777" w:rsidR="00375729" w:rsidRPr="00185E7D" w:rsidRDefault="00375729" w:rsidP="00012248">
      <w:pPr>
        <w:pStyle w:val="SourceNotes"/>
      </w:pPr>
      <w:r w:rsidRPr="00185E7D">
        <w:t>Source: Author estimates</w:t>
      </w:r>
    </w:p>
    <w:p w14:paraId="47309008" w14:textId="77777777" w:rsidR="00375729" w:rsidRPr="00C519A8" w:rsidRDefault="00375729" w:rsidP="00375729">
      <w:pPr>
        <w:pStyle w:val="BodyTextNoIndent"/>
      </w:pPr>
      <w:r w:rsidRPr="00C519A8">
        <w:t>Figure 6.</w:t>
      </w:r>
      <w:r>
        <w:t>6</w:t>
      </w:r>
      <w:r w:rsidRPr="00C519A8">
        <w:t xml:space="preserve"> shows there was strong growth in land productivity and a strong correlation with IT use in some industries. In some cases, it is easy to see a possible link. Electronic banking saved back-room operations and enabled branch closures. IT also enabled rationalisation and closure of warehousing facilities.</w:t>
      </w:r>
    </w:p>
    <w:p w14:paraId="2D1253E8" w14:textId="77777777" w:rsidR="00375729" w:rsidRPr="00185E7D" w:rsidRDefault="00375729" w:rsidP="006C4B85">
      <w:pPr>
        <w:pStyle w:val="Figurecaption"/>
      </w:pPr>
      <w:r w:rsidRPr="00185E7D">
        <w:t>Figure 6.6: Growth in productivity of land use (% pa) and coefficient of correlation with IT use, by industry</w:t>
      </w:r>
    </w:p>
    <w:p w14:paraId="3329AC52" w14:textId="28BC15E2"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335E4624" wp14:editId="0D87AB1C">
            <wp:extent cx="4584700" cy="3152140"/>
            <wp:effectExtent l="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3152140"/>
                    </a:xfrm>
                    <a:prstGeom prst="rect">
                      <a:avLst/>
                    </a:prstGeom>
                    <a:noFill/>
                  </pic:spPr>
                </pic:pic>
              </a:graphicData>
            </a:graphic>
          </wp:inline>
        </w:drawing>
      </w:r>
    </w:p>
    <w:p w14:paraId="60C492BD" w14:textId="69FFE40F" w:rsidR="00375729" w:rsidRPr="00185E7D" w:rsidRDefault="006C4B85" w:rsidP="00012248">
      <w:pPr>
        <w:pStyle w:val="SourceNotes"/>
      </w:pPr>
      <w:r>
        <w:t>Note:</w:t>
      </w:r>
      <w:r w:rsidR="00375729" w:rsidRPr="00185E7D">
        <w:t xml:space="preserve"> a. No change in the amount of land in this industry</w:t>
      </w:r>
    </w:p>
    <w:p w14:paraId="703E4B67" w14:textId="77777777" w:rsidR="00375729" w:rsidRPr="00185E7D" w:rsidRDefault="00375729" w:rsidP="00012248">
      <w:pPr>
        <w:pStyle w:val="SourceNotes"/>
      </w:pPr>
      <w:r w:rsidRPr="00185E7D">
        <w:t>Source: Author estimates</w:t>
      </w:r>
    </w:p>
    <w:p w14:paraId="20DF9A18" w14:textId="77777777" w:rsidR="00375729" w:rsidRPr="00C519A8" w:rsidRDefault="00375729" w:rsidP="00375729">
      <w:pPr>
        <w:pStyle w:val="BodyTextNoIndent"/>
      </w:pPr>
      <w:r w:rsidRPr="00C519A8">
        <w:t>Lower requirements for land often went hand</w:t>
      </w:r>
      <w:r w:rsidR="00F66A90">
        <w:t xml:space="preserve"> </w:t>
      </w:r>
      <w:r w:rsidRPr="00C519A8">
        <w:t>in</w:t>
      </w:r>
      <w:r w:rsidR="00F66A90">
        <w:t xml:space="preserve"> </w:t>
      </w:r>
      <w:r w:rsidRPr="00C519A8">
        <w:t>hand with lower unit requirements for buildings, which form part of non-dwelling construction assets. Consequently, a number of industries that show strong growth in Figure 6.</w:t>
      </w:r>
      <w:r>
        <w:t>6</w:t>
      </w:r>
      <w:r w:rsidRPr="00C519A8">
        <w:t xml:space="preserve"> also show up with strong growth in Figure 6.</w:t>
      </w:r>
      <w:r>
        <w:t>7</w:t>
      </w:r>
      <w:r w:rsidRPr="00C519A8">
        <w:t xml:space="preserve"> (non-dwelling construction assets).</w:t>
      </w:r>
    </w:p>
    <w:p w14:paraId="3D273EF2" w14:textId="77777777" w:rsidR="00375729" w:rsidRPr="00185E7D" w:rsidRDefault="00375729" w:rsidP="006C4B85">
      <w:pPr>
        <w:pStyle w:val="Figurecaption"/>
      </w:pPr>
      <w:r w:rsidRPr="00185E7D">
        <w:t xml:space="preserve">Figure 6.7: Growth in productivity of use of non-dwelling construction (% pa) </w:t>
      </w:r>
      <w:r>
        <w:t xml:space="preserve">and coefficient of correlation </w:t>
      </w:r>
      <w:r w:rsidRPr="00185E7D">
        <w:t>with IT use, by industry</w:t>
      </w:r>
    </w:p>
    <w:p w14:paraId="25A6948B" w14:textId="7FEC0C22"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01972F20" wp14:editId="1799BCC8">
            <wp:extent cx="4438015" cy="2956560"/>
            <wp:effectExtent l="0" t="0" r="63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8015" cy="2956560"/>
                    </a:xfrm>
                    <a:prstGeom prst="rect">
                      <a:avLst/>
                    </a:prstGeom>
                    <a:noFill/>
                  </pic:spPr>
                </pic:pic>
              </a:graphicData>
            </a:graphic>
          </wp:inline>
        </w:drawing>
      </w:r>
    </w:p>
    <w:p w14:paraId="029D6F0B" w14:textId="77777777" w:rsidR="00375729" w:rsidRPr="00185E7D" w:rsidRDefault="00375729" w:rsidP="00012248">
      <w:pPr>
        <w:pStyle w:val="SourceNotes"/>
      </w:pPr>
      <w:r w:rsidRPr="00185E7D">
        <w:t>Source: Author estimates</w:t>
      </w:r>
    </w:p>
    <w:p w14:paraId="6CB9A49A" w14:textId="77777777" w:rsidR="00375729" w:rsidRPr="00C519A8" w:rsidRDefault="00375729" w:rsidP="00375729">
      <w:pPr>
        <w:pStyle w:val="BodyTextNoIndent"/>
      </w:pPr>
      <w:r w:rsidRPr="00C519A8">
        <w:t>Industrial machinery and equipment was one of the assets identified at the MS-16 level as showing improvement in productivity. Figure 6.</w:t>
      </w:r>
      <w:r>
        <w:t>8</w:t>
      </w:r>
      <w:r w:rsidRPr="00C519A8">
        <w:t xml:space="preserve"> shows IMT and FIS as two industries with strong growth in the productivity of this asset class.</w:t>
      </w:r>
    </w:p>
    <w:p w14:paraId="28EC9D36" w14:textId="77777777" w:rsidR="00375729" w:rsidRPr="00185E7D" w:rsidRDefault="00375729" w:rsidP="006C4B85">
      <w:pPr>
        <w:pStyle w:val="Figurecaption"/>
      </w:pPr>
      <w:r w:rsidRPr="00185E7D">
        <w:t>Figure 6.8: Growth in productivity of use of industrial machinery and equip</w:t>
      </w:r>
      <w:r>
        <w:t xml:space="preserve">ment (% pa) </w:t>
      </w:r>
      <w:r w:rsidRPr="0007787F">
        <w:t>and coefficient of correlation with IT use, by industry</w:t>
      </w:r>
    </w:p>
    <w:p w14:paraId="1857F55D" w14:textId="188996F9"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6C6F7973" wp14:editId="18448AB2">
            <wp:extent cx="4584700" cy="3103245"/>
            <wp:effectExtent l="0" t="0" r="6350" b="190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3103245"/>
                    </a:xfrm>
                    <a:prstGeom prst="rect">
                      <a:avLst/>
                    </a:prstGeom>
                    <a:noFill/>
                  </pic:spPr>
                </pic:pic>
              </a:graphicData>
            </a:graphic>
          </wp:inline>
        </w:drawing>
      </w:r>
    </w:p>
    <w:p w14:paraId="016CB4F9" w14:textId="77777777" w:rsidR="00375729" w:rsidRPr="00185E7D" w:rsidRDefault="00375729" w:rsidP="00012248">
      <w:pPr>
        <w:pStyle w:val="SourceNotes"/>
      </w:pPr>
      <w:r w:rsidRPr="00185E7D">
        <w:t>Source: Author estimates</w:t>
      </w:r>
    </w:p>
    <w:p w14:paraId="4267732C" w14:textId="77777777" w:rsidR="00375729" w:rsidRPr="00C519A8" w:rsidRDefault="00375729" w:rsidP="00375729">
      <w:pPr>
        <w:pStyle w:val="BodyTextNoIndent"/>
      </w:pPr>
      <w:r>
        <w:t>Figure 6.9</w:t>
      </w:r>
      <w:r w:rsidRPr="00C519A8">
        <w:t xml:space="preserve"> shows unit requirements for road vehicles also declined in a few industries, in particular FIS and IMT, with a strong association with IT use.</w:t>
      </w:r>
    </w:p>
    <w:p w14:paraId="15BA3A1A" w14:textId="77777777" w:rsidR="00375729" w:rsidRPr="00185E7D" w:rsidRDefault="00375729" w:rsidP="006C4B85">
      <w:pPr>
        <w:pStyle w:val="Figurecaption"/>
      </w:pPr>
      <w:r w:rsidRPr="00185E7D">
        <w:t>Figure 6.9: Growth in productivity of road vehicles use (% pa) and coefficient of correlation with IT use, by industry</w:t>
      </w:r>
    </w:p>
    <w:p w14:paraId="2453B197" w14:textId="7AAF21ED"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0C02B9E8" wp14:editId="57E4AC34">
            <wp:extent cx="4584700" cy="3298190"/>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4700" cy="3298190"/>
                    </a:xfrm>
                    <a:prstGeom prst="rect">
                      <a:avLst/>
                    </a:prstGeom>
                    <a:noFill/>
                  </pic:spPr>
                </pic:pic>
              </a:graphicData>
            </a:graphic>
          </wp:inline>
        </w:drawing>
      </w:r>
    </w:p>
    <w:p w14:paraId="39D0C5E6" w14:textId="77777777" w:rsidR="00375729" w:rsidRPr="00185E7D" w:rsidRDefault="00375729" w:rsidP="00012248">
      <w:pPr>
        <w:pStyle w:val="SourceNotes"/>
      </w:pPr>
      <w:r w:rsidRPr="00185E7D">
        <w:t>Source: Author estimates</w:t>
      </w:r>
    </w:p>
    <w:p w14:paraId="1944CC71" w14:textId="77777777" w:rsidR="00375729" w:rsidRPr="00185E7D" w:rsidRDefault="00375729" w:rsidP="00F37FA2">
      <w:pPr>
        <w:pStyle w:val="BCRHead3"/>
      </w:pPr>
      <w:bookmarkStart w:id="85" w:name="_Toc436909169"/>
      <w:bookmarkStart w:id="86" w:name="_Toc436920449"/>
      <w:r w:rsidRPr="00185E7D">
        <w:t>6.2.3</w:t>
      </w:r>
      <w:r w:rsidRPr="00185E7D">
        <w:tab/>
        <w:t>Skills</w:t>
      </w:r>
      <w:bookmarkEnd w:id="85"/>
      <w:bookmarkEnd w:id="86"/>
    </w:p>
    <w:p w14:paraId="7F63D441" w14:textId="77777777" w:rsidR="00375729" w:rsidRPr="00C519A8" w:rsidRDefault="00375729" w:rsidP="00375729">
      <w:pPr>
        <w:pStyle w:val="BodyTextNoIndent"/>
      </w:pPr>
      <w:r w:rsidRPr="00C519A8">
        <w:t>Section 4 mentioned that while IT is a substitute for labour broadly, there may be some complementarity between IT use and the use of skilled labour. This possibility was examined in a very simplified way by looking at the correlation between the increase in average skill, indicated by the ABS’s QALI measure, and IT use. Table 6.9 displays, for each industry, the growth in average skill over the observation period and correlation with IT use.</w:t>
      </w:r>
      <w:r w:rsidRPr="00185E7D">
        <w:fldChar w:fldCharType="begin"/>
      </w:r>
      <w:r w:rsidRPr="00C519A8">
        <w:instrText xml:space="preserve"> LINK Excel.Sheet.12 "\\\\dept.gov.au\\DFS\\Home\\dparham\\Desktop\\Docs\\1. GA project\\Industry studies\\1. Results overview 150904.xlsx" "skills!R3C1:R11C6" \a \f 4 \h  \* MERGEFORMAT </w:instrText>
      </w:r>
      <w:r w:rsidRPr="00185E7D">
        <w:fldChar w:fldCharType="separate"/>
      </w:r>
    </w:p>
    <w:p w14:paraId="33D2AD36"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344BC42A" w14:textId="77777777" w:rsidR="00375729" w:rsidRPr="00185E7D" w:rsidRDefault="00375729" w:rsidP="006C4B85">
      <w:pPr>
        <w:pStyle w:val="Tablecaption"/>
      </w:pPr>
      <w:r w:rsidRPr="00185E7D">
        <w:t>Table 6.9: Increase in skill</w:t>
      </w:r>
      <w:r w:rsidRPr="00185E7D">
        <w:rPr>
          <w:vertAlign w:val="superscript"/>
        </w:rPr>
        <w:t>a</w:t>
      </w:r>
      <w:r w:rsidRPr="00185E7D">
        <w:t xml:space="preserve"> from 1989–90 to 2013–14 and correlation with IT use, by industry</w:t>
      </w:r>
    </w:p>
    <w:tbl>
      <w:tblPr>
        <w:tblW w:w="882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2"/>
        <w:gridCol w:w="963"/>
        <w:gridCol w:w="1200"/>
        <w:gridCol w:w="2373"/>
        <w:gridCol w:w="963"/>
        <w:gridCol w:w="1200"/>
      </w:tblGrid>
      <w:tr w:rsidR="006C4B85" w:rsidRPr="006C4B85" w14:paraId="46126FE2" w14:textId="77777777" w:rsidTr="00301886">
        <w:trPr>
          <w:trHeight w:val="900"/>
        </w:trPr>
        <w:tc>
          <w:tcPr>
            <w:tcW w:w="2122" w:type="dxa"/>
            <w:tcBorders>
              <w:top w:val="single" w:sz="4" w:space="0" w:color="auto"/>
              <w:bottom w:val="single" w:sz="4" w:space="0" w:color="auto"/>
            </w:tcBorders>
            <w:shd w:val="clear" w:color="auto" w:fill="auto"/>
            <w:noWrap/>
            <w:vAlign w:val="bottom"/>
            <w:hideMark/>
          </w:tcPr>
          <w:p w14:paraId="59B1470A" w14:textId="77777777" w:rsidR="00375729" w:rsidRPr="006C4B85" w:rsidRDefault="00375729" w:rsidP="006C4B85">
            <w:pPr>
              <w:pStyle w:val="Tablecellheading"/>
            </w:pPr>
          </w:p>
        </w:tc>
        <w:tc>
          <w:tcPr>
            <w:tcW w:w="963" w:type="dxa"/>
            <w:tcBorders>
              <w:top w:val="single" w:sz="4" w:space="0" w:color="auto"/>
              <w:bottom w:val="single" w:sz="4" w:space="0" w:color="auto"/>
            </w:tcBorders>
            <w:shd w:val="clear" w:color="auto" w:fill="auto"/>
            <w:vAlign w:val="center"/>
            <w:hideMark/>
          </w:tcPr>
          <w:p w14:paraId="00FF24ED" w14:textId="77777777" w:rsidR="00375729" w:rsidRPr="006C4B85" w:rsidRDefault="00375729" w:rsidP="006C4B85">
            <w:pPr>
              <w:pStyle w:val="Tablecellheading"/>
            </w:pPr>
            <w:r w:rsidRPr="006C4B85">
              <w:t>Skill increase (%)</w:t>
            </w:r>
          </w:p>
        </w:tc>
        <w:tc>
          <w:tcPr>
            <w:tcW w:w="1200" w:type="dxa"/>
            <w:tcBorders>
              <w:top w:val="single" w:sz="4" w:space="0" w:color="auto"/>
              <w:bottom w:val="single" w:sz="4" w:space="0" w:color="auto"/>
              <w:right w:val="single" w:sz="4" w:space="0" w:color="auto"/>
            </w:tcBorders>
            <w:shd w:val="clear" w:color="auto" w:fill="auto"/>
            <w:vAlign w:val="center"/>
            <w:hideMark/>
          </w:tcPr>
          <w:p w14:paraId="573846DA" w14:textId="77777777" w:rsidR="00375729" w:rsidRPr="006C4B85" w:rsidRDefault="00375729" w:rsidP="006C4B85">
            <w:pPr>
              <w:pStyle w:val="Tablecellheading"/>
            </w:pPr>
            <w:r w:rsidRPr="006C4B85">
              <w:t>IT correlation</w:t>
            </w:r>
          </w:p>
        </w:tc>
        <w:tc>
          <w:tcPr>
            <w:tcW w:w="2373" w:type="dxa"/>
            <w:tcBorders>
              <w:top w:val="single" w:sz="4" w:space="0" w:color="auto"/>
              <w:left w:val="single" w:sz="4" w:space="0" w:color="auto"/>
              <w:bottom w:val="single" w:sz="4" w:space="0" w:color="auto"/>
            </w:tcBorders>
            <w:shd w:val="clear" w:color="auto" w:fill="auto"/>
            <w:vAlign w:val="bottom"/>
            <w:hideMark/>
          </w:tcPr>
          <w:p w14:paraId="2503003A" w14:textId="77777777" w:rsidR="00375729" w:rsidRPr="006C4B85" w:rsidRDefault="00375729" w:rsidP="006C4B85">
            <w:pPr>
              <w:pStyle w:val="Tablecellheading"/>
            </w:pPr>
          </w:p>
        </w:tc>
        <w:tc>
          <w:tcPr>
            <w:tcW w:w="963" w:type="dxa"/>
            <w:tcBorders>
              <w:top w:val="single" w:sz="4" w:space="0" w:color="auto"/>
              <w:bottom w:val="single" w:sz="4" w:space="0" w:color="auto"/>
            </w:tcBorders>
            <w:shd w:val="clear" w:color="auto" w:fill="auto"/>
            <w:vAlign w:val="center"/>
            <w:hideMark/>
          </w:tcPr>
          <w:p w14:paraId="7F2C66A4" w14:textId="77777777" w:rsidR="00375729" w:rsidRPr="006C4B85" w:rsidRDefault="00375729" w:rsidP="006C4B85">
            <w:pPr>
              <w:pStyle w:val="Tablecellheading"/>
            </w:pPr>
            <w:r w:rsidRPr="006C4B85">
              <w:t>Skill increase (%)</w:t>
            </w:r>
          </w:p>
        </w:tc>
        <w:tc>
          <w:tcPr>
            <w:tcW w:w="1200" w:type="dxa"/>
            <w:tcBorders>
              <w:top w:val="single" w:sz="4" w:space="0" w:color="auto"/>
              <w:bottom w:val="single" w:sz="4" w:space="0" w:color="auto"/>
            </w:tcBorders>
            <w:shd w:val="clear" w:color="auto" w:fill="auto"/>
            <w:vAlign w:val="center"/>
            <w:hideMark/>
          </w:tcPr>
          <w:p w14:paraId="656A9CE8" w14:textId="77777777" w:rsidR="00375729" w:rsidRPr="006C4B85" w:rsidRDefault="00375729" w:rsidP="006C4B85">
            <w:pPr>
              <w:pStyle w:val="Tablecellheading"/>
            </w:pPr>
            <w:r w:rsidRPr="006C4B85">
              <w:t>IT correlation</w:t>
            </w:r>
          </w:p>
        </w:tc>
      </w:tr>
      <w:tr w:rsidR="00375729" w:rsidRPr="00185E7D" w14:paraId="0BB20403" w14:textId="77777777" w:rsidTr="00301886">
        <w:trPr>
          <w:trHeight w:val="300"/>
        </w:trPr>
        <w:tc>
          <w:tcPr>
            <w:tcW w:w="2122" w:type="dxa"/>
            <w:tcBorders>
              <w:top w:val="single" w:sz="4" w:space="0" w:color="auto"/>
            </w:tcBorders>
            <w:shd w:val="clear" w:color="auto" w:fill="auto"/>
            <w:noWrap/>
            <w:vAlign w:val="bottom"/>
            <w:hideMark/>
          </w:tcPr>
          <w:p w14:paraId="4C5B17C1" w14:textId="77777777" w:rsidR="00375729" w:rsidRPr="00185E7D" w:rsidRDefault="00375729" w:rsidP="006C4B85">
            <w:pPr>
              <w:pStyle w:val="Tabletext"/>
              <w:rPr>
                <w:b/>
                <w:bCs/>
                <w:i/>
                <w:iCs/>
                <w:sz w:val="20"/>
                <w:szCs w:val="20"/>
              </w:rPr>
            </w:pPr>
            <w:r w:rsidRPr="00185E7D">
              <w:t>A. Agriculture</w:t>
            </w:r>
          </w:p>
        </w:tc>
        <w:tc>
          <w:tcPr>
            <w:tcW w:w="963" w:type="dxa"/>
            <w:tcBorders>
              <w:top w:val="single" w:sz="4" w:space="0" w:color="auto"/>
            </w:tcBorders>
            <w:shd w:val="clear" w:color="auto" w:fill="auto"/>
            <w:noWrap/>
            <w:vAlign w:val="center"/>
            <w:hideMark/>
          </w:tcPr>
          <w:p w14:paraId="5DAB1B1B" w14:textId="77777777" w:rsidR="00375729" w:rsidRPr="00185E7D" w:rsidRDefault="00375729" w:rsidP="006C4B85">
            <w:pPr>
              <w:pStyle w:val="Tabletext"/>
              <w:rPr>
                <w:b/>
                <w:bCs/>
                <w:i/>
                <w:iCs/>
                <w:sz w:val="20"/>
                <w:szCs w:val="20"/>
              </w:rPr>
            </w:pPr>
            <w:r w:rsidRPr="00185E7D">
              <w:t>6.6</w:t>
            </w:r>
          </w:p>
        </w:tc>
        <w:tc>
          <w:tcPr>
            <w:tcW w:w="1200" w:type="dxa"/>
            <w:tcBorders>
              <w:top w:val="single" w:sz="4" w:space="0" w:color="auto"/>
              <w:right w:val="single" w:sz="4" w:space="0" w:color="auto"/>
            </w:tcBorders>
            <w:shd w:val="clear" w:color="auto" w:fill="auto"/>
            <w:noWrap/>
            <w:vAlign w:val="center"/>
            <w:hideMark/>
          </w:tcPr>
          <w:p w14:paraId="083BCC67" w14:textId="77777777" w:rsidR="00375729" w:rsidRPr="00185E7D" w:rsidRDefault="00375729" w:rsidP="006C4B85">
            <w:pPr>
              <w:pStyle w:val="Tabletext"/>
              <w:rPr>
                <w:b/>
                <w:bCs/>
                <w:i/>
                <w:iCs/>
                <w:sz w:val="20"/>
                <w:szCs w:val="20"/>
              </w:rPr>
            </w:pPr>
            <w:r w:rsidRPr="00185E7D">
              <w:t>0.96</w:t>
            </w:r>
          </w:p>
        </w:tc>
        <w:tc>
          <w:tcPr>
            <w:tcW w:w="2373" w:type="dxa"/>
            <w:tcBorders>
              <w:top w:val="single" w:sz="4" w:space="0" w:color="auto"/>
              <w:left w:val="single" w:sz="4" w:space="0" w:color="auto"/>
            </w:tcBorders>
            <w:shd w:val="clear" w:color="auto" w:fill="auto"/>
            <w:noWrap/>
            <w:vAlign w:val="bottom"/>
            <w:hideMark/>
          </w:tcPr>
          <w:p w14:paraId="791D4CFA" w14:textId="77777777" w:rsidR="00375729" w:rsidRPr="00185E7D" w:rsidRDefault="00375729" w:rsidP="006C4B85">
            <w:pPr>
              <w:pStyle w:val="Tabletext"/>
              <w:rPr>
                <w:b/>
                <w:bCs/>
                <w:i/>
                <w:iCs/>
                <w:sz w:val="20"/>
                <w:szCs w:val="20"/>
              </w:rPr>
            </w:pPr>
            <w:r w:rsidRPr="00185E7D">
              <w:t>I. Transp, post, warehsg</w:t>
            </w:r>
          </w:p>
        </w:tc>
        <w:tc>
          <w:tcPr>
            <w:tcW w:w="963" w:type="dxa"/>
            <w:tcBorders>
              <w:top w:val="single" w:sz="4" w:space="0" w:color="auto"/>
            </w:tcBorders>
            <w:shd w:val="clear" w:color="auto" w:fill="auto"/>
            <w:noWrap/>
            <w:vAlign w:val="center"/>
            <w:hideMark/>
          </w:tcPr>
          <w:p w14:paraId="741F108C" w14:textId="77777777" w:rsidR="00375729" w:rsidRPr="00185E7D" w:rsidRDefault="00375729" w:rsidP="006C4B85">
            <w:pPr>
              <w:pStyle w:val="Tabletext"/>
              <w:rPr>
                <w:b/>
                <w:bCs/>
                <w:i/>
                <w:iCs/>
                <w:sz w:val="20"/>
                <w:szCs w:val="20"/>
              </w:rPr>
            </w:pPr>
            <w:r w:rsidRPr="00185E7D">
              <w:t>8.4</w:t>
            </w:r>
          </w:p>
        </w:tc>
        <w:tc>
          <w:tcPr>
            <w:tcW w:w="1200" w:type="dxa"/>
            <w:tcBorders>
              <w:top w:val="single" w:sz="4" w:space="0" w:color="auto"/>
            </w:tcBorders>
            <w:shd w:val="clear" w:color="auto" w:fill="auto"/>
            <w:noWrap/>
            <w:vAlign w:val="center"/>
            <w:hideMark/>
          </w:tcPr>
          <w:p w14:paraId="66CAC344" w14:textId="77777777" w:rsidR="00375729" w:rsidRPr="00185E7D" w:rsidRDefault="00375729" w:rsidP="006C4B85">
            <w:pPr>
              <w:pStyle w:val="Tabletext"/>
              <w:rPr>
                <w:b/>
                <w:bCs/>
                <w:i/>
                <w:iCs/>
                <w:sz w:val="20"/>
                <w:szCs w:val="20"/>
              </w:rPr>
            </w:pPr>
            <w:r w:rsidRPr="00185E7D">
              <w:t>0.93</w:t>
            </w:r>
          </w:p>
        </w:tc>
      </w:tr>
      <w:tr w:rsidR="00375729" w:rsidRPr="00185E7D" w14:paraId="1CCC4B71" w14:textId="77777777" w:rsidTr="00301886">
        <w:trPr>
          <w:trHeight w:val="300"/>
        </w:trPr>
        <w:tc>
          <w:tcPr>
            <w:tcW w:w="2122" w:type="dxa"/>
            <w:shd w:val="clear" w:color="auto" w:fill="auto"/>
            <w:noWrap/>
            <w:vAlign w:val="bottom"/>
            <w:hideMark/>
          </w:tcPr>
          <w:p w14:paraId="4750A7AE" w14:textId="77777777" w:rsidR="00375729" w:rsidRPr="00185E7D" w:rsidRDefault="00375729" w:rsidP="006C4B85">
            <w:pPr>
              <w:pStyle w:val="Tabletext"/>
              <w:rPr>
                <w:b/>
                <w:bCs/>
                <w:i/>
                <w:iCs/>
                <w:sz w:val="20"/>
                <w:szCs w:val="20"/>
              </w:rPr>
            </w:pPr>
            <w:r w:rsidRPr="00185E7D">
              <w:t>B. Mining</w:t>
            </w:r>
          </w:p>
        </w:tc>
        <w:tc>
          <w:tcPr>
            <w:tcW w:w="963" w:type="dxa"/>
            <w:shd w:val="clear" w:color="auto" w:fill="auto"/>
            <w:noWrap/>
            <w:vAlign w:val="center"/>
            <w:hideMark/>
          </w:tcPr>
          <w:p w14:paraId="7C3D87B6" w14:textId="77777777" w:rsidR="00375729" w:rsidRPr="00185E7D" w:rsidRDefault="00375729" w:rsidP="006C4B85">
            <w:pPr>
              <w:pStyle w:val="Tabletext"/>
              <w:rPr>
                <w:b/>
                <w:bCs/>
                <w:i/>
                <w:iCs/>
                <w:sz w:val="20"/>
                <w:szCs w:val="20"/>
              </w:rPr>
            </w:pPr>
            <w:r w:rsidRPr="00185E7D">
              <w:t>6.8</w:t>
            </w:r>
          </w:p>
        </w:tc>
        <w:tc>
          <w:tcPr>
            <w:tcW w:w="1200" w:type="dxa"/>
            <w:tcBorders>
              <w:right w:val="single" w:sz="4" w:space="0" w:color="auto"/>
            </w:tcBorders>
            <w:shd w:val="clear" w:color="auto" w:fill="auto"/>
            <w:noWrap/>
            <w:vAlign w:val="center"/>
            <w:hideMark/>
          </w:tcPr>
          <w:p w14:paraId="5F8C5896" w14:textId="77777777" w:rsidR="00375729" w:rsidRPr="00185E7D" w:rsidRDefault="00375729" w:rsidP="006C4B85">
            <w:pPr>
              <w:pStyle w:val="Tabletext"/>
              <w:rPr>
                <w:b/>
                <w:bCs/>
                <w:i/>
                <w:iCs/>
                <w:sz w:val="20"/>
                <w:szCs w:val="20"/>
              </w:rPr>
            </w:pPr>
            <w:r w:rsidRPr="00185E7D">
              <w:t>0.77</w:t>
            </w:r>
          </w:p>
        </w:tc>
        <w:tc>
          <w:tcPr>
            <w:tcW w:w="2373" w:type="dxa"/>
            <w:tcBorders>
              <w:left w:val="single" w:sz="4" w:space="0" w:color="auto"/>
            </w:tcBorders>
            <w:shd w:val="clear" w:color="auto" w:fill="auto"/>
            <w:noWrap/>
            <w:vAlign w:val="bottom"/>
            <w:hideMark/>
          </w:tcPr>
          <w:p w14:paraId="262F5BEB" w14:textId="77777777" w:rsidR="00375729" w:rsidRPr="00185E7D" w:rsidRDefault="00375729" w:rsidP="006C4B85">
            <w:pPr>
              <w:pStyle w:val="Tabletext"/>
              <w:rPr>
                <w:b/>
                <w:bCs/>
                <w:i/>
                <w:iCs/>
                <w:sz w:val="20"/>
                <w:szCs w:val="20"/>
              </w:rPr>
            </w:pPr>
            <w:r w:rsidRPr="00185E7D">
              <w:t>J. Info, media, telecom</w:t>
            </w:r>
          </w:p>
        </w:tc>
        <w:tc>
          <w:tcPr>
            <w:tcW w:w="963" w:type="dxa"/>
            <w:shd w:val="clear" w:color="auto" w:fill="auto"/>
            <w:noWrap/>
            <w:vAlign w:val="center"/>
            <w:hideMark/>
          </w:tcPr>
          <w:p w14:paraId="01E60FA8" w14:textId="77777777" w:rsidR="00375729" w:rsidRPr="00185E7D" w:rsidRDefault="00375729" w:rsidP="006C4B85">
            <w:pPr>
              <w:pStyle w:val="Tabletext"/>
              <w:rPr>
                <w:b/>
                <w:bCs/>
                <w:i/>
                <w:iCs/>
              </w:rPr>
            </w:pPr>
            <w:r w:rsidRPr="00185E7D">
              <w:t>11.6</w:t>
            </w:r>
          </w:p>
        </w:tc>
        <w:tc>
          <w:tcPr>
            <w:tcW w:w="1200" w:type="dxa"/>
            <w:shd w:val="clear" w:color="auto" w:fill="auto"/>
            <w:noWrap/>
            <w:vAlign w:val="center"/>
            <w:hideMark/>
          </w:tcPr>
          <w:p w14:paraId="71F345DE" w14:textId="77777777" w:rsidR="00375729" w:rsidRPr="00185E7D" w:rsidRDefault="00375729" w:rsidP="006C4B85">
            <w:pPr>
              <w:pStyle w:val="Tabletext"/>
              <w:rPr>
                <w:b/>
                <w:bCs/>
                <w:i/>
                <w:iCs/>
                <w:sz w:val="20"/>
                <w:szCs w:val="20"/>
              </w:rPr>
            </w:pPr>
            <w:r w:rsidRPr="00185E7D">
              <w:t>0.98</w:t>
            </w:r>
          </w:p>
        </w:tc>
      </w:tr>
      <w:tr w:rsidR="00375729" w:rsidRPr="00185E7D" w14:paraId="6FA5C9B3" w14:textId="77777777" w:rsidTr="00301886">
        <w:trPr>
          <w:trHeight w:val="300"/>
        </w:trPr>
        <w:tc>
          <w:tcPr>
            <w:tcW w:w="2122" w:type="dxa"/>
            <w:shd w:val="clear" w:color="auto" w:fill="auto"/>
            <w:noWrap/>
            <w:vAlign w:val="bottom"/>
            <w:hideMark/>
          </w:tcPr>
          <w:p w14:paraId="6476E6EB" w14:textId="77777777" w:rsidR="00375729" w:rsidRPr="00185E7D" w:rsidRDefault="00375729" w:rsidP="006C4B85">
            <w:pPr>
              <w:pStyle w:val="Tabletext"/>
              <w:rPr>
                <w:b/>
                <w:bCs/>
                <w:i/>
                <w:iCs/>
                <w:sz w:val="20"/>
                <w:szCs w:val="20"/>
              </w:rPr>
            </w:pPr>
            <w:r w:rsidRPr="00185E7D">
              <w:t>C. Manufacturing</w:t>
            </w:r>
          </w:p>
        </w:tc>
        <w:tc>
          <w:tcPr>
            <w:tcW w:w="963" w:type="dxa"/>
            <w:shd w:val="clear" w:color="auto" w:fill="auto"/>
            <w:noWrap/>
            <w:vAlign w:val="center"/>
            <w:hideMark/>
          </w:tcPr>
          <w:p w14:paraId="4085C067" w14:textId="77777777" w:rsidR="00375729" w:rsidRPr="00185E7D" w:rsidRDefault="00375729" w:rsidP="006C4B85">
            <w:pPr>
              <w:pStyle w:val="Tabletext"/>
              <w:rPr>
                <w:b/>
                <w:bCs/>
                <w:i/>
                <w:iCs/>
                <w:sz w:val="20"/>
                <w:szCs w:val="20"/>
              </w:rPr>
            </w:pPr>
            <w:r w:rsidRPr="00185E7D">
              <w:t>11.4</w:t>
            </w:r>
          </w:p>
        </w:tc>
        <w:tc>
          <w:tcPr>
            <w:tcW w:w="1200" w:type="dxa"/>
            <w:tcBorders>
              <w:right w:val="single" w:sz="4" w:space="0" w:color="auto"/>
            </w:tcBorders>
            <w:shd w:val="clear" w:color="auto" w:fill="auto"/>
            <w:noWrap/>
            <w:vAlign w:val="center"/>
            <w:hideMark/>
          </w:tcPr>
          <w:p w14:paraId="663312FF" w14:textId="77777777" w:rsidR="00375729" w:rsidRPr="00185E7D" w:rsidRDefault="00375729" w:rsidP="006C4B85">
            <w:pPr>
              <w:pStyle w:val="Tabletext"/>
              <w:rPr>
                <w:b/>
                <w:bCs/>
                <w:i/>
                <w:iCs/>
                <w:sz w:val="20"/>
                <w:szCs w:val="20"/>
              </w:rPr>
            </w:pPr>
            <w:r w:rsidRPr="00185E7D">
              <w:t>0.95</w:t>
            </w:r>
          </w:p>
        </w:tc>
        <w:tc>
          <w:tcPr>
            <w:tcW w:w="2373" w:type="dxa"/>
            <w:tcBorders>
              <w:left w:val="single" w:sz="4" w:space="0" w:color="auto"/>
            </w:tcBorders>
            <w:shd w:val="clear" w:color="auto" w:fill="auto"/>
            <w:noWrap/>
            <w:vAlign w:val="bottom"/>
            <w:hideMark/>
          </w:tcPr>
          <w:p w14:paraId="506CA9D6" w14:textId="77777777" w:rsidR="00375729" w:rsidRPr="00185E7D" w:rsidRDefault="00375729" w:rsidP="006C4B85">
            <w:pPr>
              <w:pStyle w:val="Tabletext"/>
              <w:rPr>
                <w:i/>
                <w:iCs/>
                <w:sz w:val="20"/>
                <w:szCs w:val="20"/>
              </w:rPr>
            </w:pPr>
            <w:r w:rsidRPr="00185E7D">
              <w:t>K. Finan &amp; insur</w:t>
            </w:r>
          </w:p>
        </w:tc>
        <w:tc>
          <w:tcPr>
            <w:tcW w:w="963" w:type="dxa"/>
            <w:shd w:val="clear" w:color="auto" w:fill="auto"/>
            <w:noWrap/>
            <w:vAlign w:val="center"/>
            <w:hideMark/>
          </w:tcPr>
          <w:p w14:paraId="73BC517A" w14:textId="77777777" w:rsidR="00375729" w:rsidRPr="00185E7D" w:rsidRDefault="00375729" w:rsidP="006C4B85">
            <w:pPr>
              <w:pStyle w:val="Tabletext"/>
              <w:rPr>
                <w:b/>
                <w:bCs/>
                <w:i/>
                <w:iCs/>
                <w:sz w:val="20"/>
                <w:szCs w:val="20"/>
              </w:rPr>
            </w:pPr>
            <w:r w:rsidRPr="00185E7D">
              <w:t>22.8</w:t>
            </w:r>
          </w:p>
        </w:tc>
        <w:tc>
          <w:tcPr>
            <w:tcW w:w="1200" w:type="dxa"/>
            <w:shd w:val="clear" w:color="auto" w:fill="auto"/>
            <w:noWrap/>
            <w:vAlign w:val="center"/>
            <w:hideMark/>
          </w:tcPr>
          <w:p w14:paraId="1A8EB440" w14:textId="77777777" w:rsidR="00375729" w:rsidRPr="00185E7D" w:rsidRDefault="00375729" w:rsidP="006C4B85">
            <w:pPr>
              <w:pStyle w:val="Tabletext"/>
              <w:rPr>
                <w:b/>
                <w:bCs/>
                <w:i/>
                <w:iCs/>
                <w:sz w:val="20"/>
                <w:szCs w:val="20"/>
              </w:rPr>
            </w:pPr>
            <w:r w:rsidRPr="00185E7D">
              <w:t>0.94</w:t>
            </w:r>
          </w:p>
        </w:tc>
      </w:tr>
      <w:tr w:rsidR="00375729" w:rsidRPr="00185E7D" w14:paraId="694A9ACB" w14:textId="77777777" w:rsidTr="00301886">
        <w:trPr>
          <w:trHeight w:val="300"/>
        </w:trPr>
        <w:tc>
          <w:tcPr>
            <w:tcW w:w="2122" w:type="dxa"/>
            <w:shd w:val="clear" w:color="auto" w:fill="auto"/>
            <w:noWrap/>
            <w:vAlign w:val="bottom"/>
            <w:hideMark/>
          </w:tcPr>
          <w:p w14:paraId="4637B8AF" w14:textId="77777777" w:rsidR="00375729" w:rsidRPr="00185E7D" w:rsidRDefault="00375729" w:rsidP="006C4B85">
            <w:pPr>
              <w:pStyle w:val="Tabletext"/>
              <w:rPr>
                <w:b/>
                <w:bCs/>
                <w:i/>
                <w:iCs/>
                <w:sz w:val="20"/>
                <w:szCs w:val="20"/>
              </w:rPr>
            </w:pPr>
            <w:r w:rsidRPr="00185E7D">
              <w:t>D. EGWWS</w:t>
            </w:r>
          </w:p>
        </w:tc>
        <w:tc>
          <w:tcPr>
            <w:tcW w:w="963" w:type="dxa"/>
            <w:shd w:val="clear" w:color="auto" w:fill="auto"/>
            <w:noWrap/>
            <w:vAlign w:val="center"/>
            <w:hideMark/>
          </w:tcPr>
          <w:p w14:paraId="62B4F7B3" w14:textId="77777777" w:rsidR="00375729" w:rsidRPr="00185E7D" w:rsidRDefault="00375729" w:rsidP="006C4B85">
            <w:pPr>
              <w:pStyle w:val="Tabletext"/>
              <w:rPr>
                <w:b/>
                <w:bCs/>
                <w:i/>
                <w:iCs/>
                <w:sz w:val="20"/>
                <w:szCs w:val="20"/>
              </w:rPr>
            </w:pPr>
            <w:r w:rsidRPr="00185E7D">
              <w:t>8.8</w:t>
            </w:r>
          </w:p>
        </w:tc>
        <w:tc>
          <w:tcPr>
            <w:tcW w:w="1200" w:type="dxa"/>
            <w:tcBorders>
              <w:right w:val="single" w:sz="4" w:space="0" w:color="auto"/>
            </w:tcBorders>
            <w:shd w:val="clear" w:color="auto" w:fill="auto"/>
            <w:noWrap/>
            <w:vAlign w:val="center"/>
            <w:hideMark/>
          </w:tcPr>
          <w:p w14:paraId="538F7DF8" w14:textId="77777777" w:rsidR="00375729" w:rsidRPr="00185E7D" w:rsidRDefault="00375729" w:rsidP="006C4B85">
            <w:pPr>
              <w:pStyle w:val="Tabletext"/>
              <w:rPr>
                <w:b/>
                <w:bCs/>
                <w:i/>
                <w:iCs/>
                <w:sz w:val="20"/>
                <w:szCs w:val="20"/>
              </w:rPr>
            </w:pPr>
            <w:r w:rsidRPr="00185E7D">
              <w:t>0.55</w:t>
            </w:r>
          </w:p>
        </w:tc>
        <w:tc>
          <w:tcPr>
            <w:tcW w:w="2373" w:type="dxa"/>
            <w:tcBorders>
              <w:left w:val="single" w:sz="4" w:space="0" w:color="auto"/>
            </w:tcBorders>
            <w:shd w:val="clear" w:color="auto" w:fill="auto"/>
            <w:noWrap/>
            <w:vAlign w:val="bottom"/>
            <w:hideMark/>
          </w:tcPr>
          <w:p w14:paraId="42E07B2B" w14:textId="77777777" w:rsidR="00375729" w:rsidRPr="00185E7D" w:rsidRDefault="00375729" w:rsidP="006C4B85">
            <w:pPr>
              <w:pStyle w:val="Tabletext"/>
              <w:rPr>
                <w:b/>
                <w:bCs/>
                <w:i/>
                <w:iCs/>
                <w:sz w:val="20"/>
                <w:szCs w:val="20"/>
                <w:vertAlign w:val="superscript"/>
              </w:rPr>
            </w:pPr>
            <w:r w:rsidRPr="00185E7D">
              <w:t>L. Rental, hiring, RE</w:t>
            </w:r>
            <w:r w:rsidRPr="00185E7D">
              <w:rPr>
                <w:vertAlign w:val="superscript"/>
              </w:rPr>
              <w:t>b</w:t>
            </w:r>
          </w:p>
        </w:tc>
        <w:tc>
          <w:tcPr>
            <w:tcW w:w="963" w:type="dxa"/>
            <w:shd w:val="clear" w:color="auto" w:fill="auto"/>
            <w:noWrap/>
            <w:vAlign w:val="center"/>
            <w:hideMark/>
          </w:tcPr>
          <w:p w14:paraId="38E205ED" w14:textId="77777777" w:rsidR="00375729" w:rsidRPr="00185E7D" w:rsidRDefault="00375729" w:rsidP="006C4B85">
            <w:pPr>
              <w:pStyle w:val="Tabletext"/>
              <w:rPr>
                <w:b/>
                <w:bCs/>
                <w:i/>
                <w:iCs/>
                <w:sz w:val="20"/>
                <w:szCs w:val="20"/>
              </w:rPr>
            </w:pPr>
            <w:r w:rsidRPr="00185E7D">
              <w:t>11.8</w:t>
            </w:r>
          </w:p>
        </w:tc>
        <w:tc>
          <w:tcPr>
            <w:tcW w:w="1200" w:type="dxa"/>
            <w:shd w:val="clear" w:color="auto" w:fill="auto"/>
            <w:noWrap/>
            <w:vAlign w:val="center"/>
            <w:hideMark/>
          </w:tcPr>
          <w:p w14:paraId="520A1EC0" w14:textId="77777777" w:rsidR="00375729" w:rsidRPr="00185E7D" w:rsidRDefault="00375729" w:rsidP="006C4B85">
            <w:pPr>
              <w:pStyle w:val="Tabletext"/>
              <w:rPr>
                <w:b/>
                <w:bCs/>
                <w:i/>
                <w:iCs/>
                <w:sz w:val="20"/>
                <w:szCs w:val="20"/>
              </w:rPr>
            </w:pPr>
            <w:r w:rsidRPr="00185E7D">
              <w:t>0.97</w:t>
            </w:r>
          </w:p>
        </w:tc>
      </w:tr>
      <w:tr w:rsidR="00375729" w:rsidRPr="00185E7D" w14:paraId="4DA7B8D0" w14:textId="77777777" w:rsidTr="00301886">
        <w:trPr>
          <w:trHeight w:val="300"/>
        </w:trPr>
        <w:tc>
          <w:tcPr>
            <w:tcW w:w="2122" w:type="dxa"/>
            <w:shd w:val="clear" w:color="auto" w:fill="auto"/>
            <w:noWrap/>
            <w:vAlign w:val="bottom"/>
            <w:hideMark/>
          </w:tcPr>
          <w:p w14:paraId="6E213EED" w14:textId="77777777" w:rsidR="00375729" w:rsidRPr="00185E7D" w:rsidRDefault="00375729" w:rsidP="006C4B85">
            <w:pPr>
              <w:pStyle w:val="Tabletext"/>
              <w:rPr>
                <w:b/>
                <w:bCs/>
                <w:i/>
                <w:iCs/>
                <w:sz w:val="20"/>
                <w:szCs w:val="20"/>
              </w:rPr>
            </w:pPr>
            <w:r w:rsidRPr="00185E7D">
              <w:t>E. Construction</w:t>
            </w:r>
          </w:p>
        </w:tc>
        <w:tc>
          <w:tcPr>
            <w:tcW w:w="963" w:type="dxa"/>
            <w:shd w:val="clear" w:color="auto" w:fill="auto"/>
            <w:noWrap/>
            <w:vAlign w:val="center"/>
            <w:hideMark/>
          </w:tcPr>
          <w:p w14:paraId="0C77FA7E" w14:textId="77777777" w:rsidR="00375729" w:rsidRPr="00185E7D" w:rsidRDefault="00375729" w:rsidP="006C4B85">
            <w:pPr>
              <w:pStyle w:val="Tabletext"/>
              <w:rPr>
                <w:b/>
                <w:bCs/>
                <w:i/>
                <w:iCs/>
                <w:sz w:val="20"/>
                <w:szCs w:val="20"/>
              </w:rPr>
            </w:pPr>
            <w:r w:rsidRPr="00185E7D">
              <w:t>5.1</w:t>
            </w:r>
          </w:p>
        </w:tc>
        <w:tc>
          <w:tcPr>
            <w:tcW w:w="1200" w:type="dxa"/>
            <w:tcBorders>
              <w:right w:val="single" w:sz="4" w:space="0" w:color="auto"/>
            </w:tcBorders>
            <w:shd w:val="clear" w:color="auto" w:fill="auto"/>
            <w:noWrap/>
            <w:vAlign w:val="center"/>
            <w:hideMark/>
          </w:tcPr>
          <w:p w14:paraId="71D178EE" w14:textId="77777777" w:rsidR="00375729" w:rsidRPr="00185E7D" w:rsidRDefault="00375729" w:rsidP="006C4B85">
            <w:pPr>
              <w:pStyle w:val="Tabletext"/>
              <w:rPr>
                <w:b/>
                <w:bCs/>
                <w:i/>
                <w:iCs/>
                <w:sz w:val="20"/>
                <w:szCs w:val="20"/>
              </w:rPr>
            </w:pPr>
            <w:r w:rsidRPr="00185E7D">
              <w:t>0.91</w:t>
            </w:r>
          </w:p>
        </w:tc>
        <w:tc>
          <w:tcPr>
            <w:tcW w:w="2373" w:type="dxa"/>
            <w:tcBorders>
              <w:left w:val="single" w:sz="4" w:space="0" w:color="auto"/>
            </w:tcBorders>
            <w:shd w:val="clear" w:color="auto" w:fill="auto"/>
            <w:noWrap/>
            <w:vAlign w:val="bottom"/>
            <w:hideMark/>
          </w:tcPr>
          <w:p w14:paraId="0C193568" w14:textId="77777777" w:rsidR="00375729" w:rsidRPr="00185E7D" w:rsidRDefault="00375729" w:rsidP="006C4B85">
            <w:pPr>
              <w:pStyle w:val="Tabletext"/>
              <w:rPr>
                <w:b/>
                <w:bCs/>
                <w:i/>
                <w:iCs/>
                <w:sz w:val="20"/>
                <w:szCs w:val="20"/>
                <w:vertAlign w:val="superscript"/>
              </w:rPr>
            </w:pPr>
            <w:r w:rsidRPr="00185E7D">
              <w:t>M. Prof, scien, tech</w:t>
            </w:r>
            <w:r w:rsidRPr="00185E7D">
              <w:rPr>
                <w:vertAlign w:val="superscript"/>
              </w:rPr>
              <w:t>b</w:t>
            </w:r>
          </w:p>
        </w:tc>
        <w:tc>
          <w:tcPr>
            <w:tcW w:w="963" w:type="dxa"/>
            <w:shd w:val="clear" w:color="auto" w:fill="auto"/>
            <w:noWrap/>
            <w:vAlign w:val="center"/>
            <w:hideMark/>
          </w:tcPr>
          <w:p w14:paraId="3E227C78" w14:textId="77777777" w:rsidR="00375729" w:rsidRPr="00185E7D" w:rsidRDefault="00375729" w:rsidP="006C4B85">
            <w:pPr>
              <w:pStyle w:val="Tabletext"/>
              <w:rPr>
                <w:b/>
                <w:bCs/>
                <w:i/>
                <w:iCs/>
              </w:rPr>
            </w:pPr>
            <w:r w:rsidRPr="00185E7D">
              <w:t>11.8</w:t>
            </w:r>
          </w:p>
        </w:tc>
        <w:tc>
          <w:tcPr>
            <w:tcW w:w="1200" w:type="dxa"/>
            <w:shd w:val="clear" w:color="auto" w:fill="auto"/>
            <w:noWrap/>
            <w:vAlign w:val="center"/>
            <w:hideMark/>
          </w:tcPr>
          <w:p w14:paraId="4C0DEF72" w14:textId="77777777" w:rsidR="00375729" w:rsidRPr="00185E7D" w:rsidRDefault="00375729" w:rsidP="006C4B85">
            <w:pPr>
              <w:pStyle w:val="Tabletext"/>
              <w:rPr>
                <w:b/>
                <w:bCs/>
                <w:i/>
                <w:iCs/>
                <w:sz w:val="20"/>
                <w:szCs w:val="20"/>
              </w:rPr>
            </w:pPr>
            <w:r w:rsidRPr="00185E7D">
              <w:t>0.98</w:t>
            </w:r>
          </w:p>
        </w:tc>
      </w:tr>
      <w:tr w:rsidR="00375729" w:rsidRPr="00185E7D" w14:paraId="03B47952" w14:textId="77777777" w:rsidTr="00301886">
        <w:trPr>
          <w:trHeight w:val="300"/>
        </w:trPr>
        <w:tc>
          <w:tcPr>
            <w:tcW w:w="2122" w:type="dxa"/>
            <w:shd w:val="clear" w:color="auto" w:fill="auto"/>
            <w:noWrap/>
            <w:vAlign w:val="bottom"/>
            <w:hideMark/>
          </w:tcPr>
          <w:p w14:paraId="3669D995" w14:textId="77777777" w:rsidR="00375729" w:rsidRPr="00185E7D" w:rsidRDefault="00375729" w:rsidP="006C4B85">
            <w:pPr>
              <w:pStyle w:val="Tabletext"/>
              <w:rPr>
                <w:b/>
                <w:bCs/>
                <w:i/>
                <w:iCs/>
                <w:sz w:val="20"/>
                <w:szCs w:val="20"/>
              </w:rPr>
            </w:pPr>
            <w:r w:rsidRPr="00185E7D">
              <w:t>F. Wholesale</w:t>
            </w:r>
          </w:p>
        </w:tc>
        <w:tc>
          <w:tcPr>
            <w:tcW w:w="963" w:type="dxa"/>
            <w:shd w:val="clear" w:color="auto" w:fill="auto"/>
            <w:noWrap/>
            <w:vAlign w:val="center"/>
            <w:hideMark/>
          </w:tcPr>
          <w:p w14:paraId="15CCF0B0" w14:textId="77777777" w:rsidR="00375729" w:rsidRPr="00185E7D" w:rsidRDefault="00375729" w:rsidP="006C4B85">
            <w:pPr>
              <w:pStyle w:val="Tabletext"/>
              <w:rPr>
                <w:b/>
                <w:bCs/>
                <w:i/>
                <w:iCs/>
                <w:sz w:val="20"/>
                <w:szCs w:val="20"/>
              </w:rPr>
            </w:pPr>
            <w:r w:rsidRPr="00185E7D">
              <w:t>13.3</w:t>
            </w:r>
          </w:p>
        </w:tc>
        <w:tc>
          <w:tcPr>
            <w:tcW w:w="1200" w:type="dxa"/>
            <w:tcBorders>
              <w:right w:val="single" w:sz="4" w:space="0" w:color="auto"/>
            </w:tcBorders>
            <w:shd w:val="clear" w:color="auto" w:fill="auto"/>
            <w:noWrap/>
            <w:vAlign w:val="center"/>
            <w:hideMark/>
          </w:tcPr>
          <w:p w14:paraId="723A5552" w14:textId="77777777" w:rsidR="00375729" w:rsidRPr="00185E7D" w:rsidRDefault="00375729" w:rsidP="006C4B85">
            <w:pPr>
              <w:pStyle w:val="Tabletext"/>
              <w:rPr>
                <w:b/>
                <w:bCs/>
                <w:i/>
                <w:iCs/>
                <w:sz w:val="20"/>
                <w:szCs w:val="20"/>
              </w:rPr>
            </w:pPr>
            <w:r w:rsidRPr="00185E7D">
              <w:t>0.98</w:t>
            </w:r>
          </w:p>
        </w:tc>
        <w:tc>
          <w:tcPr>
            <w:tcW w:w="2373" w:type="dxa"/>
            <w:tcBorders>
              <w:left w:val="single" w:sz="4" w:space="0" w:color="auto"/>
            </w:tcBorders>
            <w:shd w:val="clear" w:color="auto" w:fill="auto"/>
            <w:noWrap/>
            <w:vAlign w:val="bottom"/>
            <w:hideMark/>
          </w:tcPr>
          <w:p w14:paraId="42E80C45" w14:textId="77777777" w:rsidR="00375729" w:rsidRPr="00185E7D" w:rsidRDefault="00375729" w:rsidP="006C4B85">
            <w:pPr>
              <w:pStyle w:val="Tabletext"/>
              <w:rPr>
                <w:b/>
                <w:bCs/>
                <w:i/>
                <w:iCs/>
                <w:sz w:val="20"/>
                <w:szCs w:val="20"/>
                <w:vertAlign w:val="superscript"/>
              </w:rPr>
            </w:pPr>
            <w:r w:rsidRPr="00185E7D">
              <w:t>N. Admin support</w:t>
            </w:r>
            <w:r w:rsidRPr="00185E7D">
              <w:rPr>
                <w:vertAlign w:val="superscript"/>
              </w:rPr>
              <w:t>b</w:t>
            </w:r>
          </w:p>
        </w:tc>
        <w:tc>
          <w:tcPr>
            <w:tcW w:w="963" w:type="dxa"/>
            <w:shd w:val="clear" w:color="auto" w:fill="auto"/>
            <w:noWrap/>
            <w:vAlign w:val="center"/>
            <w:hideMark/>
          </w:tcPr>
          <w:p w14:paraId="5B2B990B" w14:textId="77777777" w:rsidR="00375729" w:rsidRPr="00185E7D" w:rsidRDefault="00375729" w:rsidP="006C4B85">
            <w:pPr>
              <w:pStyle w:val="Tabletext"/>
              <w:rPr>
                <w:b/>
                <w:bCs/>
                <w:i/>
                <w:iCs/>
                <w:sz w:val="20"/>
                <w:szCs w:val="20"/>
              </w:rPr>
            </w:pPr>
            <w:r w:rsidRPr="00185E7D">
              <w:t>11.9</w:t>
            </w:r>
          </w:p>
        </w:tc>
        <w:tc>
          <w:tcPr>
            <w:tcW w:w="1200" w:type="dxa"/>
            <w:shd w:val="clear" w:color="auto" w:fill="auto"/>
            <w:noWrap/>
            <w:vAlign w:val="center"/>
            <w:hideMark/>
          </w:tcPr>
          <w:p w14:paraId="329B1D01" w14:textId="77777777" w:rsidR="00375729" w:rsidRPr="00185E7D" w:rsidRDefault="00375729" w:rsidP="006C4B85">
            <w:pPr>
              <w:pStyle w:val="Tabletext"/>
              <w:rPr>
                <w:b/>
                <w:bCs/>
                <w:i/>
                <w:iCs/>
                <w:sz w:val="20"/>
                <w:szCs w:val="20"/>
              </w:rPr>
            </w:pPr>
            <w:r w:rsidRPr="00185E7D">
              <w:t>0.98</w:t>
            </w:r>
          </w:p>
        </w:tc>
      </w:tr>
      <w:tr w:rsidR="00375729" w:rsidRPr="00185E7D" w14:paraId="232106B8" w14:textId="77777777" w:rsidTr="00301886">
        <w:trPr>
          <w:trHeight w:val="300"/>
        </w:trPr>
        <w:tc>
          <w:tcPr>
            <w:tcW w:w="2122" w:type="dxa"/>
            <w:shd w:val="clear" w:color="auto" w:fill="auto"/>
            <w:noWrap/>
            <w:vAlign w:val="bottom"/>
            <w:hideMark/>
          </w:tcPr>
          <w:p w14:paraId="3D9EFCFB" w14:textId="77777777" w:rsidR="00375729" w:rsidRPr="00185E7D" w:rsidRDefault="00375729" w:rsidP="006C4B85">
            <w:pPr>
              <w:pStyle w:val="Tabletext"/>
              <w:rPr>
                <w:b/>
                <w:bCs/>
                <w:i/>
                <w:iCs/>
                <w:sz w:val="20"/>
                <w:szCs w:val="20"/>
              </w:rPr>
            </w:pPr>
            <w:r w:rsidRPr="00185E7D">
              <w:t>G. Retail</w:t>
            </w:r>
          </w:p>
        </w:tc>
        <w:tc>
          <w:tcPr>
            <w:tcW w:w="963" w:type="dxa"/>
            <w:shd w:val="clear" w:color="auto" w:fill="auto"/>
            <w:noWrap/>
            <w:vAlign w:val="center"/>
            <w:hideMark/>
          </w:tcPr>
          <w:p w14:paraId="175BF9E2" w14:textId="77777777" w:rsidR="00375729" w:rsidRPr="00185E7D" w:rsidRDefault="00375729" w:rsidP="006C4B85">
            <w:pPr>
              <w:pStyle w:val="Tabletext"/>
              <w:rPr>
                <w:b/>
                <w:bCs/>
                <w:i/>
                <w:iCs/>
                <w:sz w:val="20"/>
                <w:szCs w:val="20"/>
              </w:rPr>
            </w:pPr>
            <w:r w:rsidRPr="00185E7D">
              <w:t>7.4</w:t>
            </w:r>
          </w:p>
        </w:tc>
        <w:tc>
          <w:tcPr>
            <w:tcW w:w="1200" w:type="dxa"/>
            <w:tcBorders>
              <w:right w:val="single" w:sz="4" w:space="0" w:color="auto"/>
            </w:tcBorders>
            <w:shd w:val="clear" w:color="auto" w:fill="auto"/>
            <w:noWrap/>
            <w:vAlign w:val="center"/>
            <w:hideMark/>
          </w:tcPr>
          <w:p w14:paraId="3E8E1EA1" w14:textId="77777777" w:rsidR="00375729" w:rsidRPr="00185E7D" w:rsidRDefault="00375729" w:rsidP="006C4B85">
            <w:pPr>
              <w:pStyle w:val="Tabletext"/>
              <w:rPr>
                <w:b/>
                <w:bCs/>
                <w:i/>
                <w:iCs/>
                <w:sz w:val="20"/>
                <w:szCs w:val="20"/>
              </w:rPr>
            </w:pPr>
            <w:r w:rsidRPr="00185E7D">
              <w:t>0.98</w:t>
            </w:r>
          </w:p>
        </w:tc>
        <w:tc>
          <w:tcPr>
            <w:tcW w:w="2373" w:type="dxa"/>
            <w:tcBorders>
              <w:left w:val="single" w:sz="4" w:space="0" w:color="auto"/>
            </w:tcBorders>
            <w:shd w:val="clear" w:color="auto" w:fill="auto"/>
            <w:noWrap/>
            <w:vAlign w:val="bottom"/>
            <w:hideMark/>
          </w:tcPr>
          <w:p w14:paraId="6D39E3EC" w14:textId="77777777" w:rsidR="00375729" w:rsidRPr="00185E7D" w:rsidRDefault="00375729" w:rsidP="006C4B85">
            <w:pPr>
              <w:pStyle w:val="Tabletext"/>
              <w:rPr>
                <w:b/>
                <w:bCs/>
                <w:i/>
                <w:iCs/>
                <w:sz w:val="20"/>
                <w:szCs w:val="20"/>
              </w:rPr>
            </w:pPr>
            <w:r w:rsidRPr="00185E7D">
              <w:t>R. Arts &amp; rec</w:t>
            </w:r>
          </w:p>
        </w:tc>
        <w:tc>
          <w:tcPr>
            <w:tcW w:w="963" w:type="dxa"/>
            <w:shd w:val="clear" w:color="auto" w:fill="auto"/>
            <w:noWrap/>
            <w:vAlign w:val="center"/>
            <w:hideMark/>
          </w:tcPr>
          <w:p w14:paraId="60E9C1FA" w14:textId="77777777" w:rsidR="00375729" w:rsidRPr="00185E7D" w:rsidRDefault="00375729" w:rsidP="006C4B85">
            <w:pPr>
              <w:pStyle w:val="Tabletext"/>
              <w:rPr>
                <w:b/>
                <w:bCs/>
                <w:i/>
                <w:iCs/>
                <w:sz w:val="20"/>
                <w:szCs w:val="20"/>
              </w:rPr>
            </w:pPr>
            <w:r w:rsidRPr="00185E7D">
              <w:t>6.0</w:t>
            </w:r>
          </w:p>
        </w:tc>
        <w:tc>
          <w:tcPr>
            <w:tcW w:w="1200" w:type="dxa"/>
            <w:shd w:val="clear" w:color="auto" w:fill="auto"/>
            <w:noWrap/>
            <w:vAlign w:val="center"/>
            <w:hideMark/>
          </w:tcPr>
          <w:p w14:paraId="02C38DBC" w14:textId="77777777" w:rsidR="00375729" w:rsidRPr="00185E7D" w:rsidRDefault="00375729" w:rsidP="006C4B85">
            <w:pPr>
              <w:pStyle w:val="Tabletext"/>
              <w:rPr>
                <w:b/>
                <w:bCs/>
                <w:i/>
                <w:iCs/>
                <w:sz w:val="20"/>
                <w:szCs w:val="20"/>
              </w:rPr>
            </w:pPr>
            <w:r w:rsidRPr="00185E7D">
              <w:t>0.85</w:t>
            </w:r>
          </w:p>
        </w:tc>
      </w:tr>
      <w:tr w:rsidR="00375729" w:rsidRPr="00185E7D" w14:paraId="22732B5A" w14:textId="77777777" w:rsidTr="00301886">
        <w:trPr>
          <w:trHeight w:val="300"/>
        </w:trPr>
        <w:tc>
          <w:tcPr>
            <w:tcW w:w="2122" w:type="dxa"/>
            <w:shd w:val="clear" w:color="auto" w:fill="auto"/>
            <w:noWrap/>
            <w:vAlign w:val="bottom"/>
            <w:hideMark/>
          </w:tcPr>
          <w:p w14:paraId="450B74C5" w14:textId="77777777" w:rsidR="00375729" w:rsidRPr="00185E7D" w:rsidRDefault="00375729" w:rsidP="006C4B85">
            <w:pPr>
              <w:pStyle w:val="Tabletext"/>
              <w:rPr>
                <w:b/>
                <w:bCs/>
                <w:i/>
                <w:iCs/>
                <w:sz w:val="20"/>
                <w:szCs w:val="20"/>
              </w:rPr>
            </w:pPr>
            <w:r w:rsidRPr="00185E7D">
              <w:t>H. Accom &amp; food</w:t>
            </w:r>
          </w:p>
        </w:tc>
        <w:tc>
          <w:tcPr>
            <w:tcW w:w="963" w:type="dxa"/>
            <w:shd w:val="clear" w:color="auto" w:fill="auto"/>
            <w:noWrap/>
            <w:vAlign w:val="center"/>
            <w:hideMark/>
          </w:tcPr>
          <w:p w14:paraId="638B95B0" w14:textId="77777777" w:rsidR="00375729" w:rsidRPr="00185E7D" w:rsidRDefault="00375729" w:rsidP="006C4B85">
            <w:pPr>
              <w:pStyle w:val="Tabletext"/>
              <w:rPr>
                <w:b/>
                <w:bCs/>
                <w:i/>
                <w:iCs/>
                <w:sz w:val="20"/>
                <w:szCs w:val="20"/>
              </w:rPr>
            </w:pPr>
            <w:r w:rsidRPr="00185E7D">
              <w:t>1.3</w:t>
            </w:r>
          </w:p>
        </w:tc>
        <w:tc>
          <w:tcPr>
            <w:tcW w:w="1200" w:type="dxa"/>
            <w:tcBorders>
              <w:bottom w:val="single" w:sz="4" w:space="0" w:color="auto"/>
              <w:right w:val="single" w:sz="4" w:space="0" w:color="auto"/>
            </w:tcBorders>
            <w:shd w:val="clear" w:color="auto" w:fill="auto"/>
            <w:noWrap/>
            <w:vAlign w:val="center"/>
            <w:hideMark/>
          </w:tcPr>
          <w:p w14:paraId="7CFA5EE5" w14:textId="77777777" w:rsidR="00375729" w:rsidRPr="00185E7D" w:rsidRDefault="00375729" w:rsidP="006C4B85">
            <w:pPr>
              <w:pStyle w:val="Tabletext"/>
              <w:rPr>
                <w:b/>
                <w:bCs/>
                <w:i/>
                <w:iCs/>
                <w:sz w:val="20"/>
                <w:szCs w:val="20"/>
              </w:rPr>
            </w:pPr>
            <w:r w:rsidRPr="00185E7D">
              <w:t>0.67</w:t>
            </w:r>
          </w:p>
        </w:tc>
        <w:tc>
          <w:tcPr>
            <w:tcW w:w="2373" w:type="dxa"/>
            <w:tcBorders>
              <w:left w:val="single" w:sz="4" w:space="0" w:color="auto"/>
            </w:tcBorders>
            <w:shd w:val="clear" w:color="auto" w:fill="auto"/>
            <w:noWrap/>
            <w:vAlign w:val="bottom"/>
            <w:hideMark/>
          </w:tcPr>
          <w:p w14:paraId="2C176EDA" w14:textId="77777777" w:rsidR="00375729" w:rsidRPr="00185E7D" w:rsidRDefault="00375729" w:rsidP="006C4B85">
            <w:pPr>
              <w:pStyle w:val="Tabletext"/>
              <w:rPr>
                <w:b/>
                <w:bCs/>
                <w:i/>
                <w:iCs/>
                <w:sz w:val="20"/>
                <w:szCs w:val="20"/>
                <w:vertAlign w:val="superscript"/>
              </w:rPr>
            </w:pPr>
            <w:r w:rsidRPr="00185E7D">
              <w:t>S. Other services</w:t>
            </w:r>
            <w:r w:rsidRPr="00185E7D">
              <w:rPr>
                <w:vertAlign w:val="superscript"/>
              </w:rPr>
              <w:t>b</w:t>
            </w:r>
          </w:p>
        </w:tc>
        <w:tc>
          <w:tcPr>
            <w:tcW w:w="963" w:type="dxa"/>
            <w:shd w:val="clear" w:color="auto" w:fill="auto"/>
            <w:noWrap/>
            <w:vAlign w:val="center"/>
            <w:hideMark/>
          </w:tcPr>
          <w:p w14:paraId="1A047E2F" w14:textId="77777777" w:rsidR="00375729" w:rsidRPr="00185E7D" w:rsidRDefault="00375729" w:rsidP="006C4B85">
            <w:pPr>
              <w:pStyle w:val="Tabletext"/>
              <w:rPr>
                <w:b/>
                <w:bCs/>
                <w:i/>
                <w:iCs/>
                <w:sz w:val="20"/>
                <w:szCs w:val="20"/>
              </w:rPr>
            </w:pPr>
            <w:r w:rsidRPr="00185E7D">
              <w:t>2.1</w:t>
            </w:r>
          </w:p>
        </w:tc>
        <w:tc>
          <w:tcPr>
            <w:tcW w:w="1200" w:type="dxa"/>
            <w:shd w:val="clear" w:color="auto" w:fill="auto"/>
            <w:noWrap/>
            <w:vAlign w:val="center"/>
            <w:hideMark/>
          </w:tcPr>
          <w:p w14:paraId="39699483" w14:textId="77777777" w:rsidR="00375729" w:rsidRPr="00185E7D" w:rsidRDefault="00375729" w:rsidP="006C4B85">
            <w:pPr>
              <w:pStyle w:val="Tabletext"/>
              <w:rPr>
                <w:b/>
                <w:bCs/>
                <w:i/>
                <w:iCs/>
                <w:sz w:val="20"/>
                <w:szCs w:val="20"/>
              </w:rPr>
            </w:pPr>
            <w:r w:rsidRPr="00185E7D">
              <w:t>0.03</w:t>
            </w:r>
          </w:p>
        </w:tc>
      </w:tr>
    </w:tbl>
    <w:p w14:paraId="3752D34B" w14:textId="77777777" w:rsidR="00375729" w:rsidRPr="00185E7D" w:rsidRDefault="00375729" w:rsidP="0058764D">
      <w:pPr>
        <w:pStyle w:val="SourceNotes"/>
      </w:pPr>
      <w:r w:rsidRPr="00185E7D">
        <w:fldChar w:fldCharType="end"/>
      </w:r>
      <w:r w:rsidRPr="00185E7D">
        <w:t>Notes: a. Determined from growth in quality-adjusted labour input (see section 4)</w:t>
      </w:r>
      <w:r w:rsidR="0058764D">
        <w:t>.</w:t>
      </w:r>
      <w:r>
        <w:t xml:space="preserve"> </w:t>
      </w:r>
      <w:r w:rsidRPr="00185E7D">
        <w:t>b. For 1994–95 to 2013–14</w:t>
      </w:r>
    </w:p>
    <w:p w14:paraId="7F80B58A" w14:textId="77777777" w:rsidR="00375729" w:rsidRPr="00185E7D" w:rsidRDefault="00375729" w:rsidP="00012248">
      <w:pPr>
        <w:pStyle w:val="SourceNotes"/>
      </w:pPr>
      <w:r w:rsidRPr="00185E7D">
        <w:t>Source: Author estimates</w:t>
      </w:r>
    </w:p>
    <w:p w14:paraId="07C17269" w14:textId="77777777" w:rsidR="00375729" w:rsidRPr="00C519A8" w:rsidRDefault="00375729" w:rsidP="00375729">
      <w:pPr>
        <w:pStyle w:val="BodyTextNoIndent"/>
      </w:pPr>
      <w:r w:rsidRPr="00C519A8">
        <w:t>The strongest growth in skill (22.8 per cent) has been in FIS where there was also a very high correlation with IT use. There was middle-order growth in skills in wholesale trade, IMT, RHRE, PST and administrative and support services, all with a high degree of correlation with IT.</w:t>
      </w:r>
    </w:p>
    <w:p w14:paraId="234EE29D" w14:textId="77777777" w:rsidR="00375729" w:rsidRPr="00C519A8" w:rsidRDefault="00375729" w:rsidP="00375729">
      <w:pPr>
        <w:pStyle w:val="BodyTextNoIndent"/>
      </w:pPr>
      <w:r w:rsidRPr="00C519A8">
        <w:t>While this examination is not rigorous it is sufficient to suggest that skills have been part of the dynamics of some industries and that IT may well have been an associated factor.</w:t>
      </w:r>
    </w:p>
    <w:p w14:paraId="24586AEB" w14:textId="77777777" w:rsidR="00375729" w:rsidRPr="00185E7D" w:rsidRDefault="00375729" w:rsidP="00F37FA2">
      <w:pPr>
        <w:pStyle w:val="BCRHead2"/>
      </w:pPr>
      <w:bookmarkStart w:id="87" w:name="_Toc436920450"/>
      <w:r w:rsidRPr="00185E7D">
        <w:t>6.3</w:t>
      </w:r>
      <w:r w:rsidRPr="00185E7D">
        <w:tab/>
        <w:t>Industry highlights</w:t>
      </w:r>
      <w:bookmarkEnd w:id="87"/>
    </w:p>
    <w:p w14:paraId="6F0A7097" w14:textId="77777777" w:rsidR="00375729" w:rsidRPr="00C519A8" w:rsidRDefault="00375729" w:rsidP="00375729">
      <w:pPr>
        <w:pStyle w:val="BodyTextNoIndent"/>
      </w:pPr>
      <w:r w:rsidRPr="00C519A8">
        <w:t>There is wide variation across industries in the intensity of their IT use and their productivity performance.</w:t>
      </w:r>
    </w:p>
    <w:p w14:paraId="7E8E4C09" w14:textId="77777777" w:rsidR="00375729" w:rsidRPr="00185E7D" w:rsidRDefault="00375729" w:rsidP="00F37FA2">
      <w:pPr>
        <w:pStyle w:val="BCRHead3"/>
      </w:pPr>
      <w:bookmarkStart w:id="88" w:name="_Toc436909171"/>
      <w:bookmarkStart w:id="89" w:name="_Toc436920451"/>
      <w:r w:rsidRPr="00185E7D">
        <w:t>6.3.1</w:t>
      </w:r>
      <w:r w:rsidRPr="00185E7D">
        <w:tab/>
        <w:t>Financial and insurance services</w:t>
      </w:r>
      <w:bookmarkEnd w:id="88"/>
      <w:bookmarkEnd w:id="89"/>
    </w:p>
    <w:p w14:paraId="3407E6C9" w14:textId="77777777" w:rsidR="00375729" w:rsidRPr="00C519A8" w:rsidRDefault="00375729" w:rsidP="00375729">
      <w:pPr>
        <w:pStyle w:val="BodyTextNoIndent"/>
      </w:pPr>
      <w:r w:rsidRPr="00C519A8">
        <w:t xml:space="preserve">Financial and insurance services provides the clearest evidence that strong productivity performance has been associated with IT use. </w:t>
      </w:r>
    </w:p>
    <w:p w14:paraId="2E2D8E0E" w14:textId="77777777" w:rsidR="00375729" w:rsidRPr="00C519A8" w:rsidRDefault="00375729" w:rsidP="00375729">
      <w:pPr>
        <w:pStyle w:val="BodyTextNoIndent"/>
      </w:pPr>
      <w:r>
        <w:t>Figure 6.9</w:t>
      </w:r>
      <w:r w:rsidRPr="00C519A8">
        <w:t xml:space="preserve"> shows the strong growth in IT from the mid-1990s, with very strong contributions from both hardware and software. The mid-1990s to the mid-2000s was evidently a period of strong IT capital deepening since, not only was IT growth strong, but labour growth was also weak.</w:t>
      </w:r>
    </w:p>
    <w:p w14:paraId="24AF6B2E" w14:textId="77777777" w:rsidR="00375729" w:rsidRPr="00185E7D" w:rsidRDefault="00375729" w:rsidP="006C4B85">
      <w:pPr>
        <w:pStyle w:val="Figurecaption"/>
      </w:pPr>
      <w:r w:rsidRPr="00185E7D">
        <w:t>Figure 6.</w:t>
      </w:r>
      <w:r>
        <w:t>10</w:t>
      </w:r>
      <w:r w:rsidRPr="00185E7D">
        <w:t>: Contributions of hardware and software to IT growth (</w:t>
      </w:r>
      <w:r w:rsidRPr="0007787F">
        <w:t>pp) and labour growth (%) in financial and insurance services</w:t>
      </w:r>
    </w:p>
    <w:p w14:paraId="78AF911C" w14:textId="6D5DFEA4"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08CF81D5" wp14:editId="14F3F07F">
            <wp:extent cx="4584700" cy="2755900"/>
            <wp:effectExtent l="0" t="0" r="635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25ED15E" w14:textId="77777777" w:rsidR="00375729" w:rsidRPr="00185E7D" w:rsidRDefault="00375729" w:rsidP="00012248">
      <w:pPr>
        <w:pStyle w:val="SourceNotes"/>
      </w:pPr>
      <w:r w:rsidRPr="00185E7D">
        <w:t>Source: Author estimates</w:t>
      </w:r>
    </w:p>
    <w:p w14:paraId="0A92AFBC" w14:textId="77777777" w:rsidR="00375729" w:rsidRPr="00C519A8" w:rsidRDefault="00375729" w:rsidP="00375729">
      <w:pPr>
        <w:pStyle w:val="BodyTextNoIndent"/>
      </w:pPr>
      <w:r w:rsidRPr="00C519A8">
        <w:t>IT capital deepening indeed made a strong contribution to LP growth through this period. Labour productivity growth in the two productivity cycles within 1993–94 to 2007–08 was strong at 4.4 and 3.5 per cent a year. IT capital deepening accounted for around 1.9 percentage points or 40</w:t>
      </w:r>
      <w:r w:rsidR="00D907E7">
        <w:noBreakHyphen/>
      </w:r>
      <w:r w:rsidRPr="00C519A8">
        <w:t>50</w:t>
      </w:r>
      <w:r w:rsidR="00D907E7">
        <w:t> </w:t>
      </w:r>
      <w:r w:rsidRPr="00C519A8">
        <w:t>per</w:t>
      </w:r>
      <w:r w:rsidR="00D907E7">
        <w:t> </w:t>
      </w:r>
      <w:r w:rsidRPr="00C519A8">
        <w:t xml:space="preserve">cent of that growth. </w:t>
      </w:r>
    </w:p>
    <w:p w14:paraId="386C75B3" w14:textId="77777777" w:rsidR="00375729" w:rsidRPr="00C519A8" w:rsidRDefault="00375729" w:rsidP="00375729">
      <w:pPr>
        <w:pStyle w:val="BodyTextNoIndent"/>
      </w:pPr>
      <w:r w:rsidRPr="00C519A8">
        <w:t>That is, without much change in the quantity of labour used, strong growth in IT played an important part in enabling the industry to generate more output. However, as just noted, there was strong growth in skilled labour—the strongest of all industries.</w:t>
      </w:r>
    </w:p>
    <w:p w14:paraId="33EC198D" w14:textId="77777777" w:rsidR="00375729" w:rsidRPr="00C519A8" w:rsidRDefault="00375729" w:rsidP="00375729">
      <w:pPr>
        <w:pStyle w:val="BodyTextNoIndent"/>
      </w:pPr>
      <w:r w:rsidRPr="00C519A8">
        <w:t>FIS also showed the strongest improvement in non-IT capital productivity (Figure 6.5). From 1989</w:t>
      </w:r>
      <w:r w:rsidR="00D907E7">
        <w:noBreakHyphen/>
      </w:r>
      <w:r w:rsidRPr="00C519A8">
        <w:t>90, the productivity of non-IT assets picked up by 125 per cent. A lot of this improvement came from lower unit requirements for buildings (non-dwelling construction), which represents about half of capital costs in FIS. The productivity improvements for this asset class and two others—land (11</w:t>
      </w:r>
      <w:r w:rsidR="00D907E7">
        <w:t> </w:t>
      </w:r>
      <w:r w:rsidRPr="00C519A8">
        <w:t>per</w:t>
      </w:r>
      <w:r w:rsidR="00D907E7">
        <w:t> </w:t>
      </w:r>
      <w:r w:rsidRPr="00C519A8">
        <w:t>cent of capital costs) and road vehicles (</w:t>
      </w:r>
      <w:r w:rsidR="00D907E7">
        <w:t>7</w:t>
      </w:r>
      <w:r w:rsidR="00D907E7" w:rsidRPr="00C519A8">
        <w:t xml:space="preserve"> </w:t>
      </w:r>
      <w:r w:rsidRPr="00C519A8">
        <w:t>per cent)—are shown in Figure 6.11.</w:t>
      </w:r>
    </w:p>
    <w:p w14:paraId="039D165C" w14:textId="77777777" w:rsidR="00375729" w:rsidRPr="00C519A8" w:rsidRDefault="00375729" w:rsidP="00375729">
      <w:pPr>
        <w:pStyle w:val="BodyTextNoIndent"/>
      </w:pPr>
      <w:r w:rsidRPr="00C519A8">
        <w:t>The productivities of these assets rose by 65 per cent for buildings and by 100 per cent for land and road vehicles until 2007–08. After that, the asset productivities stagnated or declined.</w:t>
      </w:r>
    </w:p>
    <w:p w14:paraId="3C6F7C9F" w14:textId="77777777" w:rsidR="00375729" w:rsidRPr="00185E7D" w:rsidRDefault="00375729" w:rsidP="006C4B85">
      <w:pPr>
        <w:pStyle w:val="Figurecaption"/>
      </w:pPr>
      <w:r w:rsidRPr="00185E7D">
        <w:t>Figure 6.11: Productivity of land, road vehicles and non-dwelling construction in FIS (index, 2012–13</w:t>
      </w:r>
      <w:r w:rsidR="006A530A">
        <w:t xml:space="preserve"> = </w:t>
      </w:r>
      <w:r w:rsidRPr="00185E7D">
        <w:t>100)</w:t>
      </w:r>
    </w:p>
    <w:p w14:paraId="1C0CB841" w14:textId="3966553F" w:rsidR="00375729" w:rsidRPr="00185E7D" w:rsidRDefault="006C4B85" w:rsidP="00375729">
      <w:pPr>
        <w:pStyle w:val="BodyTextNoIndent"/>
        <w:rPr>
          <w:rFonts w:ascii="Cambria" w:hAnsi="Cambria"/>
        </w:rPr>
      </w:pPr>
      <w:r>
        <w:rPr>
          <w:rFonts w:ascii="Cambria" w:hAnsi="Cambria"/>
          <w:noProof/>
          <w:lang w:eastAsia="en-AU"/>
        </w:rPr>
        <w:drawing>
          <wp:inline distT="0" distB="0" distL="0" distR="0" wp14:anchorId="048E831D" wp14:editId="2AD7F1DC">
            <wp:extent cx="4359275" cy="2615565"/>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9275" cy="2615565"/>
                    </a:xfrm>
                    <a:prstGeom prst="rect">
                      <a:avLst/>
                    </a:prstGeom>
                    <a:noFill/>
                  </pic:spPr>
                </pic:pic>
              </a:graphicData>
            </a:graphic>
          </wp:inline>
        </w:drawing>
      </w:r>
    </w:p>
    <w:p w14:paraId="2F055CF2" w14:textId="77777777" w:rsidR="00375729" w:rsidRPr="00185E7D" w:rsidRDefault="00375729" w:rsidP="00012248">
      <w:pPr>
        <w:pStyle w:val="SourceNotes"/>
      </w:pPr>
      <w:r w:rsidRPr="00185E7D">
        <w:t>Source: Author estimates</w:t>
      </w:r>
    </w:p>
    <w:p w14:paraId="7BCB86C1" w14:textId="77777777" w:rsidR="00375729" w:rsidRPr="00C519A8" w:rsidRDefault="00375729" w:rsidP="00375729">
      <w:pPr>
        <w:pStyle w:val="BodyTextNoIndent"/>
      </w:pPr>
      <w:r w:rsidRPr="00C519A8">
        <w:t>The detailed study of FIS is presented as Appendix K.</w:t>
      </w:r>
    </w:p>
    <w:p w14:paraId="49FD87F5" w14:textId="77777777" w:rsidR="00375729" w:rsidRPr="00185E7D" w:rsidRDefault="00375729" w:rsidP="00375729">
      <w:pPr>
        <w:pStyle w:val="BodyTextNoIndent"/>
      </w:pPr>
      <w:bookmarkStart w:id="90" w:name="_Toc436909172"/>
      <w:bookmarkStart w:id="91" w:name="_Toc436920452"/>
      <w:r w:rsidRPr="00185E7D">
        <w:t>6.3.2</w:t>
      </w:r>
      <w:r w:rsidRPr="00185E7D">
        <w:tab/>
        <w:t>Information, media and telecommunications services</w:t>
      </w:r>
      <w:bookmarkEnd w:id="90"/>
      <w:bookmarkEnd w:id="91"/>
    </w:p>
    <w:p w14:paraId="1E55A6EF" w14:textId="77777777" w:rsidR="00375729" w:rsidRPr="00C519A8" w:rsidRDefault="00375729" w:rsidP="00375729">
      <w:pPr>
        <w:pStyle w:val="BodyTextNoIndent"/>
      </w:pPr>
      <w:r w:rsidRPr="00C519A8">
        <w:t>IMT has generally experienced strong LP growth. Aside from a period in the 1990s when MFP growth was strong, capital deepening has made the main contribution to LP growth. Table 6.10 shows representative estimates for productivity cycles in the new millennium.</w:t>
      </w:r>
    </w:p>
    <w:p w14:paraId="56F1EC00" w14:textId="77777777" w:rsidR="00375729" w:rsidRPr="00C519A8" w:rsidRDefault="00375729" w:rsidP="00375729">
      <w:pPr>
        <w:pStyle w:val="BodyTextNoIndent"/>
      </w:pPr>
      <w:r w:rsidRPr="00C519A8">
        <w:t>IT has contributed around 0.8 of a percentage points to LP growth over these cycles through capital deepening. That is a strong contribution, although not quite as strong as in FIS.</w:t>
      </w:r>
    </w:p>
    <w:p w14:paraId="19F7994A" w14:textId="77777777" w:rsidR="00375729" w:rsidRPr="00185E7D" w:rsidRDefault="00375729" w:rsidP="006C4B85">
      <w:pPr>
        <w:pStyle w:val="Tablecaption"/>
        <w:rPr>
          <w:vertAlign w:val="superscript"/>
        </w:rPr>
      </w:pPr>
      <w:r w:rsidRPr="00185E7D">
        <w:t>Table 6.10: Labour productivity growth accounting for IMT</w:t>
      </w:r>
    </w:p>
    <w:tbl>
      <w:tblPr>
        <w:tblW w:w="5863" w:type="dxa"/>
        <w:tblLayout w:type="fixed"/>
        <w:tblLook w:val="04A0" w:firstRow="1" w:lastRow="0" w:firstColumn="1" w:lastColumn="0" w:noHBand="0" w:noVBand="1"/>
      </w:tblPr>
      <w:tblGrid>
        <w:gridCol w:w="3397"/>
        <w:gridCol w:w="1233"/>
        <w:gridCol w:w="1233"/>
      </w:tblGrid>
      <w:tr w:rsidR="00375729" w:rsidRPr="00185E7D" w14:paraId="7005D732" w14:textId="77777777" w:rsidTr="00301886">
        <w:trPr>
          <w:trHeight w:val="567"/>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064D4" w14:textId="77777777" w:rsidR="00375729" w:rsidRPr="00C519A8" w:rsidRDefault="00375729" w:rsidP="006C4B85">
            <w:pPr>
              <w:pStyle w:val="Tablecellheading"/>
            </w:pPr>
            <w:r w:rsidRPr="00C519A8">
              <w:t> </w:t>
            </w:r>
          </w:p>
        </w:tc>
        <w:tc>
          <w:tcPr>
            <w:tcW w:w="1233"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51E8F4A7" w14:textId="77777777" w:rsidR="00375729" w:rsidRPr="00C519A8" w:rsidRDefault="00375729" w:rsidP="006C4B85">
            <w:pPr>
              <w:pStyle w:val="Tablecellheading"/>
            </w:pPr>
            <w:r w:rsidRPr="00C519A8">
              <w:t>2003–04 to 2009–10</w:t>
            </w:r>
          </w:p>
        </w:tc>
        <w:tc>
          <w:tcPr>
            <w:tcW w:w="1233" w:type="dxa"/>
            <w:tcBorders>
              <w:top w:val="single" w:sz="4" w:space="0" w:color="auto"/>
              <w:left w:val="single" w:sz="4" w:space="0" w:color="A6A6A6" w:themeColor="background1" w:themeShade="A6"/>
              <w:bottom w:val="single" w:sz="4" w:space="0" w:color="auto"/>
              <w:right w:val="single" w:sz="4" w:space="0" w:color="auto"/>
            </w:tcBorders>
            <w:shd w:val="clear" w:color="auto" w:fill="auto"/>
            <w:vAlign w:val="center"/>
            <w:hideMark/>
          </w:tcPr>
          <w:p w14:paraId="70FE8A20" w14:textId="77777777" w:rsidR="00375729" w:rsidRPr="00C519A8" w:rsidRDefault="00375729" w:rsidP="006C4B85">
            <w:pPr>
              <w:pStyle w:val="Tablecellheading"/>
            </w:pPr>
            <w:r w:rsidRPr="00C519A8">
              <w:t>2009–10 to 2013–14</w:t>
            </w:r>
          </w:p>
        </w:tc>
      </w:tr>
      <w:tr w:rsidR="00375729" w:rsidRPr="00185E7D" w14:paraId="1C306D6F" w14:textId="77777777" w:rsidTr="00301886">
        <w:trPr>
          <w:trHeight w:val="397"/>
        </w:trPr>
        <w:tc>
          <w:tcPr>
            <w:tcW w:w="3397" w:type="dxa"/>
            <w:tcBorders>
              <w:top w:val="nil"/>
              <w:left w:val="single" w:sz="4" w:space="0" w:color="auto"/>
              <w:bottom w:val="nil"/>
              <w:right w:val="single" w:sz="4" w:space="0" w:color="auto"/>
            </w:tcBorders>
            <w:shd w:val="clear" w:color="auto" w:fill="auto"/>
            <w:noWrap/>
            <w:vAlign w:val="center"/>
            <w:hideMark/>
          </w:tcPr>
          <w:p w14:paraId="2B1D96D2" w14:textId="77777777" w:rsidR="00375729" w:rsidRPr="00C519A8" w:rsidRDefault="00375729" w:rsidP="006C4B85">
            <w:pPr>
              <w:pStyle w:val="Tabletext"/>
            </w:pPr>
            <w:r w:rsidRPr="00C519A8">
              <w:t>Capital deepening (pp)</w:t>
            </w:r>
          </w:p>
        </w:tc>
        <w:tc>
          <w:tcPr>
            <w:tcW w:w="1233"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92FC14B" w14:textId="77777777" w:rsidR="00375729" w:rsidRPr="00C519A8" w:rsidRDefault="00375729" w:rsidP="006C4B85">
            <w:pPr>
              <w:pStyle w:val="Tabletext"/>
            </w:pPr>
            <w:r w:rsidRPr="00C519A8">
              <w:t xml:space="preserve">4.0 </w:t>
            </w:r>
          </w:p>
        </w:tc>
        <w:tc>
          <w:tcPr>
            <w:tcW w:w="1233" w:type="dxa"/>
            <w:tcBorders>
              <w:top w:val="nil"/>
              <w:left w:val="single" w:sz="4" w:space="0" w:color="A6A6A6" w:themeColor="background1" w:themeShade="A6"/>
              <w:bottom w:val="nil"/>
              <w:right w:val="single" w:sz="4" w:space="0" w:color="auto"/>
            </w:tcBorders>
            <w:shd w:val="clear" w:color="auto" w:fill="auto"/>
            <w:noWrap/>
            <w:vAlign w:val="center"/>
            <w:hideMark/>
          </w:tcPr>
          <w:p w14:paraId="28172D45" w14:textId="77777777" w:rsidR="00375729" w:rsidRPr="00C519A8" w:rsidRDefault="00375729" w:rsidP="006C4B85">
            <w:pPr>
              <w:pStyle w:val="Tabletext"/>
            </w:pPr>
            <w:r w:rsidRPr="00C519A8">
              <w:t xml:space="preserve">3.6 </w:t>
            </w:r>
          </w:p>
        </w:tc>
      </w:tr>
      <w:tr w:rsidR="00375729" w:rsidRPr="00185E7D" w14:paraId="45B18CE3" w14:textId="77777777" w:rsidTr="00301886">
        <w:trPr>
          <w:trHeight w:val="300"/>
        </w:trPr>
        <w:tc>
          <w:tcPr>
            <w:tcW w:w="3397" w:type="dxa"/>
            <w:tcBorders>
              <w:top w:val="nil"/>
              <w:left w:val="single" w:sz="4" w:space="0" w:color="auto"/>
              <w:bottom w:val="nil"/>
              <w:right w:val="single" w:sz="4" w:space="0" w:color="auto"/>
            </w:tcBorders>
            <w:shd w:val="clear" w:color="auto" w:fill="auto"/>
            <w:noWrap/>
            <w:vAlign w:val="center"/>
            <w:hideMark/>
          </w:tcPr>
          <w:p w14:paraId="08E30C1A" w14:textId="77777777" w:rsidR="00375729" w:rsidRPr="00C519A8" w:rsidRDefault="00375729" w:rsidP="006C4B85">
            <w:pPr>
              <w:pStyle w:val="Tabletext"/>
            </w:pPr>
            <w:r w:rsidRPr="00C519A8">
              <w:t>IT capital deepening (pp)</w:t>
            </w:r>
          </w:p>
        </w:tc>
        <w:tc>
          <w:tcPr>
            <w:tcW w:w="1233"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953ED95" w14:textId="77777777" w:rsidR="00375729" w:rsidRPr="00C519A8" w:rsidRDefault="00375729" w:rsidP="006C4B85">
            <w:pPr>
              <w:pStyle w:val="Tabletext"/>
            </w:pPr>
            <w:r w:rsidRPr="00C519A8">
              <w:t>0.7</w:t>
            </w:r>
          </w:p>
        </w:tc>
        <w:tc>
          <w:tcPr>
            <w:tcW w:w="1233" w:type="dxa"/>
            <w:tcBorders>
              <w:top w:val="nil"/>
              <w:left w:val="single" w:sz="4" w:space="0" w:color="A6A6A6" w:themeColor="background1" w:themeShade="A6"/>
              <w:bottom w:val="nil"/>
              <w:right w:val="single" w:sz="4" w:space="0" w:color="auto"/>
            </w:tcBorders>
            <w:shd w:val="clear" w:color="auto" w:fill="auto"/>
            <w:noWrap/>
            <w:vAlign w:val="center"/>
            <w:hideMark/>
          </w:tcPr>
          <w:p w14:paraId="73CE2014" w14:textId="77777777" w:rsidR="00375729" w:rsidRPr="00C519A8" w:rsidRDefault="00375729" w:rsidP="006C4B85">
            <w:pPr>
              <w:pStyle w:val="Tabletext"/>
            </w:pPr>
            <w:r w:rsidRPr="00C519A8">
              <w:t>0.8</w:t>
            </w:r>
          </w:p>
        </w:tc>
      </w:tr>
      <w:tr w:rsidR="00375729" w:rsidRPr="00185E7D" w14:paraId="7FFC745B" w14:textId="77777777" w:rsidTr="00301886">
        <w:trPr>
          <w:trHeight w:val="300"/>
        </w:trPr>
        <w:tc>
          <w:tcPr>
            <w:tcW w:w="3397" w:type="dxa"/>
            <w:tcBorders>
              <w:top w:val="nil"/>
              <w:left w:val="single" w:sz="4" w:space="0" w:color="auto"/>
              <w:bottom w:val="nil"/>
              <w:right w:val="single" w:sz="4" w:space="0" w:color="auto"/>
            </w:tcBorders>
            <w:shd w:val="clear" w:color="auto" w:fill="auto"/>
            <w:noWrap/>
            <w:vAlign w:val="center"/>
          </w:tcPr>
          <w:p w14:paraId="4776B06A" w14:textId="77777777" w:rsidR="00375729" w:rsidRPr="00C519A8" w:rsidRDefault="0058764D" w:rsidP="006C4B85">
            <w:pPr>
              <w:pStyle w:val="Tabletext"/>
            </w:pPr>
            <w:r>
              <w:t>H</w:t>
            </w:r>
            <w:r w:rsidR="00375729" w:rsidRPr="00C519A8">
              <w:t>ardware</w:t>
            </w:r>
          </w:p>
        </w:tc>
        <w:tc>
          <w:tcPr>
            <w:tcW w:w="1233"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2F5AA515" w14:textId="77777777" w:rsidR="00375729" w:rsidRPr="00C519A8" w:rsidRDefault="00375729" w:rsidP="006C4B85">
            <w:pPr>
              <w:pStyle w:val="Tabletext"/>
            </w:pPr>
            <w:r w:rsidRPr="00C519A8">
              <w:t>0.5</w:t>
            </w:r>
          </w:p>
        </w:tc>
        <w:tc>
          <w:tcPr>
            <w:tcW w:w="1233" w:type="dxa"/>
            <w:tcBorders>
              <w:top w:val="nil"/>
              <w:left w:val="single" w:sz="4" w:space="0" w:color="A6A6A6" w:themeColor="background1" w:themeShade="A6"/>
              <w:bottom w:val="nil"/>
              <w:right w:val="single" w:sz="4" w:space="0" w:color="auto"/>
            </w:tcBorders>
            <w:shd w:val="clear" w:color="auto" w:fill="auto"/>
            <w:noWrap/>
            <w:vAlign w:val="center"/>
          </w:tcPr>
          <w:p w14:paraId="437BD08C" w14:textId="77777777" w:rsidR="00375729" w:rsidRPr="00C519A8" w:rsidRDefault="00375729" w:rsidP="006C4B85">
            <w:pPr>
              <w:pStyle w:val="Tabletext"/>
            </w:pPr>
            <w:r w:rsidRPr="00C519A8">
              <w:t>0.4</w:t>
            </w:r>
          </w:p>
        </w:tc>
      </w:tr>
      <w:tr w:rsidR="00375729" w:rsidRPr="00185E7D" w14:paraId="395CC7D9" w14:textId="77777777" w:rsidTr="00301886">
        <w:trPr>
          <w:trHeight w:val="300"/>
        </w:trPr>
        <w:tc>
          <w:tcPr>
            <w:tcW w:w="3397" w:type="dxa"/>
            <w:tcBorders>
              <w:top w:val="nil"/>
              <w:left w:val="single" w:sz="4" w:space="0" w:color="auto"/>
              <w:bottom w:val="nil"/>
              <w:right w:val="single" w:sz="4" w:space="0" w:color="auto"/>
            </w:tcBorders>
            <w:shd w:val="clear" w:color="auto" w:fill="auto"/>
            <w:noWrap/>
            <w:vAlign w:val="center"/>
          </w:tcPr>
          <w:p w14:paraId="1308BDAC" w14:textId="77777777" w:rsidR="00375729" w:rsidRPr="00C519A8" w:rsidRDefault="0058764D" w:rsidP="006C4B85">
            <w:pPr>
              <w:pStyle w:val="Tabletext"/>
            </w:pPr>
            <w:r>
              <w:t>S</w:t>
            </w:r>
            <w:r w:rsidR="00375729" w:rsidRPr="00C519A8">
              <w:t>oftware</w:t>
            </w:r>
          </w:p>
        </w:tc>
        <w:tc>
          <w:tcPr>
            <w:tcW w:w="1233"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16137A4" w14:textId="77777777" w:rsidR="00375729" w:rsidRPr="00C519A8" w:rsidRDefault="00375729" w:rsidP="006C4B85">
            <w:pPr>
              <w:pStyle w:val="Tabletext"/>
            </w:pPr>
            <w:r w:rsidRPr="00C519A8">
              <w:t>0.2</w:t>
            </w:r>
          </w:p>
        </w:tc>
        <w:tc>
          <w:tcPr>
            <w:tcW w:w="1233" w:type="dxa"/>
            <w:tcBorders>
              <w:top w:val="nil"/>
              <w:left w:val="single" w:sz="4" w:space="0" w:color="A6A6A6" w:themeColor="background1" w:themeShade="A6"/>
              <w:bottom w:val="nil"/>
              <w:right w:val="single" w:sz="4" w:space="0" w:color="auto"/>
            </w:tcBorders>
            <w:shd w:val="clear" w:color="auto" w:fill="auto"/>
            <w:noWrap/>
            <w:vAlign w:val="center"/>
          </w:tcPr>
          <w:p w14:paraId="19A06559" w14:textId="77777777" w:rsidR="00375729" w:rsidRPr="00C519A8" w:rsidRDefault="00375729" w:rsidP="006C4B85">
            <w:pPr>
              <w:pStyle w:val="Tabletext"/>
            </w:pPr>
            <w:r w:rsidRPr="00C519A8">
              <w:t>0.4</w:t>
            </w:r>
          </w:p>
        </w:tc>
      </w:tr>
      <w:tr w:rsidR="00375729" w:rsidRPr="00185E7D" w14:paraId="6EE47CE6" w14:textId="77777777" w:rsidTr="00301886">
        <w:trPr>
          <w:trHeight w:val="300"/>
        </w:trPr>
        <w:tc>
          <w:tcPr>
            <w:tcW w:w="3397" w:type="dxa"/>
            <w:tcBorders>
              <w:top w:val="nil"/>
              <w:left w:val="single" w:sz="4" w:space="0" w:color="auto"/>
              <w:bottom w:val="nil"/>
              <w:right w:val="single" w:sz="4" w:space="0" w:color="auto"/>
            </w:tcBorders>
            <w:shd w:val="clear" w:color="auto" w:fill="auto"/>
            <w:noWrap/>
            <w:vAlign w:val="center"/>
            <w:hideMark/>
          </w:tcPr>
          <w:p w14:paraId="376B925F" w14:textId="77777777" w:rsidR="00375729" w:rsidRPr="00C519A8" w:rsidRDefault="00375729" w:rsidP="006C4B85">
            <w:pPr>
              <w:pStyle w:val="Tabletext"/>
            </w:pPr>
            <w:r w:rsidRPr="00C519A8">
              <w:t>Non-IT capital deepening (pp)</w:t>
            </w:r>
          </w:p>
        </w:tc>
        <w:tc>
          <w:tcPr>
            <w:tcW w:w="1233"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4DB0561" w14:textId="77777777" w:rsidR="00375729" w:rsidRPr="00C519A8" w:rsidRDefault="00375729" w:rsidP="006C4B85">
            <w:pPr>
              <w:pStyle w:val="Tabletext"/>
            </w:pPr>
            <w:r w:rsidRPr="00C519A8">
              <w:t>3.3</w:t>
            </w:r>
          </w:p>
        </w:tc>
        <w:tc>
          <w:tcPr>
            <w:tcW w:w="1233" w:type="dxa"/>
            <w:tcBorders>
              <w:top w:val="nil"/>
              <w:left w:val="single" w:sz="4" w:space="0" w:color="A6A6A6" w:themeColor="background1" w:themeShade="A6"/>
              <w:bottom w:val="nil"/>
              <w:right w:val="single" w:sz="4" w:space="0" w:color="auto"/>
            </w:tcBorders>
            <w:shd w:val="clear" w:color="auto" w:fill="auto"/>
            <w:noWrap/>
            <w:vAlign w:val="center"/>
            <w:hideMark/>
          </w:tcPr>
          <w:p w14:paraId="516A1CEC" w14:textId="77777777" w:rsidR="00375729" w:rsidRPr="00C519A8" w:rsidRDefault="00375729" w:rsidP="006C4B85">
            <w:pPr>
              <w:pStyle w:val="Tabletext"/>
            </w:pPr>
            <w:r w:rsidRPr="00C519A8">
              <w:t>2.8</w:t>
            </w:r>
          </w:p>
        </w:tc>
      </w:tr>
      <w:tr w:rsidR="00375729" w:rsidRPr="00185E7D" w14:paraId="5116196E" w14:textId="77777777" w:rsidTr="00301886">
        <w:trPr>
          <w:trHeight w:val="454"/>
        </w:trPr>
        <w:tc>
          <w:tcPr>
            <w:tcW w:w="3397" w:type="dxa"/>
            <w:tcBorders>
              <w:top w:val="nil"/>
              <w:left w:val="single" w:sz="4" w:space="0" w:color="auto"/>
              <w:bottom w:val="nil"/>
              <w:right w:val="single" w:sz="4" w:space="0" w:color="auto"/>
            </w:tcBorders>
            <w:shd w:val="clear" w:color="auto" w:fill="auto"/>
            <w:noWrap/>
            <w:vAlign w:val="center"/>
            <w:hideMark/>
          </w:tcPr>
          <w:p w14:paraId="4E98645D" w14:textId="77777777" w:rsidR="00375729" w:rsidRPr="00C519A8" w:rsidRDefault="00375729" w:rsidP="006C4B85">
            <w:pPr>
              <w:pStyle w:val="Tabletext"/>
            </w:pPr>
            <w:r w:rsidRPr="00C519A8">
              <w:t>MFP growth (% pa)</w:t>
            </w:r>
          </w:p>
        </w:tc>
        <w:tc>
          <w:tcPr>
            <w:tcW w:w="1233"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74F1156" w14:textId="77777777" w:rsidR="00375729" w:rsidRPr="00C519A8" w:rsidRDefault="00375729" w:rsidP="006C4B85">
            <w:pPr>
              <w:pStyle w:val="Tabletext"/>
            </w:pPr>
            <w:r w:rsidRPr="00C519A8">
              <w:t xml:space="preserve">0.1 </w:t>
            </w:r>
          </w:p>
        </w:tc>
        <w:tc>
          <w:tcPr>
            <w:tcW w:w="1233" w:type="dxa"/>
            <w:tcBorders>
              <w:top w:val="nil"/>
              <w:left w:val="single" w:sz="4" w:space="0" w:color="A6A6A6" w:themeColor="background1" w:themeShade="A6"/>
              <w:bottom w:val="nil"/>
              <w:right w:val="single" w:sz="4" w:space="0" w:color="auto"/>
            </w:tcBorders>
            <w:shd w:val="clear" w:color="auto" w:fill="auto"/>
            <w:noWrap/>
            <w:vAlign w:val="center"/>
            <w:hideMark/>
          </w:tcPr>
          <w:p w14:paraId="3F58EA02" w14:textId="77777777" w:rsidR="00375729" w:rsidRPr="00C519A8" w:rsidRDefault="00375729" w:rsidP="006C4B85">
            <w:pPr>
              <w:pStyle w:val="Tabletext"/>
            </w:pPr>
            <w:r w:rsidRPr="00C519A8">
              <w:t xml:space="preserve">-0.5 </w:t>
            </w:r>
          </w:p>
        </w:tc>
      </w:tr>
      <w:tr w:rsidR="00375729" w:rsidRPr="00185E7D" w14:paraId="7573D3B0" w14:textId="77777777" w:rsidTr="00301886">
        <w:trPr>
          <w:trHeight w:val="3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7DA6E78" w14:textId="77777777" w:rsidR="00375729" w:rsidRPr="00C519A8" w:rsidRDefault="00375729" w:rsidP="006C4B85">
            <w:pPr>
              <w:pStyle w:val="Tabletext"/>
            </w:pPr>
            <w:r w:rsidRPr="00C519A8">
              <w:t>Labour productivity growth (% pa)</w:t>
            </w:r>
          </w:p>
        </w:tc>
        <w:tc>
          <w:tcPr>
            <w:tcW w:w="1233" w:type="dxa"/>
            <w:tcBorders>
              <w:top w:val="nil"/>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14:paraId="71CCE5CE" w14:textId="77777777" w:rsidR="00375729" w:rsidRPr="00C519A8" w:rsidRDefault="00375729" w:rsidP="006C4B85">
            <w:pPr>
              <w:pStyle w:val="Tabletext"/>
            </w:pPr>
            <w:r w:rsidRPr="00C519A8">
              <w:t xml:space="preserve">4.2 </w:t>
            </w:r>
          </w:p>
        </w:tc>
        <w:tc>
          <w:tcPr>
            <w:tcW w:w="1233" w:type="dxa"/>
            <w:tcBorders>
              <w:top w:val="nil"/>
              <w:left w:val="single" w:sz="4" w:space="0" w:color="A6A6A6" w:themeColor="background1" w:themeShade="A6"/>
              <w:bottom w:val="single" w:sz="4" w:space="0" w:color="auto"/>
              <w:right w:val="single" w:sz="4" w:space="0" w:color="auto"/>
            </w:tcBorders>
            <w:shd w:val="clear" w:color="auto" w:fill="auto"/>
            <w:noWrap/>
            <w:vAlign w:val="center"/>
            <w:hideMark/>
          </w:tcPr>
          <w:p w14:paraId="5C990579" w14:textId="77777777" w:rsidR="00375729" w:rsidRPr="00C519A8" w:rsidRDefault="00375729" w:rsidP="006C4B85">
            <w:pPr>
              <w:pStyle w:val="Tabletext"/>
            </w:pPr>
            <w:r w:rsidRPr="00C519A8">
              <w:t xml:space="preserve">3.1 </w:t>
            </w:r>
          </w:p>
        </w:tc>
      </w:tr>
    </w:tbl>
    <w:p w14:paraId="778CF3E1" w14:textId="77777777" w:rsidR="00E6193A" w:rsidRPr="00323930" w:rsidRDefault="00375729" w:rsidP="00012248">
      <w:pPr>
        <w:pStyle w:val="SourceNotes"/>
      </w:pPr>
      <w:r w:rsidRPr="00C519A8">
        <w:t>Source: Author estimates</w:t>
      </w:r>
      <w:r w:rsidR="00E6193A">
        <w:t xml:space="preserve">. </w:t>
      </w:r>
      <w:r w:rsidR="00E6193A" w:rsidRPr="000E36A5">
        <w:t>Numbers may not add up due to rounding</w:t>
      </w:r>
      <w:r w:rsidR="00E6193A">
        <w:t xml:space="preserve">. </w:t>
      </w:r>
      <w:r w:rsidR="00E6193A" w:rsidRPr="00323930">
        <w:tab/>
      </w:r>
    </w:p>
    <w:p w14:paraId="75750322" w14:textId="77777777" w:rsidR="00375729" w:rsidRPr="00C519A8" w:rsidRDefault="00375729" w:rsidP="00375729">
      <w:pPr>
        <w:pStyle w:val="BodyTextNoIndent"/>
      </w:pPr>
      <w:r w:rsidRPr="00C519A8">
        <w:t>There was little overall change in the productivity of non-IT assets as a group. Improvement in the 1990s was largely offset by deterioration in the 2000s. The major asset category in IMT is non</w:t>
      </w:r>
      <w:r w:rsidR="00D907E7">
        <w:noBreakHyphen/>
      </w:r>
      <w:r w:rsidRPr="00C519A8">
        <w:t xml:space="preserve">dwelling construction, which includes communications infrastructure. </w:t>
      </w:r>
    </w:p>
    <w:p w14:paraId="25062E0F" w14:textId="77777777" w:rsidR="00375729" w:rsidRPr="00C519A8" w:rsidRDefault="00375729" w:rsidP="00375729">
      <w:pPr>
        <w:pStyle w:val="BodyTextNoIndent"/>
      </w:pPr>
      <w:r w:rsidRPr="00C519A8">
        <w:t>This complicates the asset productivity assessment as the productivity of non-dwelling construction would likely fall with investment in long-term improvements in infrastructure. Key results for individual assets were as follows:</w:t>
      </w:r>
    </w:p>
    <w:p w14:paraId="7921AEEB" w14:textId="77777777" w:rsidR="00375729" w:rsidRPr="00C519A8" w:rsidRDefault="00375729" w:rsidP="00CF3D6E">
      <w:pPr>
        <w:pStyle w:val="BodyTextNoIndent"/>
        <w:numPr>
          <w:ilvl w:val="0"/>
          <w:numId w:val="35"/>
        </w:numPr>
      </w:pPr>
      <w:r w:rsidRPr="00C519A8">
        <w:t xml:space="preserve">Industrial machinery and equipment showed strong and steady increase in capital productivity of more than 200 per cent for the whole period. (Correlation coefficient with IT use </w:t>
      </w:r>
      <w:r w:rsidR="006A530A">
        <w:t xml:space="preserve">= </w:t>
      </w:r>
      <w:r w:rsidRPr="00C519A8">
        <w:t>0.93.)</w:t>
      </w:r>
    </w:p>
    <w:p w14:paraId="1C40536D" w14:textId="77777777" w:rsidR="00375729" w:rsidRPr="00C519A8" w:rsidRDefault="00375729" w:rsidP="00CF3D6E">
      <w:pPr>
        <w:pStyle w:val="BodyTextNoIndent"/>
        <w:numPr>
          <w:ilvl w:val="0"/>
          <w:numId w:val="35"/>
        </w:numPr>
      </w:pPr>
      <w:r w:rsidRPr="00C519A8">
        <w:t xml:space="preserve">Non-dwelling construction showed a strong increase of 31 per cent up until 1998–99, but then reversed most of that gain by 2013–14. (Correlation coefficient with IT use = 0.21.) </w:t>
      </w:r>
    </w:p>
    <w:p w14:paraId="6ACD3F5B" w14:textId="77777777" w:rsidR="00375729" w:rsidRPr="00C519A8" w:rsidRDefault="00375729" w:rsidP="00CF3D6E">
      <w:pPr>
        <w:pStyle w:val="BodyTextNoIndent"/>
        <w:numPr>
          <w:ilvl w:val="0"/>
          <w:numId w:val="35"/>
        </w:numPr>
      </w:pPr>
      <w:r w:rsidRPr="00C519A8">
        <w:t>Land showed an increase of 52 per cent until 2010–11. (Correlation coefficient with IT use = 0.86.)</w:t>
      </w:r>
    </w:p>
    <w:p w14:paraId="5F048031" w14:textId="77777777" w:rsidR="00375729" w:rsidRPr="00C519A8" w:rsidRDefault="00375729" w:rsidP="00375729">
      <w:pPr>
        <w:pStyle w:val="BodyTextNoIndent"/>
      </w:pPr>
      <w:r w:rsidRPr="00C519A8">
        <w:t>Other transport equipment showed a very large increase from a small base. (Correlation coefficient with IT use = 0.97.)</w:t>
      </w:r>
    </w:p>
    <w:p w14:paraId="4AB6B4A3" w14:textId="77777777" w:rsidR="00375729" w:rsidRPr="00C519A8" w:rsidRDefault="00375729" w:rsidP="00375729">
      <w:pPr>
        <w:pStyle w:val="BodyTextNoIndent"/>
      </w:pPr>
      <w:r w:rsidRPr="00C519A8">
        <w:t xml:space="preserve">The details of the IMT analysis are presented in Appendix </w:t>
      </w:r>
      <w:r w:rsidR="003E054A">
        <w:t>VI</w:t>
      </w:r>
      <w:r w:rsidRPr="00C519A8">
        <w:t>.</w:t>
      </w:r>
    </w:p>
    <w:p w14:paraId="5E3CAD13" w14:textId="77777777" w:rsidR="00375729" w:rsidRPr="00185E7D" w:rsidRDefault="00375729" w:rsidP="00F37FA2">
      <w:pPr>
        <w:pStyle w:val="BCRHead3"/>
      </w:pPr>
      <w:bookmarkStart w:id="92" w:name="_Toc436909173"/>
      <w:bookmarkStart w:id="93" w:name="_Toc436920453"/>
      <w:r w:rsidRPr="00185E7D">
        <w:t>6.3.3</w:t>
      </w:r>
      <w:r w:rsidRPr="00185E7D">
        <w:tab/>
        <w:t>Wholesale trade</w:t>
      </w:r>
      <w:bookmarkEnd w:id="92"/>
      <w:bookmarkEnd w:id="93"/>
    </w:p>
    <w:p w14:paraId="58C8A644" w14:textId="77777777" w:rsidR="00375729" w:rsidRPr="00C519A8" w:rsidRDefault="00375729" w:rsidP="00375729">
      <w:pPr>
        <w:pStyle w:val="BodyTextNoIndent"/>
      </w:pPr>
      <w:r w:rsidRPr="00C519A8">
        <w:t>Wholesale</w:t>
      </w:r>
      <w:r w:rsidR="003E054A">
        <w:t xml:space="preserve"> trade</w:t>
      </w:r>
      <w:r w:rsidRPr="00C519A8">
        <w:t xml:space="preserve"> had a lift in MFP growth that featured in Australia’s productivity surge in the 1990s. However, MFP growth has since receded and capital deepening provided the main source of continuing strong LP growth in the first half of the 2000s. Since the mid-2000s, capital productivity, MFP growth and LP growth have all declined.</w:t>
      </w:r>
    </w:p>
    <w:p w14:paraId="249F5BEA" w14:textId="77777777" w:rsidR="00375729" w:rsidRPr="00C519A8" w:rsidRDefault="00375729" w:rsidP="00375729">
      <w:pPr>
        <w:pStyle w:val="BodyTextNoIndent"/>
      </w:pPr>
      <w:r w:rsidRPr="00C519A8">
        <w:t>IT contributed a steady 0.7 to 0.9 of a percentage point to LP growth through capital deepening up to the mid-2000s. The relative contributions from hardware and software were two to one respectively.</w:t>
      </w:r>
    </w:p>
    <w:p w14:paraId="1095F85A" w14:textId="77777777" w:rsidR="00375729" w:rsidRPr="00C519A8" w:rsidRDefault="00375729" w:rsidP="00375729">
      <w:pPr>
        <w:pStyle w:val="BodyTextNoIndent"/>
      </w:pPr>
      <w:r w:rsidRPr="00C519A8">
        <w:t>Since the mid-2000s, however, the IT contribution has dropped back to 0.4 of a percentage point.</w:t>
      </w:r>
    </w:p>
    <w:p w14:paraId="64654E17" w14:textId="77777777" w:rsidR="00375729" w:rsidRPr="00C519A8" w:rsidRDefault="00375729" w:rsidP="00375729">
      <w:pPr>
        <w:pStyle w:val="BodyTextNoIndent"/>
      </w:pPr>
      <w:r w:rsidRPr="00C519A8">
        <w:t>The productivity of non-IT assets, as a group, improved over 25 per cent coming out of the early</w:t>
      </w:r>
      <w:r w:rsidR="003E054A">
        <w:noBreakHyphen/>
      </w:r>
      <w:r w:rsidRPr="00C519A8">
        <w:t>1990s recession until the end of the decade. There has been a small decline since the turn of the millennium.</w:t>
      </w:r>
    </w:p>
    <w:p w14:paraId="1D71A771" w14:textId="77777777" w:rsidR="00375729" w:rsidRPr="00C519A8" w:rsidRDefault="00375729" w:rsidP="00375729">
      <w:pPr>
        <w:pStyle w:val="BodyTextNoIndent"/>
      </w:pPr>
      <w:r w:rsidRPr="00C519A8">
        <w:t>The productivity of land and buildings has improved in the order of 100 per cent since the early 1990s. The improvement has been monotonic—that is, continuous and steady. That is consistent with IT enabling a rationalisation of use of storage depots.</w:t>
      </w:r>
    </w:p>
    <w:p w14:paraId="2C3160C9" w14:textId="77777777" w:rsidR="00375729" w:rsidRPr="00C519A8" w:rsidRDefault="00375729" w:rsidP="00375729">
      <w:pPr>
        <w:pStyle w:val="BodyTextNoIndent"/>
      </w:pPr>
      <w:r w:rsidRPr="00C519A8">
        <w:t>The productivity of industrial machinery and equipment and of road vehicles also improved up until around this time. Productivity has fallen in these asset classes since then.</w:t>
      </w:r>
    </w:p>
    <w:p w14:paraId="7D5AC47A" w14:textId="77777777" w:rsidR="00375729" w:rsidRPr="00C519A8" w:rsidRDefault="00375729" w:rsidP="00375729">
      <w:pPr>
        <w:pStyle w:val="BodyTextNoIndent"/>
      </w:pPr>
      <w:r w:rsidRPr="00C519A8">
        <w:t>IT could have had substantial productivity</w:t>
      </w:r>
      <w:r w:rsidR="003E054A">
        <w:noBreakHyphen/>
      </w:r>
      <w:r w:rsidRPr="00C519A8">
        <w:t>enhancing effects in this industry through capital deepening and by enabling a fast-flow-through approach to wholesaling, at the expense of the traditional storage-based approach.</w:t>
      </w:r>
    </w:p>
    <w:p w14:paraId="1E3064C6" w14:textId="77777777" w:rsidR="00375729" w:rsidRPr="00C519A8" w:rsidRDefault="00375729" w:rsidP="00375729">
      <w:pPr>
        <w:pStyle w:val="BodyTextNoIndent"/>
      </w:pPr>
      <w:r w:rsidRPr="00C519A8">
        <w:t xml:space="preserve">Details on the growth accounting for wholesale trade are provided in Appendix </w:t>
      </w:r>
      <w:r w:rsidR="003E054A">
        <w:t>III</w:t>
      </w:r>
      <w:r w:rsidRPr="00C519A8">
        <w:t>.</w:t>
      </w:r>
    </w:p>
    <w:p w14:paraId="4196BB7F" w14:textId="77777777" w:rsidR="00375729" w:rsidRPr="00185E7D" w:rsidRDefault="00375729" w:rsidP="00F37FA2">
      <w:pPr>
        <w:pStyle w:val="BCRHead3"/>
      </w:pPr>
      <w:bookmarkStart w:id="94" w:name="_Toc436909174"/>
      <w:bookmarkStart w:id="95" w:name="_Toc436920454"/>
      <w:r w:rsidRPr="00185E7D">
        <w:t>6.3.4</w:t>
      </w:r>
      <w:r w:rsidRPr="00185E7D">
        <w:tab/>
        <w:t>Retail trade</w:t>
      </w:r>
      <w:bookmarkEnd w:id="94"/>
      <w:bookmarkEnd w:id="95"/>
    </w:p>
    <w:p w14:paraId="4EA3E07C" w14:textId="77777777" w:rsidR="00375729" w:rsidRPr="00C519A8" w:rsidRDefault="00375729" w:rsidP="00375729">
      <w:pPr>
        <w:pStyle w:val="BodyTextNoIndent"/>
      </w:pPr>
      <w:r w:rsidRPr="00C519A8">
        <w:t>IT capital deepening contributed a steady 0.6 of a percentage point to LP growth for most of the observation period.</w:t>
      </w:r>
    </w:p>
    <w:p w14:paraId="7FE7DDB8" w14:textId="77777777" w:rsidR="00375729" w:rsidRPr="00C519A8" w:rsidRDefault="00375729" w:rsidP="00375729">
      <w:pPr>
        <w:pStyle w:val="BodyTextNoIndent"/>
      </w:pPr>
      <w:r w:rsidRPr="00C519A8">
        <w:t>There was steady improvement in the group of non-IT assets (by about 25 per cent) up until 2004–05, with no major move thereafter. The productivity of individual assets increased over the period, with some variation in the sub-periods in which they grew strongest.</w:t>
      </w:r>
    </w:p>
    <w:p w14:paraId="7D31D287" w14:textId="77777777" w:rsidR="00375729" w:rsidRPr="00C519A8" w:rsidRDefault="00375729" w:rsidP="00375729">
      <w:pPr>
        <w:pStyle w:val="BodyTextNoIndent"/>
      </w:pPr>
      <w:r w:rsidRPr="00C519A8">
        <w:t>Land showed the strongest and steadiest increase in capital productivity at around 80 per cent for the whole period. (Correlation coefficient with IT use = 0.94.)</w:t>
      </w:r>
    </w:p>
    <w:p w14:paraId="7B667A74" w14:textId="77777777" w:rsidR="00375729" w:rsidRPr="00C519A8" w:rsidRDefault="00375729" w:rsidP="00375729">
      <w:pPr>
        <w:pStyle w:val="BodyTextNoIndent"/>
      </w:pPr>
      <w:r w:rsidRPr="00C519A8">
        <w:t xml:space="preserve">The productivity of buildings increased by about 35 per cent over the whole period. (Correlation coefficient with IT use = 0.90.) </w:t>
      </w:r>
    </w:p>
    <w:p w14:paraId="2574A642" w14:textId="77777777" w:rsidR="00375729" w:rsidRPr="00C519A8" w:rsidRDefault="00375729" w:rsidP="00375729">
      <w:pPr>
        <w:pStyle w:val="BodyTextNoIndent"/>
      </w:pPr>
      <w:r w:rsidRPr="00C519A8">
        <w:t>The productivity of road vehicles increased over 60 per cent up to 2004–05, before falling back. (Correlation coefficient = 0.55.)</w:t>
      </w:r>
    </w:p>
    <w:p w14:paraId="071AFE08" w14:textId="77777777" w:rsidR="00375729" w:rsidRPr="00C519A8" w:rsidRDefault="00375729" w:rsidP="00375729">
      <w:pPr>
        <w:pStyle w:val="BodyTextNoIndent"/>
      </w:pPr>
      <w:r w:rsidRPr="00C519A8">
        <w:t>The productivity of other plant and equipment increased in the 1990s, but was basically flat thereafter. (Correlation coefficient = 0.43.)</w:t>
      </w:r>
    </w:p>
    <w:p w14:paraId="31903A65" w14:textId="77777777" w:rsidR="00375729" w:rsidRPr="00C519A8" w:rsidRDefault="00375729" w:rsidP="00375729">
      <w:pPr>
        <w:pStyle w:val="BodyTextNoIndent"/>
      </w:pPr>
      <w:r w:rsidRPr="00C519A8">
        <w:t>There was little overall change in inventories productivity in the 1990s, but it improved by around 20 per cent in the 2000s. (Correlation coefficient = 0.93.)</w:t>
      </w:r>
    </w:p>
    <w:p w14:paraId="051D0518" w14:textId="77777777" w:rsidR="00375729" w:rsidRPr="00C519A8" w:rsidRDefault="00375729" w:rsidP="00375729">
      <w:pPr>
        <w:pStyle w:val="BodyTextNoIndent"/>
      </w:pPr>
      <w:r w:rsidRPr="00C519A8">
        <w:t>Retail trade was the one industry in which the requirements for intermediate inputs declined.</w:t>
      </w:r>
    </w:p>
    <w:p w14:paraId="45591960" w14:textId="77777777" w:rsidR="00375729" w:rsidRPr="00C519A8" w:rsidRDefault="00375729" w:rsidP="00375729">
      <w:pPr>
        <w:pStyle w:val="BodyTextNoIndent"/>
      </w:pPr>
      <w:r w:rsidRPr="00C519A8">
        <w:t>Details on the retail study are provided in Appendix G.</w:t>
      </w:r>
      <w:r w:rsidRPr="00C519A8">
        <w:br w:type="page"/>
      </w:r>
    </w:p>
    <w:p w14:paraId="062F3F6F" w14:textId="77777777" w:rsidR="00375729" w:rsidRPr="00185E7D" w:rsidRDefault="00375729" w:rsidP="00F37FA2">
      <w:pPr>
        <w:pStyle w:val="BCRHead1"/>
      </w:pPr>
      <w:bookmarkStart w:id="96" w:name="_Toc436920455"/>
      <w:bookmarkStart w:id="97" w:name="_Toc442448187"/>
      <w:r w:rsidRPr="00185E7D">
        <w:t>7</w:t>
      </w:r>
      <w:r w:rsidRPr="00185E7D">
        <w:tab/>
        <w:t>Conclusions</w:t>
      </w:r>
      <w:bookmarkEnd w:id="96"/>
      <w:bookmarkEnd w:id="97"/>
    </w:p>
    <w:p w14:paraId="5DA14AB5" w14:textId="77777777" w:rsidR="00375729" w:rsidRPr="00C519A8" w:rsidRDefault="00375729" w:rsidP="00375729">
      <w:pPr>
        <w:pStyle w:val="BodyTextNoIndent"/>
      </w:pPr>
      <w:r w:rsidRPr="00C519A8">
        <w:t>Some clear points have emerged from this study:</w:t>
      </w:r>
    </w:p>
    <w:p w14:paraId="0FBBE33D" w14:textId="77777777" w:rsidR="00375729" w:rsidRPr="00C519A8" w:rsidRDefault="00375729" w:rsidP="006C4B85">
      <w:pPr>
        <w:pStyle w:val="Bodybullet-Level1"/>
      </w:pPr>
      <w:r w:rsidRPr="00C519A8">
        <w:t xml:space="preserve">The rate of growth in </w:t>
      </w:r>
      <w:r w:rsidR="003E054A">
        <w:t xml:space="preserve">the </w:t>
      </w:r>
      <w:r w:rsidRPr="00C519A8">
        <w:t>use of IT has declined in the 2000s. There has been a slowdown in growth of computer hardware since 2007–08.</w:t>
      </w:r>
    </w:p>
    <w:p w14:paraId="36095AB3" w14:textId="77777777" w:rsidR="00375729" w:rsidRPr="00C519A8" w:rsidRDefault="00375729" w:rsidP="006C4B85">
      <w:pPr>
        <w:pStyle w:val="Bodybullet-Level1"/>
      </w:pPr>
      <w:r w:rsidRPr="00C519A8">
        <w:t>As a result of the slowdown, the importance of IT capital deepening in standard growth accounting has declined. The estimates from this paper suggest its contribution to LP growth has fallen from 0.8 to 0.5 of a percentage point.</w:t>
      </w:r>
    </w:p>
    <w:p w14:paraId="1FE96011" w14:textId="77777777" w:rsidR="00375729" w:rsidRPr="00C519A8" w:rsidRDefault="00375729" w:rsidP="006C4B85">
      <w:pPr>
        <w:pStyle w:val="Bodybullet-Level1"/>
      </w:pPr>
      <w:r w:rsidRPr="00C519A8">
        <w:t>A 0.5 of a percentage point contribution to the annual rate of labour productivity growth is still large. It represents about a quarter of labour productivity growth.</w:t>
      </w:r>
    </w:p>
    <w:p w14:paraId="57173A40" w14:textId="77777777" w:rsidR="00375729" w:rsidRPr="00C519A8" w:rsidRDefault="00375729" w:rsidP="006C4B85">
      <w:pPr>
        <w:pStyle w:val="Bodybullet-Level1"/>
      </w:pPr>
      <w:r w:rsidRPr="00C519A8">
        <w:t>The paper presents some initial evidence that IT could improve overall productivity in the economy by reducing the requirements for other assets. The observations in this study suggest this influence may be important. However, the analysis did not attempt to isolate IT effects from other influences on asset productivities.</w:t>
      </w:r>
    </w:p>
    <w:p w14:paraId="31228D6E" w14:textId="77777777" w:rsidR="00375729" w:rsidRPr="00C519A8" w:rsidRDefault="00375729" w:rsidP="006C4B85">
      <w:pPr>
        <w:pStyle w:val="Bodybullet-Level1"/>
      </w:pPr>
      <w:r w:rsidRPr="00C519A8">
        <w:t>The clearest possibility of an IT link is in reducing the unit requirements for land and buildings. But there is a range of possibilities in regard to different assets and industries.</w:t>
      </w:r>
    </w:p>
    <w:p w14:paraId="1598892F" w14:textId="77777777" w:rsidR="00375729" w:rsidRPr="00C519A8" w:rsidRDefault="00375729" w:rsidP="006C4B85">
      <w:pPr>
        <w:pStyle w:val="Bodybullet-Level1"/>
      </w:pPr>
      <w:r w:rsidRPr="00C519A8">
        <w:t>It is likely IT complements skilled labour, especially in the financial sector.</w:t>
      </w:r>
    </w:p>
    <w:p w14:paraId="17D389D9" w14:textId="77777777" w:rsidR="00375729" w:rsidRPr="00C519A8" w:rsidRDefault="00375729" w:rsidP="006C4B85">
      <w:pPr>
        <w:pStyle w:val="Bodybullet-Level1"/>
      </w:pPr>
      <w:r w:rsidRPr="00C519A8">
        <w:t>IT intensity and effects vary widely across industries. It makes more sense to analyse IT as a micro phenomenon that has different effects in different industries and firms rather than as a macro phenomenon.</w:t>
      </w:r>
    </w:p>
    <w:p w14:paraId="295BFF08" w14:textId="77777777" w:rsidR="00375729" w:rsidRPr="00C519A8" w:rsidRDefault="00375729" w:rsidP="006C4B85">
      <w:pPr>
        <w:pStyle w:val="Bodybullet-Level1"/>
      </w:pPr>
      <w:r w:rsidRPr="00C519A8">
        <w:t>IT and productivity impacts appear reasonably clear and reasonably large in some industries, starting with financial and insurance services. Other industries include information, media and telecommunications services, wholesale trade and retail. However, possible links especially through the productivity of individual non-IT assets emerge in many industries.</w:t>
      </w:r>
    </w:p>
    <w:p w14:paraId="4953AE65" w14:textId="77777777" w:rsidR="00375729" w:rsidRPr="00C519A8" w:rsidRDefault="00375729" w:rsidP="00375729">
      <w:pPr>
        <w:pStyle w:val="BodyTextNoIndent"/>
      </w:pPr>
      <w:r w:rsidRPr="00C519A8">
        <w:t>The magnitudes presented in the study are not precise:</w:t>
      </w:r>
    </w:p>
    <w:p w14:paraId="2A564663" w14:textId="77777777" w:rsidR="00375729" w:rsidRPr="00C519A8" w:rsidRDefault="00375729" w:rsidP="006C4B85">
      <w:pPr>
        <w:pStyle w:val="Bodybullet-Level1"/>
      </w:pPr>
      <w:r w:rsidRPr="00C519A8">
        <w:t>The indications of skill bias and augmentation of non-IT capital undermines the assumptions upon which growth accounting is based. While the estimates are indicative, more precise estimates would require a more-sophisticated econometric approach.</w:t>
      </w:r>
    </w:p>
    <w:p w14:paraId="4AD71ACE" w14:textId="77777777" w:rsidR="00375729" w:rsidRPr="00C519A8" w:rsidRDefault="00375729" w:rsidP="006C4B85">
      <w:pPr>
        <w:pStyle w:val="Bodybullet-Level1"/>
      </w:pPr>
      <w:r w:rsidRPr="00C519A8">
        <w:t>The effects of other conditioning influences such as complementary intangible investments are not included.</w:t>
      </w:r>
    </w:p>
    <w:p w14:paraId="392C3EAE" w14:textId="77777777" w:rsidR="00375729" w:rsidRPr="00C519A8" w:rsidRDefault="00375729" w:rsidP="00375729">
      <w:pPr>
        <w:pStyle w:val="BodyTextNoIndent"/>
      </w:pPr>
      <w:r w:rsidRPr="00C519A8">
        <w:t>There are some data limitations on important analysis:</w:t>
      </w:r>
    </w:p>
    <w:p w14:paraId="716D7DFD" w14:textId="77777777" w:rsidR="00375729" w:rsidRPr="00C519A8" w:rsidRDefault="00375729" w:rsidP="006C4B85">
      <w:pPr>
        <w:pStyle w:val="Bodybullet-Level1"/>
      </w:pPr>
      <w:r w:rsidRPr="00C519A8">
        <w:t>It is not possible to isolate the use of communications equipment in the ABS productivity data cube: that restricts analysis to IT rather than ICTs.</w:t>
      </w:r>
    </w:p>
    <w:p w14:paraId="10873884" w14:textId="77777777" w:rsidR="00375729" w:rsidRPr="00C519A8" w:rsidRDefault="00375729" w:rsidP="006C4B85">
      <w:pPr>
        <w:pStyle w:val="Bodybullet-Level1"/>
      </w:pPr>
      <w:r w:rsidRPr="00C519A8">
        <w:t>The public sector is a big user of IT but no productivity measures are available. While productivity in the public sector is of considerable importance and interest in its own right, the ability to investigate the productivity impacts of IT use would be valuable.</w:t>
      </w:r>
    </w:p>
    <w:p w14:paraId="2E8FDF1E" w14:textId="77777777" w:rsidR="00375729" w:rsidRPr="00C519A8" w:rsidRDefault="00375729" w:rsidP="00375729">
      <w:pPr>
        <w:pStyle w:val="BodyTextNoIndent"/>
      </w:pPr>
      <w:r w:rsidRPr="00C519A8">
        <w:t>Some issues for further analysis come out of the study:</w:t>
      </w:r>
    </w:p>
    <w:p w14:paraId="606F6075" w14:textId="77777777" w:rsidR="00375729" w:rsidRPr="00C519A8" w:rsidRDefault="00375729" w:rsidP="006C4B85">
      <w:pPr>
        <w:pStyle w:val="Bodybullet-Level1"/>
      </w:pPr>
      <w:r w:rsidRPr="00C519A8">
        <w:t>Why has growth in IT use slowed, especially after 2007–08? Is there a causal association with slower productivity growth? If so, in which direction does the causation run? That is, is productivity growth slower because of slower growth in IT, or do fewer opportunities for productivity improvement mean the steam goes out of IT demand?</w:t>
      </w:r>
    </w:p>
    <w:p w14:paraId="2BD44B30" w14:textId="77777777" w:rsidR="00375729" w:rsidRPr="00C519A8" w:rsidRDefault="00375729" w:rsidP="00375729">
      <w:pPr>
        <w:pStyle w:val="BodyTextNoIndent"/>
      </w:pPr>
      <w:r w:rsidRPr="00C519A8">
        <w:br w:type="page"/>
      </w:r>
    </w:p>
    <w:p w14:paraId="0A552C62" w14:textId="77777777" w:rsidR="00375729" w:rsidRPr="00185E7D" w:rsidRDefault="00375729" w:rsidP="00F37FA2">
      <w:pPr>
        <w:pStyle w:val="BCRHead1"/>
      </w:pPr>
      <w:bookmarkStart w:id="98" w:name="_Toc436920456"/>
      <w:bookmarkStart w:id="99" w:name="_Toc442259405"/>
      <w:bookmarkStart w:id="100" w:name="_Toc442448188"/>
      <w:r w:rsidRPr="00185E7D">
        <w:t>References</w:t>
      </w:r>
      <w:bookmarkEnd w:id="98"/>
      <w:bookmarkEnd w:id="99"/>
      <w:bookmarkEnd w:id="100"/>
    </w:p>
    <w:p w14:paraId="00946B12" w14:textId="77777777" w:rsidR="0051735F" w:rsidRPr="008A2E55" w:rsidRDefault="00021E18" w:rsidP="0051735F">
      <w:pPr>
        <w:rPr>
          <w:rFonts w:asciiTheme="minorHAnsi" w:hAnsiTheme="minorHAnsi"/>
        </w:rPr>
      </w:pPr>
      <w:r w:rsidRPr="008A2E55">
        <w:t>ABS</w:t>
      </w:r>
      <w:r w:rsidR="0051735F" w:rsidRPr="00F37FA2">
        <w:t>, Australian System of National Accounts, Cat. No. 5260.0.55.002, 2013–14 issue, 31/10/2014</w:t>
      </w:r>
    </w:p>
    <w:p w14:paraId="58DC3F3E" w14:textId="77777777" w:rsidR="0051735F" w:rsidRDefault="0051735F" w:rsidP="0051735F">
      <w:pPr>
        <w:pStyle w:val="BodyTextNoIndent"/>
      </w:pPr>
      <w:r w:rsidRPr="00F37FA2">
        <w:t>ABS, Australian System of National Accounts,</w:t>
      </w:r>
      <w:r>
        <w:t xml:space="preserve"> </w:t>
      </w:r>
      <w:r w:rsidRPr="00F37FA2">
        <w:t>Cat. No. 5204.0, Tables 69–71, Canberra, 31/10/2014</w:t>
      </w:r>
    </w:p>
    <w:p w14:paraId="14732616" w14:textId="77777777" w:rsidR="006139F5" w:rsidRDefault="006139F5" w:rsidP="0051735F">
      <w:pPr>
        <w:pStyle w:val="BodyTextNoIndent"/>
      </w:pPr>
      <w:r>
        <w:t>ABS, Retail and Wholesale Industries, Cat. No. 8622.0 Canberra 31/07/2014</w:t>
      </w:r>
    </w:p>
    <w:p w14:paraId="2088E2E6" w14:textId="77777777" w:rsidR="00375729" w:rsidRPr="00C519A8" w:rsidRDefault="00375729" w:rsidP="00375729">
      <w:pPr>
        <w:pStyle w:val="BodyTextNoIndent"/>
      </w:pPr>
      <w:r w:rsidRPr="00C519A8">
        <w:t>Barnes, P. (2011), ‘Multifactor Productivity Cycles at the Industry Level’, Staff Working Paper, Productivity Commission, Canberra.</w:t>
      </w:r>
    </w:p>
    <w:p w14:paraId="3E756147" w14:textId="77777777" w:rsidR="00375729" w:rsidRPr="00C519A8" w:rsidRDefault="00375729" w:rsidP="00375729">
      <w:pPr>
        <w:pStyle w:val="BodyTextNoIndent"/>
      </w:pPr>
      <w:r w:rsidRPr="00C519A8">
        <w:t>Barnes, P. and A. McClure (2009), ‘Investents in Intangible Assets and Australia's Productivity Growth’, Staff Working Paper, Productivity Commission, Canberra.</w:t>
      </w:r>
    </w:p>
    <w:p w14:paraId="3821C4D3" w14:textId="77777777" w:rsidR="00375729" w:rsidRPr="00C519A8" w:rsidRDefault="00375729" w:rsidP="00375729">
      <w:pPr>
        <w:pStyle w:val="BodyTextNoIndent"/>
      </w:pPr>
      <w:r w:rsidRPr="00C519A8">
        <w:t xml:space="preserve">Bresnahan, T. and T. Trajtenberg (1992), ‘General Purpose Technologies: </w:t>
      </w:r>
      <w:r w:rsidR="006A530A">
        <w:t>‘</w:t>
      </w:r>
      <w:r w:rsidRPr="00C519A8">
        <w:t>Engines of Growth?’, NBER Working Paper No, 11948, National Bureau of Economic Research, Cambridge, Massachusetts.</w:t>
      </w:r>
    </w:p>
    <w:p w14:paraId="028898F0" w14:textId="77777777" w:rsidR="00375729" w:rsidRPr="00C519A8" w:rsidRDefault="00375729" w:rsidP="00375729">
      <w:pPr>
        <w:pStyle w:val="BodyTextNoIndent"/>
      </w:pPr>
      <w:r w:rsidRPr="00C519A8">
        <w:t>Bureau of Communications Research (2015), ‘A primer on digital productivity’, Department of Communications, Canberra, May.</w:t>
      </w:r>
    </w:p>
    <w:p w14:paraId="4D5FF133" w14:textId="77777777" w:rsidR="00375729" w:rsidRPr="00C519A8" w:rsidRDefault="00375729" w:rsidP="00375729">
      <w:pPr>
        <w:pStyle w:val="BodyTextNoIndent"/>
      </w:pPr>
      <w:r w:rsidRPr="00C519A8">
        <w:t>Brynjolfsson, E., L.M. Hitt and S. Yang (2000), ‘Intangible Assets: How the Interaction of Computers and Organisational Structure Affects Stock Market Valuations’, MIT Working Paper, Massachusetts Institute of Technology, Massachusetts.</w:t>
      </w:r>
    </w:p>
    <w:p w14:paraId="74B50C57" w14:textId="77777777" w:rsidR="00375729" w:rsidRPr="00C519A8" w:rsidRDefault="00375729" w:rsidP="00375729">
      <w:pPr>
        <w:pStyle w:val="BodyTextNoIndent"/>
      </w:pPr>
      <w:r w:rsidRPr="00C519A8">
        <w:t>Corrado, C., C. Hulten and D. Sichel (2006), ‘Intangible Capital and Economic Growth’, NBER Working Paper No, 11948, National Bureau of Economic Research, Cambridge, Massachusetts.</w:t>
      </w:r>
    </w:p>
    <w:p w14:paraId="60A75C24" w14:textId="77777777" w:rsidR="00375729" w:rsidRPr="00C519A8" w:rsidRDefault="00375729" w:rsidP="00375729">
      <w:pPr>
        <w:pStyle w:val="BodyTextNoIndent"/>
      </w:pPr>
      <w:r w:rsidRPr="00C519A8">
        <w:t>Elnasri, A. and K.J. Fox (2015), ‘The Contribution of Research and Innovation to Productivity’, UNSW Economics Discussion Paper 2014–08 (updated).</w:t>
      </w:r>
    </w:p>
    <w:p w14:paraId="0F86B8B5" w14:textId="77777777" w:rsidR="00375729" w:rsidRPr="00C519A8" w:rsidRDefault="00375729" w:rsidP="00375729">
      <w:pPr>
        <w:pStyle w:val="BodyTextNoIndent"/>
      </w:pPr>
      <w:r w:rsidRPr="00C519A8">
        <w:t>Jovanovich, B. and P. Rousseau (2005), ‘General Purpose Technologies’, NBER Working Paper No. 11093, National Bureau of Economic Research, Cambridge, Massachusetts.</w:t>
      </w:r>
    </w:p>
    <w:p w14:paraId="3E68B33F" w14:textId="77777777" w:rsidR="00375729" w:rsidRPr="00C519A8" w:rsidRDefault="00375729" w:rsidP="00375729">
      <w:pPr>
        <w:pStyle w:val="BodyTextNoIndent"/>
      </w:pPr>
      <w:r w:rsidRPr="00C519A8">
        <w:t>OECD (Organisation for Economic Co-operation and Development) (2004), The Economic Impact of ICT: Measurement, Evidence and Implications, OECD, Paris.</w:t>
      </w:r>
    </w:p>
    <w:p w14:paraId="51B15A44" w14:textId="77777777" w:rsidR="00375729" w:rsidRPr="00C519A8" w:rsidRDefault="00375729" w:rsidP="00375729">
      <w:pPr>
        <w:pStyle w:val="BodyTextNoIndent"/>
      </w:pPr>
      <w:r w:rsidRPr="00C519A8">
        <w:t>Parham, D. (2012), ‘Australia's Productivity Growth Slump: Signs of Crisis, Adjustment or Both?’, Visiting Researcher Paper, Productivity Commission, Canberra.</w:t>
      </w:r>
    </w:p>
    <w:p w14:paraId="1BE0CF80" w14:textId="77777777" w:rsidR="00375729" w:rsidRPr="00C519A8" w:rsidRDefault="00375729" w:rsidP="00375729">
      <w:pPr>
        <w:pStyle w:val="BodyTextNoIndent"/>
      </w:pPr>
      <w:r w:rsidRPr="00C519A8">
        <w:t>PC (Productivity Commission) (2004), ‘ICT Use and Productivity: A Synthesis from Studies of Australian Firms’, Commission Research Paper, Productivity Commission, Canberra.</w:t>
      </w:r>
    </w:p>
    <w:p w14:paraId="1A853173" w14:textId="77777777" w:rsidR="00375729" w:rsidRPr="00C519A8" w:rsidRDefault="00375729" w:rsidP="00375729">
      <w:pPr>
        <w:pStyle w:val="BodyTextNoIndent"/>
      </w:pPr>
      <w:r w:rsidRPr="00C519A8">
        <w:t>PC (2009), ‘Australia’s Productivity Performance’, Commission Submission, Productivity Commission, Canberra.</w:t>
      </w:r>
    </w:p>
    <w:p w14:paraId="02C6DB5A" w14:textId="77777777" w:rsidR="00375729" w:rsidRDefault="00375729" w:rsidP="00375729">
      <w:pPr>
        <w:pStyle w:val="BodyTextNoIndent"/>
      </w:pPr>
      <w:r w:rsidRPr="00C519A8">
        <w:t>Topp, V. and T. Kulys (2012), ‘Productivity in Electricity, Gas and Water: Measurement and Interpretation’, Staff Working Paper, Pro</w:t>
      </w:r>
      <w:r>
        <w:t>ductivity Commission, Canberra.</w:t>
      </w:r>
    </w:p>
    <w:p w14:paraId="21D9C59E" w14:textId="77777777" w:rsidR="00375729" w:rsidRDefault="00375729" w:rsidP="00375729">
      <w:pPr>
        <w:spacing w:after="120"/>
        <w:ind w:left="1021" w:hanging="1021"/>
      </w:pPr>
      <w:r>
        <w:br w:type="page"/>
      </w:r>
    </w:p>
    <w:p w14:paraId="3A7F018A" w14:textId="77777777" w:rsidR="00375729" w:rsidRPr="0016610E" w:rsidRDefault="00375729" w:rsidP="00CF3D6E">
      <w:pPr>
        <w:pStyle w:val="BCRAppendicesHeading"/>
      </w:pPr>
      <w:bookmarkStart w:id="101" w:name="_Toc442448189"/>
      <w:r w:rsidRPr="0016610E">
        <w:t>Manufacturing</w:t>
      </w:r>
      <w:bookmarkEnd w:id="101"/>
    </w:p>
    <w:p w14:paraId="356ACC06" w14:textId="77777777" w:rsidR="00375729" w:rsidRDefault="00375729">
      <w:pPr>
        <w:pStyle w:val="Boxheading"/>
      </w:pPr>
      <w:r>
        <w:t>Key Points</w:t>
      </w:r>
    </w:p>
    <w:p w14:paraId="5D21C131" w14:textId="77777777" w:rsidR="00375729" w:rsidRPr="00B3727E" w:rsidRDefault="00375729" w:rsidP="00012248">
      <w:pPr>
        <w:pStyle w:val="Boxtext"/>
      </w:pPr>
      <w:r w:rsidRPr="00B3727E">
        <w:t>Between 1989–90 and 2013–14, there was slow growth in manufacturing up to a watershed year in 2007–08, when output and labour use declined and capital use plateaued.</w:t>
      </w:r>
    </w:p>
    <w:p w14:paraId="72FD6BC9" w14:textId="77777777" w:rsidR="00375729" w:rsidRDefault="00375729" w:rsidP="00012248">
      <w:pPr>
        <w:pStyle w:val="Boxtext"/>
      </w:pPr>
      <w:r w:rsidRPr="00B3727E">
        <w:t xml:space="preserve">Information Technology (IT) stock grew rapidly until 2007–08 with annual rates of growth typically 15 per cent or more. However, IT represented only 8 per cent of capital costs. </w:t>
      </w:r>
    </w:p>
    <w:p w14:paraId="7F1CE8F0" w14:textId="77777777" w:rsidR="00375729" w:rsidRPr="00B3727E" w:rsidRDefault="00375729" w:rsidP="00012248">
      <w:pPr>
        <w:pStyle w:val="Boxtext"/>
      </w:pPr>
      <w:r w:rsidRPr="00B3727E">
        <w:t>For a long time, manufacturing was roughly evenly divided between software and hardware costs, but it became software intensive when hardware growth dropped off after 2007–08.</w:t>
      </w:r>
    </w:p>
    <w:p w14:paraId="1321472F" w14:textId="77777777" w:rsidR="00375729" w:rsidRDefault="00375729" w:rsidP="00012248">
      <w:pPr>
        <w:pStyle w:val="Boxtext"/>
      </w:pPr>
      <w:r>
        <w:t xml:space="preserve">The IT capital deepening contribution to labour productivity (LP) growth has been steady at around 0.5 to 0.6 of a percentage point, although this halved after 2007–08: </w:t>
      </w:r>
    </w:p>
    <w:p w14:paraId="7EB4A39F" w14:textId="77777777" w:rsidR="00375729" w:rsidRDefault="00375729" w:rsidP="00F37FA2">
      <w:pPr>
        <w:pStyle w:val="Boxbullet"/>
      </w:pPr>
      <w:r>
        <w:t>IT capital deepening accounted for about a quarter of LP growth in the sector.</w:t>
      </w:r>
    </w:p>
    <w:p w14:paraId="72F60AE3" w14:textId="77777777" w:rsidR="00375729" w:rsidRDefault="00375729" w:rsidP="00F37FA2">
      <w:pPr>
        <w:pStyle w:val="Boxbullet"/>
      </w:pPr>
      <w:r>
        <w:t>Most of the IT capital contribution came from hardware.</w:t>
      </w:r>
    </w:p>
    <w:p w14:paraId="640C97AE" w14:textId="77777777" w:rsidR="00375729" w:rsidRDefault="00375729" w:rsidP="00012248">
      <w:pPr>
        <w:pStyle w:val="Boxtext"/>
      </w:pPr>
      <w:r>
        <w:t>Average skill level increased by 11 per cent over the period under review, with a correlation coefficient with IT use of 0.95.</w:t>
      </w:r>
    </w:p>
    <w:p w14:paraId="5223D9BB" w14:textId="77777777" w:rsidR="00375729" w:rsidRDefault="00375729" w:rsidP="00012248">
      <w:pPr>
        <w:pStyle w:val="Boxtext"/>
      </w:pPr>
      <w:r>
        <w:t>There was no improvement in non-IT capital productivity in manufacturing during the review period:</w:t>
      </w:r>
    </w:p>
    <w:p w14:paraId="4464CDE0" w14:textId="77777777" w:rsidR="00375729" w:rsidRDefault="00375729" w:rsidP="00F37FA2">
      <w:pPr>
        <w:pStyle w:val="Boxbullet"/>
      </w:pPr>
      <w:r>
        <w:t xml:space="preserve">The productivity of non-IT assets as a group </w:t>
      </w:r>
      <w:r w:rsidRPr="003771DE">
        <w:t>fell</w:t>
      </w:r>
      <w:r>
        <w:t xml:space="preserve"> by nearly 25 per cent.</w:t>
      </w:r>
    </w:p>
    <w:p w14:paraId="6A3AD646" w14:textId="77777777" w:rsidR="00375729" w:rsidRPr="000164BA" w:rsidRDefault="00375729" w:rsidP="00F37FA2">
      <w:pPr>
        <w:pStyle w:val="Boxbullet"/>
      </w:pPr>
      <w:r w:rsidRPr="000164BA">
        <w:t>The productivities of nearly all individual assets also fell.</w:t>
      </w:r>
    </w:p>
    <w:p w14:paraId="6E3B3BB4" w14:textId="77777777" w:rsidR="00375729" w:rsidRPr="000164BA" w:rsidRDefault="00375729" w:rsidP="00F37FA2">
      <w:pPr>
        <w:pStyle w:val="Boxbullet"/>
      </w:pPr>
      <w:r w:rsidRPr="000164BA">
        <w:t xml:space="preserve"> Industrial machinery and equipment—the largest capital cost in manufacturing—was a temporary exception. Its productivity increased through the 1990s and early 2000s, but a complete fall after that offset any gains.</w:t>
      </w:r>
    </w:p>
    <w:p w14:paraId="716E6764" w14:textId="77777777" w:rsidR="00375729" w:rsidRPr="000164BA" w:rsidRDefault="00375729" w:rsidP="00012248">
      <w:pPr>
        <w:pStyle w:val="Boxtext"/>
      </w:pPr>
      <w:r w:rsidRPr="000164BA">
        <w:t>As a result is no correlation with IT use and the only identified channel through which IT could affect multifactor productivity growth is the capital deepening effect via labour productivity.</w:t>
      </w:r>
    </w:p>
    <w:p w14:paraId="33816309" w14:textId="77777777" w:rsidR="00375729" w:rsidRPr="00853659" w:rsidRDefault="00375729" w:rsidP="00375729">
      <w:r w:rsidRPr="00853659">
        <w:t>The Australian Bureau of Statistics (ABS) identifies the following subdivisions within the manufacturing sector:</w:t>
      </w:r>
    </w:p>
    <w:p w14:paraId="05C125EB" w14:textId="77777777" w:rsidR="00375729" w:rsidRPr="00853659" w:rsidRDefault="00375729" w:rsidP="006C4B85">
      <w:pPr>
        <w:pStyle w:val="Bodybullet-Level1"/>
      </w:pPr>
      <w:r w:rsidRPr="00853659">
        <w:t>food, beverage and tobacco products</w:t>
      </w:r>
    </w:p>
    <w:p w14:paraId="5DD84D16" w14:textId="77777777" w:rsidR="00375729" w:rsidRPr="00853659" w:rsidRDefault="00375729" w:rsidP="006C4B85">
      <w:pPr>
        <w:pStyle w:val="Bodybullet-Level1"/>
      </w:pPr>
      <w:r w:rsidRPr="00853659">
        <w:t>textile, clothing and other manufacturing</w:t>
      </w:r>
    </w:p>
    <w:p w14:paraId="4E121EFB" w14:textId="77777777" w:rsidR="00375729" w:rsidRPr="00853659" w:rsidRDefault="00375729" w:rsidP="006C4B85">
      <w:pPr>
        <w:pStyle w:val="Bodybullet-Level1"/>
      </w:pPr>
      <w:r w:rsidRPr="00853659">
        <w:t>wood and paper products</w:t>
      </w:r>
    </w:p>
    <w:p w14:paraId="283B62CB" w14:textId="77777777" w:rsidR="00375729" w:rsidRPr="00853659" w:rsidRDefault="00375729" w:rsidP="006C4B85">
      <w:pPr>
        <w:pStyle w:val="Bodybullet-Level1"/>
      </w:pPr>
      <w:r w:rsidRPr="00853659">
        <w:t>printing and recorded media</w:t>
      </w:r>
    </w:p>
    <w:p w14:paraId="0949D6E6" w14:textId="77777777" w:rsidR="00375729" w:rsidRPr="00853659" w:rsidRDefault="00375729" w:rsidP="006C4B85">
      <w:pPr>
        <w:pStyle w:val="Bodybullet-Level1"/>
      </w:pPr>
      <w:r w:rsidRPr="00853659">
        <w:t>petroleum, coal, chemical and rubber products</w:t>
      </w:r>
    </w:p>
    <w:p w14:paraId="70C5DE2A" w14:textId="77777777" w:rsidR="00375729" w:rsidRPr="00853659" w:rsidRDefault="00375729" w:rsidP="006C4B85">
      <w:pPr>
        <w:pStyle w:val="Bodybullet-Level1"/>
      </w:pPr>
      <w:r w:rsidRPr="00853659">
        <w:t>non-metallic mineral products</w:t>
      </w:r>
    </w:p>
    <w:p w14:paraId="71E8DC54" w14:textId="77777777" w:rsidR="00375729" w:rsidRPr="00853659" w:rsidRDefault="00375729" w:rsidP="006C4B85">
      <w:pPr>
        <w:pStyle w:val="Bodybullet-Level1"/>
      </w:pPr>
      <w:r w:rsidRPr="00853659">
        <w:t>metal products</w:t>
      </w:r>
    </w:p>
    <w:p w14:paraId="0D597216" w14:textId="77777777" w:rsidR="00375729" w:rsidRPr="00853659" w:rsidRDefault="00375729" w:rsidP="006C4B85">
      <w:pPr>
        <w:pStyle w:val="Bodybullet-Level1"/>
      </w:pPr>
      <w:r w:rsidRPr="00853659">
        <w:t>machinery and equipment.</w:t>
      </w:r>
    </w:p>
    <w:p w14:paraId="3B7A7B4D" w14:textId="77777777" w:rsidR="00375729" w:rsidRDefault="00375729" w:rsidP="00375729">
      <w:r w:rsidRPr="00853659">
        <w:t>From 1989–90, the sector expanded slowly up until what appears to be a watershed year in 2007</w:t>
      </w:r>
      <w:r w:rsidR="003E054A">
        <w:noBreakHyphen/>
      </w:r>
      <w:r w:rsidRPr="00853659">
        <w:t xml:space="preserve">08, when it started to decline and stall, likely due to external pressures associated with the </w:t>
      </w:r>
      <w:r w:rsidR="003E054A">
        <w:t>g</w:t>
      </w:r>
      <w:r w:rsidR="003E054A" w:rsidRPr="00853659">
        <w:t xml:space="preserve">lobal </w:t>
      </w:r>
      <w:r w:rsidR="003E054A">
        <w:t>f</w:t>
      </w:r>
      <w:r w:rsidR="003E054A" w:rsidRPr="00853659">
        <w:t xml:space="preserve">inancial </w:t>
      </w:r>
      <w:r w:rsidR="003E054A">
        <w:t>c</w:t>
      </w:r>
      <w:r w:rsidR="003E054A" w:rsidRPr="00853659">
        <w:t xml:space="preserve">risis </w:t>
      </w:r>
      <w:r w:rsidRPr="00853659">
        <w:t xml:space="preserve">and the mining boom. </w:t>
      </w:r>
    </w:p>
    <w:p w14:paraId="64D9137C" w14:textId="77777777" w:rsidR="00375729" w:rsidRPr="00853659" w:rsidRDefault="00375729" w:rsidP="00375729">
      <w:r w:rsidRPr="00853659">
        <w:t>After the early-1990s recession, output grew steadily, capital grew reasonably rapidly, but use of labour declined gradually (</w:t>
      </w:r>
      <w:r w:rsidR="003A6270">
        <w:t>Figure A1</w:t>
      </w:r>
      <w:r w:rsidRPr="00853659">
        <w:t>). Since 2007–08, output has declined, capital has been static and labour use has declined more rapidly. The average annual rates of growth from 1989–90 to 2013–14 are 0.8 per cent for output, 2.9 per cent for capital and -1.0 per cent for labour.</w:t>
      </w:r>
    </w:p>
    <w:p w14:paraId="76CD6611" w14:textId="77777777" w:rsidR="00375729" w:rsidRPr="00CD6720" w:rsidRDefault="00375729" w:rsidP="00375729">
      <w:r w:rsidRPr="00853659">
        <w:t>Over that same period, manufacturing declined from 15.0 per cent of GDP to just 6.8 per cent.</w:t>
      </w:r>
      <w:r w:rsidR="00B872C3">
        <w:rPr>
          <w:rStyle w:val="EndnoteReference"/>
        </w:rPr>
        <w:endnoteReference w:id="12"/>
      </w:r>
      <w:r w:rsidRPr="00853659">
        <w:t xml:space="preserve"> </w:t>
      </w:r>
    </w:p>
    <w:p w14:paraId="40D19B34" w14:textId="77777777" w:rsidR="00375729" w:rsidRDefault="00375729" w:rsidP="006C4B85">
      <w:pPr>
        <w:pStyle w:val="Figurecaption"/>
      </w:pPr>
      <w:r>
        <w:t xml:space="preserve">Figure </w:t>
      </w:r>
      <w:r w:rsidR="003A6270">
        <w:t>A</w:t>
      </w:r>
      <w:r w:rsidR="003E054A">
        <w:t>1</w:t>
      </w:r>
      <w:r>
        <w:t>: Output, capital, and labour in manufacturing (index, 2012–13</w:t>
      </w:r>
      <w:r w:rsidR="006A530A">
        <w:t xml:space="preserve"> = </w:t>
      </w:r>
      <w:r>
        <w:t>100)</w:t>
      </w:r>
    </w:p>
    <w:p w14:paraId="443BEBA3" w14:textId="42108515" w:rsidR="00375729" w:rsidRDefault="006C4B85" w:rsidP="00375729">
      <w:r>
        <w:rPr>
          <w:noProof/>
          <w:lang w:eastAsia="en-AU"/>
        </w:rPr>
        <w:drawing>
          <wp:inline distT="0" distB="0" distL="0" distR="0" wp14:anchorId="02479238" wp14:editId="73F967D0">
            <wp:extent cx="4584700" cy="2755900"/>
            <wp:effectExtent l="0" t="0" r="635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CBAC93" w14:textId="77777777" w:rsidR="00375729" w:rsidRPr="004812B6" w:rsidRDefault="00375729" w:rsidP="00012248">
      <w:pPr>
        <w:pStyle w:val="SourceNotes"/>
      </w:pPr>
      <w:r>
        <w:t xml:space="preserve">Source: </w:t>
      </w:r>
      <w:r w:rsidRPr="004812B6">
        <w:t xml:space="preserve">ABS Cat. No. 5260.0.55.002 </w:t>
      </w:r>
    </w:p>
    <w:p w14:paraId="25A84D82" w14:textId="77777777" w:rsidR="00375729" w:rsidRDefault="00C03BEC" w:rsidP="00CF3D6E">
      <w:pPr>
        <w:pStyle w:val="BCRAppendicesSubheading"/>
      </w:pPr>
      <w:r>
        <w:t xml:space="preserve">A.1 </w:t>
      </w:r>
      <w:r w:rsidR="00375729">
        <w:t>Growth in IT capital</w:t>
      </w:r>
    </w:p>
    <w:p w14:paraId="44B2405B" w14:textId="77777777" w:rsidR="00375729" w:rsidRPr="00853659" w:rsidRDefault="00375729" w:rsidP="00375729">
      <w:pPr>
        <w:rPr>
          <w:rFonts w:eastAsia="Calibri" w:cs="Times New Roman"/>
        </w:rPr>
      </w:pPr>
      <w:r w:rsidRPr="00853659">
        <w:rPr>
          <w:rFonts w:eastAsia="Calibri" w:cs="Times New Roman"/>
        </w:rPr>
        <w:t>There was strong growth in Information Technology (IT) use in manufacturing in the 1990s and into the 2000s, up to 2007–08 (</w:t>
      </w:r>
      <w:r w:rsidR="003A6270">
        <w:rPr>
          <w:rFonts w:eastAsia="Calibri" w:cs="Times New Roman"/>
        </w:rPr>
        <w:t>Figure A2</w:t>
      </w:r>
      <w:r w:rsidRPr="00853659">
        <w:rPr>
          <w:rFonts w:eastAsia="Calibri" w:cs="Times New Roman"/>
        </w:rPr>
        <w:t>). Annual rates of growth in IT capital were in the region of 15 per cent (</w:t>
      </w:r>
      <w:r w:rsidR="003A6270">
        <w:rPr>
          <w:rFonts w:eastAsia="Calibri" w:cs="Times New Roman"/>
        </w:rPr>
        <w:t>Figure A3</w:t>
      </w:r>
      <w:r w:rsidRPr="00853659">
        <w:rPr>
          <w:rFonts w:eastAsia="Calibri" w:cs="Times New Roman"/>
        </w:rPr>
        <w:t>). The average annual rate of growth in IT over the period was 13.4 per cent.</w:t>
      </w:r>
    </w:p>
    <w:p w14:paraId="055BAB85" w14:textId="77777777" w:rsidR="00375729" w:rsidRPr="00853659" w:rsidRDefault="00375729" w:rsidP="00375729">
      <w:pPr>
        <w:rPr>
          <w:rFonts w:eastAsia="Calibri" w:cs="Times New Roman"/>
        </w:rPr>
      </w:pPr>
      <w:r w:rsidRPr="00853659">
        <w:rPr>
          <w:rFonts w:eastAsia="Calibri" w:cs="Times New Roman"/>
        </w:rPr>
        <w:t>IT has been an important but not major part of total capital in the sector. It has accounted for between 5 and 10 per cent of capital income for most of the period (</w:t>
      </w:r>
      <w:r w:rsidRPr="00853659">
        <w:rPr>
          <w:rFonts w:eastAsia="Calibri" w:cs="Times New Roman"/>
        </w:rPr>
        <w:fldChar w:fldCharType="begin"/>
      </w:r>
      <w:r w:rsidRPr="00853659">
        <w:rPr>
          <w:rFonts w:eastAsia="Calibri" w:cs="Times New Roman"/>
        </w:rPr>
        <w:instrText xml:space="preserve"> REF _Ref423884120 \h </w:instrText>
      </w:r>
      <w:r w:rsidRPr="00853659">
        <w:rPr>
          <w:rFonts w:eastAsia="Calibri" w:cs="Times New Roman"/>
        </w:rPr>
      </w:r>
      <w:r w:rsidRPr="00853659">
        <w:rPr>
          <w:rFonts w:eastAsia="Calibri" w:cs="Times New Roman"/>
        </w:rPr>
        <w:fldChar w:fldCharType="separate"/>
      </w:r>
      <w:r w:rsidR="003A6270">
        <w:t>Figure A3</w:t>
      </w:r>
      <w:r w:rsidRPr="00853659">
        <w:rPr>
          <w:rFonts w:eastAsia="Calibri" w:cs="Times New Roman"/>
        </w:rPr>
        <w:fldChar w:fldCharType="end"/>
      </w:r>
      <w:r w:rsidRPr="00853659">
        <w:rPr>
          <w:rFonts w:eastAsia="Calibri" w:cs="Times New Roman"/>
        </w:rPr>
        <w:t>). The overall average is 8 per cent, split evenly between hardware and software.</w:t>
      </w:r>
    </w:p>
    <w:p w14:paraId="28CFB33B" w14:textId="77777777" w:rsidR="00375729" w:rsidRDefault="00375729" w:rsidP="006C4B85">
      <w:pPr>
        <w:pStyle w:val="Figurecaption"/>
      </w:pPr>
      <w:r>
        <w:t xml:space="preserve">Figure </w:t>
      </w:r>
      <w:r w:rsidR="003A6270">
        <w:t>A2</w:t>
      </w:r>
      <w:r>
        <w:t>: Capital, IT capital and non-IT capital in manufacturing (index, 2012–13</w:t>
      </w:r>
      <w:r w:rsidR="006A530A">
        <w:t xml:space="preserve"> = </w:t>
      </w:r>
      <w:r>
        <w:t>100)</w:t>
      </w:r>
    </w:p>
    <w:p w14:paraId="431BB4D3" w14:textId="64550C25" w:rsidR="00375729" w:rsidRDefault="006C4B85" w:rsidP="00375729">
      <w:pPr>
        <w:spacing w:after="60"/>
      </w:pPr>
      <w:r>
        <w:rPr>
          <w:noProof/>
          <w:lang w:eastAsia="en-AU"/>
        </w:rPr>
        <w:drawing>
          <wp:inline distT="0" distB="0" distL="0" distR="0" wp14:anchorId="7535DFC3" wp14:editId="7B681E08">
            <wp:extent cx="4584700" cy="27432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18F4ED0E" w14:textId="77777777" w:rsidR="00375729" w:rsidRPr="004812B6" w:rsidRDefault="00375729" w:rsidP="00012248">
      <w:pPr>
        <w:pStyle w:val="SourceNotes"/>
      </w:pPr>
      <w:r>
        <w:t xml:space="preserve">Source: </w:t>
      </w:r>
      <w:r w:rsidRPr="004812B6">
        <w:t>ABS Cat. No. 5260.0.55.002 and author estimates</w:t>
      </w:r>
    </w:p>
    <w:p w14:paraId="0736E2DE" w14:textId="77777777" w:rsidR="00375729" w:rsidRDefault="00375729" w:rsidP="006C4B85">
      <w:pPr>
        <w:pStyle w:val="Figurecaption"/>
      </w:pPr>
      <w:bookmarkStart w:id="102" w:name="_Ref423884120"/>
      <w:r>
        <w:t xml:space="preserve">Figure </w:t>
      </w:r>
      <w:bookmarkEnd w:id="102"/>
      <w:r w:rsidR="003A6270">
        <w:t>A3</w:t>
      </w:r>
      <w:r>
        <w:t xml:space="preserve">: Annual growth in IT and non-IT capital (% per year) and the IT share of capital income (%) in </w:t>
      </w:r>
      <w:r w:rsidRPr="006C4B85">
        <w:rPr>
          <w:rStyle w:val="FigurecaptionCharChar"/>
        </w:rPr>
        <w:t>manufacturing</w:t>
      </w:r>
    </w:p>
    <w:p w14:paraId="5FAA1BA3" w14:textId="439647FD" w:rsidR="00375729" w:rsidRDefault="006C4B85" w:rsidP="00375729">
      <w:pPr>
        <w:spacing w:after="60"/>
      </w:pPr>
      <w:r>
        <w:rPr>
          <w:noProof/>
          <w:lang w:eastAsia="en-AU"/>
        </w:rPr>
        <w:drawing>
          <wp:inline distT="0" distB="0" distL="0" distR="0" wp14:anchorId="1C993DC3" wp14:editId="67E126B1">
            <wp:extent cx="4791710" cy="2512060"/>
            <wp:effectExtent l="0" t="0" r="889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710" cy="2512060"/>
                    </a:xfrm>
                    <a:prstGeom prst="rect">
                      <a:avLst/>
                    </a:prstGeom>
                    <a:noFill/>
                  </pic:spPr>
                </pic:pic>
              </a:graphicData>
            </a:graphic>
          </wp:inline>
        </w:drawing>
      </w:r>
    </w:p>
    <w:p w14:paraId="1BF336E0" w14:textId="77777777" w:rsidR="00375729" w:rsidRPr="004812B6" w:rsidRDefault="00375729" w:rsidP="00012248">
      <w:pPr>
        <w:pStyle w:val="SourceNotes"/>
      </w:pPr>
      <w:r>
        <w:t xml:space="preserve">Source: </w:t>
      </w:r>
      <w:r w:rsidRPr="004812B6">
        <w:t>Author estimates</w:t>
      </w:r>
    </w:p>
    <w:p w14:paraId="5C8CF01D" w14:textId="77777777" w:rsidR="00375729" w:rsidRPr="00853659" w:rsidRDefault="00375729" w:rsidP="00375729">
      <w:r w:rsidRPr="00853659">
        <w:t xml:space="preserve">The growth in IT between the mid-1990s and mid-2000s </w:t>
      </w:r>
      <w:r>
        <w:t xml:space="preserve">was mainly in hardware (Figure </w:t>
      </w:r>
      <w:r w:rsidR="003A6270">
        <w:t>A</w:t>
      </w:r>
      <w:r w:rsidR="003A6270" w:rsidRPr="00853659">
        <w:t>4</w:t>
      </w:r>
      <w:r w:rsidRPr="00853659">
        <w:t xml:space="preserve">). The sector became more software intensive (as indicated by the hardware share in Figure </w:t>
      </w:r>
      <w:r w:rsidR="003A6270">
        <w:t>A</w:t>
      </w:r>
      <w:r w:rsidR="003A6270" w:rsidRPr="00853659">
        <w:t>4</w:t>
      </w:r>
      <w:r w:rsidRPr="00853659">
        <w:t xml:space="preserve">) when </w:t>
      </w:r>
      <w:r w:rsidR="001C61E7">
        <w:t xml:space="preserve">the share </w:t>
      </w:r>
      <w:r w:rsidRPr="00853659">
        <w:t>of hardware dropped off after 2007–08.</w:t>
      </w:r>
    </w:p>
    <w:p w14:paraId="25E45FFA" w14:textId="77777777" w:rsidR="00375729" w:rsidRDefault="00375729" w:rsidP="006C4B85">
      <w:pPr>
        <w:pStyle w:val="Figurecaption"/>
      </w:pPr>
      <w:bookmarkStart w:id="103" w:name="_Ref423944462"/>
      <w:r>
        <w:t xml:space="preserve">Figure </w:t>
      </w:r>
      <w:bookmarkEnd w:id="103"/>
      <w:r w:rsidR="003A6270">
        <w:t>A4</w:t>
      </w:r>
      <w:r>
        <w:t>: Annual growth in software and hardware (% per year) and hardware share of IT capital income (%) in manufacturing</w:t>
      </w:r>
    </w:p>
    <w:p w14:paraId="4542D2AF" w14:textId="13F12468" w:rsidR="00375729" w:rsidRDefault="006C4B85" w:rsidP="00375729">
      <w:pPr>
        <w:spacing w:after="60"/>
      </w:pPr>
      <w:r>
        <w:rPr>
          <w:noProof/>
          <w:lang w:eastAsia="en-AU"/>
        </w:rPr>
        <w:drawing>
          <wp:inline distT="0" distB="0" distL="0" distR="0" wp14:anchorId="04E9705E" wp14:editId="52FB762B">
            <wp:extent cx="4572635" cy="27432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F996DC0" w14:textId="77777777" w:rsidR="00375729" w:rsidRPr="004812B6" w:rsidRDefault="00375729" w:rsidP="00012248">
      <w:pPr>
        <w:pStyle w:val="SourceNotes"/>
      </w:pPr>
      <w:r>
        <w:t xml:space="preserve">Source: </w:t>
      </w:r>
      <w:r w:rsidRPr="004812B6">
        <w:t>Author estimates</w:t>
      </w:r>
    </w:p>
    <w:p w14:paraId="2C1420FD" w14:textId="77777777" w:rsidR="00375729" w:rsidRPr="00FE290D" w:rsidRDefault="00C03BEC" w:rsidP="00CF3D6E">
      <w:pPr>
        <w:pStyle w:val="BCRAppendicesSubheading"/>
      </w:pPr>
      <w:r w:rsidRPr="00EE3628">
        <w:t xml:space="preserve">A.2 </w:t>
      </w:r>
      <w:r w:rsidR="00375729" w:rsidRPr="00FE290D">
        <w:t>Labour productivity growth</w:t>
      </w:r>
    </w:p>
    <w:p w14:paraId="1B425344" w14:textId="77777777" w:rsidR="00375729" w:rsidRPr="00853659" w:rsidRDefault="00375729" w:rsidP="00375729">
      <w:r w:rsidRPr="00853659">
        <w:t>Labour productivity (LP) growth in manufacturing was moderate to slow from 19</w:t>
      </w:r>
      <w:r>
        <w:t>89–90, increasing 57 per cent t</w:t>
      </w:r>
      <w:r w:rsidRPr="00853659">
        <w:t>o 2013–14</w:t>
      </w:r>
      <w:r w:rsidR="006C7184">
        <w:t xml:space="preserve"> (Figure A</w:t>
      </w:r>
      <w:r w:rsidR="00D46435">
        <w:t>5</w:t>
      </w:r>
      <w:r w:rsidR="00AE23A9">
        <w:t>)</w:t>
      </w:r>
      <w:r w:rsidRPr="00853659">
        <w:t>. The average annual rate of growth in trend LP was 1.9 per cent.</w:t>
      </w:r>
    </w:p>
    <w:p w14:paraId="5A812ADF" w14:textId="77777777" w:rsidR="00375729" w:rsidRPr="00853659" w:rsidRDefault="00375729" w:rsidP="00375729">
      <w:r w:rsidRPr="00853659">
        <w:t>Peaks in LP cycles took place in 1990–91, 1998–99, 2001–02, 2003–04, 2006–07 and 2011–12 according to the method set out in section 5.3 (</w:t>
      </w:r>
      <w:r w:rsidRPr="00853659">
        <w:fldChar w:fldCharType="begin"/>
      </w:r>
      <w:r w:rsidRPr="00853659">
        <w:instrText xml:space="preserve"> REF _Ref423783671 \h </w:instrText>
      </w:r>
      <w:r w:rsidRPr="00853659">
        <w:fldChar w:fldCharType="separate"/>
      </w:r>
      <w:r w:rsidR="00DE5FE7">
        <w:t>Figure A5</w:t>
      </w:r>
      <w:r w:rsidRPr="00853659">
        <w:fldChar w:fldCharType="end"/>
      </w:r>
      <w:r w:rsidRPr="00853659">
        <w:t>). The peak in 2001–02 was overlooked as it was deemed to not provide much difference in trend from its near neighbour in 2003–04.</w:t>
      </w:r>
    </w:p>
    <w:p w14:paraId="28569EAE" w14:textId="77777777" w:rsidR="00375729" w:rsidRPr="00853659" w:rsidRDefault="00375729" w:rsidP="00375729">
      <w:r w:rsidRPr="00853659">
        <w:t>Productivity growth over the LP</w:t>
      </w:r>
      <w:r>
        <w:t xml:space="preserve"> cycles has slowed considerably</w:t>
      </w:r>
      <w:r w:rsidRPr="00853659">
        <w:t>. Average growth rates in actual LP over cycles were:</w:t>
      </w:r>
    </w:p>
    <w:p w14:paraId="1E1241BE" w14:textId="77777777" w:rsidR="00375729" w:rsidRPr="00853659" w:rsidRDefault="00375729" w:rsidP="00012248">
      <w:pPr>
        <w:pStyle w:val="Bodybullet-Level2"/>
      </w:pPr>
      <w:r w:rsidRPr="00853659">
        <w:t>1990–91 to 1998–99: 2.2 per cent a year</w:t>
      </w:r>
    </w:p>
    <w:p w14:paraId="3D70E945" w14:textId="77777777" w:rsidR="00375729" w:rsidRPr="00853659" w:rsidRDefault="00375729" w:rsidP="00012248">
      <w:pPr>
        <w:pStyle w:val="Bodybullet-Level2"/>
      </w:pPr>
      <w:r w:rsidRPr="00853659">
        <w:t>1998–99 to 2003–04: 2.5 per cent a year</w:t>
      </w:r>
    </w:p>
    <w:p w14:paraId="2FB1CE57" w14:textId="77777777" w:rsidR="00375729" w:rsidRPr="00853659" w:rsidRDefault="00375729" w:rsidP="00012248">
      <w:pPr>
        <w:pStyle w:val="Bodybullet-Level2"/>
      </w:pPr>
      <w:r w:rsidRPr="00853659">
        <w:t>2003–04 to 2006–07: 1.1 per cent a year</w:t>
      </w:r>
      <w:r w:rsidR="00EC0FA3">
        <w:t>, and</w:t>
      </w:r>
    </w:p>
    <w:p w14:paraId="5345A404" w14:textId="77777777" w:rsidR="00375729" w:rsidRDefault="00375729" w:rsidP="00012248">
      <w:pPr>
        <w:pStyle w:val="Bodybullet-Level2"/>
      </w:pPr>
      <w:r w:rsidRPr="00853659">
        <w:t>2006–07 to 2011–12: 1.5 per cent a year.</w:t>
      </w:r>
      <w:r w:rsidR="00B872C3">
        <w:rPr>
          <w:rStyle w:val="EndnoteReference"/>
        </w:rPr>
        <w:endnoteReference w:id="13"/>
      </w:r>
    </w:p>
    <w:p w14:paraId="31B20113" w14:textId="77777777" w:rsidR="00375729" w:rsidRPr="00A90AE3" w:rsidRDefault="00375729" w:rsidP="006C4B85">
      <w:pPr>
        <w:pStyle w:val="Figurecaption"/>
      </w:pPr>
      <w:bookmarkStart w:id="104" w:name="_Ref423783671"/>
      <w:r>
        <w:t xml:space="preserve">Figure </w:t>
      </w:r>
      <w:bookmarkEnd w:id="104"/>
      <w:r w:rsidR="00DE5FE7">
        <w:t>A5</w:t>
      </w:r>
      <w:r>
        <w:t>: Actual and trend labour productivity in manufacturing</w:t>
      </w:r>
      <w:r>
        <w:rPr>
          <w:sz w:val="22"/>
          <w:szCs w:val="22"/>
          <w:vertAlign w:val="superscript"/>
        </w:rPr>
        <w:t xml:space="preserve">a </w:t>
      </w:r>
      <w:r>
        <w:t>(index, actual 2012–13</w:t>
      </w:r>
      <w:r w:rsidR="006A530A">
        <w:t xml:space="preserve"> = </w:t>
      </w:r>
      <w:r>
        <w:t>100)</w:t>
      </w:r>
    </w:p>
    <w:p w14:paraId="14E004A8" w14:textId="583E50D7" w:rsidR="00375729" w:rsidRDefault="006C4B85" w:rsidP="00375729">
      <w:pPr>
        <w:spacing w:after="60"/>
      </w:pPr>
      <w:r>
        <w:rPr>
          <w:noProof/>
          <w:lang w:eastAsia="en-AU"/>
        </w:rPr>
        <w:drawing>
          <wp:inline distT="0" distB="0" distL="0" distR="0" wp14:anchorId="6577DDEF" wp14:editId="362F8642">
            <wp:extent cx="4340860" cy="2603500"/>
            <wp:effectExtent l="0" t="0" r="254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0860" cy="2603500"/>
                    </a:xfrm>
                    <a:prstGeom prst="rect">
                      <a:avLst/>
                    </a:prstGeom>
                    <a:noFill/>
                  </pic:spPr>
                </pic:pic>
              </a:graphicData>
            </a:graphic>
          </wp:inline>
        </w:drawing>
      </w:r>
    </w:p>
    <w:p w14:paraId="711F50D5" w14:textId="77777777" w:rsidR="00375729" w:rsidRPr="00853659" w:rsidRDefault="00375729" w:rsidP="00012248">
      <w:pPr>
        <w:pStyle w:val="SourceNotes"/>
      </w:pPr>
      <w:r w:rsidRPr="00853659">
        <w:t>Note: a. Trend series formed with a Hodrick-Prescott filter λ</w:t>
      </w:r>
      <w:r w:rsidR="006A530A">
        <w:t xml:space="preserve"> = </w:t>
      </w:r>
      <w:r w:rsidRPr="00853659">
        <w:t>100</w:t>
      </w:r>
      <w:r w:rsidRPr="00853659">
        <w:tab/>
      </w:r>
    </w:p>
    <w:p w14:paraId="596CF73C" w14:textId="77777777" w:rsidR="00375729" w:rsidRPr="00853659" w:rsidRDefault="00375729" w:rsidP="00012248">
      <w:pPr>
        <w:pStyle w:val="SourceNotes"/>
      </w:pPr>
      <w:r w:rsidRPr="00853659">
        <w:t>Source: ABS Cat. No. 5260.0.55.002 and author estimates</w:t>
      </w:r>
    </w:p>
    <w:p w14:paraId="44559C60" w14:textId="77777777" w:rsidR="00375729" w:rsidRDefault="00A67DEB" w:rsidP="00CF3D6E">
      <w:pPr>
        <w:pStyle w:val="BCRAppendicesSubSubheading"/>
      </w:pPr>
      <w:r>
        <w:t>A.2</w:t>
      </w:r>
      <w:r w:rsidR="00375729">
        <w:t>.1 IT capital deepening and LP growth</w:t>
      </w:r>
    </w:p>
    <w:p w14:paraId="235CF814" w14:textId="77777777" w:rsidR="00375729" w:rsidRPr="00853659" w:rsidRDefault="00375729" w:rsidP="00375729">
      <w:pPr>
        <w:pStyle w:val="BodyTextNoIndent"/>
      </w:pPr>
      <w:r w:rsidRPr="00853659">
        <w:t xml:space="preserve">The growth in labour productivity can be decomposed into contributions from capital deepening and multifactor productivity (MFP) growth. Capital deepening is growth in the capital-labour ratio, multiplied by the share of total industry income attributed to capital. </w:t>
      </w:r>
    </w:p>
    <w:p w14:paraId="40A5CBA4" w14:textId="77777777" w:rsidR="00375729" w:rsidRPr="00853659" w:rsidRDefault="00375729" w:rsidP="00375729">
      <w:pPr>
        <w:pStyle w:val="BodyTextNoIndent"/>
      </w:pPr>
      <w:r w:rsidRPr="00853659">
        <w:t xml:space="preserve">The greater contribution of capital deepening is clearly evident from a glance at Figure </w:t>
      </w:r>
      <w:r w:rsidR="0054424D">
        <w:t>A</w:t>
      </w:r>
      <w:r>
        <w:t>.</w:t>
      </w:r>
      <w:r w:rsidRPr="00853659">
        <w:t xml:space="preserve">6. </w:t>
      </w:r>
    </w:p>
    <w:p w14:paraId="33822B25" w14:textId="77777777" w:rsidR="00375729" w:rsidRPr="00853659" w:rsidRDefault="00375729" w:rsidP="00375729">
      <w:pPr>
        <w:pStyle w:val="BodyTextNoIndent"/>
      </w:pPr>
      <w:r w:rsidRPr="00853659">
        <w:t>MFP increased 21 per cent and the capital-labour ratio grew nearly 160 per cent</w:t>
      </w:r>
      <w:r w:rsidR="00741D04">
        <w:t xml:space="preserve"> (from approximately 40 in 1989-90 to 100 in 2013-14) </w:t>
      </w:r>
      <w:r w:rsidRPr="00853659">
        <w:t xml:space="preserve">through the combination of strong capital growth and labour shedding. (The capital-labour ratio needs to be weighted by the capital share of total income, which averaged 0.39, to indicate its contribution.) </w:t>
      </w:r>
    </w:p>
    <w:p w14:paraId="23BDF8BE" w14:textId="77777777" w:rsidR="00375729" w:rsidRDefault="00375729" w:rsidP="006C4B85">
      <w:pPr>
        <w:pStyle w:val="Figurecaption"/>
      </w:pPr>
      <w:bookmarkStart w:id="105" w:name="_Ref423787620"/>
      <w:r>
        <w:t xml:space="preserve">Figure </w:t>
      </w:r>
      <w:bookmarkEnd w:id="105"/>
      <w:r w:rsidR="00736183">
        <w:t>A6</w:t>
      </w:r>
      <w:r>
        <w:t>: Labour productivity (LP), the capital–labour ratio (K/L) and multifactor productivity (MFP) in manufacturing (index, 2012–13</w:t>
      </w:r>
      <w:r w:rsidR="006A530A">
        <w:t xml:space="preserve"> = </w:t>
      </w:r>
      <w:r>
        <w:t>100)</w:t>
      </w:r>
    </w:p>
    <w:p w14:paraId="49FC63BE" w14:textId="4396A22F" w:rsidR="00375729" w:rsidRDefault="0032777C" w:rsidP="00375729">
      <w:pPr>
        <w:spacing w:after="60"/>
      </w:pPr>
      <w:r>
        <w:rPr>
          <w:noProof/>
          <w:lang w:eastAsia="en-AU"/>
        </w:rPr>
        <w:drawing>
          <wp:inline distT="0" distB="0" distL="0" distR="0" wp14:anchorId="3E544085" wp14:editId="74BE4CD6">
            <wp:extent cx="4572635" cy="2743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28B5E3D" w14:textId="77777777" w:rsidR="00375729" w:rsidRPr="00853659" w:rsidRDefault="00375729" w:rsidP="00012248">
      <w:pPr>
        <w:pStyle w:val="SourceNotes"/>
      </w:pPr>
      <w:bookmarkStart w:id="106" w:name="_Ref423797126"/>
      <w:bookmarkStart w:id="107" w:name="_Ref424039871"/>
      <w:r w:rsidRPr="00853659">
        <w:t xml:space="preserve">Source: ABS Cat. No. 5260.0.55.002 </w:t>
      </w:r>
    </w:p>
    <w:p w14:paraId="67AB51C7" w14:textId="77777777" w:rsidR="00375729" w:rsidRDefault="00375729" w:rsidP="00375729">
      <w:pPr>
        <w:pStyle w:val="BodyTextNoIndent"/>
      </w:pPr>
      <w:r>
        <w:t xml:space="preserve">The dominance of capital deepening is confirmed by the formal growth accounting in </w:t>
      </w:r>
      <w:r w:rsidR="00292710">
        <w:t>Table A1</w:t>
      </w:r>
      <w:r>
        <w:t xml:space="preserve">. </w:t>
      </w:r>
    </w:p>
    <w:p w14:paraId="326D36CE" w14:textId="77777777" w:rsidR="00375729" w:rsidRDefault="00375729" w:rsidP="00375729">
      <w:pPr>
        <w:pStyle w:val="BodyTextNoIndent"/>
      </w:pPr>
      <w:r>
        <w:t xml:space="preserve">Capital deepening accounted for at least 60 per cent of labour productivity growth in each cycle. Apart from the first cycle, non-IT capital accounted for more of the capital deepening than growth in IT capital. </w:t>
      </w:r>
    </w:p>
    <w:p w14:paraId="22DC4BD0" w14:textId="77777777" w:rsidR="00375729" w:rsidRPr="00DC283F" w:rsidRDefault="00F443F5" w:rsidP="00375729">
      <w:pPr>
        <w:pStyle w:val="BodyTextNoIndent"/>
      </w:pPr>
      <w:r w:rsidRPr="00855EC7">
        <w:t xml:space="preserve">The </w:t>
      </w:r>
      <w:r w:rsidR="00375729" w:rsidRPr="00855EC7">
        <w:t>IT</w:t>
      </w:r>
      <w:r w:rsidRPr="00855EC7">
        <w:t xml:space="preserve"> </w:t>
      </w:r>
      <w:r w:rsidR="00375729" w:rsidRPr="00855EC7">
        <w:t xml:space="preserve">capital deepening contribution was steady, only varying in the range of </w:t>
      </w:r>
      <w:r w:rsidR="009C5A23" w:rsidRPr="00855EC7">
        <w:t>0.5 to 0.7</w:t>
      </w:r>
      <w:r w:rsidR="00375729" w:rsidRPr="00855EC7">
        <w:t xml:space="preserve"> of a percentage point. The smallest contribution came in the last period reviewed when there was less growth in investment in IT. IT capital deepening accounted for around a quarter</w:t>
      </w:r>
      <w:r w:rsidR="009C5A23" w:rsidRPr="00855EC7">
        <w:t xml:space="preserve"> to a third</w:t>
      </w:r>
      <w:r w:rsidR="00375729" w:rsidRPr="00855EC7">
        <w:t xml:space="preserve">—between </w:t>
      </w:r>
      <w:r w:rsidR="009C5A23" w:rsidRPr="00855EC7">
        <w:t>24 and 37</w:t>
      </w:r>
      <w:r w:rsidR="00375729" w:rsidRPr="00855EC7">
        <w:t xml:space="preserve"> per cent—of LP growth over three of the cycles.</w:t>
      </w:r>
    </w:p>
    <w:p w14:paraId="78552F45" w14:textId="77777777" w:rsidR="00375729" w:rsidRDefault="00375729" w:rsidP="00375729">
      <w:pPr>
        <w:pStyle w:val="BodyTextNoIndent"/>
      </w:pPr>
      <w:r w:rsidRPr="00DC283F">
        <w:t>In keeping with its stronger growth, hardware made the stronger contribution to IT capital deepening, espec</w:t>
      </w:r>
      <w:r>
        <w:t>ially in the middle two cycles.</w:t>
      </w:r>
      <w:r>
        <w:br/>
      </w:r>
    </w:p>
    <w:p w14:paraId="7703598F" w14:textId="77777777" w:rsidR="00375729" w:rsidRDefault="00375729" w:rsidP="00012248">
      <w:pPr>
        <w:pStyle w:val="BodyText"/>
      </w:pPr>
      <w:r>
        <w:br w:type="page"/>
      </w:r>
    </w:p>
    <w:p w14:paraId="568FA794" w14:textId="77777777" w:rsidR="00375729" w:rsidRDefault="00375729" w:rsidP="0032777C">
      <w:pPr>
        <w:pStyle w:val="Tablecaption"/>
      </w:pPr>
      <w:r>
        <w:t xml:space="preserve">Table </w:t>
      </w:r>
      <w:r w:rsidR="00E322BA">
        <w:t>A</w:t>
      </w:r>
      <w:r w:rsidR="00375FD5">
        <w:fldChar w:fldCharType="begin"/>
      </w:r>
      <w:r w:rsidR="00375FD5">
        <w:instrText xml:space="preserve"> SEQ Table \* ARABIC </w:instrText>
      </w:r>
      <w:r w:rsidR="00375FD5">
        <w:fldChar w:fldCharType="separate"/>
      </w:r>
      <w:r w:rsidR="00E322BA">
        <w:rPr>
          <w:noProof/>
        </w:rPr>
        <w:t>1</w:t>
      </w:r>
      <w:r w:rsidR="00375FD5">
        <w:rPr>
          <w:noProof/>
        </w:rPr>
        <w:fldChar w:fldCharType="end"/>
      </w:r>
      <w:r>
        <w:t xml:space="preserve">: Labour productivity growth accounting in manufacturing (per cent per annum </w:t>
      </w:r>
      <w:r w:rsidRPr="00C71D1B">
        <w:t>and percentage</w:t>
      </w:r>
      <w:r>
        <w:t xml:space="preserve"> points)</w:t>
      </w:r>
      <w:r>
        <w:rPr>
          <w:sz w:val="22"/>
          <w:szCs w:val="22"/>
          <w:vertAlign w:val="superscript"/>
        </w:rPr>
        <w:t>a</w:t>
      </w:r>
      <w:bookmarkEnd w:id="106"/>
      <w:bookmarkEnd w:id="107"/>
      <w:r>
        <w:rPr>
          <w:iCs/>
        </w:rPr>
        <w:fldChar w:fldCharType="begin"/>
      </w:r>
      <w:r>
        <w:instrText xml:space="preserve"> LINK Excel.Sheet.12 "\\\\dept.gov.au\\DFS\\Home\\DParham\\Desktop\\Docs\\1. GA project\\Industry studies\\Manufacturing\\Manuf workbook 150903.xlsx" "LP!R5C42:R10C46" \a \f 4 \h  \* MERGEFORMAT </w:instrText>
      </w:r>
      <w:r>
        <w:rPr>
          <w:iCs/>
        </w:rPr>
        <w:fldChar w:fldCharType="separate"/>
      </w:r>
    </w:p>
    <w:tbl>
      <w:tblPr>
        <w:tblW w:w="9209" w:type="dxa"/>
        <w:tblLayout w:type="fixed"/>
        <w:tblLook w:val="04A0" w:firstRow="1" w:lastRow="0" w:firstColumn="1" w:lastColumn="0" w:noHBand="0" w:noVBand="1"/>
      </w:tblPr>
      <w:tblGrid>
        <w:gridCol w:w="3114"/>
        <w:gridCol w:w="1417"/>
        <w:gridCol w:w="1418"/>
        <w:gridCol w:w="1559"/>
        <w:gridCol w:w="1701"/>
      </w:tblGrid>
      <w:tr w:rsidR="00375729" w:rsidRPr="006B5DD5" w14:paraId="4041D11F" w14:textId="77777777" w:rsidTr="00CF3D6E">
        <w:trPr>
          <w:trHeight w:val="567"/>
        </w:trPr>
        <w:tc>
          <w:tcPr>
            <w:tcW w:w="3114" w:type="dxa"/>
            <w:tcBorders>
              <w:top w:val="single" w:sz="4" w:space="0" w:color="auto"/>
              <w:left w:val="single" w:sz="4" w:space="0" w:color="auto"/>
              <w:bottom w:val="nil"/>
              <w:right w:val="single" w:sz="4" w:space="0" w:color="auto"/>
            </w:tcBorders>
            <w:shd w:val="clear" w:color="auto" w:fill="auto"/>
            <w:noWrap/>
            <w:vAlign w:val="center"/>
            <w:hideMark/>
          </w:tcPr>
          <w:p w14:paraId="601CB081" w14:textId="77777777" w:rsidR="00375729" w:rsidRPr="006B5DD5" w:rsidRDefault="00375729" w:rsidP="0032777C">
            <w:pPr>
              <w:pStyle w:val="Tablecellheading"/>
            </w:pPr>
          </w:p>
        </w:tc>
        <w:tc>
          <w:tcPr>
            <w:tcW w:w="1417" w:type="dxa"/>
            <w:tcBorders>
              <w:top w:val="single" w:sz="4" w:space="0" w:color="auto"/>
              <w:left w:val="single" w:sz="4" w:space="0" w:color="auto"/>
              <w:bottom w:val="nil"/>
              <w:right w:val="single" w:sz="4" w:space="0" w:color="BFBFBF" w:themeColor="background1" w:themeShade="BF"/>
            </w:tcBorders>
            <w:shd w:val="clear" w:color="auto" w:fill="auto"/>
            <w:vAlign w:val="center"/>
            <w:hideMark/>
          </w:tcPr>
          <w:p w14:paraId="47AC399A" w14:textId="77777777" w:rsidR="00375729" w:rsidRPr="006B5DD5" w:rsidRDefault="00375729" w:rsidP="0032777C">
            <w:pPr>
              <w:pStyle w:val="Tablecellheading"/>
            </w:pPr>
            <w:r w:rsidRPr="006B5DD5">
              <w:t>1990</w:t>
            </w:r>
            <w:r>
              <w:t>–</w:t>
            </w:r>
            <w:r w:rsidRPr="006B5DD5">
              <w:t>91 to 1998</w:t>
            </w:r>
            <w:r>
              <w:t>–</w:t>
            </w:r>
            <w:r w:rsidRPr="006B5DD5">
              <w:t>99</w:t>
            </w:r>
          </w:p>
        </w:tc>
        <w:tc>
          <w:tcPr>
            <w:tcW w:w="1418"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vAlign w:val="center"/>
            <w:hideMark/>
          </w:tcPr>
          <w:p w14:paraId="352AA2A3" w14:textId="77777777" w:rsidR="00375729" w:rsidRPr="006B5DD5" w:rsidRDefault="00375729" w:rsidP="0032777C">
            <w:pPr>
              <w:pStyle w:val="Tablecellheading"/>
            </w:pPr>
            <w:r w:rsidRPr="006B5DD5">
              <w:t>1998</w:t>
            </w:r>
            <w:r>
              <w:t>–</w:t>
            </w:r>
            <w:r w:rsidRPr="006B5DD5">
              <w:t>99 to 2003</w:t>
            </w:r>
            <w:r>
              <w:t>–</w:t>
            </w:r>
            <w:r w:rsidRPr="006B5DD5">
              <w:t>04</w:t>
            </w:r>
          </w:p>
        </w:tc>
        <w:tc>
          <w:tcPr>
            <w:tcW w:w="1559"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vAlign w:val="center"/>
            <w:hideMark/>
          </w:tcPr>
          <w:p w14:paraId="3FAE0AF3" w14:textId="77777777" w:rsidR="00375729" w:rsidRPr="006B5DD5" w:rsidRDefault="00375729" w:rsidP="0032777C">
            <w:pPr>
              <w:pStyle w:val="Tablecellheading"/>
            </w:pPr>
            <w:r w:rsidRPr="006B5DD5">
              <w:t>2003</w:t>
            </w:r>
            <w:r>
              <w:t>–</w:t>
            </w:r>
            <w:r w:rsidRPr="006B5DD5">
              <w:t>04 to 2006</w:t>
            </w:r>
            <w:r>
              <w:t>–</w:t>
            </w:r>
            <w:r w:rsidRPr="006B5DD5">
              <w:t>07</w:t>
            </w:r>
          </w:p>
        </w:tc>
        <w:tc>
          <w:tcPr>
            <w:tcW w:w="1701" w:type="dxa"/>
            <w:tcBorders>
              <w:top w:val="single" w:sz="4" w:space="0" w:color="auto"/>
              <w:left w:val="single" w:sz="4" w:space="0" w:color="BFBFBF" w:themeColor="background1" w:themeShade="BF"/>
              <w:bottom w:val="nil"/>
              <w:right w:val="single" w:sz="4" w:space="0" w:color="auto"/>
            </w:tcBorders>
            <w:shd w:val="clear" w:color="auto" w:fill="auto"/>
            <w:vAlign w:val="center"/>
            <w:hideMark/>
          </w:tcPr>
          <w:p w14:paraId="12E6EDE9" w14:textId="77777777" w:rsidR="00375729" w:rsidRPr="006B5DD5" w:rsidRDefault="00375729" w:rsidP="0032777C">
            <w:pPr>
              <w:pStyle w:val="Tablecellheading"/>
            </w:pPr>
            <w:r w:rsidRPr="006B5DD5">
              <w:t>2006</w:t>
            </w:r>
            <w:r>
              <w:t>–</w:t>
            </w:r>
            <w:r w:rsidRPr="006B5DD5">
              <w:t>07 to 2011</w:t>
            </w:r>
            <w:r>
              <w:t>–</w:t>
            </w:r>
            <w:r w:rsidRPr="006B5DD5">
              <w:t>12</w:t>
            </w:r>
          </w:p>
        </w:tc>
      </w:tr>
      <w:tr w:rsidR="00375729" w:rsidRPr="006B5DD5" w14:paraId="06B5082C" w14:textId="77777777" w:rsidTr="00CF3D6E">
        <w:trPr>
          <w:trHeight w:val="397"/>
        </w:trPr>
        <w:tc>
          <w:tcPr>
            <w:tcW w:w="3114" w:type="dxa"/>
            <w:tcBorders>
              <w:top w:val="nil"/>
              <w:left w:val="single" w:sz="4" w:space="0" w:color="auto"/>
              <w:bottom w:val="nil"/>
              <w:right w:val="single" w:sz="4" w:space="0" w:color="auto"/>
            </w:tcBorders>
            <w:shd w:val="clear" w:color="auto" w:fill="auto"/>
            <w:noWrap/>
            <w:vAlign w:val="center"/>
            <w:hideMark/>
          </w:tcPr>
          <w:p w14:paraId="3800650F" w14:textId="77777777" w:rsidR="00375729" w:rsidRPr="00CF3D6E" w:rsidRDefault="00375729" w:rsidP="0032777C">
            <w:pPr>
              <w:pStyle w:val="Tabletext"/>
            </w:pPr>
            <w:r w:rsidRPr="00CF3D6E">
              <w:t>Capital deepening</w:t>
            </w:r>
          </w:p>
        </w:tc>
        <w:tc>
          <w:tcPr>
            <w:tcW w:w="1417" w:type="dxa"/>
            <w:tcBorders>
              <w:top w:val="nil"/>
              <w:left w:val="single" w:sz="4" w:space="0" w:color="auto"/>
              <w:bottom w:val="nil"/>
              <w:right w:val="single" w:sz="4" w:space="0" w:color="BFBFBF" w:themeColor="background1" w:themeShade="BF"/>
            </w:tcBorders>
            <w:shd w:val="clear" w:color="auto" w:fill="auto"/>
            <w:noWrap/>
            <w:vAlign w:val="center"/>
            <w:hideMark/>
          </w:tcPr>
          <w:p w14:paraId="0231BF47" w14:textId="77777777" w:rsidR="00375729" w:rsidRPr="00CF3D6E" w:rsidRDefault="00375729" w:rsidP="0032777C">
            <w:pPr>
              <w:pStyle w:val="Tabletext"/>
            </w:pPr>
            <w:r w:rsidRPr="00CF3D6E">
              <w:t xml:space="preserve">1.4 </w:t>
            </w:r>
            <w:r w:rsidR="00F72E43" w:rsidRPr="00CF3D6E">
              <w:t>(63)</w:t>
            </w:r>
            <w:r w:rsidRPr="00CF3D6E">
              <w:t xml:space="preserve"> </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983BD91" w14:textId="77777777" w:rsidR="00375729" w:rsidRPr="00CF3D6E" w:rsidRDefault="00375729" w:rsidP="0032777C">
            <w:pPr>
              <w:pStyle w:val="Tabletext"/>
            </w:pPr>
            <w:r w:rsidRPr="00CF3D6E">
              <w:t xml:space="preserve">1.5 </w:t>
            </w:r>
            <w:r w:rsidR="00F72E43" w:rsidRPr="000E36A5">
              <w:t>(61)</w:t>
            </w:r>
            <w:r w:rsidRPr="00CF3D6E">
              <w:t xml:space="preserve"> </w:t>
            </w:r>
          </w:p>
        </w:tc>
        <w:tc>
          <w:tcPr>
            <w:tcW w:w="1559"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E0C350C" w14:textId="77777777" w:rsidR="00375729" w:rsidRPr="00CF3D6E" w:rsidRDefault="00375729" w:rsidP="0032777C">
            <w:pPr>
              <w:pStyle w:val="Tabletext"/>
            </w:pPr>
            <w:r w:rsidRPr="00CF3D6E">
              <w:rPr>
                <w:color w:val="auto"/>
              </w:rPr>
              <w:t xml:space="preserve">2.6 </w:t>
            </w:r>
            <w:r w:rsidR="00F72E43" w:rsidRPr="000E36A5">
              <w:t>(&gt;100)</w:t>
            </w:r>
            <w:r w:rsidRPr="00CF3D6E">
              <w:t xml:space="preserve"> </w:t>
            </w:r>
          </w:p>
        </w:tc>
        <w:tc>
          <w:tcPr>
            <w:tcW w:w="1701" w:type="dxa"/>
            <w:tcBorders>
              <w:top w:val="nil"/>
              <w:left w:val="single" w:sz="4" w:space="0" w:color="BFBFBF" w:themeColor="background1" w:themeShade="BF"/>
              <w:bottom w:val="nil"/>
              <w:right w:val="single" w:sz="4" w:space="0" w:color="auto"/>
            </w:tcBorders>
            <w:shd w:val="clear" w:color="auto" w:fill="auto"/>
            <w:noWrap/>
            <w:vAlign w:val="center"/>
            <w:hideMark/>
          </w:tcPr>
          <w:p w14:paraId="155C083F" w14:textId="77777777" w:rsidR="00375729" w:rsidRPr="00CF3D6E" w:rsidRDefault="00375729" w:rsidP="0032777C">
            <w:pPr>
              <w:pStyle w:val="Tabletext"/>
            </w:pPr>
            <w:r w:rsidRPr="00CF3D6E">
              <w:t>1.3  (89)</w:t>
            </w:r>
          </w:p>
        </w:tc>
      </w:tr>
      <w:tr w:rsidR="00375729" w:rsidRPr="006B5DD5" w14:paraId="0953C4D5" w14:textId="77777777" w:rsidTr="00CF3D6E">
        <w:trPr>
          <w:trHeight w:val="397"/>
        </w:trPr>
        <w:tc>
          <w:tcPr>
            <w:tcW w:w="3114" w:type="dxa"/>
            <w:tcBorders>
              <w:top w:val="nil"/>
              <w:left w:val="single" w:sz="4" w:space="0" w:color="auto"/>
              <w:bottom w:val="nil"/>
              <w:right w:val="single" w:sz="4" w:space="0" w:color="auto"/>
            </w:tcBorders>
            <w:shd w:val="clear" w:color="auto" w:fill="auto"/>
            <w:noWrap/>
            <w:vAlign w:val="center"/>
            <w:hideMark/>
          </w:tcPr>
          <w:p w14:paraId="6A0724B2" w14:textId="77777777" w:rsidR="00375729" w:rsidRPr="00A57436" w:rsidRDefault="00375729" w:rsidP="0032777C">
            <w:pPr>
              <w:pStyle w:val="Tabletext"/>
            </w:pPr>
            <w:r w:rsidRPr="00A57436">
              <w:t>IT capital deepening</w:t>
            </w:r>
          </w:p>
        </w:tc>
        <w:tc>
          <w:tcPr>
            <w:tcW w:w="1417" w:type="dxa"/>
            <w:tcBorders>
              <w:top w:val="nil"/>
              <w:left w:val="single" w:sz="4" w:space="0" w:color="auto"/>
              <w:bottom w:val="nil"/>
              <w:right w:val="single" w:sz="4" w:space="0" w:color="BFBFBF" w:themeColor="background1" w:themeShade="BF"/>
            </w:tcBorders>
            <w:shd w:val="clear" w:color="auto" w:fill="auto"/>
            <w:noWrap/>
            <w:vAlign w:val="center"/>
            <w:hideMark/>
          </w:tcPr>
          <w:p w14:paraId="2F17C105" w14:textId="77777777" w:rsidR="00375729" w:rsidRPr="006208E3" w:rsidRDefault="00375729" w:rsidP="0032777C">
            <w:pPr>
              <w:pStyle w:val="Tabletext"/>
            </w:pPr>
            <w:r w:rsidRPr="006208E3">
              <w:t xml:space="preserve">0.7 </w:t>
            </w:r>
            <w:r w:rsidRPr="00CF3D6E">
              <w:t>(30)</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3D549610" w14:textId="77777777" w:rsidR="00375729" w:rsidRPr="006208E3" w:rsidRDefault="00375729" w:rsidP="0032777C">
            <w:pPr>
              <w:pStyle w:val="Tabletext"/>
            </w:pPr>
            <w:r w:rsidRPr="006208E3">
              <w:t xml:space="preserve">0.6  </w:t>
            </w:r>
            <w:r w:rsidRPr="00CF3D6E">
              <w:t>(24)</w:t>
            </w:r>
          </w:p>
        </w:tc>
        <w:tc>
          <w:tcPr>
            <w:tcW w:w="1559"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10DB4F5" w14:textId="77777777" w:rsidR="00375729" w:rsidRPr="006208E3" w:rsidRDefault="00375729" w:rsidP="0032777C">
            <w:pPr>
              <w:pStyle w:val="Tabletext"/>
            </w:pPr>
            <w:r w:rsidRPr="006208E3">
              <w:t xml:space="preserve">0.7 </w:t>
            </w:r>
            <w:r w:rsidRPr="00CF3D6E">
              <w:t>(60)</w:t>
            </w:r>
          </w:p>
        </w:tc>
        <w:tc>
          <w:tcPr>
            <w:tcW w:w="1701" w:type="dxa"/>
            <w:tcBorders>
              <w:top w:val="nil"/>
              <w:left w:val="single" w:sz="4" w:space="0" w:color="BFBFBF" w:themeColor="background1" w:themeShade="BF"/>
              <w:bottom w:val="nil"/>
              <w:right w:val="single" w:sz="4" w:space="0" w:color="auto"/>
            </w:tcBorders>
            <w:shd w:val="clear" w:color="auto" w:fill="auto"/>
            <w:noWrap/>
            <w:vAlign w:val="center"/>
            <w:hideMark/>
          </w:tcPr>
          <w:p w14:paraId="35E41058" w14:textId="77777777" w:rsidR="00375729" w:rsidRPr="006208E3" w:rsidRDefault="00375729" w:rsidP="0032777C">
            <w:pPr>
              <w:pStyle w:val="Tabletext"/>
            </w:pPr>
            <w:r w:rsidRPr="006208E3">
              <w:t xml:space="preserve">0.5 </w:t>
            </w:r>
            <w:r w:rsidRPr="00CF3D6E">
              <w:t>(37)</w:t>
            </w:r>
          </w:p>
        </w:tc>
      </w:tr>
      <w:tr w:rsidR="00375729" w:rsidRPr="006B5DD5" w14:paraId="25670C4F" w14:textId="77777777" w:rsidTr="00CF3D6E">
        <w:trPr>
          <w:trHeight w:val="397"/>
        </w:trPr>
        <w:tc>
          <w:tcPr>
            <w:tcW w:w="3114" w:type="dxa"/>
            <w:tcBorders>
              <w:top w:val="nil"/>
              <w:left w:val="single" w:sz="4" w:space="0" w:color="auto"/>
              <w:bottom w:val="nil"/>
              <w:right w:val="single" w:sz="4" w:space="0" w:color="auto"/>
            </w:tcBorders>
            <w:shd w:val="clear" w:color="auto" w:fill="auto"/>
            <w:noWrap/>
            <w:vAlign w:val="center"/>
            <w:hideMark/>
          </w:tcPr>
          <w:p w14:paraId="6DB2D014" w14:textId="77777777" w:rsidR="00375729" w:rsidRPr="00A57436" w:rsidRDefault="00375729" w:rsidP="0032777C">
            <w:pPr>
              <w:pStyle w:val="Tabletext"/>
            </w:pPr>
            <w:r w:rsidRPr="00A57436">
              <w:t>Non-IT capital deepening</w:t>
            </w:r>
          </w:p>
        </w:tc>
        <w:tc>
          <w:tcPr>
            <w:tcW w:w="1417" w:type="dxa"/>
            <w:tcBorders>
              <w:top w:val="nil"/>
              <w:left w:val="single" w:sz="4" w:space="0" w:color="auto"/>
              <w:bottom w:val="nil"/>
              <w:right w:val="single" w:sz="4" w:space="0" w:color="BFBFBF" w:themeColor="background1" w:themeShade="BF"/>
            </w:tcBorders>
            <w:shd w:val="clear" w:color="auto" w:fill="auto"/>
            <w:noWrap/>
            <w:vAlign w:val="center"/>
            <w:hideMark/>
          </w:tcPr>
          <w:p w14:paraId="7FE59203" w14:textId="77777777" w:rsidR="00375729" w:rsidRPr="006208E3" w:rsidRDefault="00375729" w:rsidP="0032777C">
            <w:pPr>
              <w:pStyle w:val="Tabletext"/>
            </w:pPr>
            <w:r w:rsidRPr="006208E3">
              <w:t xml:space="preserve">0.7  </w:t>
            </w:r>
            <w:r w:rsidRPr="00CF3D6E">
              <w:t>(32)</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251F7BF2" w14:textId="77777777" w:rsidR="00375729" w:rsidRPr="006208E3" w:rsidRDefault="00375729" w:rsidP="0032777C">
            <w:pPr>
              <w:pStyle w:val="Tabletext"/>
            </w:pPr>
            <w:r w:rsidRPr="006208E3">
              <w:t xml:space="preserve">0.9  </w:t>
            </w:r>
            <w:r w:rsidR="0079365F">
              <w:t>(</w:t>
            </w:r>
            <w:r w:rsidRPr="00CF3D6E">
              <w:t>37)</w:t>
            </w:r>
          </w:p>
        </w:tc>
        <w:tc>
          <w:tcPr>
            <w:tcW w:w="1559"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3E2BA52" w14:textId="77777777" w:rsidR="00375729" w:rsidRPr="006208E3" w:rsidRDefault="00375729" w:rsidP="0032777C">
            <w:pPr>
              <w:pStyle w:val="Tabletext"/>
            </w:pPr>
            <w:r w:rsidRPr="000F30C3">
              <w:t xml:space="preserve">2.0  </w:t>
            </w:r>
            <w:r w:rsidRPr="00CF3D6E">
              <w:t>(&gt;100)</w:t>
            </w:r>
          </w:p>
        </w:tc>
        <w:tc>
          <w:tcPr>
            <w:tcW w:w="1701" w:type="dxa"/>
            <w:tcBorders>
              <w:top w:val="nil"/>
              <w:left w:val="single" w:sz="4" w:space="0" w:color="BFBFBF" w:themeColor="background1" w:themeShade="BF"/>
              <w:bottom w:val="nil"/>
              <w:right w:val="single" w:sz="4" w:space="0" w:color="auto"/>
            </w:tcBorders>
            <w:shd w:val="clear" w:color="auto" w:fill="auto"/>
            <w:noWrap/>
            <w:vAlign w:val="center"/>
            <w:hideMark/>
          </w:tcPr>
          <w:p w14:paraId="6C12B999" w14:textId="77777777" w:rsidR="00375729" w:rsidRPr="006208E3" w:rsidRDefault="00375729" w:rsidP="0032777C">
            <w:pPr>
              <w:pStyle w:val="Tabletext"/>
            </w:pPr>
            <w:r w:rsidRPr="006208E3">
              <w:t xml:space="preserve">0.8 </w:t>
            </w:r>
            <w:r w:rsidRPr="00CF3D6E">
              <w:t>(53)</w:t>
            </w:r>
          </w:p>
        </w:tc>
      </w:tr>
      <w:tr w:rsidR="00375729" w:rsidRPr="006B5DD5" w14:paraId="5E89DCE3" w14:textId="77777777" w:rsidTr="00CF3D6E">
        <w:trPr>
          <w:trHeight w:val="397"/>
        </w:trPr>
        <w:tc>
          <w:tcPr>
            <w:tcW w:w="3114" w:type="dxa"/>
            <w:tcBorders>
              <w:top w:val="nil"/>
              <w:left w:val="single" w:sz="4" w:space="0" w:color="auto"/>
              <w:bottom w:val="nil"/>
              <w:right w:val="single" w:sz="4" w:space="0" w:color="auto"/>
            </w:tcBorders>
            <w:shd w:val="clear" w:color="auto" w:fill="auto"/>
            <w:noWrap/>
            <w:vAlign w:val="center"/>
            <w:hideMark/>
          </w:tcPr>
          <w:p w14:paraId="7D4FF190" w14:textId="77777777" w:rsidR="00375729" w:rsidRPr="00CF3D6E" w:rsidRDefault="00375729" w:rsidP="0032777C">
            <w:pPr>
              <w:pStyle w:val="Tabletext"/>
            </w:pPr>
            <w:r w:rsidRPr="00CF3D6E">
              <w:t>MFP growth</w:t>
            </w:r>
          </w:p>
        </w:tc>
        <w:tc>
          <w:tcPr>
            <w:tcW w:w="1417" w:type="dxa"/>
            <w:tcBorders>
              <w:top w:val="nil"/>
              <w:left w:val="single" w:sz="4" w:space="0" w:color="auto"/>
              <w:bottom w:val="nil"/>
              <w:right w:val="single" w:sz="4" w:space="0" w:color="BFBFBF" w:themeColor="background1" w:themeShade="BF"/>
            </w:tcBorders>
            <w:shd w:val="clear" w:color="auto" w:fill="auto"/>
            <w:noWrap/>
            <w:vAlign w:val="center"/>
            <w:hideMark/>
          </w:tcPr>
          <w:p w14:paraId="7EF30A5C" w14:textId="77777777" w:rsidR="00375729" w:rsidRPr="00CF3D6E" w:rsidRDefault="00375729" w:rsidP="0032777C">
            <w:pPr>
              <w:pStyle w:val="Tabletext"/>
            </w:pPr>
            <w:r w:rsidRPr="00CF3D6E">
              <w:t xml:space="preserve">0.8 </w:t>
            </w:r>
            <w:r w:rsidR="0079365F" w:rsidRPr="000E36A5">
              <w:t>(37)</w:t>
            </w:r>
            <w:r w:rsidRPr="00CF3D6E">
              <w:t xml:space="preserve"> </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CE15EBC" w14:textId="77777777" w:rsidR="00375729" w:rsidRPr="00CF3D6E" w:rsidRDefault="00375729" w:rsidP="0032777C">
            <w:pPr>
              <w:pStyle w:val="Tabletext"/>
            </w:pPr>
            <w:r w:rsidRPr="00CF3D6E">
              <w:t>1.0</w:t>
            </w:r>
            <w:r w:rsidR="0079365F">
              <w:t xml:space="preserve"> </w:t>
            </w:r>
            <w:r w:rsidR="0079365F" w:rsidRPr="000E36A5">
              <w:t>(39)</w:t>
            </w:r>
            <w:r w:rsidRPr="00CF3D6E">
              <w:t xml:space="preserve"> </w:t>
            </w:r>
          </w:p>
        </w:tc>
        <w:tc>
          <w:tcPr>
            <w:tcW w:w="1559"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CFC411D" w14:textId="77777777" w:rsidR="00375729" w:rsidRPr="00CF3D6E" w:rsidRDefault="00375729" w:rsidP="0032777C">
            <w:pPr>
              <w:pStyle w:val="Tabletext"/>
            </w:pPr>
            <w:r w:rsidRPr="00CF3D6E">
              <w:t xml:space="preserve">-1.5 </w:t>
            </w:r>
            <w:r w:rsidR="0079365F" w:rsidRPr="000E36A5">
              <w:t>(&lt;0)</w:t>
            </w:r>
            <w:r w:rsidRPr="00CF3D6E">
              <w:t xml:space="preserve"> </w:t>
            </w:r>
          </w:p>
        </w:tc>
        <w:tc>
          <w:tcPr>
            <w:tcW w:w="1701" w:type="dxa"/>
            <w:tcBorders>
              <w:top w:val="nil"/>
              <w:left w:val="single" w:sz="4" w:space="0" w:color="BFBFBF" w:themeColor="background1" w:themeShade="BF"/>
              <w:bottom w:val="nil"/>
              <w:right w:val="single" w:sz="4" w:space="0" w:color="auto"/>
            </w:tcBorders>
            <w:shd w:val="clear" w:color="auto" w:fill="auto"/>
            <w:noWrap/>
            <w:vAlign w:val="center"/>
            <w:hideMark/>
          </w:tcPr>
          <w:p w14:paraId="745AE82C" w14:textId="77777777" w:rsidR="00375729" w:rsidRPr="00CF3D6E" w:rsidRDefault="00375729" w:rsidP="0032777C">
            <w:pPr>
              <w:pStyle w:val="Tabletext"/>
            </w:pPr>
            <w:r w:rsidRPr="00CF3D6E">
              <w:t>0.2 (11)</w:t>
            </w:r>
          </w:p>
        </w:tc>
      </w:tr>
      <w:tr w:rsidR="00375729" w:rsidRPr="006B5DD5" w14:paraId="4736290B" w14:textId="77777777" w:rsidTr="00CF3D6E">
        <w:trPr>
          <w:trHeight w:val="39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9EBE8DF" w14:textId="77777777" w:rsidR="00375729" w:rsidRPr="00CF3D6E" w:rsidRDefault="00375729" w:rsidP="0032777C">
            <w:pPr>
              <w:pStyle w:val="Tabletext"/>
            </w:pPr>
            <w:r w:rsidRPr="00CF3D6E">
              <w:t>Labour productivity growth</w:t>
            </w:r>
          </w:p>
        </w:tc>
        <w:tc>
          <w:tcPr>
            <w:tcW w:w="1417"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1A51AF3F" w14:textId="77777777" w:rsidR="00375729" w:rsidRPr="00CF3D6E" w:rsidRDefault="00375729" w:rsidP="0032777C">
            <w:pPr>
              <w:pStyle w:val="Tabletext"/>
            </w:pPr>
            <w:r w:rsidRPr="00CF3D6E">
              <w:t>2.2</w:t>
            </w:r>
            <w:r w:rsidR="0079365F">
              <w:t xml:space="preserve"> </w:t>
            </w:r>
            <w:r w:rsidR="0079365F" w:rsidRPr="000E36A5">
              <w:t>(100)</w:t>
            </w:r>
            <w:r w:rsidRPr="00CF3D6E">
              <w:t xml:space="preserve"> </w:t>
            </w:r>
          </w:p>
        </w:tc>
        <w:tc>
          <w:tcPr>
            <w:tcW w:w="1418"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4ABCBD82" w14:textId="77777777" w:rsidR="00375729" w:rsidRPr="00CF3D6E" w:rsidRDefault="00375729" w:rsidP="0032777C">
            <w:pPr>
              <w:pStyle w:val="Tabletext"/>
            </w:pPr>
            <w:r w:rsidRPr="00CF3D6E">
              <w:t xml:space="preserve">2.5 </w:t>
            </w:r>
            <w:r w:rsidR="0079365F" w:rsidRPr="000E36A5">
              <w:t>(100)</w:t>
            </w:r>
            <w:r w:rsidRPr="00CF3D6E">
              <w:t xml:space="preserve"> </w:t>
            </w:r>
          </w:p>
        </w:tc>
        <w:tc>
          <w:tcPr>
            <w:tcW w:w="1559"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45BEF1DA" w14:textId="77777777" w:rsidR="00375729" w:rsidRPr="00CF3D6E" w:rsidRDefault="00375729" w:rsidP="0032777C">
            <w:pPr>
              <w:pStyle w:val="Tabletext"/>
            </w:pPr>
            <w:r w:rsidRPr="00CF3D6E">
              <w:t>1.1</w:t>
            </w:r>
            <w:r w:rsidR="0079365F">
              <w:t xml:space="preserve"> </w:t>
            </w:r>
            <w:r w:rsidR="0079365F" w:rsidRPr="000E36A5">
              <w:t>(100)</w:t>
            </w:r>
            <w:r w:rsidRPr="00CF3D6E">
              <w:t xml:space="preserve"> </w:t>
            </w:r>
          </w:p>
        </w:tc>
        <w:tc>
          <w:tcPr>
            <w:tcW w:w="1701"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495118ED" w14:textId="77777777" w:rsidR="00375729" w:rsidRPr="00CF3D6E" w:rsidRDefault="00375729" w:rsidP="0032777C">
            <w:pPr>
              <w:pStyle w:val="Tabletext"/>
            </w:pPr>
            <w:r w:rsidRPr="00CF3D6E">
              <w:t xml:space="preserve">1.5 </w:t>
            </w:r>
            <w:r w:rsidR="0079365F" w:rsidRPr="000E36A5">
              <w:t>(100)</w:t>
            </w:r>
            <w:r w:rsidRPr="00CF3D6E">
              <w:t xml:space="preserve"> </w:t>
            </w:r>
          </w:p>
        </w:tc>
      </w:tr>
    </w:tbl>
    <w:p w14:paraId="03D168E3" w14:textId="77777777" w:rsidR="00375729" w:rsidRPr="00DC283F" w:rsidRDefault="00375729" w:rsidP="00012248">
      <w:pPr>
        <w:pStyle w:val="SourceNotes"/>
      </w:pPr>
      <w:r>
        <w:fldChar w:fldCharType="end"/>
      </w:r>
      <w:r w:rsidRPr="00DC283F">
        <w:t>Note: a. Figures in brackets refer to percentages of labour productivity growth</w:t>
      </w:r>
      <w:r w:rsidR="00F72E43">
        <w:t>. N</w:t>
      </w:r>
      <w:r w:rsidR="00F72E43" w:rsidRPr="00CF3D6E">
        <w:t>umbers may not add up due to rounding</w:t>
      </w:r>
      <w:r w:rsidRPr="00DC283F">
        <w:tab/>
      </w:r>
    </w:p>
    <w:p w14:paraId="13B1706F" w14:textId="77777777" w:rsidR="00375729" w:rsidRPr="00DC283F" w:rsidRDefault="00375729" w:rsidP="00012248">
      <w:pPr>
        <w:pStyle w:val="SourceNotes"/>
      </w:pPr>
      <w:r w:rsidRPr="00DC283F">
        <w:t>Source: Author estimates</w:t>
      </w:r>
    </w:p>
    <w:p w14:paraId="19330CFF" w14:textId="77777777" w:rsidR="00375729" w:rsidRDefault="00FE290D" w:rsidP="00CF3D6E">
      <w:pPr>
        <w:pStyle w:val="BCRAppendicesSubSubheading"/>
      </w:pPr>
      <w:r>
        <w:t>A.2</w:t>
      </w:r>
      <w:r w:rsidR="00375729">
        <w:t>.2 IT use and skills</w:t>
      </w:r>
    </w:p>
    <w:p w14:paraId="56864EBA" w14:textId="77777777" w:rsidR="00375729" w:rsidRPr="00DC283F" w:rsidRDefault="00375729" w:rsidP="00375729">
      <w:pPr>
        <w:pStyle w:val="BodyTextNoIndent"/>
      </w:pPr>
      <w:r w:rsidRPr="00DC283F">
        <w:t>Over the period analysed, the average skill level in the industry increased steadily by 11 per cent</w:t>
      </w:r>
      <w:r w:rsidR="009C5A23">
        <w:t xml:space="preserve"> (based on data from</w:t>
      </w:r>
      <w:r w:rsidR="009C5A23" w:rsidRPr="009C5A23">
        <w:t xml:space="preserve"> </w:t>
      </w:r>
      <w:r w:rsidR="009C5A23" w:rsidRPr="00185E7D">
        <w:t>ABS Cat. No. 5260.0.55.002</w:t>
      </w:r>
      <w:r w:rsidR="009C5A23">
        <w:t>)</w:t>
      </w:r>
      <w:r w:rsidRPr="00DC283F">
        <w:t>. Even though the stock of IT capital increased by much more, there was a high degree of correlation between the two. The correlation coefficient between IT capital and the index of skill composition is 0.95.</w:t>
      </w:r>
    </w:p>
    <w:p w14:paraId="79872955" w14:textId="77777777" w:rsidR="00375729" w:rsidRPr="00FE290D" w:rsidRDefault="00FE290D" w:rsidP="00CF3D6E">
      <w:pPr>
        <w:pStyle w:val="BCRAppendicesSubheading"/>
      </w:pPr>
      <w:r w:rsidRPr="00FE290D">
        <w:t xml:space="preserve">A.3 </w:t>
      </w:r>
      <w:r w:rsidR="00375729" w:rsidRPr="00FE290D">
        <w:t>IT, asset use</w:t>
      </w:r>
      <w:r w:rsidR="00292710">
        <w:t>,</w:t>
      </w:r>
      <w:r w:rsidR="00375729" w:rsidRPr="00FE290D">
        <w:t xml:space="preserve"> and capital productivity</w:t>
      </w:r>
    </w:p>
    <w:p w14:paraId="51499412" w14:textId="77777777" w:rsidR="00375729" w:rsidRPr="00DC283F" w:rsidRDefault="00375729" w:rsidP="00375729">
      <w:r>
        <w:t xml:space="preserve">IT can enhance the productivity of other assets. </w:t>
      </w:r>
      <w:r w:rsidR="003436BE">
        <w:t>T</w:t>
      </w:r>
      <w:r w:rsidRPr="00DC283F">
        <w:t>his does not appear to have happened in manufacturing in terms of the productivity of all non-IT assets (</w:t>
      </w:r>
      <w:r w:rsidR="00292710">
        <w:t>Figure A7</w:t>
      </w:r>
      <w:r w:rsidRPr="00DC283F">
        <w:t>). Non-IT capital productivity was flat until 2002–03, after which it fell by over 20 per cent.</w:t>
      </w:r>
    </w:p>
    <w:p w14:paraId="0EC2497D" w14:textId="77777777" w:rsidR="00375729" w:rsidRDefault="00375729" w:rsidP="0032777C">
      <w:pPr>
        <w:pStyle w:val="Figurecaption"/>
      </w:pPr>
      <w:r>
        <w:t xml:space="preserve">Figure </w:t>
      </w:r>
      <w:r w:rsidR="00292710">
        <w:t>A7</w:t>
      </w:r>
      <w:r>
        <w:t>: Capital productivity of all assets and non-IT assets in manufacturing (index, 2012–13</w:t>
      </w:r>
      <w:r w:rsidR="006A530A">
        <w:t xml:space="preserve"> = </w:t>
      </w:r>
      <w:r>
        <w:t>100)</w:t>
      </w:r>
    </w:p>
    <w:p w14:paraId="4E89F6CF" w14:textId="4186903C" w:rsidR="00375729" w:rsidRDefault="0032777C" w:rsidP="00375729">
      <w:pPr>
        <w:spacing w:after="60"/>
        <w:rPr>
          <w:noProof/>
          <w:lang w:eastAsia="en-AU"/>
        </w:rPr>
      </w:pPr>
      <w:r>
        <w:rPr>
          <w:noProof/>
          <w:lang w:eastAsia="en-AU"/>
        </w:rPr>
        <w:drawing>
          <wp:inline distT="0" distB="0" distL="0" distR="0" wp14:anchorId="0357E2AB" wp14:editId="3E5E44EA">
            <wp:extent cx="4584700" cy="2566670"/>
            <wp:effectExtent l="0" t="0" r="6350" b="508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566670"/>
                    </a:xfrm>
                    <a:prstGeom prst="rect">
                      <a:avLst/>
                    </a:prstGeom>
                    <a:noFill/>
                  </pic:spPr>
                </pic:pic>
              </a:graphicData>
            </a:graphic>
          </wp:inline>
        </w:drawing>
      </w:r>
    </w:p>
    <w:p w14:paraId="1DCE3818" w14:textId="77777777" w:rsidR="00375729" w:rsidRPr="004812B6" w:rsidRDefault="00375729" w:rsidP="00012248">
      <w:pPr>
        <w:pStyle w:val="SourceNotes"/>
      </w:pPr>
      <w:r w:rsidRPr="004812B6">
        <w:t>Source: Author estimates</w:t>
      </w:r>
    </w:p>
    <w:p w14:paraId="0B4AC2D8" w14:textId="77777777" w:rsidR="00375729" w:rsidRPr="00DC283F" w:rsidRDefault="00375729" w:rsidP="00375729">
      <w:pPr>
        <w:pStyle w:val="BodyTextNoIndent"/>
      </w:pPr>
      <w:r w:rsidRPr="00DC283F">
        <w:t>The productivity of individual assets was also investigated. The major non-IT capital inputs in manufacturing are: industrial machinery and equipment (32 per cent of capital income</w:t>
      </w:r>
      <w:r w:rsidR="009A2198">
        <w:rPr>
          <w:rStyle w:val="EndnoteReference"/>
        </w:rPr>
        <w:endnoteReference w:id="14"/>
      </w:r>
      <w:r w:rsidRPr="00DC283F">
        <w:t>), buildings (25 per cent), inventories (9 per cent) and other plant equipment (9 per cent).</w:t>
      </w:r>
    </w:p>
    <w:p w14:paraId="4E218EF1" w14:textId="77777777" w:rsidR="00375729" w:rsidRDefault="00375729" w:rsidP="00375729">
      <w:pPr>
        <w:pStyle w:val="BodyTextNoIndent"/>
      </w:pPr>
      <w:r w:rsidRPr="00DC283F">
        <w:t xml:space="preserve">None of these assets </w:t>
      </w:r>
      <w:r w:rsidR="003436BE">
        <w:t xml:space="preserve">increased </w:t>
      </w:r>
      <w:r>
        <w:t>in productivity (</w:t>
      </w:r>
      <w:r w:rsidR="00292710">
        <w:t>Figure A8</w:t>
      </w:r>
      <w:r w:rsidRPr="00DC283F">
        <w:t xml:space="preserve">). Industrial machinery and equipment is a minor exception with an increase over the 1990s and early 2000s, after which there was an almost complete offset. There was </w:t>
      </w:r>
      <w:r w:rsidR="003436BE">
        <w:t>a decrease</w:t>
      </w:r>
      <w:r w:rsidRPr="00DC283F">
        <w:t xml:space="preserve"> in capital productivity among the other non-IT assets. </w:t>
      </w:r>
      <w:r w:rsidR="006F709E" w:rsidRPr="00FA28A3">
        <w:t>Buildings productivity fell nearly 40 per cent after 2000-01.</w:t>
      </w:r>
    </w:p>
    <w:p w14:paraId="78758F69" w14:textId="77777777" w:rsidR="00375729" w:rsidRDefault="00375729" w:rsidP="0032777C">
      <w:pPr>
        <w:pStyle w:val="Figurecaption"/>
      </w:pPr>
      <w:bookmarkStart w:id="108" w:name="_Ref425255979"/>
      <w:r>
        <w:t xml:space="preserve">Figure </w:t>
      </w:r>
      <w:bookmarkEnd w:id="108"/>
      <w:r w:rsidR="00292710">
        <w:t>A8</w:t>
      </w:r>
      <w:r>
        <w:t>: Asset productivity–the ratio of value added to use of selected assets in manufacturing (index, 2012–13</w:t>
      </w:r>
      <w:r w:rsidR="006A530A">
        <w:t xml:space="preserve"> = </w:t>
      </w:r>
      <w:r>
        <w:t>100)</w:t>
      </w:r>
    </w:p>
    <w:p w14:paraId="510BA382" w14:textId="0ACA44C9" w:rsidR="00375729" w:rsidRDefault="0032777C" w:rsidP="00375729">
      <w:pPr>
        <w:spacing w:after="60"/>
        <w:rPr>
          <w:noProof/>
          <w:lang w:eastAsia="en-AU"/>
        </w:rPr>
      </w:pPr>
      <w:r>
        <w:rPr>
          <w:noProof/>
          <w:lang w:eastAsia="en-AU"/>
        </w:rPr>
        <w:drawing>
          <wp:inline distT="0" distB="0" distL="0" distR="0" wp14:anchorId="75680DF9" wp14:editId="6EA35394">
            <wp:extent cx="4584700" cy="2755900"/>
            <wp:effectExtent l="0" t="0" r="635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8C8F83" w14:textId="77777777" w:rsidR="00375729" w:rsidRPr="004812B6" w:rsidRDefault="00375729" w:rsidP="00012248">
      <w:pPr>
        <w:pStyle w:val="SourceNotes"/>
      </w:pPr>
      <w:r w:rsidRPr="004812B6">
        <w:t>Source: Author estimates</w:t>
      </w:r>
    </w:p>
    <w:p w14:paraId="196A73E7" w14:textId="77777777" w:rsidR="00375729" w:rsidRDefault="00FE290D" w:rsidP="00CF3D6E">
      <w:pPr>
        <w:pStyle w:val="BCRAppendicesSubheading"/>
      </w:pPr>
      <w:r>
        <w:t xml:space="preserve">A.4 </w:t>
      </w:r>
      <w:r w:rsidR="00375729">
        <w:t>Use of intermediates</w:t>
      </w:r>
    </w:p>
    <w:p w14:paraId="23ED1A32" w14:textId="77777777" w:rsidR="00375729" w:rsidRDefault="00375729" w:rsidP="00375729">
      <w:pPr>
        <w:pStyle w:val="BodyTextNoIndent"/>
      </w:pPr>
      <w:r w:rsidRPr="00DC283F">
        <w:t>The possibility that IT could help improve the efficiency with which intermediate inputs are used was also examined. Intermediate inputs are purchased materials (components), energy and services. In the case of intermediate input use, productivity is determined in reference to the gross output rather than the value added, measure of output.</w:t>
      </w:r>
    </w:p>
    <w:p w14:paraId="5A12A942" w14:textId="77777777" w:rsidR="00375729" w:rsidRPr="00DC283F" w:rsidRDefault="00375729" w:rsidP="00375729">
      <w:pPr>
        <w:pStyle w:val="BodyTextNoIndent"/>
      </w:pPr>
      <w:r w:rsidRPr="00DC283F">
        <w:t>However, the efficiency of intermediates use declined slightly in manufacturing over the period reviewed (</w:t>
      </w:r>
      <w:r w:rsidR="00292710">
        <w:t>Figure A9</w:t>
      </w:r>
      <w:r w:rsidRPr="00DC283F">
        <w:t xml:space="preserve">). </w:t>
      </w:r>
    </w:p>
    <w:p w14:paraId="18F4328E" w14:textId="77777777" w:rsidR="00375729" w:rsidRDefault="00375729" w:rsidP="004919FA">
      <w:pPr>
        <w:pStyle w:val="Figurecaption"/>
      </w:pPr>
      <w:r>
        <w:t xml:space="preserve">Figure </w:t>
      </w:r>
      <w:r w:rsidR="00292710">
        <w:t>A9</w:t>
      </w:r>
      <w:r>
        <w:t>: Gross output, intermediate input use and intermediate input productivity in manufacturing (index, 2012–13</w:t>
      </w:r>
      <w:r w:rsidR="006A530A">
        <w:t xml:space="preserve"> = </w:t>
      </w:r>
      <w:r>
        <w:t>100)</w:t>
      </w:r>
    </w:p>
    <w:p w14:paraId="6B442270" w14:textId="3E1F5738" w:rsidR="00375729" w:rsidRDefault="004919FA" w:rsidP="00375729">
      <w:pPr>
        <w:spacing w:after="60"/>
        <w:rPr>
          <w:noProof/>
          <w:lang w:eastAsia="en-AU"/>
        </w:rPr>
      </w:pPr>
      <w:r>
        <w:rPr>
          <w:noProof/>
          <w:lang w:eastAsia="en-AU"/>
        </w:rPr>
        <w:drawing>
          <wp:inline distT="0" distB="0" distL="0" distR="0" wp14:anchorId="35929DD9" wp14:editId="12F78E6B">
            <wp:extent cx="4584700" cy="2755900"/>
            <wp:effectExtent l="0" t="0" r="635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FEA0D03" w14:textId="77777777" w:rsidR="00375729" w:rsidRPr="004812B6" w:rsidRDefault="00375729" w:rsidP="00012248">
      <w:pPr>
        <w:pStyle w:val="SourceNotes"/>
      </w:pPr>
      <w:r>
        <w:t xml:space="preserve">Source: </w:t>
      </w:r>
      <w:r w:rsidRPr="004812B6">
        <w:t>Author estimates</w:t>
      </w:r>
    </w:p>
    <w:p w14:paraId="4101FC57" w14:textId="77777777" w:rsidR="00375729" w:rsidRDefault="00FE290D" w:rsidP="00CF3D6E">
      <w:pPr>
        <w:pStyle w:val="BCRAppendicesSubheading"/>
      </w:pPr>
      <w:r>
        <w:t xml:space="preserve">A.5 </w:t>
      </w:r>
      <w:r w:rsidR="00375729">
        <w:t>MFP growth</w:t>
      </w:r>
    </w:p>
    <w:p w14:paraId="043A5DB1" w14:textId="77777777" w:rsidR="00375729" w:rsidRPr="00DC283F" w:rsidRDefault="00375729" w:rsidP="00375729">
      <w:pPr>
        <w:pStyle w:val="BodyTextNoIndent"/>
      </w:pPr>
      <w:r w:rsidRPr="00DC283F">
        <w:t>The association between IT and MFP was examined in the context of MFP cycles (</w:t>
      </w:r>
      <w:r w:rsidR="00292710">
        <w:t>Figure A10</w:t>
      </w:r>
      <w:r w:rsidRPr="00DC283F">
        <w:t>). The timing of MFP cycles and LP cycles coincided, with the exceptions that 2000–01 and 2006–07 were not MFP peaks.</w:t>
      </w:r>
    </w:p>
    <w:p w14:paraId="4E28F8BC" w14:textId="77777777" w:rsidR="00375729" w:rsidRPr="00DC283F" w:rsidRDefault="00375729" w:rsidP="00375729">
      <w:pPr>
        <w:pStyle w:val="BodyTextNoIndent"/>
      </w:pPr>
      <w:r w:rsidRPr="00DC283F">
        <w:t>The rates of MFP growth in the identified cycles were:</w:t>
      </w:r>
    </w:p>
    <w:p w14:paraId="14DB2F4C" w14:textId="77777777" w:rsidR="00375729" w:rsidRPr="00DC283F" w:rsidRDefault="00375729" w:rsidP="00012248">
      <w:pPr>
        <w:pStyle w:val="Bodybullet-Level2"/>
      </w:pPr>
      <w:r w:rsidRPr="00DC283F">
        <w:t>1990–91 to 1998–99: 0.8 per cent per year</w:t>
      </w:r>
    </w:p>
    <w:p w14:paraId="37B238C6" w14:textId="77777777" w:rsidR="00375729" w:rsidRPr="00DC283F" w:rsidRDefault="00375729" w:rsidP="00012248">
      <w:pPr>
        <w:pStyle w:val="Bodybullet-Level2"/>
      </w:pPr>
      <w:r w:rsidRPr="00DC283F">
        <w:t>1998–99 to 2003–04: 1.0 per cent per year</w:t>
      </w:r>
      <w:r w:rsidR="00775ED3">
        <w:t>, and</w:t>
      </w:r>
    </w:p>
    <w:p w14:paraId="4B38C651" w14:textId="77777777" w:rsidR="00375729" w:rsidRPr="00DC283F" w:rsidRDefault="00375729" w:rsidP="00012248">
      <w:pPr>
        <w:pStyle w:val="Bodybullet-Level2"/>
      </w:pPr>
      <w:r w:rsidRPr="00DC283F">
        <w:t>2003–04 to 2011–12: -0.5 per cent per year.</w:t>
      </w:r>
    </w:p>
    <w:p w14:paraId="5C1CE8B7" w14:textId="77777777" w:rsidR="00375729" w:rsidRPr="00DC283F" w:rsidRDefault="00375729" w:rsidP="00375729">
      <w:pPr>
        <w:pStyle w:val="BodyTextNoIndent"/>
      </w:pPr>
      <w:r w:rsidRPr="00DC283F">
        <w:t>For current purposes MFP growth is a weighted average of LP growth and capital productivity growth, with the respective income shares as the weights. This allowed the influences of IT growth on MFP to be seen as a combination of substitution effects on labour and capital.</w:t>
      </w:r>
    </w:p>
    <w:p w14:paraId="5C18A5C5" w14:textId="77777777" w:rsidR="00375729" w:rsidRDefault="00375729" w:rsidP="004919FA">
      <w:pPr>
        <w:pStyle w:val="Figurecaption"/>
      </w:pPr>
      <w:bookmarkStart w:id="109" w:name="_Ref424047898"/>
      <w:r>
        <w:t xml:space="preserve">Figure </w:t>
      </w:r>
      <w:bookmarkEnd w:id="109"/>
      <w:r w:rsidR="00292710">
        <w:t>A10</w:t>
      </w:r>
      <w:r>
        <w:t>: Actual and trend MFP in manufacturing</w:t>
      </w:r>
      <w:r w:rsidR="008F67C9">
        <w:t xml:space="preserve"> </w:t>
      </w:r>
      <w:r>
        <w:rPr>
          <w:vertAlign w:val="superscript"/>
        </w:rPr>
        <w:t>a</w:t>
      </w:r>
      <w:r>
        <w:t xml:space="preserve"> (index, actual 2012–13</w:t>
      </w:r>
      <w:r w:rsidR="006A530A">
        <w:t xml:space="preserve"> = </w:t>
      </w:r>
      <w:r>
        <w:t>100)</w:t>
      </w:r>
    </w:p>
    <w:p w14:paraId="389C68FC" w14:textId="452D373A" w:rsidR="00375729" w:rsidRDefault="004919FA" w:rsidP="00375729">
      <w:pPr>
        <w:spacing w:after="60"/>
      </w:pPr>
      <w:r>
        <w:rPr>
          <w:noProof/>
          <w:lang w:eastAsia="en-AU"/>
        </w:rPr>
        <w:drawing>
          <wp:inline distT="0" distB="0" distL="0" distR="0" wp14:anchorId="6A8B5B8D" wp14:editId="49E7301A">
            <wp:extent cx="4572635" cy="2871470"/>
            <wp:effectExtent l="0" t="0" r="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2871470"/>
                    </a:xfrm>
                    <a:prstGeom prst="rect">
                      <a:avLst/>
                    </a:prstGeom>
                    <a:noFill/>
                  </pic:spPr>
                </pic:pic>
              </a:graphicData>
            </a:graphic>
          </wp:inline>
        </w:drawing>
      </w:r>
    </w:p>
    <w:p w14:paraId="63744D08" w14:textId="77777777" w:rsidR="00375729" w:rsidRPr="004812B6" w:rsidRDefault="00375729" w:rsidP="00012248">
      <w:pPr>
        <w:pStyle w:val="SourceNotes"/>
      </w:pPr>
      <w:r w:rsidRPr="004812B6">
        <w:t>Note: a. Trend series formed with a Hodrick-Prescott filter λ</w:t>
      </w:r>
      <w:r w:rsidR="006A530A">
        <w:t xml:space="preserve"> = </w:t>
      </w:r>
      <w:r w:rsidRPr="004812B6">
        <w:t>100</w:t>
      </w:r>
      <w:r w:rsidRPr="004812B6">
        <w:tab/>
      </w:r>
    </w:p>
    <w:p w14:paraId="7FBC22AA" w14:textId="77777777" w:rsidR="00375729" w:rsidRPr="004812B6" w:rsidRDefault="00375729" w:rsidP="00012248">
      <w:pPr>
        <w:pStyle w:val="SourceNotes"/>
      </w:pPr>
      <w:r>
        <w:t xml:space="preserve">Source: </w:t>
      </w:r>
      <w:r w:rsidRPr="004812B6">
        <w:t>ABS Cat. No. 5260.0.55.002 and author estimates</w:t>
      </w:r>
    </w:p>
    <w:p w14:paraId="6F8AD023" w14:textId="77777777" w:rsidR="00375729" w:rsidRPr="003C76D2" w:rsidRDefault="00B25990" w:rsidP="00375729">
      <w:pPr>
        <w:pStyle w:val="BodyTextNoIndent"/>
      </w:pPr>
      <w:r>
        <w:t>Table A2</w:t>
      </w:r>
      <w:r w:rsidR="00375729" w:rsidRPr="003C76D2">
        <w:t xml:space="preserve"> shows the MFP growth accounting. The labour productivity growth contribution plus the capital productivity contribution equals the MFP growth presented in the bottom row.</w:t>
      </w:r>
    </w:p>
    <w:p w14:paraId="3B5FBCA3" w14:textId="77777777" w:rsidR="00375729" w:rsidRPr="003C76D2" w:rsidRDefault="00375729" w:rsidP="00375729">
      <w:pPr>
        <w:pStyle w:val="BodyTextNoIndent"/>
      </w:pPr>
      <w:r w:rsidRPr="003C76D2">
        <w:t>In the period under review, capital productivity was a drag on MFP growth in all cycles leaving labour productivity as the positive contributor. From this analysis, the only positive contribution of IT to MFP appears to be via capital deepening in the LP channel. This contribution accounts for about 0.4 of a percentage point of annual MFP growth.</w:t>
      </w:r>
      <w:r w:rsidRPr="003C76D2">
        <w:rPr>
          <w:vertAlign w:val="superscript"/>
        </w:rPr>
        <w:t xml:space="preserve"> </w:t>
      </w:r>
      <w:r w:rsidR="00D550BC">
        <w:rPr>
          <w:rStyle w:val="EndnoteReference"/>
        </w:rPr>
        <w:endnoteReference w:id="15"/>
      </w:r>
    </w:p>
    <w:p w14:paraId="62D47EAC"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0D0C74F0" w14:textId="77777777" w:rsidR="00375729" w:rsidRDefault="00375729" w:rsidP="004919FA">
      <w:pPr>
        <w:pStyle w:val="Tablecaption"/>
      </w:pPr>
      <w:r>
        <w:t xml:space="preserve">Table </w:t>
      </w:r>
      <w:r w:rsidR="00B25990">
        <w:t>A2</w:t>
      </w:r>
      <w:r>
        <w:t>: Multifactor productivity growth accounting over MFP cycles in manufacturing (percentage points)</w:t>
      </w:r>
      <w:r>
        <w:rPr>
          <w:color w:val="00728F"/>
          <w14:textFill>
            <w14:solidFill>
              <w14:srgbClr w14:val="00728F">
                <w14:lumMod w14:val="75000"/>
              </w14:srgbClr>
            </w14:solidFill>
          </w14:textFill>
        </w:rPr>
        <w:fldChar w:fldCharType="begin"/>
      </w:r>
      <w:r>
        <w:instrText xml:space="preserve"> LINK Excel.Sheet.12 "\\\\dept.gov.au\\DFS\\Home\\DParham\\Desktop\\Docs\\1. GA project\\Industry studies\\Manufacturing\\Manuf workbook 150903.xlsx" "MFP!R129C28:R139C31" \a \f 4 \h  \* MERGEFORMAT </w:instrText>
      </w:r>
      <w:r>
        <w:rPr>
          <w:color w:val="00728F"/>
          <w14:textFill>
            <w14:solidFill>
              <w14:srgbClr w14:val="00728F">
                <w14:lumMod w14:val="75000"/>
              </w14:srgbClr>
            </w14:solidFill>
          </w14:textFill>
        </w:rPr>
        <w:fldChar w:fldCharType="separate"/>
      </w:r>
    </w:p>
    <w:tbl>
      <w:tblPr>
        <w:tblW w:w="96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4"/>
        <w:gridCol w:w="1985"/>
        <w:gridCol w:w="1863"/>
        <w:gridCol w:w="1822"/>
      </w:tblGrid>
      <w:tr w:rsidR="00375729" w:rsidRPr="00753BFF" w14:paraId="524A9A9A" w14:textId="77777777" w:rsidTr="00CF3D6E">
        <w:trPr>
          <w:trHeight w:val="495"/>
        </w:trPr>
        <w:tc>
          <w:tcPr>
            <w:tcW w:w="3964" w:type="dxa"/>
            <w:tcBorders>
              <w:top w:val="single" w:sz="4" w:space="0" w:color="auto"/>
              <w:bottom w:val="single" w:sz="4" w:space="0" w:color="auto"/>
              <w:right w:val="single" w:sz="4" w:space="0" w:color="auto"/>
            </w:tcBorders>
            <w:shd w:val="clear" w:color="auto" w:fill="auto"/>
            <w:noWrap/>
            <w:vAlign w:val="center"/>
            <w:hideMark/>
          </w:tcPr>
          <w:p w14:paraId="31EED69B" w14:textId="77777777" w:rsidR="00375729" w:rsidRPr="00753BFF" w:rsidRDefault="00375729" w:rsidP="004919FA">
            <w:pPr>
              <w:pStyle w:val="Tablecellheading"/>
            </w:pPr>
          </w:p>
        </w:tc>
        <w:tc>
          <w:tcPr>
            <w:tcW w:w="198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32ABD3B9" w14:textId="77777777" w:rsidR="00375729" w:rsidRPr="00753BFF" w:rsidRDefault="00375729" w:rsidP="004919FA">
            <w:pPr>
              <w:pStyle w:val="Tablecellheading"/>
              <w:rPr>
                <w:sz w:val="18"/>
                <w:szCs w:val="18"/>
              </w:rPr>
            </w:pPr>
            <w:r w:rsidRPr="00753BFF">
              <w:rPr>
                <w:sz w:val="18"/>
                <w:szCs w:val="18"/>
              </w:rPr>
              <w:t>1990</w:t>
            </w:r>
            <w:r>
              <w:t>–</w:t>
            </w:r>
            <w:r w:rsidRPr="00753BFF">
              <w:rPr>
                <w:sz w:val="18"/>
                <w:szCs w:val="18"/>
              </w:rPr>
              <w:t>91 to 1998</w:t>
            </w:r>
            <w:r>
              <w:t>–</w:t>
            </w:r>
            <w:r w:rsidRPr="00753BFF">
              <w:rPr>
                <w:sz w:val="18"/>
                <w:szCs w:val="18"/>
              </w:rPr>
              <w:t>99</w:t>
            </w:r>
          </w:p>
        </w:tc>
        <w:tc>
          <w:tcPr>
            <w:tcW w:w="186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04E62AC4" w14:textId="77777777" w:rsidR="00375729" w:rsidRPr="00753BFF" w:rsidRDefault="00375729" w:rsidP="004919FA">
            <w:pPr>
              <w:pStyle w:val="Tablecellheading"/>
              <w:rPr>
                <w:sz w:val="18"/>
                <w:szCs w:val="18"/>
              </w:rPr>
            </w:pPr>
            <w:r w:rsidRPr="00753BFF">
              <w:rPr>
                <w:sz w:val="18"/>
                <w:szCs w:val="18"/>
              </w:rPr>
              <w:t>1998</w:t>
            </w:r>
            <w:r>
              <w:t>–</w:t>
            </w:r>
            <w:r w:rsidRPr="00753BFF">
              <w:rPr>
                <w:sz w:val="18"/>
                <w:szCs w:val="18"/>
              </w:rPr>
              <w:t>99 to 2003</w:t>
            </w:r>
            <w:r>
              <w:t>–</w:t>
            </w:r>
            <w:r w:rsidRPr="00753BFF">
              <w:rPr>
                <w:sz w:val="18"/>
                <w:szCs w:val="18"/>
              </w:rPr>
              <w:t>04</w:t>
            </w:r>
          </w:p>
        </w:tc>
        <w:tc>
          <w:tcPr>
            <w:tcW w:w="1822" w:type="dxa"/>
            <w:tcBorders>
              <w:top w:val="single" w:sz="4" w:space="0" w:color="auto"/>
              <w:left w:val="single" w:sz="4" w:space="0" w:color="BFBFBF" w:themeColor="background1" w:themeShade="BF"/>
              <w:bottom w:val="single" w:sz="4" w:space="0" w:color="auto"/>
            </w:tcBorders>
            <w:shd w:val="clear" w:color="auto" w:fill="auto"/>
            <w:vAlign w:val="center"/>
            <w:hideMark/>
          </w:tcPr>
          <w:p w14:paraId="0D034A6B" w14:textId="77777777" w:rsidR="00375729" w:rsidRPr="00753BFF" w:rsidRDefault="00375729" w:rsidP="004919FA">
            <w:pPr>
              <w:pStyle w:val="Tablecellheading"/>
              <w:rPr>
                <w:sz w:val="18"/>
                <w:szCs w:val="18"/>
              </w:rPr>
            </w:pPr>
            <w:r w:rsidRPr="00753BFF">
              <w:rPr>
                <w:sz w:val="18"/>
                <w:szCs w:val="18"/>
              </w:rPr>
              <w:t>2003</w:t>
            </w:r>
            <w:r>
              <w:t>–</w:t>
            </w:r>
            <w:r w:rsidRPr="00753BFF">
              <w:rPr>
                <w:sz w:val="18"/>
                <w:szCs w:val="18"/>
              </w:rPr>
              <w:t>04 to 2011</w:t>
            </w:r>
            <w:r>
              <w:t>–</w:t>
            </w:r>
            <w:r w:rsidRPr="00753BFF">
              <w:rPr>
                <w:sz w:val="18"/>
                <w:szCs w:val="18"/>
              </w:rPr>
              <w:t>12</w:t>
            </w:r>
          </w:p>
        </w:tc>
      </w:tr>
      <w:tr w:rsidR="00375729" w:rsidRPr="00753BFF" w14:paraId="6E3ED813" w14:textId="77777777" w:rsidTr="00CF3D6E">
        <w:trPr>
          <w:trHeight w:val="300"/>
        </w:trPr>
        <w:tc>
          <w:tcPr>
            <w:tcW w:w="3964" w:type="dxa"/>
            <w:tcBorders>
              <w:top w:val="single" w:sz="4" w:space="0" w:color="auto"/>
              <w:bottom w:val="nil"/>
              <w:right w:val="single" w:sz="4" w:space="0" w:color="auto"/>
            </w:tcBorders>
            <w:shd w:val="clear" w:color="auto" w:fill="auto"/>
            <w:noWrap/>
            <w:vAlign w:val="center"/>
            <w:hideMark/>
          </w:tcPr>
          <w:p w14:paraId="1319D479" w14:textId="77777777" w:rsidR="00375729" w:rsidRPr="00CF3D6E" w:rsidRDefault="00375729" w:rsidP="004919FA">
            <w:pPr>
              <w:pStyle w:val="Tabletext"/>
            </w:pPr>
            <w:r w:rsidRPr="00CF3D6E">
              <w:t>LP growth contribution</w:t>
            </w:r>
          </w:p>
        </w:tc>
        <w:tc>
          <w:tcPr>
            <w:tcW w:w="1985" w:type="dxa"/>
            <w:tcBorders>
              <w:top w:val="single" w:sz="4" w:space="0" w:color="auto"/>
              <w:left w:val="single" w:sz="4" w:space="0" w:color="auto"/>
              <w:right w:val="single" w:sz="4" w:space="0" w:color="BFBFBF" w:themeColor="background1" w:themeShade="BF"/>
            </w:tcBorders>
            <w:shd w:val="clear" w:color="auto" w:fill="auto"/>
            <w:noWrap/>
            <w:vAlign w:val="center"/>
            <w:hideMark/>
          </w:tcPr>
          <w:p w14:paraId="60F8E738" w14:textId="77777777" w:rsidR="00375729" w:rsidRPr="00CF3D6E" w:rsidRDefault="00375729" w:rsidP="004919FA">
            <w:pPr>
              <w:pStyle w:val="Tabletext"/>
            </w:pPr>
            <w:r w:rsidRPr="00CF3D6E">
              <w:t>1.3</w:t>
            </w:r>
          </w:p>
        </w:tc>
        <w:tc>
          <w:tcPr>
            <w:tcW w:w="1863"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47CB3133" w14:textId="77777777" w:rsidR="00375729" w:rsidRPr="00CF3D6E" w:rsidRDefault="00375729" w:rsidP="004919FA">
            <w:pPr>
              <w:pStyle w:val="Tabletext"/>
            </w:pPr>
            <w:r w:rsidRPr="00CF3D6E">
              <w:t>1.5</w:t>
            </w:r>
          </w:p>
        </w:tc>
        <w:tc>
          <w:tcPr>
            <w:tcW w:w="1822" w:type="dxa"/>
            <w:tcBorders>
              <w:top w:val="single" w:sz="4" w:space="0" w:color="auto"/>
              <w:left w:val="single" w:sz="4" w:space="0" w:color="BFBFBF" w:themeColor="background1" w:themeShade="BF"/>
            </w:tcBorders>
            <w:shd w:val="clear" w:color="auto" w:fill="auto"/>
            <w:noWrap/>
            <w:vAlign w:val="center"/>
            <w:hideMark/>
          </w:tcPr>
          <w:p w14:paraId="592B53E8" w14:textId="77777777" w:rsidR="00375729" w:rsidRPr="00CF3D6E" w:rsidRDefault="00375729" w:rsidP="004919FA">
            <w:pPr>
              <w:pStyle w:val="Tabletext"/>
            </w:pPr>
            <w:r w:rsidRPr="00CF3D6E">
              <w:t>0.8</w:t>
            </w:r>
          </w:p>
        </w:tc>
      </w:tr>
      <w:tr w:rsidR="00375729" w:rsidRPr="00753BFF" w14:paraId="5EF01020"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7BF44736" w14:textId="471B6152" w:rsidR="00375729" w:rsidRPr="00CF3D6E" w:rsidRDefault="00375729" w:rsidP="004919FA">
            <w:pPr>
              <w:pStyle w:val="Tabletext"/>
            </w:pPr>
            <w:r w:rsidRPr="00CF3D6E">
              <w:t>of which</w:t>
            </w:r>
          </w:p>
        </w:tc>
        <w:tc>
          <w:tcPr>
            <w:tcW w:w="1985" w:type="dxa"/>
            <w:tcBorders>
              <w:left w:val="single" w:sz="4" w:space="0" w:color="auto"/>
              <w:right w:val="single" w:sz="4" w:space="0" w:color="BFBFBF" w:themeColor="background1" w:themeShade="BF"/>
            </w:tcBorders>
            <w:shd w:val="clear" w:color="auto" w:fill="auto"/>
            <w:noWrap/>
            <w:vAlign w:val="center"/>
            <w:hideMark/>
          </w:tcPr>
          <w:p w14:paraId="655CDBA0" w14:textId="77777777" w:rsidR="00375729" w:rsidRPr="00CF3D6E" w:rsidRDefault="00375729" w:rsidP="004919FA">
            <w:pPr>
              <w:pStyle w:val="Tabletext"/>
            </w:pP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36627074" w14:textId="77777777" w:rsidR="00375729" w:rsidRPr="00CF3D6E" w:rsidRDefault="00375729" w:rsidP="004919FA">
            <w:pPr>
              <w:pStyle w:val="Tabletext"/>
              <w:rPr>
                <w:rFonts w:ascii="Times New Roman" w:hAnsi="Times New Roman"/>
                <w:sz w:val="20"/>
                <w:szCs w:val="20"/>
              </w:rPr>
            </w:pPr>
          </w:p>
        </w:tc>
        <w:tc>
          <w:tcPr>
            <w:tcW w:w="1822" w:type="dxa"/>
            <w:tcBorders>
              <w:left w:val="single" w:sz="4" w:space="0" w:color="BFBFBF" w:themeColor="background1" w:themeShade="BF"/>
            </w:tcBorders>
            <w:shd w:val="clear" w:color="auto" w:fill="auto"/>
            <w:noWrap/>
            <w:vAlign w:val="center"/>
            <w:hideMark/>
          </w:tcPr>
          <w:p w14:paraId="7980D81F" w14:textId="77777777" w:rsidR="00375729" w:rsidRPr="00CF3D6E" w:rsidRDefault="00375729" w:rsidP="004919FA">
            <w:pPr>
              <w:pStyle w:val="Tabletext"/>
              <w:rPr>
                <w:rFonts w:ascii="Times New Roman" w:hAnsi="Times New Roman"/>
                <w:sz w:val="20"/>
                <w:szCs w:val="20"/>
              </w:rPr>
            </w:pPr>
          </w:p>
        </w:tc>
      </w:tr>
      <w:tr w:rsidR="00375729" w:rsidRPr="00753BFF" w14:paraId="04B2F233"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3AA786FF" w14:textId="03E94D04" w:rsidR="00375729" w:rsidRPr="00753BFF" w:rsidRDefault="00375729" w:rsidP="004919FA">
            <w:pPr>
              <w:pStyle w:val="Tabletext"/>
            </w:pPr>
            <w:r>
              <w:t>IT</w:t>
            </w:r>
            <w:r w:rsidRPr="00753BFF">
              <w:t xml:space="preserve"> capital deepening </w:t>
            </w:r>
          </w:p>
        </w:tc>
        <w:tc>
          <w:tcPr>
            <w:tcW w:w="1985" w:type="dxa"/>
            <w:tcBorders>
              <w:left w:val="single" w:sz="4" w:space="0" w:color="auto"/>
              <w:right w:val="single" w:sz="4" w:space="0" w:color="BFBFBF" w:themeColor="background1" w:themeShade="BF"/>
            </w:tcBorders>
            <w:shd w:val="clear" w:color="auto" w:fill="auto"/>
            <w:noWrap/>
            <w:vAlign w:val="center"/>
            <w:hideMark/>
          </w:tcPr>
          <w:p w14:paraId="47F2C9A4" w14:textId="77777777" w:rsidR="00375729" w:rsidRPr="00753BFF" w:rsidRDefault="00375729" w:rsidP="004919FA">
            <w:pPr>
              <w:pStyle w:val="Tabletext"/>
            </w:pPr>
            <w:r w:rsidRPr="00753BFF">
              <w:t>0.4</w:t>
            </w: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482E6CB9" w14:textId="77777777" w:rsidR="00375729" w:rsidRPr="00753BFF" w:rsidRDefault="00375729" w:rsidP="004919FA">
            <w:pPr>
              <w:pStyle w:val="Tabletext"/>
            </w:pPr>
            <w:r>
              <w:t xml:space="preserve"> </w:t>
            </w:r>
            <w:r w:rsidRPr="00753BFF">
              <w:t>0.4</w:t>
            </w:r>
          </w:p>
        </w:tc>
        <w:tc>
          <w:tcPr>
            <w:tcW w:w="1822" w:type="dxa"/>
            <w:tcBorders>
              <w:left w:val="single" w:sz="4" w:space="0" w:color="BFBFBF" w:themeColor="background1" w:themeShade="BF"/>
            </w:tcBorders>
            <w:shd w:val="clear" w:color="auto" w:fill="auto"/>
            <w:noWrap/>
            <w:vAlign w:val="center"/>
            <w:hideMark/>
          </w:tcPr>
          <w:p w14:paraId="380DCE5F" w14:textId="77777777" w:rsidR="00375729" w:rsidRPr="00753BFF" w:rsidRDefault="00375729" w:rsidP="004919FA">
            <w:pPr>
              <w:pStyle w:val="Tabletext"/>
            </w:pPr>
            <w:r>
              <w:t xml:space="preserve"> </w:t>
            </w:r>
            <w:r w:rsidRPr="00753BFF">
              <w:t>0.3</w:t>
            </w:r>
          </w:p>
        </w:tc>
      </w:tr>
      <w:tr w:rsidR="00375729" w:rsidRPr="00753BFF" w14:paraId="2AE73F07"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60024047" w14:textId="77777777" w:rsidR="00375729" w:rsidRPr="00753BFF" w:rsidRDefault="00375729" w:rsidP="004919FA">
            <w:pPr>
              <w:pStyle w:val="Tabletext"/>
            </w:pPr>
            <w:r w:rsidRPr="00753BFF">
              <w:t> </w:t>
            </w:r>
          </w:p>
        </w:tc>
        <w:tc>
          <w:tcPr>
            <w:tcW w:w="1985" w:type="dxa"/>
            <w:tcBorders>
              <w:left w:val="single" w:sz="4" w:space="0" w:color="auto"/>
              <w:right w:val="single" w:sz="4" w:space="0" w:color="BFBFBF" w:themeColor="background1" w:themeShade="BF"/>
            </w:tcBorders>
            <w:shd w:val="clear" w:color="auto" w:fill="auto"/>
            <w:noWrap/>
            <w:vAlign w:val="center"/>
            <w:hideMark/>
          </w:tcPr>
          <w:p w14:paraId="5168D502" w14:textId="77777777" w:rsidR="00375729" w:rsidRPr="00753BFF" w:rsidRDefault="00375729" w:rsidP="004919FA">
            <w:pPr>
              <w:pStyle w:val="Tabletext"/>
            </w:pP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3DC0992D" w14:textId="77777777" w:rsidR="00375729" w:rsidRPr="00753BFF" w:rsidRDefault="00375729" w:rsidP="004919FA">
            <w:pPr>
              <w:pStyle w:val="Tabletext"/>
              <w:rPr>
                <w:rFonts w:ascii="Times New Roman" w:hAnsi="Times New Roman"/>
                <w:sz w:val="20"/>
                <w:szCs w:val="20"/>
              </w:rPr>
            </w:pPr>
          </w:p>
        </w:tc>
        <w:tc>
          <w:tcPr>
            <w:tcW w:w="1822" w:type="dxa"/>
            <w:tcBorders>
              <w:left w:val="single" w:sz="4" w:space="0" w:color="BFBFBF" w:themeColor="background1" w:themeShade="BF"/>
            </w:tcBorders>
            <w:shd w:val="clear" w:color="auto" w:fill="auto"/>
            <w:noWrap/>
            <w:vAlign w:val="center"/>
            <w:hideMark/>
          </w:tcPr>
          <w:p w14:paraId="20C118F5" w14:textId="77777777" w:rsidR="00375729" w:rsidRPr="00753BFF" w:rsidRDefault="00375729" w:rsidP="004919FA">
            <w:pPr>
              <w:pStyle w:val="Tabletext"/>
              <w:rPr>
                <w:rFonts w:ascii="Times New Roman" w:hAnsi="Times New Roman"/>
                <w:sz w:val="20"/>
                <w:szCs w:val="20"/>
              </w:rPr>
            </w:pPr>
          </w:p>
        </w:tc>
      </w:tr>
      <w:tr w:rsidR="00375729" w:rsidRPr="00753BFF" w14:paraId="3D74C83B"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0469C916" w14:textId="77777777" w:rsidR="00375729" w:rsidRPr="00CF3D6E" w:rsidRDefault="00375729" w:rsidP="004919FA">
            <w:pPr>
              <w:pStyle w:val="Tabletext"/>
            </w:pPr>
            <w:r w:rsidRPr="00CF3D6E">
              <w:t>KP growth contribution</w:t>
            </w:r>
          </w:p>
        </w:tc>
        <w:tc>
          <w:tcPr>
            <w:tcW w:w="1985" w:type="dxa"/>
            <w:tcBorders>
              <w:left w:val="single" w:sz="4" w:space="0" w:color="auto"/>
              <w:right w:val="single" w:sz="4" w:space="0" w:color="BFBFBF" w:themeColor="background1" w:themeShade="BF"/>
            </w:tcBorders>
            <w:shd w:val="clear" w:color="auto" w:fill="auto"/>
            <w:noWrap/>
            <w:vAlign w:val="center"/>
            <w:hideMark/>
          </w:tcPr>
          <w:p w14:paraId="695406CA" w14:textId="77777777" w:rsidR="00375729" w:rsidRPr="00CF3D6E" w:rsidRDefault="00375729" w:rsidP="004919FA">
            <w:pPr>
              <w:pStyle w:val="Tabletext"/>
            </w:pPr>
            <w:r w:rsidRPr="00CF3D6E">
              <w:t>-0.5</w:t>
            </w: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57955D41" w14:textId="77777777" w:rsidR="00375729" w:rsidRPr="00CF3D6E" w:rsidRDefault="00375729" w:rsidP="004919FA">
            <w:pPr>
              <w:pStyle w:val="Tabletext"/>
            </w:pPr>
            <w:r w:rsidRPr="00CF3D6E">
              <w:t>-0.5</w:t>
            </w:r>
          </w:p>
        </w:tc>
        <w:tc>
          <w:tcPr>
            <w:tcW w:w="1822" w:type="dxa"/>
            <w:tcBorders>
              <w:left w:val="single" w:sz="4" w:space="0" w:color="BFBFBF" w:themeColor="background1" w:themeShade="BF"/>
            </w:tcBorders>
            <w:shd w:val="clear" w:color="auto" w:fill="auto"/>
            <w:noWrap/>
            <w:vAlign w:val="center"/>
            <w:hideMark/>
          </w:tcPr>
          <w:p w14:paraId="182779B5" w14:textId="77777777" w:rsidR="00375729" w:rsidRPr="00CF3D6E" w:rsidRDefault="00375729" w:rsidP="004919FA">
            <w:pPr>
              <w:pStyle w:val="Tabletext"/>
            </w:pPr>
            <w:r w:rsidRPr="00CF3D6E">
              <w:t>-1.3</w:t>
            </w:r>
          </w:p>
        </w:tc>
      </w:tr>
      <w:tr w:rsidR="00375729" w:rsidRPr="00753BFF" w14:paraId="189EA7A1"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4432511B" w14:textId="55B1144E" w:rsidR="00375729" w:rsidRPr="00CF3D6E" w:rsidRDefault="00375729" w:rsidP="004919FA">
            <w:pPr>
              <w:pStyle w:val="Tabletext"/>
            </w:pPr>
            <w:r w:rsidRPr="00CF3D6E">
              <w:t>of which</w:t>
            </w:r>
          </w:p>
        </w:tc>
        <w:tc>
          <w:tcPr>
            <w:tcW w:w="1985" w:type="dxa"/>
            <w:tcBorders>
              <w:left w:val="single" w:sz="4" w:space="0" w:color="auto"/>
              <w:right w:val="single" w:sz="4" w:space="0" w:color="BFBFBF" w:themeColor="background1" w:themeShade="BF"/>
            </w:tcBorders>
            <w:shd w:val="clear" w:color="auto" w:fill="auto"/>
            <w:noWrap/>
            <w:vAlign w:val="center"/>
            <w:hideMark/>
          </w:tcPr>
          <w:p w14:paraId="595E5232" w14:textId="77777777" w:rsidR="00375729" w:rsidRPr="00753BFF" w:rsidRDefault="00375729" w:rsidP="004919FA">
            <w:pPr>
              <w:pStyle w:val="Tabletext"/>
            </w:pP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12843CC1" w14:textId="77777777" w:rsidR="00375729" w:rsidRPr="00753BFF" w:rsidRDefault="00375729" w:rsidP="004919FA">
            <w:pPr>
              <w:pStyle w:val="Tabletext"/>
              <w:rPr>
                <w:rFonts w:ascii="Times New Roman" w:hAnsi="Times New Roman"/>
                <w:sz w:val="20"/>
                <w:szCs w:val="20"/>
              </w:rPr>
            </w:pPr>
          </w:p>
        </w:tc>
        <w:tc>
          <w:tcPr>
            <w:tcW w:w="1822" w:type="dxa"/>
            <w:tcBorders>
              <w:left w:val="single" w:sz="4" w:space="0" w:color="BFBFBF" w:themeColor="background1" w:themeShade="BF"/>
            </w:tcBorders>
            <w:shd w:val="clear" w:color="auto" w:fill="auto"/>
            <w:noWrap/>
            <w:vAlign w:val="center"/>
            <w:hideMark/>
          </w:tcPr>
          <w:p w14:paraId="761B83DD" w14:textId="77777777" w:rsidR="00375729" w:rsidRPr="00753BFF" w:rsidRDefault="00375729" w:rsidP="004919FA">
            <w:pPr>
              <w:pStyle w:val="Tabletext"/>
              <w:rPr>
                <w:rFonts w:ascii="Times New Roman" w:hAnsi="Times New Roman"/>
                <w:sz w:val="20"/>
                <w:szCs w:val="20"/>
              </w:rPr>
            </w:pPr>
          </w:p>
        </w:tc>
      </w:tr>
      <w:tr w:rsidR="00375729" w:rsidRPr="00753BFF" w14:paraId="08E5FAA6"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19918629" w14:textId="292315C8" w:rsidR="00375729" w:rsidRPr="00753BFF" w:rsidRDefault="00375729" w:rsidP="004919FA">
            <w:pPr>
              <w:pStyle w:val="Tabletext"/>
            </w:pPr>
            <w:r>
              <w:t>IT</w:t>
            </w:r>
            <w:r w:rsidRPr="00753BFF">
              <w:t xml:space="preserve"> capital productivity</w:t>
            </w:r>
          </w:p>
        </w:tc>
        <w:tc>
          <w:tcPr>
            <w:tcW w:w="1985" w:type="dxa"/>
            <w:tcBorders>
              <w:left w:val="single" w:sz="4" w:space="0" w:color="auto"/>
              <w:right w:val="single" w:sz="4" w:space="0" w:color="BFBFBF" w:themeColor="background1" w:themeShade="BF"/>
            </w:tcBorders>
            <w:shd w:val="clear" w:color="auto" w:fill="auto"/>
            <w:noWrap/>
            <w:vAlign w:val="center"/>
            <w:hideMark/>
          </w:tcPr>
          <w:p w14:paraId="7ED48EFC" w14:textId="77777777" w:rsidR="00375729" w:rsidRPr="00753BFF" w:rsidRDefault="00375729" w:rsidP="004919FA">
            <w:pPr>
              <w:pStyle w:val="Tabletext"/>
            </w:pPr>
            <w:r w:rsidRPr="00753BFF">
              <w:t>-0.24</w:t>
            </w: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3B7E4D50" w14:textId="77777777" w:rsidR="00375729" w:rsidRPr="00753BFF" w:rsidRDefault="00375729" w:rsidP="004919FA">
            <w:pPr>
              <w:pStyle w:val="Tabletext"/>
            </w:pPr>
            <w:r w:rsidRPr="00753BFF">
              <w:t>-0.09</w:t>
            </w:r>
          </w:p>
        </w:tc>
        <w:tc>
          <w:tcPr>
            <w:tcW w:w="1822" w:type="dxa"/>
            <w:tcBorders>
              <w:left w:val="single" w:sz="4" w:space="0" w:color="BFBFBF" w:themeColor="background1" w:themeShade="BF"/>
            </w:tcBorders>
            <w:shd w:val="clear" w:color="auto" w:fill="auto"/>
            <w:noWrap/>
            <w:vAlign w:val="center"/>
            <w:hideMark/>
          </w:tcPr>
          <w:p w14:paraId="7768C1F6" w14:textId="77777777" w:rsidR="00375729" w:rsidRPr="00753BFF" w:rsidRDefault="00375729" w:rsidP="004919FA">
            <w:pPr>
              <w:pStyle w:val="Tabletext"/>
            </w:pPr>
            <w:r w:rsidRPr="00753BFF">
              <w:t>-0.33</w:t>
            </w:r>
          </w:p>
        </w:tc>
      </w:tr>
      <w:tr w:rsidR="00375729" w:rsidRPr="00753BFF" w14:paraId="04773CDC"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79CD6494" w14:textId="6CBDD26C" w:rsidR="00375729" w:rsidRPr="00753BFF" w:rsidRDefault="00375729" w:rsidP="004919FA">
            <w:pPr>
              <w:pStyle w:val="Tabletext"/>
            </w:pPr>
            <w:r w:rsidRPr="00753BFF">
              <w:t>Non-</w:t>
            </w:r>
            <w:r>
              <w:t>IT</w:t>
            </w:r>
            <w:r w:rsidRPr="00753BFF">
              <w:t xml:space="preserve"> capital productivity</w:t>
            </w:r>
          </w:p>
        </w:tc>
        <w:tc>
          <w:tcPr>
            <w:tcW w:w="1985" w:type="dxa"/>
            <w:tcBorders>
              <w:left w:val="single" w:sz="4" w:space="0" w:color="auto"/>
              <w:right w:val="single" w:sz="4" w:space="0" w:color="BFBFBF" w:themeColor="background1" w:themeShade="BF"/>
            </w:tcBorders>
            <w:shd w:val="clear" w:color="auto" w:fill="auto"/>
            <w:noWrap/>
            <w:vAlign w:val="center"/>
            <w:hideMark/>
          </w:tcPr>
          <w:p w14:paraId="57987D65" w14:textId="77777777" w:rsidR="00375729" w:rsidRPr="00753BFF" w:rsidRDefault="00375729" w:rsidP="004919FA">
            <w:pPr>
              <w:pStyle w:val="Tabletext"/>
            </w:pPr>
            <w:r w:rsidRPr="00753BFF">
              <w:t>-0.27</w:t>
            </w: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100F80CF" w14:textId="77777777" w:rsidR="00375729" w:rsidRPr="00753BFF" w:rsidRDefault="00375729" w:rsidP="004919FA">
            <w:pPr>
              <w:pStyle w:val="Tabletext"/>
            </w:pPr>
            <w:r w:rsidRPr="00753BFF">
              <w:t>-0.41</w:t>
            </w:r>
          </w:p>
        </w:tc>
        <w:tc>
          <w:tcPr>
            <w:tcW w:w="1822" w:type="dxa"/>
            <w:tcBorders>
              <w:left w:val="single" w:sz="4" w:space="0" w:color="BFBFBF" w:themeColor="background1" w:themeShade="BF"/>
            </w:tcBorders>
            <w:shd w:val="clear" w:color="auto" w:fill="auto"/>
            <w:noWrap/>
            <w:vAlign w:val="center"/>
            <w:hideMark/>
          </w:tcPr>
          <w:p w14:paraId="3DCD3501" w14:textId="77777777" w:rsidR="00375729" w:rsidRPr="00753BFF" w:rsidRDefault="00375729" w:rsidP="004919FA">
            <w:pPr>
              <w:pStyle w:val="Tabletext"/>
            </w:pPr>
            <w:r w:rsidRPr="00753BFF">
              <w:t>-0.96</w:t>
            </w:r>
          </w:p>
        </w:tc>
      </w:tr>
      <w:tr w:rsidR="00375729" w:rsidRPr="00753BFF" w14:paraId="2018C377"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6D668110" w14:textId="77777777" w:rsidR="00375729" w:rsidRPr="00753BFF" w:rsidRDefault="00375729" w:rsidP="004919FA">
            <w:pPr>
              <w:pStyle w:val="Tabletext"/>
            </w:pPr>
            <w:r w:rsidRPr="00753BFF">
              <w:t> </w:t>
            </w:r>
          </w:p>
        </w:tc>
        <w:tc>
          <w:tcPr>
            <w:tcW w:w="1985" w:type="dxa"/>
            <w:tcBorders>
              <w:left w:val="single" w:sz="4" w:space="0" w:color="auto"/>
              <w:right w:val="single" w:sz="4" w:space="0" w:color="BFBFBF" w:themeColor="background1" w:themeShade="BF"/>
            </w:tcBorders>
            <w:shd w:val="clear" w:color="auto" w:fill="auto"/>
            <w:noWrap/>
            <w:vAlign w:val="center"/>
            <w:hideMark/>
          </w:tcPr>
          <w:p w14:paraId="1072250C" w14:textId="77777777" w:rsidR="00375729" w:rsidRPr="00753BFF" w:rsidRDefault="00375729" w:rsidP="004919FA">
            <w:pPr>
              <w:pStyle w:val="Tabletext"/>
            </w:pPr>
          </w:p>
        </w:tc>
        <w:tc>
          <w:tcPr>
            <w:tcW w:w="1863"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0603F5EF" w14:textId="77777777" w:rsidR="00375729" w:rsidRPr="00753BFF" w:rsidRDefault="00375729" w:rsidP="004919FA">
            <w:pPr>
              <w:pStyle w:val="Tabletext"/>
              <w:rPr>
                <w:rFonts w:ascii="Times New Roman" w:hAnsi="Times New Roman"/>
                <w:sz w:val="20"/>
                <w:szCs w:val="20"/>
              </w:rPr>
            </w:pPr>
          </w:p>
        </w:tc>
        <w:tc>
          <w:tcPr>
            <w:tcW w:w="1822" w:type="dxa"/>
            <w:tcBorders>
              <w:left w:val="single" w:sz="4" w:space="0" w:color="BFBFBF" w:themeColor="background1" w:themeShade="BF"/>
            </w:tcBorders>
            <w:shd w:val="clear" w:color="auto" w:fill="auto"/>
            <w:noWrap/>
            <w:vAlign w:val="center"/>
            <w:hideMark/>
          </w:tcPr>
          <w:p w14:paraId="60FE8A9E" w14:textId="77777777" w:rsidR="00375729" w:rsidRPr="00753BFF" w:rsidRDefault="00375729" w:rsidP="004919FA">
            <w:pPr>
              <w:pStyle w:val="Tabletext"/>
              <w:rPr>
                <w:rFonts w:ascii="Times New Roman" w:hAnsi="Times New Roman"/>
                <w:sz w:val="20"/>
                <w:szCs w:val="20"/>
              </w:rPr>
            </w:pPr>
          </w:p>
        </w:tc>
      </w:tr>
      <w:tr w:rsidR="00375729" w:rsidRPr="00753BFF" w14:paraId="1F08317F" w14:textId="77777777" w:rsidTr="00CF3D6E">
        <w:trPr>
          <w:trHeight w:val="300"/>
        </w:trPr>
        <w:tc>
          <w:tcPr>
            <w:tcW w:w="3964" w:type="dxa"/>
            <w:tcBorders>
              <w:top w:val="nil"/>
              <w:bottom w:val="single" w:sz="4" w:space="0" w:color="auto"/>
              <w:right w:val="single" w:sz="4" w:space="0" w:color="auto"/>
            </w:tcBorders>
            <w:shd w:val="clear" w:color="auto" w:fill="auto"/>
            <w:noWrap/>
            <w:vAlign w:val="center"/>
            <w:hideMark/>
          </w:tcPr>
          <w:p w14:paraId="710F6D91" w14:textId="77777777" w:rsidR="00375729" w:rsidRPr="00CF3D6E" w:rsidRDefault="00375729" w:rsidP="004919FA">
            <w:pPr>
              <w:pStyle w:val="Tabletext"/>
            </w:pPr>
            <w:r w:rsidRPr="00CF3D6E">
              <w:t>MFP growth</w:t>
            </w:r>
          </w:p>
        </w:tc>
        <w:tc>
          <w:tcPr>
            <w:tcW w:w="1985" w:type="dxa"/>
            <w:tcBorders>
              <w:left w:val="single" w:sz="4" w:space="0" w:color="auto"/>
              <w:right w:val="single" w:sz="4" w:space="0" w:color="BFBFBF" w:themeColor="background1" w:themeShade="BF"/>
            </w:tcBorders>
            <w:shd w:val="clear" w:color="auto" w:fill="auto"/>
            <w:noWrap/>
            <w:vAlign w:val="center"/>
            <w:hideMark/>
          </w:tcPr>
          <w:p w14:paraId="77EB3C7F" w14:textId="77777777" w:rsidR="00375729" w:rsidRPr="00CF3D6E" w:rsidRDefault="00375729" w:rsidP="004919FA">
            <w:pPr>
              <w:pStyle w:val="Tabletext"/>
            </w:pPr>
            <w:r w:rsidRPr="00CF3D6E">
              <w:t>0.8</w:t>
            </w:r>
          </w:p>
        </w:tc>
        <w:tc>
          <w:tcPr>
            <w:tcW w:w="1863"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167CD8D6" w14:textId="77777777" w:rsidR="00375729" w:rsidRPr="00CF3D6E" w:rsidRDefault="00375729" w:rsidP="004919FA">
            <w:pPr>
              <w:pStyle w:val="Tabletext"/>
            </w:pPr>
            <w:r w:rsidRPr="00CF3D6E">
              <w:t>1.0</w:t>
            </w:r>
          </w:p>
        </w:tc>
        <w:tc>
          <w:tcPr>
            <w:tcW w:w="1822" w:type="dxa"/>
            <w:tcBorders>
              <w:left w:val="single" w:sz="4" w:space="0" w:color="BFBFBF" w:themeColor="background1" w:themeShade="BF"/>
            </w:tcBorders>
            <w:shd w:val="clear" w:color="auto" w:fill="auto"/>
            <w:noWrap/>
            <w:vAlign w:val="center"/>
            <w:hideMark/>
          </w:tcPr>
          <w:p w14:paraId="4E975798" w14:textId="77777777" w:rsidR="00375729" w:rsidRPr="00CF3D6E" w:rsidRDefault="00375729" w:rsidP="004919FA">
            <w:pPr>
              <w:pStyle w:val="Tabletext"/>
            </w:pPr>
            <w:r w:rsidRPr="00CF3D6E">
              <w:t>-0.5</w:t>
            </w:r>
          </w:p>
        </w:tc>
      </w:tr>
    </w:tbl>
    <w:p w14:paraId="185F8F5C" w14:textId="77777777" w:rsidR="00375729" w:rsidRDefault="00375729" w:rsidP="00012248">
      <w:pPr>
        <w:pStyle w:val="SourceNotes"/>
      </w:pPr>
      <w:r>
        <w:rPr>
          <w:iCs/>
          <w:color w:val="5F5F5F" w:themeColor="text2"/>
        </w:rPr>
        <w:fldChar w:fldCharType="end"/>
      </w:r>
      <w:r w:rsidRPr="00D97BB3">
        <w:t xml:space="preserve"> </w:t>
      </w:r>
      <w:r w:rsidRPr="00323930">
        <w:t>Source:</w:t>
      </w:r>
      <w:r w:rsidRPr="00323930">
        <w:tab/>
        <w:t>Author estimates</w:t>
      </w:r>
      <w:r w:rsidR="00775ED3">
        <w:t>. N</w:t>
      </w:r>
      <w:r w:rsidR="00775ED3" w:rsidRPr="00CF3D6E">
        <w:t>umbers may not add up due to rounding</w:t>
      </w:r>
      <w:r w:rsidR="00775ED3">
        <w:t>.</w:t>
      </w:r>
    </w:p>
    <w:p w14:paraId="250B7512" w14:textId="77777777" w:rsidR="00375729" w:rsidRDefault="00375729" w:rsidP="00375729">
      <w:pPr>
        <w:spacing w:after="120"/>
        <w:ind w:left="1021" w:hanging="1021"/>
      </w:pPr>
      <w:r>
        <w:br w:type="page"/>
      </w:r>
    </w:p>
    <w:p w14:paraId="4396F34E" w14:textId="77777777" w:rsidR="00375729" w:rsidRDefault="00375729" w:rsidP="00CF3D6E">
      <w:pPr>
        <w:pStyle w:val="BCRAppendicesHeading"/>
      </w:pPr>
      <w:bookmarkStart w:id="110" w:name="_Toc442448190"/>
      <w:r>
        <w:t>Electricity, gas, water and waste services</w:t>
      </w:r>
      <w:bookmarkEnd w:id="110"/>
    </w:p>
    <w:p w14:paraId="1100C0EB" w14:textId="77777777" w:rsidR="00775063" w:rsidRDefault="00775063" w:rsidP="00F37FA2">
      <w:pPr>
        <w:pStyle w:val="Boxheading"/>
      </w:pPr>
      <w:r>
        <w:t>Key points</w:t>
      </w:r>
    </w:p>
    <w:p w14:paraId="64F5B915" w14:textId="77777777" w:rsidR="00375729" w:rsidRDefault="00375729" w:rsidP="00012248">
      <w:pPr>
        <w:pStyle w:val="Boxtext"/>
      </w:pPr>
      <w:r>
        <w:t>From 1989–90, there was slow and steady output growth in electricity, gas, water and waste services (EGWWS). Capital growth was strong in the 2000s. There was labour shedding in the 1990s, but a return to strong growth in labour from 2004–05:</w:t>
      </w:r>
    </w:p>
    <w:p w14:paraId="41CA3FEF" w14:textId="77777777" w:rsidR="00375729" w:rsidRDefault="00375729" w:rsidP="00F37FA2">
      <w:pPr>
        <w:pStyle w:val="Boxbullet"/>
      </w:pPr>
      <w:r>
        <w:t>The sector is capital intensive, with a capital income share averaging about 64 per cent.</w:t>
      </w:r>
    </w:p>
    <w:p w14:paraId="07037D7C" w14:textId="77777777" w:rsidR="00375729" w:rsidRDefault="00375729" w:rsidP="00012248">
      <w:pPr>
        <w:pStyle w:val="Boxtext"/>
      </w:pPr>
      <w:r>
        <w:t>While growth in Information Technology (IT) averaged 18.5 per cent a year, that growth did not have a big influence on growth in total capital because IT represented only about 6.6 per cent of capital costs.</w:t>
      </w:r>
      <w:r w:rsidRPr="00F1154F">
        <w:t xml:space="preserve"> </w:t>
      </w:r>
    </w:p>
    <w:p w14:paraId="2BF1A05E" w14:textId="77777777" w:rsidR="00375729" w:rsidRDefault="00375729" w:rsidP="00012248">
      <w:pPr>
        <w:pStyle w:val="Boxtext"/>
      </w:pPr>
      <w:r>
        <w:t>There was strong growth in both labour productivity (LP) and multifactor productivity (MFP) in the 1990s, followed by prolonged and deep falls in the 2000s.</w:t>
      </w:r>
    </w:p>
    <w:p w14:paraId="6FA1F0F7" w14:textId="77777777" w:rsidR="00375729" w:rsidRDefault="00375729" w:rsidP="00012248">
      <w:pPr>
        <w:pStyle w:val="Boxtext"/>
      </w:pPr>
      <w:r>
        <w:t>The contribution of IT capital deepening to LP growth has been quite strong</w:t>
      </w:r>
      <w:r w:rsidRPr="00902B4E">
        <w:t xml:space="preserve"> in this sector</w:t>
      </w:r>
      <w:r w:rsidR="00362626">
        <w:t xml:space="preserve">. </w:t>
      </w:r>
      <w:r>
        <w:t xml:space="preserve">It has been in the range of 0.5 to 0.7 of a percentage point, with a jump to 1.1 percentage points between 1997–98 and 2000–01. </w:t>
      </w:r>
    </w:p>
    <w:p w14:paraId="32A62420" w14:textId="77777777" w:rsidR="00375729" w:rsidRDefault="00375729" w:rsidP="00F37FA2">
      <w:pPr>
        <w:pStyle w:val="Boxbullet"/>
      </w:pPr>
      <w:r>
        <w:t>Hardware made the major contribution from the mid-1990s.</w:t>
      </w:r>
    </w:p>
    <w:p w14:paraId="2AC4A4C9" w14:textId="77777777" w:rsidR="00375729" w:rsidRDefault="00375729" w:rsidP="00F37FA2">
      <w:pPr>
        <w:pStyle w:val="Boxbullet"/>
      </w:pPr>
      <w:r>
        <w:t xml:space="preserve">Average skill level </w:t>
      </w:r>
      <w:r w:rsidR="00FA28A3">
        <w:t xml:space="preserve">of labour in this industry </w:t>
      </w:r>
      <w:r>
        <w:t>increased by 9 per cent over the period with a correlation coefficient with IT use of 0.56.</w:t>
      </w:r>
    </w:p>
    <w:p w14:paraId="54F27F98" w14:textId="77777777" w:rsidR="00375729" w:rsidRDefault="00375729" w:rsidP="00012248">
      <w:pPr>
        <w:pStyle w:val="Boxtext"/>
      </w:pPr>
      <w:r>
        <w:t>There were two distinct periods of movement in non-IT capital productivity. It increased 13 per cent in the 1990s but fell 35 per cent after that. The productivity of other plant and equipment improved 75 per cent in the 1990s.</w:t>
      </w:r>
    </w:p>
    <w:p w14:paraId="7615DC7B" w14:textId="77777777" w:rsidR="00375729" w:rsidRDefault="00375729" w:rsidP="00012248">
      <w:pPr>
        <w:pStyle w:val="Boxtext"/>
      </w:pPr>
      <w:r>
        <w:t>Despite being a relatively small part of the industry’s asset holdings, IT made a sizeable contribution to LP growth and most likely to MFP growth in the 1990s.</w:t>
      </w:r>
    </w:p>
    <w:p w14:paraId="3FB85AF6" w14:textId="77777777" w:rsidR="00375729" w:rsidRPr="005D6A40" w:rsidRDefault="00375729" w:rsidP="00375729">
      <w:pPr>
        <w:pStyle w:val="BodyTextNoIndent"/>
      </w:pPr>
      <w:r>
        <w:t>According to the Australian Bureau of Statistics (ABS), businesses in the e</w:t>
      </w:r>
      <w:r w:rsidRPr="008D44D7">
        <w:t xml:space="preserve">lectricity, </w:t>
      </w:r>
      <w:r>
        <w:t>g</w:t>
      </w:r>
      <w:r w:rsidRPr="008D44D7">
        <w:t xml:space="preserve">as, </w:t>
      </w:r>
      <w:r>
        <w:t>w</w:t>
      </w:r>
      <w:r w:rsidRPr="008D44D7">
        <w:t xml:space="preserve">ater </w:t>
      </w:r>
      <w:r>
        <w:t>and</w:t>
      </w:r>
      <w:r w:rsidRPr="008D44D7">
        <w:t xml:space="preserve"> </w:t>
      </w:r>
      <w:r>
        <w:t>w</w:t>
      </w:r>
      <w:r w:rsidRPr="008D44D7">
        <w:t xml:space="preserve">aste </w:t>
      </w:r>
      <w:r>
        <w:t>s</w:t>
      </w:r>
      <w:r w:rsidRPr="008D44D7">
        <w:t xml:space="preserve">ervices </w:t>
      </w:r>
      <w:r>
        <w:t>(EGWWS)</w:t>
      </w:r>
      <w:r w:rsidRPr="008D44D7">
        <w:t xml:space="preserve"> </w:t>
      </w:r>
      <w:r>
        <w:t>sector provide</w:t>
      </w:r>
      <w:r w:rsidRPr="008D44D7">
        <w:t xml:space="preserve"> electricity</w:t>
      </w:r>
      <w:r>
        <w:t>,</w:t>
      </w:r>
      <w:r w:rsidRPr="008D44D7">
        <w:t xml:space="preserve"> gas through mains systems</w:t>
      </w:r>
      <w:r>
        <w:t>,</w:t>
      </w:r>
      <w:r w:rsidRPr="008D44D7">
        <w:t xml:space="preserve"> water</w:t>
      </w:r>
      <w:r>
        <w:t>,</w:t>
      </w:r>
      <w:r w:rsidRPr="008D44D7">
        <w:t xml:space="preserve"> drainage</w:t>
      </w:r>
      <w:r>
        <w:t>,</w:t>
      </w:r>
      <w:r w:rsidRPr="008D44D7">
        <w:t xml:space="preserve"> and sewage services. </w:t>
      </w:r>
      <w:r>
        <w:t>It</w:t>
      </w:r>
      <w:r w:rsidRPr="008D44D7">
        <w:t xml:space="preserve"> also includes </w:t>
      </w:r>
      <w:r>
        <w:t>businesses</w:t>
      </w:r>
      <w:r w:rsidRPr="008D44D7">
        <w:t xml:space="preserve"> </w:t>
      </w:r>
      <w:r>
        <w:t>primarily</w:t>
      </w:r>
      <w:r w:rsidRPr="008D44D7">
        <w:t xml:space="preserve"> engaged in the collection, treatment and disposal of waste materials</w:t>
      </w:r>
      <w:r>
        <w:t>,</w:t>
      </w:r>
      <w:r w:rsidRPr="008D44D7">
        <w:t xml:space="preserve"> remediation of contaminated materials (including land)</w:t>
      </w:r>
      <w:r>
        <w:t>,</w:t>
      </w:r>
      <w:r w:rsidRPr="008D44D7">
        <w:t xml:space="preserve"> and materials recovery activities. </w:t>
      </w:r>
    </w:p>
    <w:p w14:paraId="1E866802" w14:textId="77777777" w:rsidR="00375729" w:rsidRDefault="00375729" w:rsidP="00375729">
      <w:pPr>
        <w:pStyle w:val="BodyTextNoIndent"/>
      </w:pPr>
      <w:r>
        <w:t xml:space="preserve">EGWWS grew slowly but steadily through the 1990s and 2000s (Figure </w:t>
      </w:r>
      <w:r w:rsidR="00AE60E7">
        <w:t>II2</w:t>
      </w:r>
      <w:r>
        <w:t xml:space="preserve">). Its annual growth in output volumes averaged 1.4 per cent from 1989–90 to 2013–14, which was below the average for GDP. Consequently, the sector declined from 4.0 </w:t>
      </w:r>
      <w:r w:rsidRPr="00A277B3">
        <w:t>per cent of GDP in 1989</w:t>
      </w:r>
      <w:r>
        <w:t>–</w:t>
      </w:r>
      <w:r w:rsidRPr="00A277B3">
        <w:t xml:space="preserve">90 to </w:t>
      </w:r>
      <w:r>
        <w:t xml:space="preserve">2.9 </w:t>
      </w:r>
      <w:r w:rsidRPr="00A277B3">
        <w:t>per cent in 2013</w:t>
      </w:r>
      <w:r>
        <w:t>–14.</w:t>
      </w:r>
      <w:r w:rsidR="00775063">
        <w:rPr>
          <w:rStyle w:val="EndnoteReference"/>
        </w:rPr>
        <w:endnoteReference w:id="16"/>
      </w:r>
      <w:r w:rsidR="00775063">
        <w:t xml:space="preserve"> </w:t>
      </w:r>
    </w:p>
    <w:p w14:paraId="2550E9FF" w14:textId="77777777" w:rsidR="00375729" w:rsidRPr="005D6A40" w:rsidRDefault="00375729" w:rsidP="00375729">
      <w:pPr>
        <w:pStyle w:val="BodyTextNoIndent"/>
      </w:pPr>
      <w:r w:rsidRPr="005D6A40">
        <w:t>There was solid growth in capital</w:t>
      </w:r>
      <w:r w:rsidR="00377D08">
        <w:t xml:space="preserve"> (Figure B1)</w:t>
      </w:r>
      <w:r w:rsidRPr="005D6A40">
        <w:t xml:space="preserve">, which averaged 3.6 per cent a year over the period under review (1989–90 to 2013–14). However, there was more-rapid growth after 2000–01: 5.3 per cent a year compared with 1.9 per cent a year before that. </w:t>
      </w:r>
    </w:p>
    <w:p w14:paraId="2C2DAA3D" w14:textId="77777777" w:rsidR="00375729" w:rsidRPr="005D6A40" w:rsidRDefault="00375729" w:rsidP="00375729">
      <w:pPr>
        <w:pStyle w:val="BodyTextNoIndent"/>
      </w:pPr>
      <w:r w:rsidRPr="005D6A40">
        <w:t>Growth in labour averaged 1.1 per cent a year but varied greatly over the period. There was labour shedding to 1997–98, followed by a slow rise to 2004–05. After that, hours worked growth averaged over 5 per cent a year.</w:t>
      </w:r>
    </w:p>
    <w:p w14:paraId="6EE8AE63" w14:textId="77777777" w:rsidR="00375729" w:rsidRPr="005D6A40" w:rsidRDefault="00375729" w:rsidP="00375729">
      <w:pPr>
        <w:pStyle w:val="BodyTextNoIndent"/>
      </w:pPr>
      <w:r w:rsidRPr="005D6A40">
        <w:t>The sector is capital intensive with the capital income share averaging 64 per cent.</w:t>
      </w:r>
    </w:p>
    <w:p w14:paraId="6F771010" w14:textId="77777777" w:rsidR="00375729" w:rsidRDefault="00375729" w:rsidP="004919FA">
      <w:pPr>
        <w:pStyle w:val="Figurecaption"/>
      </w:pPr>
      <w:r>
        <w:t xml:space="preserve">Figure </w:t>
      </w:r>
      <w:r w:rsidR="00B25990">
        <w:t>B</w:t>
      </w:r>
      <w:r w:rsidR="00B03E72">
        <w:t>1</w:t>
      </w:r>
      <w:r>
        <w:t>: Capital, labour and output in EGWWS (index, 2012–13</w:t>
      </w:r>
      <w:r w:rsidR="006A530A">
        <w:t xml:space="preserve"> = </w:t>
      </w:r>
      <w:r>
        <w:t>100)</w:t>
      </w:r>
    </w:p>
    <w:p w14:paraId="45B018A5" w14:textId="029CCB19" w:rsidR="00375729" w:rsidRDefault="004919FA" w:rsidP="00375729">
      <w:r>
        <w:rPr>
          <w:noProof/>
          <w:lang w:eastAsia="en-AU"/>
        </w:rPr>
        <w:drawing>
          <wp:inline distT="0" distB="0" distL="0" distR="0" wp14:anchorId="605B8D80" wp14:editId="5B12FDBB">
            <wp:extent cx="4584700" cy="2755900"/>
            <wp:effectExtent l="0" t="0" r="635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FAE3BE6" w14:textId="77777777" w:rsidR="00375729" w:rsidRDefault="00375729" w:rsidP="00012248">
      <w:pPr>
        <w:pStyle w:val="SourceNotes"/>
      </w:pPr>
      <w:r w:rsidRPr="00323930">
        <w:t>Source:</w:t>
      </w:r>
      <w:r>
        <w:t xml:space="preserve"> </w:t>
      </w:r>
      <w:r w:rsidRPr="00323930">
        <w:t xml:space="preserve">ABS Cat. No. 5260.0.55.002 </w:t>
      </w:r>
    </w:p>
    <w:p w14:paraId="2A3CA4BF" w14:textId="77777777" w:rsidR="00375729" w:rsidRDefault="00B2349B" w:rsidP="00CF3D6E">
      <w:pPr>
        <w:pStyle w:val="BCRAppendicesSubheading"/>
      </w:pPr>
      <w:r>
        <w:t xml:space="preserve">B.1 </w:t>
      </w:r>
      <w:r w:rsidR="00375729">
        <w:t>Growth in information technology capital</w:t>
      </w:r>
    </w:p>
    <w:p w14:paraId="73890415" w14:textId="77777777" w:rsidR="00375729" w:rsidRDefault="00375729" w:rsidP="00375729">
      <w:pPr>
        <w:pStyle w:val="BodyTextNoIndent"/>
      </w:pPr>
      <w:r>
        <w:t xml:space="preserve">Given EGWWS has extensive asset holdings, for example in electricity generation and distribution, Information Technology (IT) represents only a small proportion of the sector’s assets. Since 1989–90, IT has accounted for an average of 6.5 per cent of capital costs but the percentage has varied greatly (Figure </w:t>
      </w:r>
      <w:r w:rsidR="00CF0584">
        <w:t>B</w:t>
      </w:r>
      <w:r w:rsidR="00776EBF">
        <w:t>2</w:t>
      </w:r>
      <w:r>
        <w:t xml:space="preserve">). </w:t>
      </w:r>
      <w:r w:rsidRPr="00A277B3">
        <w:t>The sector accounts for about 7 per cent of hardware use in the economy and 5 per cent of software use.</w:t>
      </w:r>
    </w:p>
    <w:p w14:paraId="6A6E8B85" w14:textId="77777777" w:rsidR="00375729" w:rsidRDefault="00375729" w:rsidP="00375729">
      <w:pPr>
        <w:pStyle w:val="BodyTextNoIndent"/>
      </w:pPr>
      <w:r>
        <w:t>While the growth in IT capital was strong, averaging 18.5 per cent a year, that growth did not have a big influence on growth in total capital due to EGWWS's relatively small holdings of IT. Growth in total capital was mostly in line with growth in non-IT capital, which averaged 2.7 per cent a year (</w:t>
      </w:r>
      <w:r w:rsidR="00377D08" w:rsidRPr="00377D08">
        <w:t>Figure B2</w:t>
      </w:r>
      <w:r>
        <w:t xml:space="preserve">). </w:t>
      </w:r>
    </w:p>
    <w:p w14:paraId="2DEB4AC1" w14:textId="77777777" w:rsidR="00375729" w:rsidRDefault="00375729" w:rsidP="004919FA">
      <w:pPr>
        <w:pStyle w:val="Figurecaption"/>
      </w:pPr>
      <w:r>
        <w:t xml:space="preserve">Figure </w:t>
      </w:r>
      <w:r w:rsidR="00377D08">
        <w:t>B2</w:t>
      </w:r>
      <w:r>
        <w:t>: Capital, IT capital and non-IT capital in EGWWS (index, 2012–13</w:t>
      </w:r>
      <w:r w:rsidR="006A530A">
        <w:t xml:space="preserve"> = </w:t>
      </w:r>
      <w:r>
        <w:t>100)</w:t>
      </w:r>
    </w:p>
    <w:p w14:paraId="369F94FF" w14:textId="1F50AE07" w:rsidR="00375729" w:rsidRDefault="004919FA" w:rsidP="00375729">
      <w:pPr>
        <w:spacing w:after="60"/>
      </w:pPr>
      <w:r>
        <w:rPr>
          <w:noProof/>
          <w:lang w:eastAsia="en-AU"/>
        </w:rPr>
        <w:drawing>
          <wp:inline distT="0" distB="0" distL="0" distR="0" wp14:anchorId="41DC9895" wp14:editId="6CAC0BE1">
            <wp:extent cx="4584700" cy="2743200"/>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2323CE09" w14:textId="77777777" w:rsidR="00375729" w:rsidRDefault="00375729" w:rsidP="00012248">
      <w:pPr>
        <w:pStyle w:val="SourceNotes"/>
      </w:pPr>
      <w:r w:rsidRPr="00323930">
        <w:t>Source:</w:t>
      </w:r>
      <w:r>
        <w:t xml:space="preserve"> </w:t>
      </w:r>
      <w:r w:rsidRPr="00323930">
        <w:t>ABS Cat. No. 5260.0.55.002 and author estimates</w:t>
      </w:r>
    </w:p>
    <w:p w14:paraId="2FA3E91E" w14:textId="77777777" w:rsidR="00375729" w:rsidRDefault="00375729" w:rsidP="00375729">
      <w:pPr>
        <w:pStyle w:val="BodyTextNoIndent"/>
      </w:pPr>
      <w:r>
        <w:t>Annual rates of growth in IT were strongest in the 1990s (</w:t>
      </w:r>
      <w:r w:rsidR="00377D08" w:rsidRPr="00377D08">
        <w:t>Figure B3</w:t>
      </w:r>
      <w:r>
        <w:t>). Unlike other industries, there was hardly any slowdown in the growth of IT investment after 2007–08.</w:t>
      </w:r>
    </w:p>
    <w:p w14:paraId="3E32E011" w14:textId="77777777" w:rsidR="00375729" w:rsidRDefault="00375729" w:rsidP="004919FA">
      <w:pPr>
        <w:pStyle w:val="Figurecaption"/>
      </w:pPr>
      <w:r>
        <w:t xml:space="preserve">Figure </w:t>
      </w:r>
      <w:r w:rsidR="00377D08">
        <w:t>B3</w:t>
      </w:r>
      <w:r>
        <w:t>: Annual growth in IT and non-IT capital (% per year) and the IT share of capital income (%) in EGGWS</w:t>
      </w:r>
    </w:p>
    <w:p w14:paraId="40CAC08C" w14:textId="7BA0AADD" w:rsidR="00375729" w:rsidRDefault="004919FA" w:rsidP="00375729">
      <w:pPr>
        <w:spacing w:after="60"/>
      </w:pPr>
      <w:r>
        <w:rPr>
          <w:noProof/>
          <w:lang w:eastAsia="en-AU"/>
        </w:rPr>
        <w:drawing>
          <wp:inline distT="0" distB="0" distL="0" distR="0" wp14:anchorId="5611D5CD" wp14:editId="65E0C98A">
            <wp:extent cx="4572635" cy="27432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D498291" w14:textId="77777777" w:rsidR="00375729" w:rsidRDefault="00375729" w:rsidP="00012248">
      <w:pPr>
        <w:pStyle w:val="SourceNotes"/>
      </w:pPr>
      <w:r w:rsidRPr="00323930">
        <w:t>Source:</w:t>
      </w:r>
      <w:r>
        <w:t xml:space="preserve"> </w:t>
      </w:r>
      <w:r w:rsidRPr="00323930">
        <w:t>Author estimates</w:t>
      </w:r>
    </w:p>
    <w:p w14:paraId="4822C7FF" w14:textId="77777777" w:rsidR="00375729" w:rsidRDefault="00375729" w:rsidP="00375729">
      <w:pPr>
        <w:pStyle w:val="BodyTextNoIndent"/>
      </w:pPr>
      <w:r>
        <w:t>Growth in hardware was stronger than in software from the mid-1990s (</w:t>
      </w:r>
      <w:r w:rsidR="00660D51" w:rsidRPr="00660D51">
        <w:t>Figure B4</w:t>
      </w:r>
      <w:r>
        <w:t>). The sector has been mostly software intensive, indicated by a hardware share of less than 50 per cent (</w:t>
      </w:r>
      <w:r w:rsidR="00660D51" w:rsidRPr="00660D51">
        <w:t>Figure B4</w:t>
      </w:r>
      <w:r>
        <w:t>).</w:t>
      </w:r>
    </w:p>
    <w:p w14:paraId="795F5AE0" w14:textId="77777777" w:rsidR="00375729" w:rsidRDefault="00375729" w:rsidP="004919FA">
      <w:pPr>
        <w:pStyle w:val="Figurecaption"/>
      </w:pPr>
      <w:r>
        <w:t xml:space="preserve">Figure </w:t>
      </w:r>
      <w:r w:rsidR="00660D51">
        <w:t>B4</w:t>
      </w:r>
      <w:r>
        <w:t xml:space="preserve">: Annual growth in software and hardware (% per year) and hardware share of IT capital income (%) in EGWWS </w:t>
      </w:r>
    </w:p>
    <w:p w14:paraId="5A2E2A07" w14:textId="04D3EEFE" w:rsidR="00375729" w:rsidRDefault="004919FA" w:rsidP="00375729">
      <w:pPr>
        <w:spacing w:after="60"/>
      </w:pPr>
      <w:r>
        <w:rPr>
          <w:noProof/>
          <w:lang w:eastAsia="en-AU"/>
        </w:rPr>
        <w:drawing>
          <wp:inline distT="0" distB="0" distL="0" distR="0" wp14:anchorId="79572F88" wp14:editId="5B090A10">
            <wp:extent cx="4572635" cy="27432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80F22B0" w14:textId="77777777" w:rsidR="00375729" w:rsidRDefault="00375729" w:rsidP="00012248">
      <w:pPr>
        <w:pStyle w:val="SourceNotes"/>
      </w:pPr>
      <w:r w:rsidRPr="00323930">
        <w:t>Source:</w:t>
      </w:r>
      <w:r>
        <w:t xml:space="preserve"> </w:t>
      </w:r>
      <w:r w:rsidRPr="00323930">
        <w:t>Author estimates</w:t>
      </w:r>
    </w:p>
    <w:p w14:paraId="37B2931A" w14:textId="77777777" w:rsidR="00375729" w:rsidRDefault="00C35DCC" w:rsidP="00CF3D6E">
      <w:pPr>
        <w:pStyle w:val="BCRAppendicesSubheading"/>
      </w:pPr>
      <w:r>
        <w:t>B.</w:t>
      </w:r>
      <w:r w:rsidRPr="007D319D">
        <w:t>2</w:t>
      </w:r>
      <w:r>
        <w:t xml:space="preserve"> </w:t>
      </w:r>
      <w:r w:rsidR="00375729" w:rsidRPr="007D319D">
        <w:t>Labour productivity growth</w:t>
      </w:r>
    </w:p>
    <w:p w14:paraId="58C22C21" w14:textId="77777777" w:rsidR="00375729" w:rsidRDefault="00375729" w:rsidP="00375729">
      <w:pPr>
        <w:pStyle w:val="BodyTextNoIndent"/>
      </w:pPr>
      <w:r>
        <w:t xml:space="preserve">With weak but steady growth in output, growth in labour productivity was largely determined by variations in labour growth. The level of labour productivity increased </w:t>
      </w:r>
      <w:r w:rsidR="005C512C">
        <w:t>by only</w:t>
      </w:r>
      <w:r>
        <w:t xml:space="preserve"> 6 per cent between 1989–90 and 2013–14. </w:t>
      </w:r>
    </w:p>
    <w:p w14:paraId="2C23C61B" w14:textId="77777777" w:rsidR="00375729" w:rsidRPr="00D74449" w:rsidRDefault="008A4138" w:rsidP="00375729">
      <w:pPr>
        <w:pStyle w:val="BodyTextNoIndent"/>
      </w:pPr>
      <w:r>
        <w:t>Figure B5 shows that p</w:t>
      </w:r>
      <w:r w:rsidR="00375729" w:rsidRPr="00D74449">
        <w:t xml:space="preserve">eaks in </w:t>
      </w:r>
      <w:r w:rsidR="00375729">
        <w:t>labour productivity (</w:t>
      </w:r>
      <w:r w:rsidR="00375729" w:rsidRPr="00D74449">
        <w:t>LP</w:t>
      </w:r>
      <w:r w:rsidR="00375729">
        <w:t>)</w:t>
      </w:r>
      <w:r w:rsidR="00375729" w:rsidRPr="00D74449">
        <w:t xml:space="preserve"> cycles occurred </w:t>
      </w:r>
      <w:r w:rsidR="00375729">
        <w:t xml:space="preserve">in </w:t>
      </w:r>
      <w:r w:rsidR="00375729" w:rsidRPr="00D74449">
        <w:t>1997</w:t>
      </w:r>
      <w:r w:rsidR="00375729">
        <w:t>–</w:t>
      </w:r>
      <w:r w:rsidR="00375729" w:rsidRPr="00D74449">
        <w:t>98, 2000</w:t>
      </w:r>
      <w:r w:rsidR="00375729">
        <w:t>–</w:t>
      </w:r>
      <w:r w:rsidR="00375729" w:rsidRPr="00D74449">
        <w:t>01 and 2012</w:t>
      </w:r>
      <w:r w:rsidR="00375729">
        <w:t>–</w:t>
      </w:r>
      <w:r w:rsidR="00375729" w:rsidRPr="00D74449">
        <w:t xml:space="preserve">13 according to the method set out in </w:t>
      </w:r>
      <w:r w:rsidR="00375729">
        <w:t>s</w:t>
      </w:r>
      <w:r w:rsidR="00375729" w:rsidRPr="00D74449">
        <w:t>ection 5.3</w:t>
      </w:r>
      <w:r w:rsidR="00375729">
        <w:t xml:space="preserve">. </w:t>
      </w:r>
      <w:r w:rsidR="00375729" w:rsidRPr="00D74449">
        <w:t>In addition, a peak at 1989</w:t>
      </w:r>
      <w:r w:rsidR="00375729">
        <w:t>–</w:t>
      </w:r>
      <w:r w:rsidR="00375729" w:rsidRPr="00D74449">
        <w:t>90</w:t>
      </w:r>
      <w:r w:rsidR="00375729">
        <w:t xml:space="preserve"> was imposed</w:t>
      </w:r>
      <w:r w:rsidR="00375729" w:rsidRPr="00D74449">
        <w:t>.</w:t>
      </w:r>
    </w:p>
    <w:p w14:paraId="7373C4A9" w14:textId="77777777" w:rsidR="00375729" w:rsidRPr="00D74449" w:rsidRDefault="00375729" w:rsidP="00375729">
      <w:pPr>
        <w:pStyle w:val="BodyTextNoIndent"/>
      </w:pPr>
      <w:r w:rsidRPr="00D74449">
        <w:t xml:space="preserve">Productivity growth over these LP cycles </w:t>
      </w:r>
      <w:r>
        <w:t>was</w:t>
      </w:r>
      <w:r w:rsidRPr="00D74449">
        <w:t>:</w:t>
      </w:r>
    </w:p>
    <w:p w14:paraId="3B4C72D8" w14:textId="77777777" w:rsidR="00375729" w:rsidRPr="00D74449" w:rsidRDefault="00375729" w:rsidP="004919FA">
      <w:pPr>
        <w:pStyle w:val="Bodybullet-Level1"/>
      </w:pPr>
      <w:r>
        <w:t>1989–90 to 1997–98</w:t>
      </w:r>
      <w:r w:rsidRPr="00D74449">
        <w:t>:</w:t>
      </w:r>
      <w:r>
        <w:t xml:space="preserve"> 6.9</w:t>
      </w:r>
      <w:r w:rsidRPr="00D74449">
        <w:t xml:space="preserve"> per cent a year</w:t>
      </w:r>
    </w:p>
    <w:p w14:paraId="7EDE8E39" w14:textId="77777777" w:rsidR="00375729" w:rsidRPr="00D74449" w:rsidRDefault="00375729" w:rsidP="004919FA">
      <w:pPr>
        <w:pStyle w:val="Bodybullet-Level1"/>
      </w:pPr>
      <w:r w:rsidRPr="00D74449">
        <w:t>199</w:t>
      </w:r>
      <w:r>
        <w:t>7–98</w:t>
      </w:r>
      <w:r w:rsidRPr="00D74449">
        <w:t xml:space="preserve"> to 200</w:t>
      </w:r>
      <w:r>
        <w:t>0–01</w:t>
      </w:r>
      <w:r w:rsidRPr="00D74449">
        <w:t>:</w:t>
      </w:r>
      <w:r>
        <w:t xml:space="preserve"> 0.9</w:t>
      </w:r>
      <w:r w:rsidRPr="00D74449">
        <w:t xml:space="preserve"> per cent a year</w:t>
      </w:r>
      <w:r>
        <w:t>, and</w:t>
      </w:r>
    </w:p>
    <w:p w14:paraId="3B032508" w14:textId="77777777" w:rsidR="00375729" w:rsidRPr="00D74449" w:rsidRDefault="00375729" w:rsidP="004919FA">
      <w:pPr>
        <w:pStyle w:val="Bodybullet-Level1"/>
      </w:pPr>
      <w:r>
        <w:t>2000–01 to 2012–13</w:t>
      </w:r>
      <w:r w:rsidRPr="00D74449">
        <w:t>:</w:t>
      </w:r>
      <w:r>
        <w:t xml:space="preserve"> -3.4</w:t>
      </w:r>
      <w:r w:rsidRPr="00D74449">
        <w:t xml:space="preserve"> per cent a year</w:t>
      </w:r>
      <w:r>
        <w:t>.</w:t>
      </w:r>
      <w:r w:rsidRPr="00D74449">
        <w:rPr>
          <w:rStyle w:val="FootnoteReference"/>
        </w:rPr>
        <w:t xml:space="preserve"> </w:t>
      </w:r>
      <w:r w:rsidR="00775063">
        <w:rPr>
          <w:rStyle w:val="EndnoteReference"/>
        </w:rPr>
        <w:endnoteReference w:id="17"/>
      </w:r>
      <w:r w:rsidRPr="00D74449">
        <w:t xml:space="preserve"> </w:t>
      </w:r>
    </w:p>
    <w:p w14:paraId="02B0755B" w14:textId="77777777" w:rsidR="00375729" w:rsidRPr="00A90AE3" w:rsidRDefault="00375729" w:rsidP="004919FA">
      <w:pPr>
        <w:pStyle w:val="Figurecaption"/>
      </w:pPr>
      <w:r>
        <w:t xml:space="preserve">Figure </w:t>
      </w:r>
      <w:r w:rsidR="008A4138">
        <w:t>B5</w:t>
      </w:r>
      <w:r>
        <w:t>: Actual and trend labour productivity in EGWWS</w:t>
      </w:r>
      <w:r w:rsidRPr="0005FAC6">
        <w:rPr>
          <w:sz w:val="22"/>
          <w:szCs w:val="22"/>
          <w:vertAlign w:val="superscript"/>
        </w:rPr>
        <w:t>a</w:t>
      </w:r>
      <w:r>
        <w:rPr>
          <w:sz w:val="22"/>
          <w:szCs w:val="22"/>
          <w:vertAlign w:val="superscript"/>
        </w:rPr>
        <w:t xml:space="preserve"> </w:t>
      </w:r>
      <w:r>
        <w:t>(index, actual 2012–13</w:t>
      </w:r>
      <w:r w:rsidR="006A530A">
        <w:t xml:space="preserve"> = </w:t>
      </w:r>
      <w:r>
        <w:t>100)</w:t>
      </w:r>
    </w:p>
    <w:p w14:paraId="4692E88B" w14:textId="105DA417" w:rsidR="00375729" w:rsidRDefault="004919FA" w:rsidP="00375729">
      <w:pPr>
        <w:spacing w:after="60"/>
      </w:pPr>
      <w:r>
        <w:rPr>
          <w:noProof/>
          <w:lang w:eastAsia="en-AU"/>
        </w:rPr>
        <w:drawing>
          <wp:inline distT="0" distB="0" distL="0" distR="0" wp14:anchorId="0AF0FD61" wp14:editId="31792A6F">
            <wp:extent cx="4572635" cy="3048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3048000"/>
                    </a:xfrm>
                    <a:prstGeom prst="rect">
                      <a:avLst/>
                    </a:prstGeom>
                    <a:noFill/>
                  </pic:spPr>
                </pic:pic>
              </a:graphicData>
            </a:graphic>
          </wp:inline>
        </w:drawing>
      </w:r>
    </w:p>
    <w:p w14:paraId="0CEFF717" w14:textId="77777777" w:rsidR="00375729" w:rsidRPr="00323930" w:rsidRDefault="00375729" w:rsidP="00012248">
      <w:pPr>
        <w:pStyle w:val="SourceNotes"/>
      </w:pPr>
      <w:r w:rsidRPr="00323930">
        <w:t>Note:</w:t>
      </w:r>
      <w:r>
        <w:t xml:space="preserve"> </w:t>
      </w:r>
      <w:r w:rsidRPr="00323930">
        <w:t>a.</w:t>
      </w:r>
      <w:r>
        <w:t xml:space="preserve"> </w:t>
      </w:r>
      <w:r w:rsidRPr="00323930">
        <w:t>Trend series formed with a Hodrick-Prescott filter λ</w:t>
      </w:r>
      <w:r w:rsidR="006A530A">
        <w:t xml:space="preserve"> = </w:t>
      </w:r>
      <w:r w:rsidRPr="00323930">
        <w:t>100</w:t>
      </w:r>
      <w:r w:rsidRPr="00323930">
        <w:tab/>
      </w:r>
    </w:p>
    <w:p w14:paraId="6CE6E89F" w14:textId="77777777" w:rsidR="00375729" w:rsidRDefault="00375729" w:rsidP="00012248">
      <w:pPr>
        <w:pStyle w:val="SourceNotes"/>
      </w:pPr>
      <w:r w:rsidRPr="00323930">
        <w:t>Source:</w:t>
      </w:r>
      <w:r>
        <w:t xml:space="preserve"> </w:t>
      </w:r>
      <w:r w:rsidRPr="00323930">
        <w:t>ABS Cat. No. 5260.0.55.002 and author estimates</w:t>
      </w:r>
    </w:p>
    <w:p w14:paraId="71770F99" w14:textId="77777777" w:rsidR="00375729" w:rsidRPr="001750E1" w:rsidRDefault="00744FC1">
      <w:pPr>
        <w:pStyle w:val="BCRAppendicesSubSubheading"/>
      </w:pPr>
      <w:r w:rsidRPr="001750E1">
        <w:t>B.2</w:t>
      </w:r>
      <w:r w:rsidR="00375729" w:rsidRPr="001750E1">
        <w:t>.1 IT capital deepening and LP growth</w:t>
      </w:r>
    </w:p>
    <w:p w14:paraId="7F9E59E3" w14:textId="77777777" w:rsidR="00375729" w:rsidRPr="00AF78DA" w:rsidRDefault="00375729" w:rsidP="00375729">
      <w:pPr>
        <w:pStyle w:val="BodyTextNoIndent"/>
      </w:pPr>
      <w:r w:rsidRPr="00AF78DA">
        <w:t xml:space="preserve">The growth in labour productivity can be decomposed into contributions from capital deepening and multifactor productivity (MFP) growth (section 4). Capital deepening is growth in the capital-labour ratio, multiplied by the share of total industry income attributed to capital. </w:t>
      </w:r>
    </w:p>
    <w:p w14:paraId="78EB5CA9" w14:textId="77777777" w:rsidR="00375729" w:rsidRPr="00AF78DA" w:rsidRDefault="00375729" w:rsidP="00375729">
      <w:pPr>
        <w:pStyle w:val="BodyTextNoIndent"/>
      </w:pPr>
      <w:r w:rsidRPr="00AF78DA">
        <w:t xml:space="preserve">Labour productivity, the capital-labour ratio and MFP are illustrated in </w:t>
      </w:r>
      <w:r w:rsidR="00B03759" w:rsidRPr="00B03759">
        <w:t>Figure B6</w:t>
      </w:r>
      <w:r w:rsidRPr="00AF78DA">
        <w:t>. While the capital-labour ratio increased by 80 per cent, MFP declined over the whole period by 27 per cent. As a result, the small rise in labour productivity was all down to capital deepening</w:t>
      </w:r>
      <w:r w:rsidR="003222CA">
        <w:t>.</w:t>
      </w:r>
      <w:r w:rsidR="001750E1">
        <w:rPr>
          <w:rStyle w:val="EndnoteReference"/>
        </w:rPr>
        <w:endnoteReference w:id="18"/>
      </w:r>
    </w:p>
    <w:p w14:paraId="784EC1B1" w14:textId="77777777" w:rsidR="00375729" w:rsidRPr="00AF78DA" w:rsidRDefault="00375729" w:rsidP="00375729">
      <w:pPr>
        <w:pStyle w:val="BodyTextNoIndent"/>
      </w:pPr>
      <w:r w:rsidRPr="00AF78DA">
        <w:t>The contribution of IT capital deepening to LP growth was quite strong in this sector for the period under review. It was in the range of 0.5 to 0.7 of a percentage point, with a jump to 1.1 percentage points between 1997–98 and 2000–01 (</w:t>
      </w:r>
      <w:r w:rsidR="008C5217" w:rsidRPr="008C5217">
        <w:t>Table B1</w:t>
      </w:r>
      <w:r w:rsidRPr="00AF78DA">
        <w:t xml:space="preserve">). Hardware made the major </w:t>
      </w:r>
      <w:r>
        <w:t>contribution from the mid-1990s</w:t>
      </w:r>
    </w:p>
    <w:p w14:paraId="00699EB6" w14:textId="77777777" w:rsidR="00375729" w:rsidRDefault="00375729" w:rsidP="004919FA">
      <w:pPr>
        <w:pStyle w:val="Figurecaption"/>
      </w:pPr>
      <w:r>
        <w:t xml:space="preserve">Figure </w:t>
      </w:r>
      <w:r w:rsidR="00B03759">
        <w:t>B6</w:t>
      </w:r>
      <w:r>
        <w:t>: Labour productivity (LP), the capital-labour ratio (K/L) and multifactor productivity (MFP) in EGWWS (index, 2012–13</w:t>
      </w:r>
      <w:r w:rsidR="006A530A">
        <w:t xml:space="preserve"> = </w:t>
      </w:r>
      <w:r>
        <w:t>100)</w:t>
      </w:r>
    </w:p>
    <w:p w14:paraId="6EFA65E2" w14:textId="01F6C82A" w:rsidR="00375729" w:rsidRDefault="004919FA" w:rsidP="00375729">
      <w:pPr>
        <w:pStyle w:val="BodyTextNoIndent"/>
      </w:pPr>
      <w:r>
        <w:rPr>
          <w:noProof/>
          <w:lang w:eastAsia="en-AU"/>
        </w:rPr>
        <w:drawing>
          <wp:inline distT="0" distB="0" distL="0" distR="0" wp14:anchorId="6A5F7286" wp14:editId="4418AECD">
            <wp:extent cx="4572635" cy="27432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7239108" w14:textId="77777777" w:rsidR="00375729" w:rsidRDefault="00375729" w:rsidP="00012248">
      <w:pPr>
        <w:pStyle w:val="SourceNotes"/>
        <w:rPr>
          <w:rFonts w:ascii="Cambria" w:eastAsiaTheme="majorEastAsia" w:hAnsi="Cambria" w:cstheme="majorBidi"/>
          <w:bCs/>
          <w:color w:val="900D10" w:themeColor="accent1" w:themeShade="80"/>
          <w:sz w:val="26"/>
          <w:szCs w:val="26"/>
        </w:rPr>
      </w:pPr>
      <w:r w:rsidRPr="00323930">
        <w:t>Source:</w:t>
      </w:r>
      <w:r>
        <w:t xml:space="preserve"> </w:t>
      </w:r>
      <w:r w:rsidRPr="00323930">
        <w:t xml:space="preserve">ABS Cat. No. 5260.0.55.002 </w:t>
      </w:r>
    </w:p>
    <w:p w14:paraId="4A7FA06B" w14:textId="77777777" w:rsidR="00375729" w:rsidRPr="00323930" w:rsidRDefault="00375729" w:rsidP="004919FA">
      <w:pPr>
        <w:pStyle w:val="Tablecaption"/>
      </w:pPr>
      <w:r>
        <w:t xml:space="preserve">Table </w:t>
      </w:r>
      <w:r w:rsidR="00B03759">
        <w:t>B1</w:t>
      </w:r>
      <w:r>
        <w:t>: Labour productivity growth accounting in EGWWS (per cent per annum and percentage points)</w:t>
      </w:r>
      <w:r w:rsidRPr="0005FAC6">
        <w:rPr>
          <w:sz w:val="22"/>
          <w:szCs w:val="22"/>
          <w:vertAlign w:val="superscript"/>
        </w:rPr>
        <w:t>a</w:t>
      </w:r>
    </w:p>
    <w:tbl>
      <w:tblPr>
        <w:tblW w:w="7093" w:type="dxa"/>
        <w:tblInd w:w="93" w:type="dxa"/>
        <w:tblLayout w:type="fixed"/>
        <w:tblLook w:val="04A0" w:firstRow="1" w:lastRow="0" w:firstColumn="1" w:lastColumn="0" w:noHBand="0" w:noVBand="1"/>
      </w:tblPr>
      <w:tblGrid>
        <w:gridCol w:w="3134"/>
        <w:gridCol w:w="1319"/>
        <w:gridCol w:w="1320"/>
        <w:gridCol w:w="1320"/>
      </w:tblGrid>
      <w:tr w:rsidR="00375729" w:rsidRPr="00503F82" w14:paraId="49D0D874" w14:textId="77777777" w:rsidTr="00301886">
        <w:trPr>
          <w:trHeight w:val="510"/>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A11C6" w14:textId="77777777" w:rsidR="00375729" w:rsidRPr="00503F82" w:rsidRDefault="00375729" w:rsidP="004919FA">
            <w:pPr>
              <w:pStyle w:val="Tablecellheading"/>
            </w:pPr>
            <w:r w:rsidRPr="00503F82">
              <w:t> </w:t>
            </w:r>
          </w:p>
        </w:tc>
        <w:tc>
          <w:tcPr>
            <w:tcW w:w="1319"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57C897CB" w14:textId="77777777" w:rsidR="00375729" w:rsidRPr="00503F82" w:rsidRDefault="00375729" w:rsidP="004919FA">
            <w:pPr>
              <w:pStyle w:val="Tablecellheading"/>
              <w:rPr>
                <w:sz w:val="18"/>
                <w:szCs w:val="18"/>
              </w:rPr>
            </w:pPr>
            <w:r w:rsidRPr="00503F82">
              <w:rPr>
                <w:sz w:val="18"/>
                <w:szCs w:val="18"/>
              </w:rPr>
              <w:t>1989</w:t>
            </w:r>
            <w:r>
              <w:rPr>
                <w:sz w:val="18"/>
                <w:szCs w:val="18"/>
              </w:rPr>
              <w:t>–</w:t>
            </w:r>
            <w:r w:rsidRPr="00503F82">
              <w:rPr>
                <w:sz w:val="18"/>
                <w:szCs w:val="18"/>
              </w:rPr>
              <w:t>90 to 1997</w:t>
            </w:r>
            <w:r>
              <w:rPr>
                <w:sz w:val="18"/>
                <w:szCs w:val="18"/>
              </w:rPr>
              <w:t>–</w:t>
            </w:r>
            <w:r w:rsidRPr="00503F82">
              <w:rPr>
                <w:sz w:val="18"/>
                <w:szCs w:val="18"/>
              </w:rPr>
              <w:t>98</w:t>
            </w:r>
          </w:p>
        </w:tc>
        <w:tc>
          <w:tcPr>
            <w:tcW w:w="13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45742FCC" w14:textId="77777777" w:rsidR="00375729" w:rsidRPr="00503F82" w:rsidRDefault="00375729" w:rsidP="004919FA">
            <w:pPr>
              <w:pStyle w:val="Tablecellheading"/>
              <w:rPr>
                <w:sz w:val="18"/>
                <w:szCs w:val="18"/>
              </w:rPr>
            </w:pPr>
            <w:r w:rsidRPr="00503F82">
              <w:rPr>
                <w:sz w:val="18"/>
                <w:szCs w:val="18"/>
              </w:rPr>
              <w:t>1997</w:t>
            </w:r>
            <w:r>
              <w:rPr>
                <w:sz w:val="18"/>
                <w:szCs w:val="18"/>
              </w:rPr>
              <w:t>–</w:t>
            </w:r>
            <w:r w:rsidRPr="00503F82">
              <w:rPr>
                <w:sz w:val="18"/>
                <w:szCs w:val="18"/>
              </w:rPr>
              <w:t>98 to 2000</w:t>
            </w:r>
            <w:r>
              <w:rPr>
                <w:sz w:val="18"/>
                <w:szCs w:val="18"/>
              </w:rPr>
              <w:t>–</w:t>
            </w:r>
            <w:r w:rsidRPr="00503F82">
              <w:rPr>
                <w:sz w:val="18"/>
                <w:szCs w:val="18"/>
              </w:rPr>
              <w:t>01</w:t>
            </w:r>
          </w:p>
        </w:tc>
        <w:tc>
          <w:tcPr>
            <w:tcW w:w="1320"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155A71EA" w14:textId="77777777" w:rsidR="00375729" w:rsidRPr="00503F82" w:rsidRDefault="00375729" w:rsidP="004919FA">
            <w:pPr>
              <w:pStyle w:val="Tablecellheading"/>
              <w:rPr>
                <w:sz w:val="18"/>
                <w:szCs w:val="18"/>
              </w:rPr>
            </w:pPr>
            <w:r w:rsidRPr="00503F82">
              <w:rPr>
                <w:sz w:val="18"/>
                <w:szCs w:val="18"/>
              </w:rPr>
              <w:t>2000</w:t>
            </w:r>
            <w:r>
              <w:rPr>
                <w:sz w:val="18"/>
                <w:szCs w:val="18"/>
              </w:rPr>
              <w:t>–</w:t>
            </w:r>
            <w:r w:rsidRPr="00503F82">
              <w:rPr>
                <w:sz w:val="18"/>
                <w:szCs w:val="18"/>
              </w:rPr>
              <w:t>01 to 2012</w:t>
            </w:r>
            <w:r>
              <w:rPr>
                <w:sz w:val="18"/>
                <w:szCs w:val="18"/>
              </w:rPr>
              <w:t>–</w:t>
            </w:r>
            <w:r w:rsidRPr="00503F82">
              <w:rPr>
                <w:sz w:val="18"/>
                <w:szCs w:val="18"/>
              </w:rPr>
              <w:t>13</w:t>
            </w:r>
          </w:p>
        </w:tc>
      </w:tr>
      <w:tr w:rsidR="00375729" w:rsidRPr="00503F82" w14:paraId="158016E2" w14:textId="77777777" w:rsidTr="00301886">
        <w:trPr>
          <w:trHeight w:val="330"/>
        </w:trPr>
        <w:tc>
          <w:tcPr>
            <w:tcW w:w="3134" w:type="dxa"/>
            <w:tcBorders>
              <w:top w:val="single" w:sz="4" w:space="0" w:color="auto"/>
              <w:left w:val="single" w:sz="4" w:space="0" w:color="auto"/>
              <w:bottom w:val="nil"/>
              <w:right w:val="single" w:sz="4" w:space="0" w:color="auto"/>
            </w:tcBorders>
            <w:shd w:val="clear" w:color="auto" w:fill="auto"/>
            <w:noWrap/>
            <w:vAlign w:val="bottom"/>
            <w:hideMark/>
          </w:tcPr>
          <w:p w14:paraId="6C0CA7B0" w14:textId="77777777" w:rsidR="00375729" w:rsidRPr="00CF3D6E" w:rsidRDefault="00375729" w:rsidP="004919FA">
            <w:pPr>
              <w:pStyle w:val="Tabletext"/>
            </w:pPr>
            <w:r w:rsidRPr="00CF3D6E">
              <w:t>Capital deepening</w:t>
            </w:r>
          </w:p>
        </w:tc>
        <w:tc>
          <w:tcPr>
            <w:tcW w:w="1319" w:type="dxa"/>
            <w:tcBorders>
              <w:top w:val="single" w:sz="4" w:space="0" w:color="auto"/>
              <w:left w:val="single" w:sz="4" w:space="0" w:color="auto"/>
              <w:bottom w:val="nil"/>
              <w:right w:val="single" w:sz="4" w:space="0" w:color="BFBFBF" w:themeColor="background1" w:themeShade="BF"/>
            </w:tcBorders>
            <w:shd w:val="clear" w:color="auto" w:fill="auto"/>
            <w:noWrap/>
            <w:vAlign w:val="bottom"/>
            <w:hideMark/>
          </w:tcPr>
          <w:p w14:paraId="3C8A0B11" w14:textId="77777777" w:rsidR="00375729" w:rsidRPr="00CF3D6E" w:rsidRDefault="00375729" w:rsidP="004919FA">
            <w:pPr>
              <w:pStyle w:val="Tabletext"/>
            </w:pPr>
            <w:r w:rsidRPr="00CF3D6E">
              <w:t xml:space="preserve">3.8  </w:t>
            </w:r>
            <w:r w:rsidRPr="00CF3D6E">
              <w:rPr>
                <w:sz w:val="18"/>
                <w:szCs w:val="18"/>
              </w:rPr>
              <w:t>(57)</w:t>
            </w:r>
          </w:p>
        </w:tc>
        <w:tc>
          <w:tcPr>
            <w:tcW w:w="1320"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6D75608" w14:textId="77777777" w:rsidR="00375729" w:rsidRPr="00CF3D6E" w:rsidRDefault="00375729" w:rsidP="004919FA">
            <w:pPr>
              <w:pStyle w:val="Tabletext"/>
            </w:pPr>
            <w:r w:rsidRPr="00CF3D6E">
              <w:t>1.7</w:t>
            </w:r>
          </w:p>
        </w:tc>
        <w:tc>
          <w:tcPr>
            <w:tcW w:w="1320" w:type="dxa"/>
            <w:tcBorders>
              <w:top w:val="single" w:sz="4" w:space="0" w:color="auto"/>
              <w:left w:val="single" w:sz="4" w:space="0" w:color="BFBFBF" w:themeColor="background1" w:themeShade="BF"/>
              <w:bottom w:val="nil"/>
              <w:right w:val="single" w:sz="4" w:space="0" w:color="auto"/>
            </w:tcBorders>
            <w:shd w:val="clear" w:color="auto" w:fill="auto"/>
            <w:noWrap/>
            <w:vAlign w:val="bottom"/>
            <w:hideMark/>
          </w:tcPr>
          <w:p w14:paraId="5E0C35FD" w14:textId="77777777" w:rsidR="00375729" w:rsidRPr="00CF3D6E" w:rsidRDefault="00375729" w:rsidP="004919FA">
            <w:pPr>
              <w:pStyle w:val="Tabletext"/>
            </w:pPr>
            <w:r w:rsidRPr="00CF3D6E">
              <w:t>0.4</w:t>
            </w:r>
          </w:p>
        </w:tc>
      </w:tr>
      <w:tr w:rsidR="00375729" w:rsidRPr="00503F82" w14:paraId="21CF0402" w14:textId="77777777" w:rsidTr="00301886">
        <w:trPr>
          <w:trHeight w:val="330"/>
        </w:trPr>
        <w:tc>
          <w:tcPr>
            <w:tcW w:w="3134" w:type="dxa"/>
            <w:tcBorders>
              <w:top w:val="nil"/>
              <w:left w:val="single" w:sz="4" w:space="0" w:color="auto"/>
              <w:bottom w:val="nil"/>
              <w:right w:val="single" w:sz="4" w:space="0" w:color="auto"/>
            </w:tcBorders>
            <w:shd w:val="clear" w:color="auto" w:fill="auto"/>
            <w:noWrap/>
            <w:vAlign w:val="bottom"/>
            <w:hideMark/>
          </w:tcPr>
          <w:p w14:paraId="6DFAAC1F" w14:textId="77777777" w:rsidR="00375729" w:rsidRPr="00503F82" w:rsidRDefault="00375729" w:rsidP="004919FA">
            <w:pPr>
              <w:pStyle w:val="Tabletext"/>
            </w:pPr>
            <w:r w:rsidRPr="00503F82">
              <w:t>ICT capital deepening</w:t>
            </w:r>
          </w:p>
        </w:tc>
        <w:tc>
          <w:tcPr>
            <w:tcW w:w="1319" w:type="dxa"/>
            <w:tcBorders>
              <w:top w:val="nil"/>
              <w:left w:val="single" w:sz="4" w:space="0" w:color="auto"/>
              <w:bottom w:val="nil"/>
              <w:right w:val="single" w:sz="4" w:space="0" w:color="BFBFBF" w:themeColor="background1" w:themeShade="BF"/>
            </w:tcBorders>
            <w:shd w:val="clear" w:color="auto" w:fill="auto"/>
            <w:noWrap/>
            <w:vAlign w:val="bottom"/>
            <w:hideMark/>
          </w:tcPr>
          <w:p w14:paraId="44AA212A" w14:textId="77777777" w:rsidR="00375729" w:rsidRPr="00503F82" w:rsidRDefault="00375729" w:rsidP="004919FA">
            <w:pPr>
              <w:pStyle w:val="Tabletext"/>
            </w:pPr>
            <w:r w:rsidRPr="00503F82">
              <w:t>0.7</w:t>
            </w:r>
            <w:r>
              <w:t xml:space="preserve">  </w:t>
            </w:r>
            <w:r w:rsidRPr="00902B4E">
              <w:rPr>
                <w:sz w:val="18"/>
                <w:szCs w:val="18"/>
              </w:rPr>
              <w:t>(11)</w:t>
            </w:r>
          </w:p>
        </w:tc>
        <w:tc>
          <w:tcPr>
            <w:tcW w:w="13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DC7247E" w14:textId="77777777" w:rsidR="00375729" w:rsidRPr="00503F82" w:rsidRDefault="00375729" w:rsidP="004919FA">
            <w:pPr>
              <w:pStyle w:val="Tabletext"/>
            </w:pPr>
            <w:r w:rsidRPr="00503F82">
              <w:t>1.1</w:t>
            </w:r>
          </w:p>
        </w:tc>
        <w:tc>
          <w:tcPr>
            <w:tcW w:w="1320" w:type="dxa"/>
            <w:tcBorders>
              <w:top w:val="nil"/>
              <w:left w:val="single" w:sz="4" w:space="0" w:color="BFBFBF" w:themeColor="background1" w:themeShade="BF"/>
              <w:bottom w:val="nil"/>
              <w:right w:val="single" w:sz="4" w:space="0" w:color="auto"/>
            </w:tcBorders>
            <w:shd w:val="clear" w:color="auto" w:fill="auto"/>
            <w:noWrap/>
            <w:vAlign w:val="bottom"/>
            <w:hideMark/>
          </w:tcPr>
          <w:p w14:paraId="6BCFE69D" w14:textId="77777777" w:rsidR="00375729" w:rsidRPr="00503F82" w:rsidRDefault="00375729" w:rsidP="004919FA">
            <w:pPr>
              <w:pStyle w:val="Tabletext"/>
            </w:pPr>
            <w:r>
              <w:t xml:space="preserve"> </w:t>
            </w:r>
            <w:r w:rsidRPr="00503F82">
              <w:t>0.5</w:t>
            </w:r>
          </w:p>
        </w:tc>
      </w:tr>
      <w:tr w:rsidR="00375729" w:rsidRPr="00503F82" w14:paraId="24E2255E" w14:textId="77777777" w:rsidTr="00301886">
        <w:trPr>
          <w:trHeight w:val="330"/>
        </w:trPr>
        <w:tc>
          <w:tcPr>
            <w:tcW w:w="3134" w:type="dxa"/>
            <w:tcBorders>
              <w:top w:val="nil"/>
              <w:left w:val="single" w:sz="4" w:space="0" w:color="auto"/>
              <w:bottom w:val="nil"/>
              <w:right w:val="single" w:sz="4" w:space="0" w:color="auto"/>
            </w:tcBorders>
            <w:shd w:val="clear" w:color="auto" w:fill="auto"/>
            <w:noWrap/>
            <w:vAlign w:val="bottom"/>
            <w:hideMark/>
          </w:tcPr>
          <w:p w14:paraId="1DD974A7" w14:textId="77777777" w:rsidR="00375729" w:rsidRPr="00CF3D6E" w:rsidRDefault="0058764D" w:rsidP="004919FA">
            <w:pPr>
              <w:pStyle w:val="Tabletext"/>
              <w:rPr>
                <w:i/>
              </w:rPr>
            </w:pPr>
            <w:r>
              <w:rPr>
                <w:i/>
              </w:rPr>
              <w:t>H</w:t>
            </w:r>
            <w:r w:rsidR="00375729" w:rsidRPr="00CF3D6E">
              <w:rPr>
                <w:i/>
              </w:rPr>
              <w:t>ardware</w:t>
            </w:r>
          </w:p>
        </w:tc>
        <w:tc>
          <w:tcPr>
            <w:tcW w:w="1319" w:type="dxa"/>
            <w:tcBorders>
              <w:top w:val="nil"/>
              <w:left w:val="single" w:sz="4" w:space="0" w:color="auto"/>
              <w:bottom w:val="nil"/>
              <w:right w:val="single" w:sz="4" w:space="0" w:color="BFBFBF" w:themeColor="background1" w:themeShade="BF"/>
            </w:tcBorders>
            <w:shd w:val="clear" w:color="auto" w:fill="auto"/>
            <w:noWrap/>
            <w:vAlign w:val="bottom"/>
            <w:hideMark/>
          </w:tcPr>
          <w:p w14:paraId="3A5CFFCA" w14:textId="77777777" w:rsidR="00375729" w:rsidRPr="00CF3D6E" w:rsidRDefault="00375729" w:rsidP="004919FA">
            <w:pPr>
              <w:pStyle w:val="Tabletext"/>
              <w:rPr>
                <w:i/>
              </w:rPr>
            </w:pPr>
            <w:r w:rsidRPr="00CF3D6E">
              <w:rPr>
                <w:i/>
              </w:rPr>
              <w:t>0.2</w:t>
            </w:r>
          </w:p>
        </w:tc>
        <w:tc>
          <w:tcPr>
            <w:tcW w:w="13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CCDA90C" w14:textId="77777777" w:rsidR="00375729" w:rsidRPr="00CF3D6E" w:rsidRDefault="00375729" w:rsidP="004919FA">
            <w:pPr>
              <w:pStyle w:val="Tabletext"/>
              <w:rPr>
                <w:i/>
              </w:rPr>
            </w:pPr>
            <w:r w:rsidRPr="00CF3D6E">
              <w:rPr>
                <w:i/>
              </w:rPr>
              <w:t>0.7</w:t>
            </w:r>
          </w:p>
        </w:tc>
        <w:tc>
          <w:tcPr>
            <w:tcW w:w="1320" w:type="dxa"/>
            <w:tcBorders>
              <w:top w:val="nil"/>
              <w:left w:val="single" w:sz="4" w:space="0" w:color="BFBFBF" w:themeColor="background1" w:themeShade="BF"/>
              <w:bottom w:val="nil"/>
              <w:right w:val="single" w:sz="4" w:space="0" w:color="auto"/>
            </w:tcBorders>
            <w:shd w:val="clear" w:color="auto" w:fill="auto"/>
            <w:noWrap/>
            <w:vAlign w:val="bottom"/>
            <w:hideMark/>
          </w:tcPr>
          <w:p w14:paraId="18DB01D6" w14:textId="77777777" w:rsidR="00375729" w:rsidRPr="00CF3D6E" w:rsidRDefault="00375729" w:rsidP="004919FA">
            <w:pPr>
              <w:pStyle w:val="Tabletext"/>
              <w:rPr>
                <w:i/>
              </w:rPr>
            </w:pPr>
            <w:r w:rsidRPr="00CF3D6E">
              <w:rPr>
                <w:i/>
              </w:rPr>
              <w:t>0.4</w:t>
            </w:r>
          </w:p>
        </w:tc>
      </w:tr>
      <w:tr w:rsidR="00375729" w:rsidRPr="00503F82" w14:paraId="6EB37CA8" w14:textId="77777777" w:rsidTr="00301886">
        <w:trPr>
          <w:trHeight w:val="330"/>
        </w:trPr>
        <w:tc>
          <w:tcPr>
            <w:tcW w:w="3134" w:type="dxa"/>
            <w:tcBorders>
              <w:top w:val="nil"/>
              <w:left w:val="single" w:sz="4" w:space="0" w:color="auto"/>
              <w:bottom w:val="nil"/>
              <w:right w:val="single" w:sz="4" w:space="0" w:color="auto"/>
            </w:tcBorders>
            <w:shd w:val="clear" w:color="auto" w:fill="auto"/>
            <w:noWrap/>
            <w:vAlign w:val="bottom"/>
            <w:hideMark/>
          </w:tcPr>
          <w:p w14:paraId="12C04A96" w14:textId="77777777" w:rsidR="00375729" w:rsidRPr="00CF3D6E" w:rsidRDefault="0058764D" w:rsidP="004919FA">
            <w:pPr>
              <w:pStyle w:val="Tabletext"/>
              <w:rPr>
                <w:i/>
              </w:rPr>
            </w:pPr>
            <w:r>
              <w:rPr>
                <w:i/>
              </w:rPr>
              <w:t>S</w:t>
            </w:r>
            <w:r w:rsidR="00375729" w:rsidRPr="00CF3D6E">
              <w:rPr>
                <w:i/>
              </w:rPr>
              <w:t>oftware</w:t>
            </w:r>
          </w:p>
        </w:tc>
        <w:tc>
          <w:tcPr>
            <w:tcW w:w="1319" w:type="dxa"/>
            <w:tcBorders>
              <w:top w:val="nil"/>
              <w:left w:val="single" w:sz="4" w:space="0" w:color="auto"/>
              <w:bottom w:val="nil"/>
              <w:right w:val="single" w:sz="4" w:space="0" w:color="BFBFBF" w:themeColor="background1" w:themeShade="BF"/>
            </w:tcBorders>
            <w:shd w:val="clear" w:color="auto" w:fill="auto"/>
            <w:noWrap/>
            <w:vAlign w:val="bottom"/>
            <w:hideMark/>
          </w:tcPr>
          <w:p w14:paraId="75FA223F" w14:textId="77777777" w:rsidR="00375729" w:rsidRPr="00CF3D6E" w:rsidRDefault="00375729" w:rsidP="004919FA">
            <w:pPr>
              <w:pStyle w:val="Tabletext"/>
              <w:rPr>
                <w:i/>
              </w:rPr>
            </w:pPr>
            <w:r w:rsidRPr="00CF3D6E">
              <w:rPr>
                <w:i/>
              </w:rPr>
              <w:t>0.5</w:t>
            </w:r>
          </w:p>
        </w:tc>
        <w:tc>
          <w:tcPr>
            <w:tcW w:w="13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800CF36" w14:textId="77777777" w:rsidR="00375729" w:rsidRPr="00CF3D6E" w:rsidRDefault="00375729" w:rsidP="004919FA">
            <w:pPr>
              <w:pStyle w:val="Tabletext"/>
              <w:rPr>
                <w:i/>
              </w:rPr>
            </w:pPr>
            <w:r w:rsidRPr="00CF3D6E">
              <w:rPr>
                <w:i/>
              </w:rPr>
              <w:t>0.3</w:t>
            </w:r>
          </w:p>
        </w:tc>
        <w:tc>
          <w:tcPr>
            <w:tcW w:w="1320" w:type="dxa"/>
            <w:tcBorders>
              <w:top w:val="nil"/>
              <w:left w:val="single" w:sz="4" w:space="0" w:color="BFBFBF" w:themeColor="background1" w:themeShade="BF"/>
              <w:bottom w:val="nil"/>
              <w:right w:val="single" w:sz="4" w:space="0" w:color="auto"/>
            </w:tcBorders>
            <w:shd w:val="clear" w:color="auto" w:fill="auto"/>
            <w:noWrap/>
            <w:vAlign w:val="bottom"/>
            <w:hideMark/>
          </w:tcPr>
          <w:p w14:paraId="721A1C10" w14:textId="77777777" w:rsidR="00375729" w:rsidRPr="00CF3D6E" w:rsidRDefault="00375729" w:rsidP="004919FA">
            <w:pPr>
              <w:pStyle w:val="Tabletext"/>
              <w:rPr>
                <w:i/>
              </w:rPr>
            </w:pPr>
            <w:r w:rsidRPr="00CF3D6E">
              <w:rPr>
                <w:i/>
              </w:rPr>
              <w:t>0.1</w:t>
            </w:r>
          </w:p>
        </w:tc>
      </w:tr>
      <w:tr w:rsidR="00375729" w:rsidRPr="00503F82" w14:paraId="6088FF34" w14:textId="77777777" w:rsidTr="00301886">
        <w:trPr>
          <w:trHeight w:val="330"/>
        </w:trPr>
        <w:tc>
          <w:tcPr>
            <w:tcW w:w="3134" w:type="dxa"/>
            <w:tcBorders>
              <w:top w:val="nil"/>
              <w:left w:val="single" w:sz="4" w:space="0" w:color="auto"/>
              <w:bottom w:val="nil"/>
              <w:right w:val="single" w:sz="4" w:space="0" w:color="auto"/>
            </w:tcBorders>
            <w:shd w:val="clear" w:color="auto" w:fill="auto"/>
            <w:noWrap/>
            <w:vAlign w:val="bottom"/>
            <w:hideMark/>
          </w:tcPr>
          <w:p w14:paraId="76C23A21" w14:textId="77777777" w:rsidR="00375729" w:rsidRPr="00503F82" w:rsidRDefault="00375729" w:rsidP="004919FA">
            <w:pPr>
              <w:pStyle w:val="Tabletext"/>
            </w:pPr>
            <w:r w:rsidRPr="00503F82">
              <w:t>Non-ICT capital deepening</w:t>
            </w:r>
          </w:p>
        </w:tc>
        <w:tc>
          <w:tcPr>
            <w:tcW w:w="1319" w:type="dxa"/>
            <w:tcBorders>
              <w:top w:val="nil"/>
              <w:left w:val="single" w:sz="4" w:space="0" w:color="auto"/>
              <w:bottom w:val="nil"/>
              <w:right w:val="single" w:sz="4" w:space="0" w:color="BFBFBF" w:themeColor="background1" w:themeShade="BF"/>
            </w:tcBorders>
            <w:shd w:val="clear" w:color="auto" w:fill="auto"/>
            <w:noWrap/>
            <w:vAlign w:val="bottom"/>
            <w:hideMark/>
          </w:tcPr>
          <w:p w14:paraId="143D02FF" w14:textId="77777777" w:rsidR="00375729" w:rsidRPr="00503F82" w:rsidRDefault="00375729" w:rsidP="004919FA">
            <w:pPr>
              <w:pStyle w:val="Tabletext"/>
            </w:pPr>
            <w:r w:rsidRPr="00503F82">
              <w:t>3.0</w:t>
            </w:r>
            <w:r>
              <w:t xml:space="preserve">  </w:t>
            </w:r>
            <w:r w:rsidRPr="00902B4E">
              <w:rPr>
                <w:sz w:val="18"/>
                <w:szCs w:val="18"/>
              </w:rPr>
              <w:t>(46)</w:t>
            </w:r>
          </w:p>
        </w:tc>
        <w:tc>
          <w:tcPr>
            <w:tcW w:w="13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3A89F9F" w14:textId="77777777" w:rsidR="00375729" w:rsidRPr="00503F82" w:rsidRDefault="00375729" w:rsidP="004919FA">
            <w:pPr>
              <w:pStyle w:val="Tabletext"/>
            </w:pPr>
            <w:r w:rsidRPr="00503F82">
              <w:t>0.6</w:t>
            </w:r>
          </w:p>
        </w:tc>
        <w:tc>
          <w:tcPr>
            <w:tcW w:w="1320" w:type="dxa"/>
            <w:tcBorders>
              <w:top w:val="nil"/>
              <w:left w:val="single" w:sz="4" w:space="0" w:color="BFBFBF" w:themeColor="background1" w:themeShade="BF"/>
              <w:bottom w:val="nil"/>
              <w:right w:val="single" w:sz="4" w:space="0" w:color="auto"/>
            </w:tcBorders>
            <w:shd w:val="clear" w:color="auto" w:fill="auto"/>
            <w:noWrap/>
            <w:vAlign w:val="bottom"/>
            <w:hideMark/>
          </w:tcPr>
          <w:p w14:paraId="770045F7" w14:textId="77777777" w:rsidR="00375729" w:rsidRPr="00503F82" w:rsidRDefault="00375729" w:rsidP="004919FA">
            <w:pPr>
              <w:pStyle w:val="Tabletext"/>
            </w:pPr>
            <w:r w:rsidRPr="00503F82">
              <w:t>-0.1</w:t>
            </w:r>
          </w:p>
        </w:tc>
      </w:tr>
      <w:tr w:rsidR="00375729" w:rsidRPr="00503F82" w14:paraId="57515F23" w14:textId="77777777" w:rsidTr="00301886">
        <w:trPr>
          <w:trHeight w:val="330"/>
        </w:trPr>
        <w:tc>
          <w:tcPr>
            <w:tcW w:w="3134" w:type="dxa"/>
            <w:tcBorders>
              <w:top w:val="nil"/>
              <w:left w:val="single" w:sz="4" w:space="0" w:color="auto"/>
              <w:bottom w:val="nil"/>
              <w:right w:val="single" w:sz="4" w:space="0" w:color="auto"/>
            </w:tcBorders>
            <w:shd w:val="clear" w:color="auto" w:fill="auto"/>
            <w:noWrap/>
            <w:vAlign w:val="bottom"/>
            <w:hideMark/>
          </w:tcPr>
          <w:p w14:paraId="02B34C14" w14:textId="77777777" w:rsidR="00375729" w:rsidRPr="00CF3D6E" w:rsidRDefault="00375729" w:rsidP="004919FA">
            <w:pPr>
              <w:pStyle w:val="Tabletext"/>
            </w:pPr>
            <w:r w:rsidRPr="00CF3D6E">
              <w:t>MFP growth</w:t>
            </w:r>
          </w:p>
        </w:tc>
        <w:tc>
          <w:tcPr>
            <w:tcW w:w="1319" w:type="dxa"/>
            <w:tcBorders>
              <w:top w:val="nil"/>
              <w:left w:val="single" w:sz="4" w:space="0" w:color="auto"/>
              <w:bottom w:val="nil"/>
              <w:right w:val="single" w:sz="4" w:space="0" w:color="BFBFBF" w:themeColor="background1" w:themeShade="BF"/>
            </w:tcBorders>
            <w:shd w:val="clear" w:color="auto" w:fill="auto"/>
            <w:noWrap/>
            <w:vAlign w:val="bottom"/>
            <w:hideMark/>
          </w:tcPr>
          <w:p w14:paraId="337A5B1B" w14:textId="77777777" w:rsidR="00375729" w:rsidRPr="00CF3D6E" w:rsidRDefault="00375729" w:rsidP="004919FA">
            <w:pPr>
              <w:pStyle w:val="Tabletext"/>
            </w:pPr>
            <w:r w:rsidRPr="00CF3D6E">
              <w:t xml:space="preserve">2.8  </w:t>
            </w:r>
            <w:r w:rsidRPr="00CF3D6E">
              <w:rPr>
                <w:sz w:val="18"/>
                <w:szCs w:val="18"/>
              </w:rPr>
              <w:t>(43)</w:t>
            </w:r>
          </w:p>
        </w:tc>
        <w:tc>
          <w:tcPr>
            <w:tcW w:w="1320"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805EB5B" w14:textId="77777777" w:rsidR="00375729" w:rsidRPr="00CF3D6E" w:rsidRDefault="00375729" w:rsidP="004919FA">
            <w:pPr>
              <w:pStyle w:val="Tabletext"/>
            </w:pPr>
            <w:r w:rsidRPr="00CF3D6E">
              <w:t>-0.8</w:t>
            </w:r>
          </w:p>
        </w:tc>
        <w:tc>
          <w:tcPr>
            <w:tcW w:w="1320" w:type="dxa"/>
            <w:tcBorders>
              <w:top w:val="nil"/>
              <w:left w:val="single" w:sz="4" w:space="0" w:color="BFBFBF" w:themeColor="background1" w:themeShade="BF"/>
              <w:bottom w:val="nil"/>
              <w:right w:val="single" w:sz="4" w:space="0" w:color="auto"/>
            </w:tcBorders>
            <w:shd w:val="clear" w:color="auto" w:fill="auto"/>
            <w:noWrap/>
            <w:vAlign w:val="bottom"/>
            <w:hideMark/>
          </w:tcPr>
          <w:p w14:paraId="1622FD05" w14:textId="77777777" w:rsidR="00375729" w:rsidRPr="00CF3D6E" w:rsidRDefault="00375729" w:rsidP="004919FA">
            <w:pPr>
              <w:pStyle w:val="Tabletext"/>
            </w:pPr>
            <w:r w:rsidRPr="00CF3D6E">
              <w:t>-3.9</w:t>
            </w:r>
          </w:p>
        </w:tc>
      </w:tr>
      <w:tr w:rsidR="00375729" w:rsidRPr="00503F82" w14:paraId="789D68E1" w14:textId="77777777" w:rsidTr="00301886">
        <w:trPr>
          <w:trHeight w:val="33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67BBB600" w14:textId="77777777" w:rsidR="00375729" w:rsidRPr="00CF3D6E" w:rsidRDefault="00375729" w:rsidP="004919FA">
            <w:pPr>
              <w:pStyle w:val="Tabletext"/>
            </w:pPr>
            <w:r w:rsidRPr="00CF3D6E">
              <w:t>Labour productivity growth</w:t>
            </w:r>
          </w:p>
        </w:tc>
        <w:tc>
          <w:tcPr>
            <w:tcW w:w="1319" w:type="dxa"/>
            <w:tcBorders>
              <w:top w:val="nil"/>
              <w:left w:val="single" w:sz="4" w:space="0" w:color="auto"/>
              <w:bottom w:val="single" w:sz="4" w:space="0" w:color="auto"/>
              <w:right w:val="single" w:sz="4" w:space="0" w:color="BFBFBF" w:themeColor="background1" w:themeShade="BF"/>
            </w:tcBorders>
            <w:shd w:val="clear" w:color="auto" w:fill="auto"/>
            <w:noWrap/>
            <w:vAlign w:val="bottom"/>
            <w:hideMark/>
          </w:tcPr>
          <w:p w14:paraId="27421A9C" w14:textId="77777777" w:rsidR="00375729" w:rsidRPr="00CF3D6E" w:rsidRDefault="00375729" w:rsidP="004919FA">
            <w:pPr>
              <w:pStyle w:val="Tabletext"/>
            </w:pPr>
            <w:r w:rsidRPr="00CF3D6E">
              <w:t xml:space="preserve">6.6 </w:t>
            </w:r>
            <w:r w:rsidRPr="00CF3D6E">
              <w:rPr>
                <w:sz w:val="18"/>
                <w:szCs w:val="18"/>
              </w:rPr>
              <w:t>(100)</w:t>
            </w:r>
          </w:p>
        </w:tc>
        <w:tc>
          <w:tcPr>
            <w:tcW w:w="132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2E0388C6" w14:textId="77777777" w:rsidR="00375729" w:rsidRPr="00CF3D6E" w:rsidRDefault="00375729" w:rsidP="004919FA">
            <w:pPr>
              <w:pStyle w:val="Tabletext"/>
            </w:pPr>
            <w:r w:rsidRPr="00CF3D6E">
              <w:t>0.9</w:t>
            </w:r>
          </w:p>
        </w:tc>
        <w:tc>
          <w:tcPr>
            <w:tcW w:w="1320" w:type="dxa"/>
            <w:tcBorders>
              <w:top w:val="nil"/>
              <w:left w:val="single" w:sz="4" w:space="0" w:color="BFBFBF" w:themeColor="background1" w:themeShade="BF"/>
              <w:bottom w:val="single" w:sz="4" w:space="0" w:color="auto"/>
              <w:right w:val="single" w:sz="4" w:space="0" w:color="auto"/>
            </w:tcBorders>
            <w:shd w:val="clear" w:color="auto" w:fill="auto"/>
            <w:noWrap/>
            <w:vAlign w:val="bottom"/>
            <w:hideMark/>
          </w:tcPr>
          <w:p w14:paraId="58A2CCF3" w14:textId="77777777" w:rsidR="00375729" w:rsidRPr="00CF3D6E" w:rsidRDefault="00375729" w:rsidP="004919FA">
            <w:pPr>
              <w:pStyle w:val="Tabletext"/>
            </w:pPr>
            <w:r w:rsidRPr="00CF3D6E">
              <w:t>-3.5</w:t>
            </w:r>
          </w:p>
        </w:tc>
      </w:tr>
    </w:tbl>
    <w:p w14:paraId="49CD8170" w14:textId="77777777" w:rsidR="00375729" w:rsidRPr="00323930" w:rsidRDefault="00375729" w:rsidP="00012248">
      <w:pPr>
        <w:pStyle w:val="SourceNotes"/>
      </w:pPr>
      <w:r w:rsidRPr="00323930">
        <w:t>Note:</w:t>
      </w:r>
      <w:r>
        <w:t xml:space="preserve"> </w:t>
      </w:r>
      <w:r w:rsidRPr="00323930">
        <w:t>a.</w:t>
      </w:r>
      <w:r>
        <w:t xml:space="preserve"> Figures in brackets refer to percentages of labour productivity growth</w:t>
      </w:r>
      <w:r w:rsidR="00BF1FF9">
        <w:t>. N</w:t>
      </w:r>
      <w:r w:rsidR="00BF1FF9" w:rsidRPr="00CF3D6E">
        <w:t>umbers may not add up due to rounding</w:t>
      </w:r>
      <w:r w:rsidR="00BF1FF9">
        <w:t>.</w:t>
      </w:r>
      <w:r w:rsidRPr="00323930">
        <w:tab/>
      </w:r>
    </w:p>
    <w:p w14:paraId="6BEB8FB5" w14:textId="77777777" w:rsidR="00375729" w:rsidRDefault="00375729" w:rsidP="00012248">
      <w:pPr>
        <w:pStyle w:val="SourceNotes"/>
      </w:pPr>
      <w:r w:rsidRPr="00F07285">
        <w:t>Source: Author estimates</w:t>
      </w:r>
    </w:p>
    <w:p w14:paraId="46F513C8" w14:textId="77777777" w:rsidR="00375729" w:rsidRDefault="00744FC1" w:rsidP="00CF3D6E">
      <w:pPr>
        <w:pStyle w:val="BCRAppendicesSubSubheading"/>
      </w:pPr>
      <w:r>
        <w:t>B.2</w:t>
      </w:r>
      <w:r w:rsidR="00375729">
        <w:t>.2</w:t>
      </w:r>
      <w:r>
        <w:t xml:space="preserve"> </w:t>
      </w:r>
      <w:r w:rsidR="00375729" w:rsidRPr="00B22182">
        <w:t>IT use and skills</w:t>
      </w:r>
    </w:p>
    <w:p w14:paraId="4304B167" w14:textId="77777777" w:rsidR="00375729" w:rsidRPr="00AF78DA" w:rsidRDefault="00375729" w:rsidP="00375729">
      <w:r w:rsidRPr="00AF78DA">
        <w:t>Average skill increased by 9 per cent over the period reviewed with most of that increase coming in the 1990s. The average crept up to a peak increase of nearly 11 per cent in 2005–06 before slipping back. There was a moderate degree of correlation (coefficient of 0.56) with IT capital.</w:t>
      </w:r>
    </w:p>
    <w:p w14:paraId="26169CC7" w14:textId="77777777" w:rsidR="00375729" w:rsidRPr="009B02C8" w:rsidRDefault="00744FC1" w:rsidP="00CF3D6E">
      <w:pPr>
        <w:pStyle w:val="BCRAppendicesSubheading"/>
      </w:pPr>
      <w:r>
        <w:t xml:space="preserve">B.3 </w:t>
      </w:r>
      <w:r w:rsidR="00375729">
        <w:t>IT, asset use</w:t>
      </w:r>
      <w:r w:rsidR="008C5217">
        <w:t>,</w:t>
      </w:r>
      <w:r w:rsidR="00375729">
        <w:t xml:space="preserve"> and capital productivity</w:t>
      </w:r>
    </w:p>
    <w:p w14:paraId="4C894866" w14:textId="77777777" w:rsidR="00375729" w:rsidRPr="00AF78DA" w:rsidRDefault="00375729" w:rsidP="00375729">
      <w:pPr>
        <w:pStyle w:val="BodyTextNoIndent"/>
      </w:pPr>
      <w:r w:rsidRPr="00AF78DA">
        <w:t xml:space="preserve">The productivity of total capital and of non-IT capital is shown in </w:t>
      </w:r>
      <w:r w:rsidR="008C5217" w:rsidRPr="008C5217">
        <w:t>Figure B7</w:t>
      </w:r>
      <w:r w:rsidRPr="00AF78DA">
        <w:t xml:space="preserve">. </w:t>
      </w:r>
    </w:p>
    <w:p w14:paraId="49AB3D2E" w14:textId="77777777" w:rsidR="00375729" w:rsidRPr="00AF78DA" w:rsidRDefault="00375729" w:rsidP="00375729">
      <w:pPr>
        <w:pStyle w:val="BodyTextNoIndent"/>
      </w:pPr>
      <w:r w:rsidRPr="00AF78DA">
        <w:t xml:space="preserve">Non-IT capital productivity can be divided into two contrasting periods. It grew 13 per cent over the nine years (1.3 per cent a year) up until 1998–99, but then declined by 35 per cent over the next 15 years (-2.8 per cent a year). </w:t>
      </w:r>
      <w:r w:rsidR="00014393">
        <w:t>W</w:t>
      </w:r>
      <w:r w:rsidRPr="00AF78DA">
        <w:t>hile there was correlation with growth in the IT stock in the first period, there was negative correlation in the second period.</w:t>
      </w:r>
    </w:p>
    <w:p w14:paraId="4956FC88" w14:textId="77777777" w:rsidR="00375729" w:rsidRDefault="00375729" w:rsidP="004919FA">
      <w:pPr>
        <w:pStyle w:val="Figurecaption"/>
      </w:pPr>
      <w:r>
        <w:t xml:space="preserve">Figure </w:t>
      </w:r>
      <w:r w:rsidR="008C5217">
        <w:t>B7</w:t>
      </w:r>
      <w:r>
        <w:t>: Capital productivity of all assets and non-IT assets in EGWWS (index, 2012–13</w:t>
      </w:r>
      <w:r w:rsidR="006A530A">
        <w:t xml:space="preserve"> = </w:t>
      </w:r>
      <w:r>
        <w:t>100)</w:t>
      </w:r>
    </w:p>
    <w:p w14:paraId="2922B9AF" w14:textId="41D62AB4" w:rsidR="00375729" w:rsidRDefault="004919FA" w:rsidP="00375729">
      <w:pPr>
        <w:spacing w:after="60"/>
        <w:rPr>
          <w:noProof/>
          <w:lang w:eastAsia="en-AU"/>
        </w:rPr>
      </w:pPr>
      <w:r>
        <w:rPr>
          <w:noProof/>
          <w:lang w:eastAsia="en-AU"/>
        </w:rPr>
        <w:drawing>
          <wp:inline distT="0" distB="0" distL="0" distR="0" wp14:anchorId="18985668" wp14:editId="2C4A84D2">
            <wp:extent cx="4584700" cy="2773680"/>
            <wp:effectExtent l="0" t="0" r="6350" b="762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773680"/>
                    </a:xfrm>
                    <a:prstGeom prst="rect">
                      <a:avLst/>
                    </a:prstGeom>
                    <a:noFill/>
                  </pic:spPr>
                </pic:pic>
              </a:graphicData>
            </a:graphic>
          </wp:inline>
        </w:drawing>
      </w:r>
    </w:p>
    <w:p w14:paraId="343A44F8" w14:textId="77777777" w:rsidR="00375729" w:rsidRDefault="00375729" w:rsidP="00012248">
      <w:pPr>
        <w:pStyle w:val="SourceNotes"/>
      </w:pPr>
      <w:r w:rsidRPr="00323930">
        <w:t>Source:</w:t>
      </w:r>
      <w:r>
        <w:t xml:space="preserve"> </w:t>
      </w:r>
      <w:r w:rsidRPr="00323930">
        <w:t>Author estimates</w:t>
      </w:r>
    </w:p>
    <w:p w14:paraId="3A74A221" w14:textId="77777777" w:rsidR="00375729" w:rsidRPr="00AF78DA" w:rsidRDefault="00375729" w:rsidP="00375729">
      <w:pPr>
        <w:pStyle w:val="BodyTextNoIndent"/>
      </w:pPr>
      <w:r w:rsidRPr="00AF78DA">
        <w:t>The major non-IT assets in EGWWS are: structures (61 per cent of capital income)</w:t>
      </w:r>
      <w:r w:rsidR="006139F5">
        <w:rPr>
          <w:rStyle w:val="EndnoteReference"/>
        </w:rPr>
        <w:endnoteReference w:id="19"/>
      </w:r>
      <w:r w:rsidRPr="00AF78DA">
        <w:t>, land (9</w:t>
      </w:r>
      <w:r w:rsidR="00AF7211">
        <w:t> </w:t>
      </w:r>
      <w:r w:rsidRPr="00AF78DA">
        <w:t>per</w:t>
      </w:r>
      <w:r w:rsidR="00AF7211">
        <w:t> </w:t>
      </w:r>
      <w:r w:rsidRPr="00AF78DA">
        <w:t>cent), electrical and electronic equipment (7 per cent) and other plant and equipment (6</w:t>
      </w:r>
      <w:r w:rsidR="000D5283">
        <w:t> </w:t>
      </w:r>
      <w:r w:rsidRPr="00AF78DA">
        <w:t>per</w:t>
      </w:r>
      <w:r w:rsidR="000D5283">
        <w:t> </w:t>
      </w:r>
      <w:r w:rsidRPr="00AF78DA">
        <w:t>cent).</w:t>
      </w:r>
    </w:p>
    <w:p w14:paraId="277CA322" w14:textId="77777777" w:rsidR="00375729" w:rsidRPr="00AF78DA" w:rsidRDefault="00375729" w:rsidP="00375729">
      <w:pPr>
        <w:pStyle w:val="BodyTextNoIndent"/>
      </w:pPr>
      <w:r w:rsidRPr="00AF78DA">
        <w:t>The productivity of these major assets improved over at least part of the period (</w:t>
      </w:r>
      <w:r w:rsidR="008C5217" w:rsidRPr="008C5217">
        <w:t>Figure B8</w:t>
      </w:r>
      <w:r w:rsidRPr="00AF78DA">
        <w:t xml:space="preserve">). Changes from 1989–90 to 2000–01 were: </w:t>
      </w:r>
    </w:p>
    <w:p w14:paraId="738B0C57" w14:textId="77777777" w:rsidR="00375729" w:rsidRDefault="00375729" w:rsidP="004919FA">
      <w:pPr>
        <w:pStyle w:val="Bodybullet-Level1"/>
      </w:pPr>
      <w:r>
        <w:t>structures</w:t>
      </w:r>
      <w:r>
        <w:softHyphen/>
        <w:t>: 10 per cent</w:t>
      </w:r>
    </w:p>
    <w:p w14:paraId="38656044" w14:textId="77777777" w:rsidR="00375729" w:rsidRDefault="00375729" w:rsidP="004919FA">
      <w:pPr>
        <w:pStyle w:val="Bodybullet-Level1"/>
      </w:pPr>
      <w:r>
        <w:t>land: 17 per cent</w:t>
      </w:r>
    </w:p>
    <w:p w14:paraId="242AD185" w14:textId="77777777" w:rsidR="00375729" w:rsidRDefault="00375729" w:rsidP="004919FA">
      <w:pPr>
        <w:pStyle w:val="Bodybullet-Level1"/>
      </w:pPr>
      <w:r>
        <w:t>electrical and electronic equipment: -13 per cent</w:t>
      </w:r>
      <w:r w:rsidR="00014393">
        <w:t>, and</w:t>
      </w:r>
    </w:p>
    <w:p w14:paraId="19B4935E" w14:textId="77777777" w:rsidR="00375729" w:rsidRDefault="00375729" w:rsidP="004919FA">
      <w:pPr>
        <w:pStyle w:val="Bodybullet-Level1"/>
      </w:pPr>
      <w:r>
        <w:t>other plant and equipment: 75 per cent.</w:t>
      </w:r>
    </w:p>
    <w:p w14:paraId="3F862B88" w14:textId="77777777" w:rsidR="00375729" w:rsidRDefault="00375729" w:rsidP="004919FA">
      <w:pPr>
        <w:pStyle w:val="Figurecaption"/>
      </w:pPr>
      <w:r>
        <w:t xml:space="preserve">Figure </w:t>
      </w:r>
      <w:r w:rsidR="008C5217">
        <w:t>B8</w:t>
      </w:r>
      <w:r>
        <w:t>: Asset productivity—the ratio of value added</w:t>
      </w:r>
      <w:r w:rsidR="00A5254D">
        <w:rPr>
          <w:vertAlign w:val="superscript"/>
        </w:rPr>
        <w:t xml:space="preserve">a </w:t>
      </w:r>
      <w:r>
        <w:t xml:space="preserve"> to use of selected assets in EGWWS</w:t>
      </w:r>
    </w:p>
    <w:p w14:paraId="1940C498" w14:textId="376F8162" w:rsidR="00375729" w:rsidRDefault="004919FA" w:rsidP="00375729">
      <w:pPr>
        <w:spacing w:after="60"/>
        <w:rPr>
          <w:noProof/>
          <w:lang w:eastAsia="en-AU"/>
        </w:rPr>
      </w:pPr>
      <w:r>
        <w:rPr>
          <w:noProof/>
          <w:lang w:eastAsia="en-AU"/>
        </w:rPr>
        <w:drawing>
          <wp:inline distT="0" distB="0" distL="0" distR="0" wp14:anchorId="3865AC54" wp14:editId="5F721A80">
            <wp:extent cx="4572635" cy="27432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4C2B9EF" w14:textId="77777777" w:rsidR="00A5254D" w:rsidRPr="00CF3D6E" w:rsidRDefault="00375729" w:rsidP="00012248">
      <w:pPr>
        <w:pStyle w:val="SourceNotes"/>
      </w:pPr>
      <w:r w:rsidRPr="00323930">
        <w:t>Source:</w:t>
      </w:r>
      <w:r>
        <w:t xml:space="preserve"> </w:t>
      </w:r>
      <w:r w:rsidRPr="00323930">
        <w:t>Author estimates</w:t>
      </w:r>
      <w:r w:rsidR="00A5254D">
        <w:t xml:space="preserve">. </w:t>
      </w:r>
      <w:r w:rsidR="00A06DA4">
        <w:br/>
      </w:r>
      <w:r w:rsidR="00A5254D" w:rsidRPr="00ED25DE">
        <w:rPr>
          <w:vertAlign w:val="superscript"/>
        </w:rPr>
        <w:t xml:space="preserve">a </w:t>
      </w:r>
      <w:r w:rsidR="00A5254D" w:rsidRPr="00ED25DE">
        <w:t xml:space="preserve">Value added </w:t>
      </w:r>
      <w:r w:rsidR="00A5254D" w:rsidRPr="00A94483">
        <w:t>refers to output measure</w:t>
      </w:r>
      <w:r w:rsidR="00A5254D" w:rsidRPr="00EE3628">
        <w:t xml:space="preserve">, which explains how capital productivity is derived. </w:t>
      </w:r>
    </w:p>
    <w:p w14:paraId="1D63E0F1" w14:textId="77777777" w:rsidR="00375729" w:rsidRDefault="005375FF" w:rsidP="00CF3D6E">
      <w:pPr>
        <w:pStyle w:val="BCRAppendicesSubheading"/>
      </w:pPr>
      <w:r>
        <w:t xml:space="preserve">B.4 </w:t>
      </w:r>
      <w:r w:rsidR="00375729">
        <w:t>Use of intermediates</w:t>
      </w:r>
    </w:p>
    <w:p w14:paraId="1BB92C3C" w14:textId="77777777" w:rsidR="00375729" w:rsidRPr="00AF78DA" w:rsidRDefault="00375729" w:rsidP="00375729">
      <w:pPr>
        <w:pStyle w:val="BodyTextNoIndent"/>
      </w:pPr>
      <w:r w:rsidRPr="00AF78DA">
        <w:t>Intermediate inputs are purchased materials, energy and services, used as inputs to production. In the case of intermediate input use, productivity is determined with reference to the gross output rather than the value added measure of output.</w:t>
      </w:r>
    </w:p>
    <w:p w14:paraId="29E2B37E" w14:textId="77777777" w:rsidR="00375729" w:rsidRPr="00AF78DA" w:rsidRDefault="00375729" w:rsidP="00375729">
      <w:pPr>
        <w:pStyle w:val="BodyTextNoIndent"/>
      </w:pPr>
      <w:r w:rsidRPr="00AF78DA">
        <w:t>The productivity of intermediates increased 4 per cent over the entire period (</w:t>
      </w:r>
      <w:r w:rsidR="008C5217" w:rsidRPr="008C5217">
        <w:t>Figure B9</w:t>
      </w:r>
      <w:r w:rsidRPr="00AF78DA">
        <w:t xml:space="preserve">). </w:t>
      </w:r>
    </w:p>
    <w:p w14:paraId="790CBD5D" w14:textId="77777777" w:rsidR="00375729" w:rsidRDefault="00375729" w:rsidP="004919FA">
      <w:pPr>
        <w:pStyle w:val="Figurecaption"/>
      </w:pPr>
      <w:r>
        <w:t xml:space="preserve">Figure </w:t>
      </w:r>
      <w:r w:rsidR="008C5217">
        <w:t>B9</w:t>
      </w:r>
      <w:r>
        <w:t>: Gross output, intermediate input use and intermediate input productivity in EGWWS (index, 2012–13</w:t>
      </w:r>
      <w:r w:rsidR="006A530A">
        <w:t xml:space="preserve"> = </w:t>
      </w:r>
      <w:r>
        <w:t>100)</w:t>
      </w:r>
    </w:p>
    <w:p w14:paraId="78C99BC2" w14:textId="251074A6" w:rsidR="00375729" w:rsidRDefault="004919FA" w:rsidP="00375729">
      <w:pPr>
        <w:spacing w:after="60"/>
        <w:rPr>
          <w:noProof/>
          <w:lang w:eastAsia="en-AU"/>
        </w:rPr>
      </w:pPr>
      <w:r>
        <w:rPr>
          <w:noProof/>
          <w:lang w:eastAsia="en-AU"/>
        </w:rPr>
        <w:drawing>
          <wp:inline distT="0" distB="0" distL="0" distR="0" wp14:anchorId="09A0953E" wp14:editId="7DF1171B">
            <wp:extent cx="4730750" cy="2529840"/>
            <wp:effectExtent l="0" t="0" r="0" b="381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30750" cy="2529840"/>
                    </a:xfrm>
                    <a:prstGeom prst="rect">
                      <a:avLst/>
                    </a:prstGeom>
                    <a:noFill/>
                  </pic:spPr>
                </pic:pic>
              </a:graphicData>
            </a:graphic>
          </wp:inline>
        </w:drawing>
      </w:r>
    </w:p>
    <w:p w14:paraId="69694ECB" w14:textId="77777777" w:rsidR="00375729" w:rsidRDefault="00375729" w:rsidP="00012248">
      <w:pPr>
        <w:pStyle w:val="SourceNotes"/>
      </w:pPr>
      <w:r w:rsidRPr="00323930">
        <w:t>Source:</w:t>
      </w:r>
      <w:r>
        <w:t xml:space="preserve"> </w:t>
      </w:r>
      <w:r w:rsidRPr="00323930">
        <w:t>Author estimates</w:t>
      </w:r>
    </w:p>
    <w:p w14:paraId="0800C28D" w14:textId="77777777" w:rsidR="00375729" w:rsidRDefault="005375FF" w:rsidP="00CF3D6E">
      <w:pPr>
        <w:pStyle w:val="BCRAppendicesSubheading"/>
      </w:pPr>
      <w:r>
        <w:t xml:space="preserve">B.5 </w:t>
      </w:r>
      <w:r w:rsidR="00375729">
        <w:t>MFP growth</w:t>
      </w:r>
    </w:p>
    <w:p w14:paraId="203457EB" w14:textId="77777777" w:rsidR="00375729" w:rsidRDefault="00375729" w:rsidP="00375729">
      <w:pPr>
        <w:pStyle w:val="BodyTextNoIndent"/>
      </w:pPr>
      <w:r>
        <w:t>The association between IT and MFP was examined in the context of MFP cycles (</w:t>
      </w:r>
      <w:r w:rsidR="009E3F79" w:rsidRPr="009E3F79">
        <w:t>Figure B10</w:t>
      </w:r>
      <w:r>
        <w:t xml:space="preserve">). As with labour productivity, MFP peaks occurred in 1997–98, 2000–01 and 2012–13. A peak in 1990–91 was also imposed in order to analyse the 1990s. </w:t>
      </w:r>
    </w:p>
    <w:p w14:paraId="131D8ACC" w14:textId="77777777" w:rsidR="00375729" w:rsidRDefault="00375729" w:rsidP="004919FA">
      <w:pPr>
        <w:pStyle w:val="Figurecaption"/>
      </w:pPr>
      <w:r>
        <w:t xml:space="preserve">Figure </w:t>
      </w:r>
      <w:r w:rsidR="009E3F79">
        <w:t>B10</w:t>
      </w:r>
      <w:r>
        <w:t>: Actual and trend MFP in EGWWS</w:t>
      </w:r>
      <w:r w:rsidRPr="0005FAC6">
        <w:rPr>
          <w:vertAlign w:val="superscript"/>
        </w:rPr>
        <w:t>a</w:t>
      </w:r>
      <w:r>
        <w:t xml:space="preserve"> (index, actual 2012–13</w:t>
      </w:r>
      <w:r w:rsidR="006A530A">
        <w:t xml:space="preserve"> = </w:t>
      </w:r>
      <w:r>
        <w:t>100)</w:t>
      </w:r>
    </w:p>
    <w:p w14:paraId="6F625EF7" w14:textId="006B891C" w:rsidR="00375729" w:rsidRDefault="004919FA" w:rsidP="00375729">
      <w:pPr>
        <w:spacing w:after="60"/>
      </w:pPr>
      <w:r>
        <w:rPr>
          <w:noProof/>
          <w:lang w:eastAsia="en-AU"/>
        </w:rPr>
        <w:drawing>
          <wp:inline distT="0" distB="0" distL="0" distR="0" wp14:anchorId="03EACC30" wp14:editId="79670659">
            <wp:extent cx="4572635" cy="27432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BE2260A" w14:textId="77777777" w:rsidR="00375729" w:rsidRPr="00323930" w:rsidRDefault="00375729" w:rsidP="00012248">
      <w:pPr>
        <w:pStyle w:val="SourceNotes"/>
      </w:pPr>
      <w:r w:rsidRPr="00323930">
        <w:t>Note:</w:t>
      </w:r>
      <w:r>
        <w:t xml:space="preserve"> </w:t>
      </w:r>
      <w:r w:rsidRPr="00323930">
        <w:t>a.</w:t>
      </w:r>
      <w:r>
        <w:t xml:space="preserve"> </w:t>
      </w:r>
      <w:r w:rsidRPr="00323930">
        <w:t>Trend series formed with a Hodrick-Prescott filter λ</w:t>
      </w:r>
      <w:r w:rsidR="006A530A">
        <w:t xml:space="preserve"> = </w:t>
      </w:r>
      <w:r w:rsidRPr="00323930">
        <w:t>100</w:t>
      </w:r>
      <w:r w:rsidRPr="00323930">
        <w:tab/>
      </w:r>
    </w:p>
    <w:p w14:paraId="1DDA0E4C" w14:textId="77777777" w:rsidR="00375729" w:rsidRDefault="00375729" w:rsidP="00012248">
      <w:pPr>
        <w:pStyle w:val="SourceNotes"/>
      </w:pPr>
      <w:r w:rsidRPr="00323930">
        <w:t>Source:</w:t>
      </w:r>
      <w:r>
        <w:t xml:space="preserve"> </w:t>
      </w:r>
      <w:r w:rsidRPr="00323930">
        <w:t>ABS Cat. No. 5260.0.55.002 and author estimates</w:t>
      </w:r>
    </w:p>
    <w:p w14:paraId="51634A15" w14:textId="77777777" w:rsidR="00375729" w:rsidRPr="00AF78DA" w:rsidRDefault="009E3F79" w:rsidP="00375729">
      <w:pPr>
        <w:pStyle w:val="BodyTextNoIndent"/>
      </w:pPr>
      <w:r w:rsidRPr="009E3F79">
        <w:t>Table B2</w:t>
      </w:r>
      <w:r w:rsidR="00375729" w:rsidRPr="00AF78DA">
        <w:t xml:space="preserve"> shows the MFP growth accounting. The labour productivity growth contribution plus the capital productivity contribution equals the MFP growth presented in the bottom row.</w:t>
      </w:r>
    </w:p>
    <w:p w14:paraId="691DE49D" w14:textId="77777777" w:rsidR="00375729" w:rsidRDefault="00375729" w:rsidP="00375729">
      <w:pPr>
        <w:pStyle w:val="BodyTextNoIndent"/>
      </w:pPr>
      <w:r w:rsidRPr="00AF78DA">
        <w:t xml:space="preserve">The IT contribution through IT capital deepening and LP growth was 0.2 to 0.3 of a percentage point. There may have been </w:t>
      </w:r>
      <w:r w:rsidR="00CA73F7">
        <w:t>a</w:t>
      </w:r>
      <w:r w:rsidRPr="00AF78DA">
        <w:t xml:space="preserve"> link between IT use and improvements in productivity in the 1990s.</w:t>
      </w:r>
      <w:r>
        <w:br/>
      </w:r>
    </w:p>
    <w:p w14:paraId="3AD844D6" w14:textId="77777777" w:rsidR="00375729" w:rsidRDefault="00375729" w:rsidP="00012248">
      <w:pPr>
        <w:pStyle w:val="BodyText"/>
      </w:pPr>
      <w:r>
        <w:br w:type="page"/>
      </w:r>
    </w:p>
    <w:p w14:paraId="15D58B81" w14:textId="77777777" w:rsidR="00375729" w:rsidRPr="007A0E07" w:rsidRDefault="00375729" w:rsidP="00375729">
      <w:pPr>
        <w:pStyle w:val="BodyTextNoIndent"/>
      </w:pPr>
      <w:r w:rsidRPr="00CA01D0">
        <w:rPr>
          <w:rFonts w:ascii="Cambria" w:eastAsiaTheme="majorEastAsia" w:hAnsi="Cambria" w:cstheme="majorBidi"/>
          <w:bCs/>
          <w:iCs/>
          <w:color w:val="5F5F5F" w:themeColor="text2"/>
          <w:sz w:val="26"/>
          <w:szCs w:val="26"/>
        </w:rPr>
        <w:fldChar w:fldCharType="begin"/>
      </w:r>
      <w:r w:rsidRPr="00CA01D0">
        <w:rPr>
          <w:rFonts w:ascii="Cambria" w:eastAsiaTheme="majorEastAsia" w:hAnsi="Cambria" w:cstheme="majorBidi"/>
          <w:bCs/>
          <w:iCs/>
          <w:color w:val="5F5F5F" w:themeColor="text2"/>
          <w:sz w:val="26"/>
          <w:szCs w:val="26"/>
        </w:rPr>
        <w:instrText xml:space="preserve"> LINK Excel.Sheet.12 "\\\\dept.gov.au\\DFS\\Home\\DParham\\Desktop\\Docs\\1. GA project\\Retail trade\\Retail workbook 150709.xlsx" MFP!R134C28:R144C33 \a \f 4 \h  \* MERGEFORMAT </w:instrText>
      </w:r>
      <w:r w:rsidRPr="00CA01D0">
        <w:rPr>
          <w:rFonts w:ascii="Cambria" w:eastAsiaTheme="majorEastAsia" w:hAnsi="Cambria" w:cstheme="majorBidi"/>
          <w:bCs/>
          <w:iCs/>
          <w:color w:val="5F5F5F" w:themeColor="text2"/>
          <w:sz w:val="26"/>
          <w:szCs w:val="26"/>
        </w:rPr>
        <w:fldChar w:fldCharType="separate"/>
      </w:r>
    </w:p>
    <w:p w14:paraId="3C558B76" w14:textId="77777777" w:rsidR="00375729" w:rsidRDefault="00375729" w:rsidP="004919FA">
      <w:pPr>
        <w:pStyle w:val="Tablecaption"/>
      </w:pPr>
      <w:r w:rsidRPr="00CA01D0">
        <w:t xml:space="preserve">Table </w:t>
      </w:r>
      <w:r w:rsidR="009E3F79">
        <w:t>B2</w:t>
      </w:r>
      <w:r w:rsidRPr="00CA01D0">
        <w:t>: Multifactor productivity growth accounting over MFP cycles in EGWWS</w:t>
      </w:r>
      <w:r w:rsidRPr="00CA01D0">
        <w:fldChar w:fldCharType="end"/>
      </w:r>
      <w:r>
        <w:rPr>
          <w:iCs/>
        </w:rPr>
        <w:fldChar w:fldCharType="begin"/>
      </w:r>
      <w:r>
        <w:instrText xml:space="preserve"> LINK Excel.Sheet.12 "\\\\dept.gov.au\\DFS\\Home\\dparham\\Desktop\\Docs\\1. GA project\\Industry studies\\Transport\\Transport workbook 150917.xlsx" "MFP!R129C28:R139C32" \a \f 4 \h  \* MERGEFORMAT </w:instrText>
      </w:r>
      <w:r>
        <w:rPr>
          <w:iCs/>
        </w:rPr>
        <w:fldChar w:fldCharType="separate"/>
      </w:r>
    </w:p>
    <w:tbl>
      <w:tblPr>
        <w:tblW w:w="90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48"/>
        <w:gridCol w:w="1701"/>
        <w:gridCol w:w="1559"/>
        <w:gridCol w:w="1559"/>
      </w:tblGrid>
      <w:tr w:rsidR="00375729" w:rsidRPr="00354AFE" w14:paraId="2A088467" w14:textId="77777777" w:rsidTr="00CF3D6E">
        <w:trPr>
          <w:trHeight w:val="495"/>
        </w:trPr>
        <w:tc>
          <w:tcPr>
            <w:tcW w:w="4248" w:type="dxa"/>
            <w:tcBorders>
              <w:top w:val="single" w:sz="4" w:space="0" w:color="auto"/>
              <w:bottom w:val="single" w:sz="4" w:space="0" w:color="auto"/>
              <w:right w:val="single" w:sz="4" w:space="0" w:color="auto"/>
            </w:tcBorders>
            <w:shd w:val="clear" w:color="auto" w:fill="auto"/>
            <w:noWrap/>
            <w:vAlign w:val="bottom"/>
            <w:hideMark/>
          </w:tcPr>
          <w:p w14:paraId="38D3FF2A" w14:textId="77777777" w:rsidR="00375729" w:rsidRPr="00E86E42" w:rsidRDefault="00375729" w:rsidP="004919FA">
            <w:pPr>
              <w:pStyle w:val="Tablecellheading"/>
            </w:pPr>
            <w:r w:rsidRPr="00E86E42">
              <w:t> </w:t>
            </w:r>
          </w:p>
        </w:tc>
        <w:tc>
          <w:tcPr>
            <w:tcW w:w="170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37F0CB2B" w14:textId="77777777" w:rsidR="00375729" w:rsidRPr="00E86E42" w:rsidRDefault="00375729" w:rsidP="004919FA">
            <w:pPr>
              <w:pStyle w:val="Tablecellheading"/>
            </w:pPr>
            <w:r w:rsidRPr="00E86E42">
              <w:t>1990–91 to 1997–98</w:t>
            </w:r>
          </w:p>
        </w:tc>
        <w:tc>
          <w:tcPr>
            <w:tcW w:w="155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2BAF1374" w14:textId="77777777" w:rsidR="00375729" w:rsidRPr="00E86E42" w:rsidRDefault="00375729" w:rsidP="004919FA">
            <w:pPr>
              <w:pStyle w:val="Tablecellheading"/>
            </w:pPr>
            <w:r w:rsidRPr="00E86E42">
              <w:t>1997–98 to 2000–01</w:t>
            </w:r>
          </w:p>
        </w:tc>
        <w:tc>
          <w:tcPr>
            <w:tcW w:w="1559" w:type="dxa"/>
            <w:tcBorders>
              <w:top w:val="single" w:sz="4" w:space="0" w:color="auto"/>
              <w:left w:val="single" w:sz="4" w:space="0" w:color="BFBFBF" w:themeColor="background1" w:themeShade="BF"/>
              <w:bottom w:val="single" w:sz="4" w:space="0" w:color="auto"/>
            </w:tcBorders>
            <w:shd w:val="clear" w:color="auto" w:fill="auto"/>
            <w:vAlign w:val="bottom"/>
            <w:hideMark/>
          </w:tcPr>
          <w:p w14:paraId="768A1304" w14:textId="77777777" w:rsidR="00375729" w:rsidRPr="00E86E42" w:rsidRDefault="00375729" w:rsidP="004919FA">
            <w:pPr>
              <w:pStyle w:val="Tablecellheading"/>
            </w:pPr>
            <w:r w:rsidRPr="00E86E42">
              <w:t>2000–01 to 2012–13</w:t>
            </w:r>
          </w:p>
        </w:tc>
      </w:tr>
      <w:tr w:rsidR="00375729" w:rsidRPr="00354AFE" w14:paraId="4A833919" w14:textId="77777777" w:rsidTr="00CF3D6E">
        <w:trPr>
          <w:trHeight w:val="300"/>
        </w:trPr>
        <w:tc>
          <w:tcPr>
            <w:tcW w:w="4248" w:type="dxa"/>
            <w:tcBorders>
              <w:top w:val="single" w:sz="4" w:space="0" w:color="auto"/>
              <w:bottom w:val="nil"/>
              <w:right w:val="single" w:sz="4" w:space="0" w:color="auto"/>
            </w:tcBorders>
            <w:shd w:val="clear" w:color="auto" w:fill="auto"/>
            <w:noWrap/>
            <w:vAlign w:val="center"/>
            <w:hideMark/>
          </w:tcPr>
          <w:p w14:paraId="23CC3850" w14:textId="77777777" w:rsidR="00375729" w:rsidRPr="00CF3D6E" w:rsidRDefault="00375729" w:rsidP="004919FA">
            <w:pPr>
              <w:pStyle w:val="Tablecellsub-heading"/>
            </w:pPr>
            <w:r w:rsidRPr="00CF3D6E">
              <w:t>LP growth contribution (pp)</w:t>
            </w:r>
          </w:p>
        </w:tc>
        <w:tc>
          <w:tcPr>
            <w:tcW w:w="1701" w:type="dxa"/>
            <w:tcBorders>
              <w:top w:val="single" w:sz="4" w:space="0" w:color="auto"/>
              <w:left w:val="single" w:sz="4" w:space="0" w:color="auto"/>
              <w:right w:val="single" w:sz="4" w:space="0" w:color="BFBFBF" w:themeColor="background1" w:themeShade="BF"/>
            </w:tcBorders>
            <w:shd w:val="clear" w:color="auto" w:fill="auto"/>
            <w:noWrap/>
            <w:vAlign w:val="center"/>
            <w:hideMark/>
          </w:tcPr>
          <w:p w14:paraId="6C99272E" w14:textId="77777777" w:rsidR="00375729" w:rsidRPr="00CF3D6E" w:rsidRDefault="00375729" w:rsidP="004919FA">
            <w:pPr>
              <w:pStyle w:val="Tabletext"/>
            </w:pPr>
            <w:r w:rsidRPr="00CF3D6E">
              <w:t>2.4</w:t>
            </w:r>
          </w:p>
        </w:tc>
        <w:tc>
          <w:tcPr>
            <w:tcW w:w="1559"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4A8112E9" w14:textId="77777777" w:rsidR="00375729" w:rsidRPr="00CF3D6E" w:rsidRDefault="00375729" w:rsidP="004919FA">
            <w:pPr>
              <w:pStyle w:val="Tabletext"/>
            </w:pPr>
            <w:r w:rsidRPr="00CF3D6E">
              <w:t>0.3</w:t>
            </w:r>
          </w:p>
        </w:tc>
        <w:tc>
          <w:tcPr>
            <w:tcW w:w="1559" w:type="dxa"/>
            <w:tcBorders>
              <w:top w:val="single" w:sz="4" w:space="0" w:color="auto"/>
              <w:left w:val="single" w:sz="4" w:space="0" w:color="BFBFBF" w:themeColor="background1" w:themeShade="BF"/>
            </w:tcBorders>
            <w:shd w:val="clear" w:color="auto" w:fill="auto"/>
            <w:noWrap/>
            <w:vAlign w:val="center"/>
            <w:hideMark/>
          </w:tcPr>
          <w:p w14:paraId="54BF5095" w14:textId="77777777" w:rsidR="00375729" w:rsidRPr="00CF3D6E" w:rsidRDefault="00375729" w:rsidP="004919FA">
            <w:pPr>
              <w:pStyle w:val="Tabletext"/>
            </w:pPr>
            <w:r w:rsidRPr="00CF3D6E">
              <w:t>-1.2</w:t>
            </w:r>
          </w:p>
        </w:tc>
      </w:tr>
      <w:tr w:rsidR="00375729" w:rsidRPr="00354AFE" w14:paraId="6EF776AD" w14:textId="77777777" w:rsidTr="00CF3D6E">
        <w:trPr>
          <w:trHeight w:val="300"/>
        </w:trPr>
        <w:tc>
          <w:tcPr>
            <w:tcW w:w="4248" w:type="dxa"/>
            <w:tcBorders>
              <w:top w:val="nil"/>
              <w:bottom w:val="nil"/>
              <w:right w:val="single" w:sz="4" w:space="0" w:color="auto"/>
            </w:tcBorders>
            <w:shd w:val="clear" w:color="auto" w:fill="auto"/>
            <w:noWrap/>
            <w:vAlign w:val="center"/>
            <w:hideMark/>
          </w:tcPr>
          <w:p w14:paraId="27324D2C" w14:textId="6DA6C625" w:rsidR="00375729" w:rsidRPr="00CF3D6E" w:rsidRDefault="00375729" w:rsidP="004919FA">
            <w:pPr>
              <w:pStyle w:val="Tablecellsub-heading"/>
            </w:pPr>
            <w:r w:rsidRPr="00CF3D6E">
              <w:t>of which</w:t>
            </w:r>
          </w:p>
        </w:tc>
        <w:tc>
          <w:tcPr>
            <w:tcW w:w="1701" w:type="dxa"/>
            <w:tcBorders>
              <w:left w:val="single" w:sz="4" w:space="0" w:color="auto"/>
              <w:right w:val="single" w:sz="4" w:space="0" w:color="BFBFBF" w:themeColor="background1" w:themeShade="BF"/>
            </w:tcBorders>
            <w:shd w:val="clear" w:color="auto" w:fill="auto"/>
            <w:noWrap/>
            <w:vAlign w:val="bottom"/>
            <w:hideMark/>
          </w:tcPr>
          <w:p w14:paraId="4FC769B3" w14:textId="77777777" w:rsidR="00375729" w:rsidRPr="00CF3D6E" w:rsidRDefault="00375729" w:rsidP="004919FA">
            <w:pPr>
              <w:pStyle w:val="Tabletext"/>
            </w:pPr>
          </w:p>
        </w:tc>
        <w:tc>
          <w:tcPr>
            <w:tcW w:w="1559"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302ED444" w14:textId="77777777" w:rsidR="00375729" w:rsidRPr="00CF3D6E" w:rsidRDefault="00375729" w:rsidP="004919FA">
            <w:pPr>
              <w:pStyle w:val="Tabletext"/>
            </w:pPr>
          </w:p>
        </w:tc>
        <w:tc>
          <w:tcPr>
            <w:tcW w:w="1559" w:type="dxa"/>
            <w:tcBorders>
              <w:left w:val="single" w:sz="4" w:space="0" w:color="BFBFBF" w:themeColor="background1" w:themeShade="BF"/>
            </w:tcBorders>
            <w:shd w:val="clear" w:color="auto" w:fill="auto"/>
            <w:noWrap/>
            <w:vAlign w:val="bottom"/>
            <w:hideMark/>
          </w:tcPr>
          <w:p w14:paraId="0F91FF2F" w14:textId="77777777" w:rsidR="00375729" w:rsidRPr="00CF3D6E" w:rsidRDefault="00375729" w:rsidP="004919FA">
            <w:pPr>
              <w:pStyle w:val="Tabletext"/>
            </w:pPr>
          </w:p>
        </w:tc>
      </w:tr>
      <w:tr w:rsidR="00375729" w:rsidRPr="00354AFE" w14:paraId="1F808429" w14:textId="77777777" w:rsidTr="00CF3D6E">
        <w:trPr>
          <w:trHeight w:val="300"/>
        </w:trPr>
        <w:tc>
          <w:tcPr>
            <w:tcW w:w="4248" w:type="dxa"/>
            <w:tcBorders>
              <w:top w:val="nil"/>
              <w:bottom w:val="nil"/>
              <w:right w:val="single" w:sz="4" w:space="0" w:color="auto"/>
            </w:tcBorders>
            <w:shd w:val="clear" w:color="auto" w:fill="auto"/>
            <w:noWrap/>
            <w:vAlign w:val="center"/>
            <w:hideMark/>
          </w:tcPr>
          <w:p w14:paraId="2690CB6D" w14:textId="77777777" w:rsidR="00375729" w:rsidRPr="00E86E42" w:rsidRDefault="00375729" w:rsidP="004919FA">
            <w:pPr>
              <w:pStyle w:val="Tablecellsub-heading"/>
            </w:pPr>
            <w:r w:rsidRPr="00E86E42">
              <w:t xml:space="preserve"> IT capital deepening (pp)</w:t>
            </w:r>
          </w:p>
        </w:tc>
        <w:tc>
          <w:tcPr>
            <w:tcW w:w="1701" w:type="dxa"/>
            <w:tcBorders>
              <w:left w:val="single" w:sz="4" w:space="0" w:color="auto"/>
              <w:right w:val="single" w:sz="4" w:space="0" w:color="BFBFBF" w:themeColor="background1" w:themeShade="BF"/>
            </w:tcBorders>
            <w:shd w:val="clear" w:color="auto" w:fill="auto"/>
            <w:noWrap/>
            <w:vAlign w:val="center"/>
            <w:hideMark/>
          </w:tcPr>
          <w:p w14:paraId="1BD8E2C0" w14:textId="77777777" w:rsidR="00375729" w:rsidRPr="00E86E42" w:rsidRDefault="00375729" w:rsidP="004919FA">
            <w:pPr>
              <w:pStyle w:val="Tabletext"/>
            </w:pPr>
            <w:r w:rsidRPr="00E86E42">
              <w:t>0.3</w:t>
            </w:r>
          </w:p>
        </w:tc>
        <w:tc>
          <w:tcPr>
            <w:tcW w:w="1559"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6A7FA488" w14:textId="77777777" w:rsidR="00375729" w:rsidRPr="00E86E42" w:rsidRDefault="00375729" w:rsidP="004919FA">
            <w:pPr>
              <w:pStyle w:val="Tabletext"/>
            </w:pPr>
            <w:r w:rsidRPr="00E86E42">
              <w:t>0.3</w:t>
            </w:r>
          </w:p>
        </w:tc>
        <w:tc>
          <w:tcPr>
            <w:tcW w:w="1559" w:type="dxa"/>
            <w:tcBorders>
              <w:left w:val="single" w:sz="4" w:space="0" w:color="BFBFBF" w:themeColor="background1" w:themeShade="BF"/>
            </w:tcBorders>
            <w:shd w:val="clear" w:color="auto" w:fill="auto"/>
            <w:noWrap/>
            <w:vAlign w:val="center"/>
            <w:hideMark/>
          </w:tcPr>
          <w:p w14:paraId="3DD7EBDE" w14:textId="77777777" w:rsidR="00375729" w:rsidRPr="00E86E42" w:rsidRDefault="00375729" w:rsidP="004919FA">
            <w:pPr>
              <w:pStyle w:val="Tabletext"/>
            </w:pPr>
            <w:r w:rsidRPr="00E86E42">
              <w:t>0.2</w:t>
            </w:r>
          </w:p>
        </w:tc>
      </w:tr>
      <w:tr w:rsidR="00375729" w:rsidRPr="00354AFE" w14:paraId="442A12E4" w14:textId="77777777" w:rsidTr="00CF3D6E">
        <w:trPr>
          <w:trHeight w:val="300"/>
        </w:trPr>
        <w:tc>
          <w:tcPr>
            <w:tcW w:w="4248" w:type="dxa"/>
            <w:tcBorders>
              <w:top w:val="nil"/>
              <w:bottom w:val="nil"/>
              <w:right w:val="single" w:sz="4" w:space="0" w:color="auto"/>
            </w:tcBorders>
            <w:shd w:val="clear" w:color="auto" w:fill="auto"/>
            <w:noWrap/>
            <w:vAlign w:val="center"/>
            <w:hideMark/>
          </w:tcPr>
          <w:p w14:paraId="3D7CA746" w14:textId="77777777" w:rsidR="00375729" w:rsidRPr="00CF3D6E" w:rsidRDefault="00375729" w:rsidP="004919FA">
            <w:pPr>
              <w:pStyle w:val="Tablecellsub-heading"/>
            </w:pPr>
            <w:r w:rsidRPr="00CF3D6E">
              <w:t>KP growth contribution (pp)</w:t>
            </w:r>
          </w:p>
        </w:tc>
        <w:tc>
          <w:tcPr>
            <w:tcW w:w="1701" w:type="dxa"/>
            <w:tcBorders>
              <w:left w:val="single" w:sz="4" w:space="0" w:color="auto"/>
              <w:right w:val="single" w:sz="4" w:space="0" w:color="BFBFBF" w:themeColor="background1" w:themeShade="BF"/>
            </w:tcBorders>
            <w:shd w:val="clear" w:color="auto" w:fill="auto"/>
            <w:noWrap/>
            <w:vAlign w:val="center"/>
            <w:hideMark/>
          </w:tcPr>
          <w:p w14:paraId="722A09AF" w14:textId="77777777" w:rsidR="00375729" w:rsidRPr="00CF3D6E" w:rsidRDefault="00375729" w:rsidP="004919FA">
            <w:pPr>
              <w:pStyle w:val="Tabletext"/>
            </w:pPr>
            <w:r w:rsidRPr="00CF3D6E">
              <w:t>0.3</w:t>
            </w:r>
          </w:p>
        </w:tc>
        <w:tc>
          <w:tcPr>
            <w:tcW w:w="1559"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51C275EF" w14:textId="77777777" w:rsidR="00375729" w:rsidRPr="00CF3D6E" w:rsidRDefault="00375729" w:rsidP="004919FA">
            <w:pPr>
              <w:pStyle w:val="Tabletext"/>
            </w:pPr>
            <w:r w:rsidRPr="00CF3D6E">
              <w:t>-1.1</w:t>
            </w:r>
          </w:p>
        </w:tc>
        <w:tc>
          <w:tcPr>
            <w:tcW w:w="1559" w:type="dxa"/>
            <w:tcBorders>
              <w:left w:val="single" w:sz="4" w:space="0" w:color="BFBFBF" w:themeColor="background1" w:themeShade="BF"/>
            </w:tcBorders>
            <w:shd w:val="clear" w:color="auto" w:fill="auto"/>
            <w:noWrap/>
            <w:vAlign w:val="center"/>
            <w:hideMark/>
          </w:tcPr>
          <w:p w14:paraId="2C33394D" w14:textId="77777777" w:rsidR="00375729" w:rsidRPr="00E86E42" w:rsidRDefault="00375729" w:rsidP="004919FA">
            <w:pPr>
              <w:pStyle w:val="Tabletext"/>
            </w:pPr>
            <w:r w:rsidRPr="00E86E42">
              <w:t>-2.7</w:t>
            </w:r>
          </w:p>
        </w:tc>
      </w:tr>
      <w:tr w:rsidR="00375729" w:rsidRPr="00354AFE" w14:paraId="3861E7D4" w14:textId="77777777" w:rsidTr="00CF3D6E">
        <w:trPr>
          <w:trHeight w:val="300"/>
        </w:trPr>
        <w:tc>
          <w:tcPr>
            <w:tcW w:w="4248" w:type="dxa"/>
            <w:tcBorders>
              <w:top w:val="nil"/>
              <w:bottom w:val="nil"/>
              <w:right w:val="single" w:sz="4" w:space="0" w:color="auto"/>
            </w:tcBorders>
            <w:shd w:val="clear" w:color="auto" w:fill="auto"/>
            <w:noWrap/>
            <w:vAlign w:val="center"/>
            <w:hideMark/>
          </w:tcPr>
          <w:p w14:paraId="1D239F74" w14:textId="2E5DED9B" w:rsidR="00375729" w:rsidRPr="00CF3D6E" w:rsidRDefault="00375729" w:rsidP="004919FA">
            <w:pPr>
              <w:pStyle w:val="Tablecellsub-heading"/>
            </w:pPr>
            <w:r w:rsidRPr="00CF3D6E">
              <w:t>of which</w:t>
            </w:r>
          </w:p>
        </w:tc>
        <w:tc>
          <w:tcPr>
            <w:tcW w:w="1701" w:type="dxa"/>
            <w:tcBorders>
              <w:left w:val="single" w:sz="4" w:space="0" w:color="auto"/>
              <w:right w:val="single" w:sz="4" w:space="0" w:color="BFBFBF" w:themeColor="background1" w:themeShade="BF"/>
            </w:tcBorders>
            <w:shd w:val="clear" w:color="auto" w:fill="auto"/>
            <w:noWrap/>
            <w:vAlign w:val="bottom"/>
            <w:hideMark/>
          </w:tcPr>
          <w:p w14:paraId="7AA8EAD2" w14:textId="77777777" w:rsidR="00375729" w:rsidRPr="00CF3D6E" w:rsidRDefault="00375729" w:rsidP="004919FA">
            <w:pPr>
              <w:pStyle w:val="Tabletext"/>
            </w:pPr>
          </w:p>
        </w:tc>
        <w:tc>
          <w:tcPr>
            <w:tcW w:w="1559"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3D4577A5" w14:textId="77777777" w:rsidR="00375729" w:rsidRPr="00CF3D6E" w:rsidRDefault="00375729" w:rsidP="004919FA">
            <w:pPr>
              <w:pStyle w:val="Tabletext"/>
            </w:pPr>
          </w:p>
        </w:tc>
        <w:tc>
          <w:tcPr>
            <w:tcW w:w="1559" w:type="dxa"/>
            <w:tcBorders>
              <w:left w:val="single" w:sz="4" w:space="0" w:color="BFBFBF" w:themeColor="background1" w:themeShade="BF"/>
            </w:tcBorders>
            <w:shd w:val="clear" w:color="auto" w:fill="auto"/>
            <w:noWrap/>
            <w:vAlign w:val="bottom"/>
            <w:hideMark/>
          </w:tcPr>
          <w:p w14:paraId="2D0BCA70" w14:textId="77777777" w:rsidR="00375729" w:rsidRPr="00E86E42" w:rsidRDefault="00375729" w:rsidP="004919FA">
            <w:pPr>
              <w:pStyle w:val="Tabletext"/>
            </w:pPr>
          </w:p>
        </w:tc>
      </w:tr>
      <w:tr w:rsidR="00375729" w:rsidRPr="00354AFE" w14:paraId="15313C53" w14:textId="77777777" w:rsidTr="00CF3D6E">
        <w:trPr>
          <w:trHeight w:val="300"/>
        </w:trPr>
        <w:tc>
          <w:tcPr>
            <w:tcW w:w="4248" w:type="dxa"/>
            <w:tcBorders>
              <w:top w:val="nil"/>
              <w:bottom w:val="nil"/>
              <w:right w:val="single" w:sz="4" w:space="0" w:color="auto"/>
            </w:tcBorders>
            <w:shd w:val="clear" w:color="auto" w:fill="auto"/>
            <w:noWrap/>
            <w:vAlign w:val="center"/>
            <w:hideMark/>
          </w:tcPr>
          <w:p w14:paraId="1F079240" w14:textId="61238769" w:rsidR="00375729" w:rsidRPr="00E86E42" w:rsidRDefault="00375729" w:rsidP="004919FA">
            <w:pPr>
              <w:pStyle w:val="Tablecellsub-heading"/>
            </w:pPr>
            <w:r w:rsidRPr="00E86E42">
              <w:t>IT capital productivity (pp)</w:t>
            </w:r>
          </w:p>
        </w:tc>
        <w:tc>
          <w:tcPr>
            <w:tcW w:w="1701" w:type="dxa"/>
            <w:tcBorders>
              <w:left w:val="single" w:sz="4" w:space="0" w:color="auto"/>
              <w:right w:val="single" w:sz="4" w:space="0" w:color="BFBFBF" w:themeColor="background1" w:themeShade="BF"/>
            </w:tcBorders>
            <w:shd w:val="clear" w:color="auto" w:fill="auto"/>
            <w:noWrap/>
            <w:vAlign w:val="center"/>
            <w:hideMark/>
          </w:tcPr>
          <w:p w14:paraId="008259C0" w14:textId="77777777" w:rsidR="00375729" w:rsidRPr="00E86E42" w:rsidRDefault="00375729" w:rsidP="004919FA">
            <w:pPr>
              <w:pStyle w:val="Tabletext"/>
            </w:pPr>
            <w:r w:rsidRPr="00E86E42">
              <w:t>-0.62</w:t>
            </w:r>
          </w:p>
        </w:tc>
        <w:tc>
          <w:tcPr>
            <w:tcW w:w="1559"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3B9CC94" w14:textId="77777777" w:rsidR="00375729" w:rsidRPr="00E86E42" w:rsidRDefault="00375729" w:rsidP="004919FA">
            <w:pPr>
              <w:pStyle w:val="Tabletext"/>
            </w:pPr>
            <w:r w:rsidRPr="00E86E42">
              <w:t>-1.04</w:t>
            </w:r>
          </w:p>
        </w:tc>
        <w:tc>
          <w:tcPr>
            <w:tcW w:w="1559" w:type="dxa"/>
            <w:tcBorders>
              <w:left w:val="single" w:sz="4" w:space="0" w:color="BFBFBF" w:themeColor="background1" w:themeShade="BF"/>
            </w:tcBorders>
            <w:shd w:val="clear" w:color="auto" w:fill="auto"/>
            <w:noWrap/>
            <w:vAlign w:val="center"/>
            <w:hideMark/>
          </w:tcPr>
          <w:p w14:paraId="29EA1B97" w14:textId="77777777" w:rsidR="00375729" w:rsidRPr="00E86E42" w:rsidRDefault="00375729" w:rsidP="004919FA">
            <w:pPr>
              <w:pStyle w:val="Tabletext"/>
            </w:pPr>
            <w:r w:rsidRPr="00E86E42">
              <w:t>-0.72</w:t>
            </w:r>
          </w:p>
        </w:tc>
      </w:tr>
      <w:tr w:rsidR="00375729" w:rsidRPr="00354AFE" w14:paraId="7BCBAFED" w14:textId="77777777" w:rsidTr="00CF3D6E">
        <w:trPr>
          <w:trHeight w:val="300"/>
        </w:trPr>
        <w:tc>
          <w:tcPr>
            <w:tcW w:w="4248" w:type="dxa"/>
            <w:tcBorders>
              <w:top w:val="nil"/>
              <w:bottom w:val="nil"/>
              <w:right w:val="single" w:sz="4" w:space="0" w:color="auto"/>
            </w:tcBorders>
            <w:shd w:val="clear" w:color="auto" w:fill="auto"/>
            <w:noWrap/>
            <w:vAlign w:val="center"/>
            <w:hideMark/>
          </w:tcPr>
          <w:p w14:paraId="1CE3EA6C" w14:textId="6F02CA05" w:rsidR="00375729" w:rsidRPr="00E86E42" w:rsidRDefault="00375729" w:rsidP="004919FA">
            <w:pPr>
              <w:pStyle w:val="Tablecellsub-heading"/>
            </w:pPr>
            <w:r w:rsidRPr="00E86E42">
              <w:t>Non-IT capital productivity (pp)</w:t>
            </w:r>
          </w:p>
        </w:tc>
        <w:tc>
          <w:tcPr>
            <w:tcW w:w="1701" w:type="dxa"/>
            <w:tcBorders>
              <w:left w:val="single" w:sz="4" w:space="0" w:color="auto"/>
              <w:right w:val="single" w:sz="4" w:space="0" w:color="BFBFBF" w:themeColor="background1" w:themeShade="BF"/>
            </w:tcBorders>
            <w:shd w:val="clear" w:color="auto" w:fill="auto"/>
            <w:noWrap/>
            <w:vAlign w:val="center"/>
            <w:hideMark/>
          </w:tcPr>
          <w:p w14:paraId="6EA4FE25" w14:textId="77777777" w:rsidR="00375729" w:rsidRPr="00E86E42" w:rsidRDefault="00375729" w:rsidP="004919FA">
            <w:pPr>
              <w:pStyle w:val="Tabletext"/>
            </w:pPr>
            <w:r w:rsidRPr="00E86E42">
              <w:t>0.88</w:t>
            </w:r>
          </w:p>
        </w:tc>
        <w:tc>
          <w:tcPr>
            <w:tcW w:w="1559"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4AB6CFE2" w14:textId="77777777" w:rsidR="00375729" w:rsidRPr="00E86E42" w:rsidRDefault="00375729" w:rsidP="004919FA">
            <w:pPr>
              <w:pStyle w:val="Tabletext"/>
            </w:pPr>
            <w:r w:rsidRPr="00E86E42">
              <w:t>-0.07</w:t>
            </w:r>
          </w:p>
        </w:tc>
        <w:tc>
          <w:tcPr>
            <w:tcW w:w="1559" w:type="dxa"/>
            <w:tcBorders>
              <w:left w:val="single" w:sz="4" w:space="0" w:color="BFBFBF" w:themeColor="background1" w:themeShade="BF"/>
            </w:tcBorders>
            <w:shd w:val="clear" w:color="auto" w:fill="auto"/>
            <w:noWrap/>
            <w:vAlign w:val="center"/>
            <w:hideMark/>
          </w:tcPr>
          <w:p w14:paraId="6251EBB0" w14:textId="77777777" w:rsidR="00375729" w:rsidRPr="00E86E42" w:rsidRDefault="00375729" w:rsidP="004919FA">
            <w:pPr>
              <w:pStyle w:val="Tabletext"/>
            </w:pPr>
            <w:r w:rsidRPr="00E86E42">
              <w:t>-1.93</w:t>
            </w:r>
          </w:p>
        </w:tc>
      </w:tr>
      <w:tr w:rsidR="00375729" w:rsidRPr="00354AFE" w14:paraId="45AC0E06" w14:textId="77777777" w:rsidTr="00CF3D6E">
        <w:trPr>
          <w:trHeight w:val="300"/>
        </w:trPr>
        <w:tc>
          <w:tcPr>
            <w:tcW w:w="4248" w:type="dxa"/>
            <w:tcBorders>
              <w:top w:val="nil"/>
              <w:bottom w:val="single" w:sz="4" w:space="0" w:color="auto"/>
              <w:right w:val="single" w:sz="4" w:space="0" w:color="auto"/>
            </w:tcBorders>
            <w:shd w:val="clear" w:color="auto" w:fill="auto"/>
            <w:noWrap/>
            <w:vAlign w:val="center"/>
            <w:hideMark/>
          </w:tcPr>
          <w:p w14:paraId="38E66AC7" w14:textId="77777777" w:rsidR="00375729" w:rsidRPr="00CF3D6E" w:rsidRDefault="00375729" w:rsidP="004919FA">
            <w:pPr>
              <w:pStyle w:val="Tablecellsub-heading"/>
            </w:pPr>
            <w:r w:rsidRPr="00CF3D6E">
              <w:t>MFP growth (% pa)</w:t>
            </w:r>
          </w:p>
        </w:tc>
        <w:tc>
          <w:tcPr>
            <w:tcW w:w="1701" w:type="dxa"/>
            <w:tcBorders>
              <w:left w:val="single" w:sz="4" w:space="0" w:color="auto"/>
              <w:right w:val="single" w:sz="4" w:space="0" w:color="BFBFBF" w:themeColor="background1" w:themeShade="BF"/>
            </w:tcBorders>
            <w:shd w:val="clear" w:color="auto" w:fill="auto"/>
            <w:noWrap/>
            <w:vAlign w:val="center"/>
            <w:hideMark/>
          </w:tcPr>
          <w:p w14:paraId="7A9B1ADF" w14:textId="77777777" w:rsidR="00375729" w:rsidRPr="00CF3D6E" w:rsidRDefault="00375729" w:rsidP="004919FA">
            <w:pPr>
              <w:pStyle w:val="Tabletext"/>
            </w:pPr>
            <w:r w:rsidRPr="00CF3D6E">
              <w:t>2.7</w:t>
            </w:r>
          </w:p>
        </w:tc>
        <w:tc>
          <w:tcPr>
            <w:tcW w:w="1559"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2B62E143" w14:textId="77777777" w:rsidR="00375729" w:rsidRPr="00CF3D6E" w:rsidRDefault="00375729" w:rsidP="004919FA">
            <w:pPr>
              <w:pStyle w:val="Tabletext"/>
            </w:pPr>
            <w:r w:rsidRPr="00CF3D6E">
              <w:t>-0.8</w:t>
            </w:r>
          </w:p>
        </w:tc>
        <w:tc>
          <w:tcPr>
            <w:tcW w:w="1559" w:type="dxa"/>
            <w:tcBorders>
              <w:left w:val="single" w:sz="4" w:space="0" w:color="BFBFBF" w:themeColor="background1" w:themeShade="BF"/>
            </w:tcBorders>
            <w:shd w:val="clear" w:color="auto" w:fill="auto"/>
            <w:noWrap/>
            <w:vAlign w:val="center"/>
            <w:hideMark/>
          </w:tcPr>
          <w:p w14:paraId="0B6891BF" w14:textId="77777777" w:rsidR="00375729" w:rsidRPr="00CF3D6E" w:rsidRDefault="00375729" w:rsidP="004919FA">
            <w:pPr>
              <w:pStyle w:val="Tabletext"/>
            </w:pPr>
            <w:r w:rsidRPr="00CF3D6E">
              <w:t>-3.9</w:t>
            </w:r>
          </w:p>
        </w:tc>
      </w:tr>
    </w:tbl>
    <w:p w14:paraId="74A2DA83" w14:textId="77777777" w:rsidR="00375729" w:rsidRDefault="00375729" w:rsidP="00012248">
      <w:pPr>
        <w:pStyle w:val="SourceNotes"/>
      </w:pPr>
      <w:r>
        <w:fldChar w:fldCharType="end"/>
      </w:r>
      <w:r w:rsidRPr="00323930">
        <w:t>Source:</w:t>
      </w:r>
      <w:r>
        <w:t xml:space="preserve"> </w:t>
      </w:r>
      <w:r w:rsidRPr="00323930">
        <w:t>Author estimates</w:t>
      </w:r>
      <w:r w:rsidR="00ED25DE">
        <w:t>. N</w:t>
      </w:r>
      <w:r w:rsidR="00ED25DE" w:rsidRPr="00CF3D6E">
        <w:t>umbers may not add up due to rounding</w:t>
      </w:r>
      <w:r w:rsidR="00ED25DE">
        <w:t>.</w:t>
      </w:r>
    </w:p>
    <w:p w14:paraId="26A5C7BB" w14:textId="77777777" w:rsidR="00375729" w:rsidRDefault="00375729" w:rsidP="00012248">
      <w:pPr>
        <w:pStyle w:val="BodyText"/>
        <w:rPr>
          <w:sz w:val="20"/>
        </w:rPr>
      </w:pPr>
      <w:r>
        <w:br w:type="page"/>
      </w:r>
    </w:p>
    <w:p w14:paraId="40EC1964" w14:textId="77777777" w:rsidR="00375729" w:rsidRDefault="00375729" w:rsidP="00CF3D6E">
      <w:pPr>
        <w:pStyle w:val="BCRAppendicesHeading"/>
      </w:pPr>
      <w:bookmarkStart w:id="111" w:name="_Toc442448191"/>
      <w:r>
        <w:t>Wholesale trade</w:t>
      </w:r>
      <w:bookmarkEnd w:id="111"/>
    </w:p>
    <w:p w14:paraId="3C96DD9B" w14:textId="77777777" w:rsidR="006139F5" w:rsidRDefault="006139F5" w:rsidP="00F37FA2">
      <w:pPr>
        <w:pStyle w:val="Boxheading"/>
      </w:pPr>
      <w:r>
        <w:t>Key Points</w:t>
      </w:r>
    </w:p>
    <w:p w14:paraId="02C059B4" w14:textId="77777777" w:rsidR="00375729" w:rsidRPr="00AC5DB9" w:rsidRDefault="00375729" w:rsidP="00012248">
      <w:pPr>
        <w:pStyle w:val="Boxtext"/>
      </w:pPr>
      <w:r w:rsidRPr="00AC5DB9">
        <w:t xml:space="preserve">Wholesale’s use of IT and productivity both grew rapidly in the 1990s. However, the rate of growth in both slowed in the 2000s. Growth in </w:t>
      </w:r>
      <w:r w:rsidR="005525AD">
        <w:t xml:space="preserve">the </w:t>
      </w:r>
      <w:r w:rsidRPr="00AC5DB9">
        <w:t>use of Information Technology (IT) dropped after 2007–08 and growth in multifactor productivity (MFP) slowed after 2005–06.</w:t>
      </w:r>
    </w:p>
    <w:p w14:paraId="283E126D" w14:textId="77777777" w:rsidR="00375729" w:rsidRPr="00AC5DB9" w:rsidRDefault="00375729" w:rsidP="00012248">
      <w:pPr>
        <w:pStyle w:val="Boxtext"/>
      </w:pPr>
      <w:r w:rsidRPr="00AC5DB9">
        <w:t xml:space="preserve">Since 1989–90, there has been strong substitution of IT for labour. IT capital deepening accounted for 0.7 to 0.9 of a percentage point of labour productivity (LP) growth in the high growth period: </w:t>
      </w:r>
    </w:p>
    <w:p w14:paraId="7055B6BD" w14:textId="77777777" w:rsidR="00375729" w:rsidRPr="00AC5DB9" w:rsidRDefault="00375729" w:rsidP="00F37FA2">
      <w:pPr>
        <w:pStyle w:val="Boxbullet"/>
      </w:pPr>
      <w:r w:rsidRPr="00AC5DB9">
        <w:t>IT capital deepening has accounted for around 15–25 per cent of LP growth since the early 1990s.</w:t>
      </w:r>
    </w:p>
    <w:p w14:paraId="23506B05" w14:textId="77777777" w:rsidR="00375729" w:rsidRPr="00AC5DB9" w:rsidRDefault="00375729" w:rsidP="00012248">
      <w:pPr>
        <w:pStyle w:val="Boxtext"/>
      </w:pPr>
      <w:r w:rsidRPr="00AC5DB9">
        <w:t>There is high correlation between greater use of IT and greater use of skills in the industry.</w:t>
      </w:r>
    </w:p>
    <w:p w14:paraId="5F266A1E" w14:textId="77777777" w:rsidR="00375729" w:rsidRPr="00AC5DB9" w:rsidRDefault="00375729" w:rsidP="00012248">
      <w:pPr>
        <w:pStyle w:val="Boxtext"/>
      </w:pPr>
      <w:r w:rsidRPr="00AC5DB9">
        <w:t>IT use may have enabled more productive use of some types of capital. The productivity of buildings and land has improved by 100 per cent since the early 1990s. Wholesalers were also able to economise on the use of industrial machinery and equipment, road vehicles and the need for inventories in the 1990s. However, the productivities of these assets declined in the 2000s.</w:t>
      </w:r>
    </w:p>
    <w:p w14:paraId="5FC1EFCA" w14:textId="77777777" w:rsidR="00375729" w:rsidRPr="00AC5DB9" w:rsidRDefault="00375729" w:rsidP="00012248">
      <w:pPr>
        <w:pStyle w:val="Boxtext"/>
      </w:pPr>
      <w:r w:rsidRPr="00AC5DB9">
        <w:t>There was a clear association between IT use and MFP growth in the high growth period up to the mid-2000s, after which growth in both has declined:</w:t>
      </w:r>
    </w:p>
    <w:p w14:paraId="2E1911FE" w14:textId="77777777" w:rsidR="00375729" w:rsidRDefault="00375729" w:rsidP="00F37FA2">
      <w:pPr>
        <w:pStyle w:val="Boxbullet"/>
      </w:pPr>
      <w:r w:rsidRPr="00AC5DB9">
        <w:t xml:space="preserve">Viewing MFP growth as an amalgam of LP growth and capital productivity growth, IT contributed between 0.4 and 1 percentage point to annual MFP growth </w:t>
      </w:r>
      <w:r w:rsidR="005525AD">
        <w:t xml:space="preserve">for the sector </w:t>
      </w:r>
      <w:r w:rsidRPr="00AC5DB9">
        <w:t>up to the mid-2000s.</w:t>
      </w:r>
    </w:p>
    <w:p w14:paraId="12D40F8C" w14:textId="77777777" w:rsidR="00375729" w:rsidRDefault="00375729" w:rsidP="00375729">
      <w:pPr>
        <w:pStyle w:val="BodyTextNoIndent"/>
      </w:pPr>
      <w:r>
        <w:t xml:space="preserve">Wholesale trade is the distribution of goods from domestic producers and importers to domestic retailers and the distribution of domestic goods to export outlets. </w:t>
      </w:r>
    </w:p>
    <w:p w14:paraId="6C653244" w14:textId="77777777" w:rsidR="00375729" w:rsidRDefault="00375729" w:rsidP="00375729">
      <w:pPr>
        <w:pStyle w:val="BodyTextNoIndent"/>
      </w:pPr>
      <w:r>
        <w:t>The Australian Bureau of Statistics (ABS) identifies the following subdivisions of wholesale trade:</w:t>
      </w:r>
    </w:p>
    <w:p w14:paraId="014654B1" w14:textId="77777777" w:rsidR="00375729" w:rsidRPr="00C1071D" w:rsidRDefault="00375729" w:rsidP="004919FA">
      <w:pPr>
        <w:pStyle w:val="Bodybullet-Level1"/>
      </w:pPr>
      <w:r>
        <w:t>b</w:t>
      </w:r>
      <w:r w:rsidRPr="00C1071D">
        <w:t xml:space="preserve">asic material wholesaling </w:t>
      </w:r>
    </w:p>
    <w:p w14:paraId="022BB2B1" w14:textId="77777777" w:rsidR="00375729" w:rsidRPr="00C1071D" w:rsidRDefault="00375729" w:rsidP="004919FA">
      <w:pPr>
        <w:pStyle w:val="Bodybullet-Level1"/>
      </w:pPr>
      <w:r>
        <w:t>m</w:t>
      </w:r>
      <w:r w:rsidRPr="00C1071D">
        <w:t xml:space="preserve">achinery and equipment wholesaling </w:t>
      </w:r>
    </w:p>
    <w:p w14:paraId="6172E01B" w14:textId="77777777" w:rsidR="00375729" w:rsidRPr="00C1071D" w:rsidRDefault="00375729" w:rsidP="004919FA">
      <w:pPr>
        <w:pStyle w:val="Bodybullet-Level1"/>
      </w:pPr>
      <w:r>
        <w:t>m</w:t>
      </w:r>
      <w:r w:rsidRPr="00C1071D">
        <w:t xml:space="preserve">otor vehicle and motor vehicle parts wholesaling </w:t>
      </w:r>
    </w:p>
    <w:p w14:paraId="0F0C4CCE" w14:textId="77777777" w:rsidR="00375729" w:rsidRPr="00C1071D" w:rsidRDefault="00375729" w:rsidP="004919FA">
      <w:pPr>
        <w:pStyle w:val="Bodybullet-Level1"/>
      </w:pPr>
      <w:r>
        <w:t>g</w:t>
      </w:r>
      <w:r w:rsidRPr="00C1071D">
        <w:t xml:space="preserve">rocery, liquor and tobacco product wholesaling </w:t>
      </w:r>
    </w:p>
    <w:p w14:paraId="65EB2FA9" w14:textId="77777777" w:rsidR="00375729" w:rsidRPr="00C1071D" w:rsidRDefault="00375729" w:rsidP="004919FA">
      <w:pPr>
        <w:pStyle w:val="Bodybullet-Level1"/>
      </w:pPr>
      <w:r>
        <w:t>o</w:t>
      </w:r>
      <w:r w:rsidRPr="00C1071D">
        <w:t>ther goods wholesaling</w:t>
      </w:r>
      <w:r w:rsidR="00142D73">
        <w:t xml:space="preserve">, and </w:t>
      </w:r>
    </w:p>
    <w:p w14:paraId="0A904269" w14:textId="77777777" w:rsidR="00375729" w:rsidRPr="00C1071D" w:rsidRDefault="00375729" w:rsidP="004919FA">
      <w:pPr>
        <w:pStyle w:val="Bodybullet-Level1"/>
      </w:pPr>
      <w:r>
        <w:t>c</w:t>
      </w:r>
      <w:r w:rsidRPr="00C1071D">
        <w:t>ommission-based wholesaling</w:t>
      </w:r>
      <w:r>
        <w:t>.</w:t>
      </w:r>
    </w:p>
    <w:p w14:paraId="5B506BB8" w14:textId="77777777" w:rsidR="00375729" w:rsidRDefault="00375729" w:rsidP="00375729">
      <w:r>
        <w:t>The sector has shown below-average growth of 2.9 per cent a year from 1989–90 to 2013–14. As a result, it fell as a proportion of GDP from 5.4 per cent to 4.2 per cent. Wholesaling did, however, have a period of very strong growth of 6.6 per cent a year between 1992–93 and 1999–00 (</w:t>
      </w:r>
      <w:r w:rsidR="009E3F79" w:rsidRPr="009E3F79">
        <w:t>Figure C1</w:t>
      </w:r>
      <w:r>
        <w:t>).</w:t>
      </w:r>
    </w:p>
    <w:p w14:paraId="374146D0" w14:textId="77777777" w:rsidR="00375729" w:rsidRPr="00AC5DB9" w:rsidRDefault="00375729" w:rsidP="00375729">
      <w:r w:rsidRPr="00AC5DB9">
        <w:t>Capital growth was quite strong at 4.4 per cent a year over the whole period. The strongest growth came between 2002–03 and 2007–08 (</w:t>
      </w:r>
      <w:r w:rsidR="009E3F79" w:rsidRPr="009E3F79">
        <w:t>Figure C1</w:t>
      </w:r>
      <w:r w:rsidRPr="00AC5DB9">
        <w:t>), when the average annual rate reached 8.2 per cent.</w:t>
      </w:r>
    </w:p>
    <w:p w14:paraId="5E4672A7" w14:textId="77777777" w:rsidR="00375729" w:rsidRPr="00AC5DB9" w:rsidRDefault="00375729" w:rsidP="00375729">
      <w:r w:rsidRPr="00AC5DB9">
        <w:t>Labour use changed little over the entire period. A sharp fall after 1999–00 was offset by a gradual rise from the early 2000s (</w:t>
      </w:r>
      <w:r w:rsidR="009E3F79" w:rsidRPr="009E3F79">
        <w:t>Figure C1</w:t>
      </w:r>
      <w:r w:rsidRPr="00AC5DB9">
        <w:t>).</w:t>
      </w:r>
    </w:p>
    <w:p w14:paraId="4FA94962" w14:textId="77777777" w:rsidR="00375729" w:rsidRDefault="00375729" w:rsidP="004919FA">
      <w:pPr>
        <w:pStyle w:val="Figurecaption"/>
      </w:pPr>
      <w:r>
        <w:t xml:space="preserve">Figure </w:t>
      </w:r>
      <w:r w:rsidR="009E3F79">
        <w:t>C1</w:t>
      </w:r>
      <w:r>
        <w:t>: Capital, labour and output in wholesale trade (index, 2012–13</w:t>
      </w:r>
      <w:r w:rsidR="006A530A">
        <w:t xml:space="preserve"> = </w:t>
      </w:r>
      <w:r>
        <w:t>100)</w:t>
      </w:r>
    </w:p>
    <w:p w14:paraId="2C7110D7" w14:textId="23159BE2" w:rsidR="00375729" w:rsidRDefault="004919FA" w:rsidP="00375729">
      <w:pPr>
        <w:spacing w:after="60"/>
      </w:pPr>
      <w:r>
        <w:rPr>
          <w:noProof/>
          <w:lang w:eastAsia="en-AU"/>
        </w:rPr>
        <w:drawing>
          <wp:inline distT="0" distB="0" distL="0" distR="0" wp14:anchorId="5F0EC079" wp14:editId="2E76EAAC">
            <wp:extent cx="4584700" cy="2755900"/>
            <wp:effectExtent l="0" t="0" r="635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89FD297" w14:textId="77777777" w:rsidR="00375729" w:rsidRDefault="00375729" w:rsidP="00012248">
      <w:pPr>
        <w:pStyle w:val="SourceNotes"/>
      </w:pPr>
      <w:r>
        <w:t xml:space="preserve">Source: </w:t>
      </w:r>
      <w:r w:rsidRPr="00323930">
        <w:t xml:space="preserve">ABS Cat. No. 5260.0.55.002 </w:t>
      </w:r>
    </w:p>
    <w:p w14:paraId="765E8D18" w14:textId="77777777" w:rsidR="00375729" w:rsidRPr="00AC5DB9" w:rsidRDefault="00375729" w:rsidP="00375729">
      <w:pPr>
        <w:pStyle w:val="BodyTextNoIndent"/>
      </w:pPr>
      <w:r w:rsidRPr="00AC5DB9">
        <w:t>Previous analysis showed that IT has brought productivity gains in wholesale trade. Johnston et al</w:t>
      </w:r>
      <w:r>
        <w:t xml:space="preserve"> (2000)</w:t>
      </w:r>
      <w:r w:rsidRPr="00AC5DB9">
        <w:t xml:space="preserve"> examined the link between IT use and productivity gains in wholesale trade and found the use of IT was helping to transform the industry from a storage-based system to a fast-flow distribution network. Wholesale trade was one of the major sources of productivity growth in the Australian economy in the productivity surge of the 1990s.</w:t>
      </w:r>
      <w:r w:rsidRPr="00AC5DB9">
        <w:rPr>
          <w:vertAlign w:val="superscript"/>
        </w:rPr>
        <w:footnoteReference w:id="14"/>
      </w:r>
      <w:r w:rsidRPr="00AC5DB9">
        <w:t xml:space="preserve"> </w:t>
      </w:r>
    </w:p>
    <w:p w14:paraId="2457D24C" w14:textId="77777777" w:rsidR="002566E1" w:rsidRDefault="005375FF" w:rsidP="00F37FA2">
      <w:pPr>
        <w:pStyle w:val="BCRHead2"/>
      </w:pPr>
      <w:r>
        <w:t xml:space="preserve">C.1 </w:t>
      </w:r>
      <w:r w:rsidR="00375729">
        <w:t>Growth in IT capital</w:t>
      </w:r>
    </w:p>
    <w:p w14:paraId="582B7BC2" w14:textId="77777777" w:rsidR="002566E1" w:rsidRPr="00CF3D6E" w:rsidRDefault="002566E1" w:rsidP="002566E1">
      <w:pPr>
        <w:pStyle w:val="BodyTextNoIndent"/>
      </w:pPr>
      <w:r w:rsidRPr="00CF3D6E">
        <w:t xml:space="preserve"> The rapid rate of growth in Information Technology (IT) capital is evident in </w:t>
      </w:r>
      <w:r w:rsidRPr="00CF3D6E">
        <w:fldChar w:fldCharType="begin"/>
      </w:r>
      <w:r w:rsidRPr="00CF3D6E">
        <w:instrText xml:space="preserve"> REF _Ref423883829 \h  \* MERGEFORMAT </w:instrText>
      </w:r>
      <w:r w:rsidRPr="00CF3D6E">
        <w:fldChar w:fldCharType="separate"/>
      </w:r>
      <w:r w:rsidRPr="00CF3D6E">
        <w:t>Figure III2</w:t>
      </w:r>
      <w:r w:rsidRPr="00CF3D6E">
        <w:fldChar w:fldCharType="end"/>
      </w:r>
      <w:r w:rsidRPr="00CF3D6E">
        <w:t>. The annual rate of growth averaged 15.7 per cent. Annual rates of growth in IT capital were strongest through the late-1990s and early-2000s (</w:t>
      </w:r>
      <w:r w:rsidR="00C42D34" w:rsidRPr="00C42D34">
        <w:t>Figure C3</w:t>
      </w:r>
      <w:r w:rsidRPr="00CF3D6E">
        <w:t>). Growth in IT use dropped off after 2007–08.</w:t>
      </w:r>
    </w:p>
    <w:p w14:paraId="1737ACA0" w14:textId="77777777" w:rsidR="002566E1" w:rsidRDefault="002566E1" w:rsidP="00375729">
      <w:pPr>
        <w:pStyle w:val="BodyTextNoIndent"/>
      </w:pPr>
      <w:r w:rsidRPr="00CF3D6E">
        <w:t>This strong growth in IT capital had a noticeable impact on total capital growth because of IT’s importance in wholesale’s use of capital. IT has absorbed between 10 and 15 per cent of capital income in the sector (</w:t>
      </w:r>
      <w:r w:rsidRPr="00CF3D6E">
        <w:fldChar w:fldCharType="begin"/>
      </w:r>
      <w:r w:rsidRPr="00CF3D6E">
        <w:instrText xml:space="preserve"> REF _Ref423884120 \h  \* MERGEFORMAT </w:instrText>
      </w:r>
      <w:r w:rsidRPr="00CF3D6E">
        <w:fldChar w:fldCharType="separate"/>
      </w:r>
      <w:r w:rsidR="00C42D34" w:rsidRPr="00C42D34">
        <w:t>Figure C3</w:t>
      </w:r>
      <w:r w:rsidRPr="00CF3D6E">
        <w:fldChar w:fldCharType="end"/>
      </w:r>
      <w:r w:rsidRPr="00CF3D6E">
        <w:t>).</w:t>
      </w:r>
    </w:p>
    <w:p w14:paraId="4DE64639" w14:textId="77777777" w:rsidR="00375729" w:rsidRPr="00176DE4" w:rsidRDefault="00C42D34" w:rsidP="00375729">
      <w:pPr>
        <w:pStyle w:val="BodyTextNoIndent"/>
      </w:pPr>
      <w:r w:rsidRPr="00C42D34">
        <w:t>Figure C3</w:t>
      </w:r>
      <w:r w:rsidR="00DF0360">
        <w:t xml:space="preserve"> shows t</w:t>
      </w:r>
      <w:r w:rsidR="00375729" w:rsidRPr="00176DE4">
        <w:t>he annual rate of growth averaged 15.7 per cent. Annual rates of growth in IT capital were strongest through the late-1990s and early-2000s</w:t>
      </w:r>
      <w:r w:rsidR="00815C15">
        <w:t>.</w:t>
      </w:r>
      <w:r w:rsidR="00375729" w:rsidRPr="00176DE4">
        <w:t xml:space="preserve"> Growth in IT use dropped off after 2007–08.</w:t>
      </w:r>
    </w:p>
    <w:p w14:paraId="1620D938" w14:textId="77777777" w:rsidR="00375729" w:rsidRPr="00176DE4" w:rsidRDefault="00375729" w:rsidP="00375729">
      <w:pPr>
        <w:pStyle w:val="BodyTextNoIndent"/>
      </w:pPr>
      <w:r w:rsidRPr="00176DE4">
        <w:t>This strong growth in IT capital had a noticeable impact on total capital growth because of IT’s importance in wholesale’s use of capital. IT has absorbed between 10 and 15 per cent of capital income in the sector (</w:t>
      </w:r>
      <w:r w:rsidRPr="00176DE4">
        <w:fldChar w:fldCharType="begin"/>
      </w:r>
      <w:r w:rsidRPr="00176DE4">
        <w:instrText xml:space="preserve"> REF _Ref423884120 \h </w:instrText>
      </w:r>
      <w:r>
        <w:instrText xml:space="preserve"> \* MERGEFORMAT </w:instrText>
      </w:r>
      <w:r w:rsidRPr="00176DE4">
        <w:fldChar w:fldCharType="separate"/>
      </w:r>
      <w:r w:rsidR="00C42D34" w:rsidRPr="00C42D34">
        <w:t>Figure C3</w:t>
      </w:r>
      <w:r w:rsidRPr="00176DE4">
        <w:fldChar w:fldCharType="end"/>
      </w:r>
      <w:r w:rsidRPr="00176DE4">
        <w:t>).</w:t>
      </w:r>
    </w:p>
    <w:p w14:paraId="0539EB06" w14:textId="77777777" w:rsidR="00375729" w:rsidRDefault="00375729" w:rsidP="004919FA">
      <w:pPr>
        <w:pStyle w:val="Figurecaption"/>
      </w:pPr>
      <w:r>
        <w:t xml:space="preserve">Figure </w:t>
      </w:r>
      <w:r w:rsidR="00A93A5A">
        <w:t>C2</w:t>
      </w:r>
      <w:r>
        <w:t>: Capital, IT capital and non-IT capital in wholesale trade (index, 2012–13</w:t>
      </w:r>
      <w:r w:rsidR="006A530A">
        <w:t xml:space="preserve"> = </w:t>
      </w:r>
      <w:r>
        <w:t>100)</w:t>
      </w:r>
    </w:p>
    <w:p w14:paraId="19FA0911" w14:textId="2F822406" w:rsidR="00375729" w:rsidRDefault="004919FA" w:rsidP="00375729">
      <w:pPr>
        <w:spacing w:after="60"/>
      </w:pPr>
      <w:r>
        <w:rPr>
          <w:noProof/>
          <w:lang w:eastAsia="en-AU"/>
        </w:rPr>
        <w:drawing>
          <wp:inline distT="0" distB="0" distL="0" distR="0" wp14:anchorId="2FE0FF1F" wp14:editId="0EE98438">
            <wp:extent cx="4584700" cy="2743200"/>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283A9A62" w14:textId="77777777" w:rsidR="00375729" w:rsidRPr="007A0E07" w:rsidRDefault="00375729" w:rsidP="00012248">
      <w:pPr>
        <w:pStyle w:val="SourceNotes"/>
      </w:pPr>
      <w:r>
        <w:t xml:space="preserve">Source: </w:t>
      </w:r>
      <w:r w:rsidRPr="00323930">
        <w:t>ABS Cat. No. 5260.0.55.002 and author estimates</w:t>
      </w:r>
    </w:p>
    <w:p w14:paraId="6B4166D5" w14:textId="77777777" w:rsidR="00375729" w:rsidRDefault="00375729" w:rsidP="004919FA">
      <w:pPr>
        <w:pStyle w:val="Figurecaption"/>
      </w:pPr>
      <w:r>
        <w:t xml:space="preserve">Figure </w:t>
      </w:r>
      <w:r w:rsidR="00C42D34">
        <w:t>C3</w:t>
      </w:r>
      <w:r>
        <w:t>: Annual growth in IT and non-IT capital (% per year) and the IT share of capital income (%) in wholesale trade</w:t>
      </w:r>
    </w:p>
    <w:p w14:paraId="4712F34A" w14:textId="3C3160D4" w:rsidR="00375729" w:rsidRDefault="004919FA" w:rsidP="00375729">
      <w:pPr>
        <w:spacing w:after="60"/>
      </w:pPr>
      <w:r>
        <w:rPr>
          <w:noProof/>
          <w:lang w:eastAsia="en-AU"/>
        </w:rPr>
        <w:drawing>
          <wp:inline distT="0" distB="0" distL="0" distR="0" wp14:anchorId="7D2DD6BB" wp14:editId="396A404B">
            <wp:extent cx="4572635" cy="27432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D0C25BD" w14:textId="77777777" w:rsidR="00375729" w:rsidRDefault="00375729" w:rsidP="00012248">
      <w:pPr>
        <w:pStyle w:val="SourceNotes"/>
      </w:pPr>
      <w:r>
        <w:t xml:space="preserve">Source: </w:t>
      </w:r>
      <w:r w:rsidRPr="00323930">
        <w:t>Author estimates</w:t>
      </w:r>
    </w:p>
    <w:p w14:paraId="1610A4EC" w14:textId="77777777" w:rsidR="00375729" w:rsidRPr="00176DE4" w:rsidRDefault="00375729" w:rsidP="00375729">
      <w:pPr>
        <w:pStyle w:val="BodyTextNoIndent"/>
      </w:pPr>
      <w:r w:rsidRPr="00176DE4">
        <w:t>The growth in IT stocks in the second half of the 1990s and first half of the 2000s was mainly in hardware (</w:t>
      </w:r>
      <w:r w:rsidR="00C42D34" w:rsidRPr="00C42D34">
        <w:t>Figure C4</w:t>
      </w:r>
      <w:r w:rsidRPr="00176DE4">
        <w:t xml:space="preserve">). This made the sector hardware intensive for a while, as indicated by the hardware income share rising above 50 per cent. However, since the drop-off in IT use after 2007–08 was mostly in hardware, this intensity fell away rapidly. </w:t>
      </w:r>
    </w:p>
    <w:p w14:paraId="17939C5F" w14:textId="77777777" w:rsidR="00375729" w:rsidRPr="00176DE4" w:rsidRDefault="00375729" w:rsidP="00375729">
      <w:pPr>
        <w:pStyle w:val="BodyTextNoIndent"/>
      </w:pPr>
      <w:r w:rsidRPr="00176DE4">
        <w:t>Growth in software was reasonably steady by comparison. There was stronger growth in the early 1990s and the early 2000s.</w:t>
      </w:r>
    </w:p>
    <w:p w14:paraId="14E2A98D" w14:textId="77777777" w:rsidR="00375729" w:rsidRDefault="00375729" w:rsidP="004919FA">
      <w:pPr>
        <w:pStyle w:val="Figurecaption"/>
      </w:pPr>
      <w:r>
        <w:t xml:space="preserve">Figure </w:t>
      </w:r>
      <w:r w:rsidR="00C42D34">
        <w:t>C4</w:t>
      </w:r>
      <w:r>
        <w:t>: Annual growth in software and hardware (% per year) and hardware share of IT capital income (%) in wholesale trade</w:t>
      </w:r>
    </w:p>
    <w:p w14:paraId="568F532C" w14:textId="40076DBE" w:rsidR="00375729" w:rsidRDefault="004919FA" w:rsidP="00375729">
      <w:pPr>
        <w:spacing w:after="60"/>
      </w:pPr>
      <w:r>
        <w:rPr>
          <w:noProof/>
          <w:lang w:eastAsia="en-AU"/>
        </w:rPr>
        <w:drawing>
          <wp:inline distT="0" distB="0" distL="0" distR="0" wp14:anchorId="3954A9FC" wp14:editId="428D411B">
            <wp:extent cx="5047615" cy="3030220"/>
            <wp:effectExtent l="0" t="0" r="63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7615" cy="3030220"/>
                    </a:xfrm>
                    <a:prstGeom prst="rect">
                      <a:avLst/>
                    </a:prstGeom>
                    <a:noFill/>
                  </pic:spPr>
                </pic:pic>
              </a:graphicData>
            </a:graphic>
          </wp:inline>
        </w:drawing>
      </w:r>
    </w:p>
    <w:p w14:paraId="5376ADBA" w14:textId="77777777" w:rsidR="00375729" w:rsidRDefault="00375729" w:rsidP="00012248">
      <w:pPr>
        <w:pStyle w:val="SourceNotes"/>
      </w:pPr>
      <w:r>
        <w:t xml:space="preserve">Source: </w:t>
      </w:r>
      <w:r w:rsidRPr="00323930">
        <w:t>Author estimates</w:t>
      </w:r>
    </w:p>
    <w:p w14:paraId="0AF3A43F" w14:textId="77777777" w:rsidR="00375729" w:rsidRDefault="00EE3628" w:rsidP="00CF3D6E">
      <w:pPr>
        <w:pStyle w:val="BCRAppendicesSubheading"/>
      </w:pPr>
      <w:r>
        <w:t xml:space="preserve">C.2 </w:t>
      </w:r>
      <w:r w:rsidR="00375729">
        <w:t>Labour productivity growth</w:t>
      </w:r>
    </w:p>
    <w:p w14:paraId="3FF0B90A" w14:textId="77777777" w:rsidR="00375729" w:rsidRPr="00176DE4" w:rsidRDefault="00375729" w:rsidP="00375729">
      <w:r w:rsidRPr="00176DE4">
        <w:t>Between 1989–90 and 2013–14, labour productivity growth in wholesale trade was strong, so that the level of labour productivity increased 125 per cent. The average annual rate of growth in trend labour productivity (LP) was 4.0 per cent.</w:t>
      </w:r>
    </w:p>
    <w:p w14:paraId="10F7784C" w14:textId="77777777" w:rsidR="00375729" w:rsidRPr="00176DE4" w:rsidRDefault="00375729" w:rsidP="00375729">
      <w:r w:rsidRPr="00176DE4">
        <w:t>Productivity growth was also reasonably steady, aside from the negative effects of the early-1990s recession and the global financial crisis in the late 2000s (</w:t>
      </w:r>
      <w:r w:rsidRPr="00176DE4">
        <w:fldChar w:fldCharType="begin"/>
      </w:r>
      <w:r w:rsidRPr="00176DE4">
        <w:instrText xml:space="preserve"> REF _Ref423783671 \h </w:instrText>
      </w:r>
      <w:r w:rsidRPr="00176DE4">
        <w:fldChar w:fldCharType="separate"/>
      </w:r>
      <w:r w:rsidR="00DE5FE7">
        <w:t xml:space="preserve">Figure </w:t>
      </w:r>
      <w:r w:rsidR="00707C16">
        <w:t>C</w:t>
      </w:r>
      <w:r w:rsidR="00DE5FE7">
        <w:t>5</w:t>
      </w:r>
      <w:r w:rsidRPr="00176DE4">
        <w:fldChar w:fldCharType="end"/>
      </w:r>
      <w:r w:rsidRPr="00176DE4">
        <w:t>).</w:t>
      </w:r>
    </w:p>
    <w:p w14:paraId="00CEAFEA" w14:textId="77777777" w:rsidR="00375729" w:rsidRPr="00176DE4" w:rsidRDefault="00375729" w:rsidP="00375729">
      <w:r w:rsidRPr="00176DE4">
        <w:t xml:space="preserve">Peaks in LP cycles occurred in 1989–90, 2005–06, 2007–08 and 2013–14 according to the method set out in section 5.3. The peak in 1990–91 was used rather than the one in 1989–90 as it yields a growth rate to the next peak that is much closer in line with trend productivity growth.  </w:t>
      </w:r>
    </w:p>
    <w:p w14:paraId="143F4F3F" w14:textId="77777777" w:rsidR="00375729" w:rsidRPr="00176DE4" w:rsidRDefault="00375729" w:rsidP="00375729">
      <w:r w:rsidRPr="00176DE4">
        <w:t xml:space="preserve">Another peak was added at 2000–01, even though it escapes the formal decision rules. As </w:t>
      </w:r>
      <w:r w:rsidRPr="00176DE4">
        <w:fldChar w:fldCharType="begin"/>
      </w:r>
      <w:r w:rsidRPr="00176DE4">
        <w:instrText xml:space="preserve"> REF _Ref423783671 \h </w:instrText>
      </w:r>
      <w:r w:rsidRPr="00176DE4">
        <w:fldChar w:fldCharType="separate"/>
      </w:r>
      <w:r w:rsidR="00DE5FE7">
        <w:t>Figure A5</w:t>
      </w:r>
      <w:r w:rsidRPr="00176DE4">
        <w:fldChar w:fldCharType="end"/>
      </w:r>
      <w:r w:rsidRPr="00176DE4">
        <w:t xml:space="preserve"> shows, 2000–01 was a local peak well above trend. The peak in 2007–08 was overlooked, as it was so close to the peak in 2005–06.</w:t>
      </w:r>
    </w:p>
    <w:p w14:paraId="5BCFCFF2" w14:textId="77777777" w:rsidR="00375729" w:rsidRPr="00176DE4" w:rsidRDefault="00375729" w:rsidP="00375729">
      <w:r w:rsidRPr="00176DE4">
        <w:t>The average rates of growth in labour productivity over the resulting cycles were:</w:t>
      </w:r>
    </w:p>
    <w:p w14:paraId="4E6954C3" w14:textId="77777777" w:rsidR="00375729" w:rsidRPr="00176DE4" w:rsidRDefault="00375729" w:rsidP="004919FA">
      <w:pPr>
        <w:pStyle w:val="Bodybullet-Level1"/>
      </w:pPr>
      <w:r w:rsidRPr="00176DE4">
        <w:t>1990–91 to 2000–01: 6.0 per cent a year</w:t>
      </w:r>
    </w:p>
    <w:p w14:paraId="39E596E8" w14:textId="77777777" w:rsidR="00375729" w:rsidRPr="00176DE4" w:rsidRDefault="00375729" w:rsidP="004919FA">
      <w:pPr>
        <w:pStyle w:val="Bodybullet-Level1"/>
      </w:pPr>
      <w:r w:rsidRPr="00176DE4">
        <w:t>2000–01 to 2005–06: 3.7 per cent a year</w:t>
      </w:r>
      <w:r w:rsidR="00A322C9">
        <w:t>, and</w:t>
      </w:r>
    </w:p>
    <w:p w14:paraId="37DB027F" w14:textId="77777777" w:rsidR="00375729" w:rsidRPr="00176DE4" w:rsidRDefault="00375729" w:rsidP="004919FA">
      <w:pPr>
        <w:pStyle w:val="Bodybullet-Level1"/>
      </w:pPr>
      <w:r w:rsidRPr="00176DE4">
        <w:t>2005–06 to 2013–14: 1.7 per cent a year.</w:t>
      </w:r>
      <w:r w:rsidR="009A2198">
        <w:rPr>
          <w:rStyle w:val="EndnoteReference"/>
        </w:rPr>
        <w:endnoteReference w:id="20"/>
      </w:r>
    </w:p>
    <w:p w14:paraId="67FB8F29" w14:textId="77777777" w:rsidR="00375729" w:rsidRPr="00A90AE3" w:rsidRDefault="00375729" w:rsidP="004919FA">
      <w:pPr>
        <w:pStyle w:val="Figurecaption"/>
      </w:pPr>
      <w:r>
        <w:t xml:space="preserve">Figure </w:t>
      </w:r>
      <w:r w:rsidR="00C42D34">
        <w:t>C5</w:t>
      </w:r>
      <w:r>
        <w:t>: Actual and trend labour productivity in wholesale trade</w:t>
      </w:r>
      <w:r>
        <w:rPr>
          <w:sz w:val="22"/>
          <w:szCs w:val="22"/>
          <w:vertAlign w:val="superscript"/>
        </w:rPr>
        <w:t xml:space="preserve">a </w:t>
      </w:r>
      <w:r>
        <w:t>(indexes, actual 2012–13</w:t>
      </w:r>
      <w:r w:rsidR="006A530A">
        <w:t xml:space="preserve"> = </w:t>
      </w:r>
      <w:r>
        <w:t>100)</w:t>
      </w:r>
    </w:p>
    <w:p w14:paraId="38B00D9C" w14:textId="7C21CAC0" w:rsidR="00375729" w:rsidRDefault="004919FA" w:rsidP="00375729">
      <w:pPr>
        <w:spacing w:after="60"/>
      </w:pPr>
      <w:r>
        <w:rPr>
          <w:noProof/>
          <w:lang w:eastAsia="en-AU"/>
        </w:rPr>
        <w:drawing>
          <wp:inline distT="0" distB="0" distL="0" distR="0" wp14:anchorId="5A81D735" wp14:editId="360F183E">
            <wp:extent cx="4572635" cy="3048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635" cy="3048000"/>
                    </a:xfrm>
                    <a:prstGeom prst="rect">
                      <a:avLst/>
                    </a:prstGeom>
                    <a:noFill/>
                  </pic:spPr>
                </pic:pic>
              </a:graphicData>
            </a:graphic>
          </wp:inline>
        </w:drawing>
      </w:r>
    </w:p>
    <w:p w14:paraId="5506DADC" w14:textId="77777777" w:rsidR="00375729" w:rsidRPr="00323930"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p>
    <w:p w14:paraId="030704D0" w14:textId="77777777" w:rsidR="00375729" w:rsidRDefault="00375729" w:rsidP="00012248">
      <w:pPr>
        <w:pStyle w:val="SourceNotes"/>
      </w:pPr>
      <w:r w:rsidRPr="00323930">
        <w:t>Source:</w:t>
      </w:r>
      <w:r>
        <w:t xml:space="preserve"> </w:t>
      </w:r>
      <w:r w:rsidRPr="00323930">
        <w:t>ABS Cat. No. 5260.0.55.002 and author estimates</w:t>
      </w:r>
    </w:p>
    <w:p w14:paraId="3F505FB4" w14:textId="77777777" w:rsidR="00375729" w:rsidRDefault="001B3337" w:rsidP="00CF3D6E">
      <w:pPr>
        <w:pStyle w:val="BCRAppendicesSubSubheading"/>
      </w:pPr>
      <w:r>
        <w:t>C.2</w:t>
      </w:r>
      <w:r w:rsidR="00375729">
        <w:t>.1</w:t>
      </w:r>
      <w:r>
        <w:t xml:space="preserve"> </w:t>
      </w:r>
      <w:r w:rsidR="00375729">
        <w:t>IT capital deepening and LP growth</w:t>
      </w:r>
    </w:p>
    <w:p w14:paraId="09744274" w14:textId="77777777" w:rsidR="00375729" w:rsidRPr="00176DE4" w:rsidRDefault="00375729" w:rsidP="00375729">
      <w:r w:rsidRPr="00176DE4">
        <w:t xml:space="preserve">The growth in labour productivity can be decomposed into contributions from capital deepening and multifactor productivity (MFP) growth. Capital deepening is growth in the capital-labour ratio, multiplied by the share of total industry income attributed to capital. </w:t>
      </w:r>
    </w:p>
    <w:p w14:paraId="4C262040" w14:textId="77777777" w:rsidR="00375729" w:rsidRPr="00176DE4" w:rsidRDefault="00375729" w:rsidP="00375729">
      <w:r w:rsidRPr="00176DE4">
        <w:t>As previously noted, LP increased by 125 per cent over the period. The capital-labour ratio increased by over 210 per cent (</w:t>
      </w:r>
      <w:r w:rsidR="006C31C1" w:rsidRPr="006C31C1">
        <w:t>Figure C6</w:t>
      </w:r>
      <w:r w:rsidRPr="00176DE4">
        <w:t xml:space="preserve">). This needs to be weighted by the capital share of income, which averaged about one-third to indicate its contribution to LP growth. MFP growth accounted for a little over 50 percentage points. </w:t>
      </w:r>
    </w:p>
    <w:p w14:paraId="6DB0155C" w14:textId="77777777" w:rsidR="00375729" w:rsidRDefault="00375729" w:rsidP="004919FA">
      <w:pPr>
        <w:pStyle w:val="Figurecaption"/>
      </w:pPr>
      <w:r>
        <w:t xml:space="preserve">Figure </w:t>
      </w:r>
      <w:r w:rsidR="006C31C1">
        <w:t>C6</w:t>
      </w:r>
      <w:r>
        <w:t>: Labour productivity (LP), the capital-labour ratio (K/L) and multifactor productivity (MFP) in wholesale trade (index, 2012–13</w:t>
      </w:r>
      <w:r w:rsidR="006A530A">
        <w:t xml:space="preserve"> = </w:t>
      </w:r>
      <w:r>
        <w:t>100)</w:t>
      </w:r>
    </w:p>
    <w:p w14:paraId="173049A9" w14:textId="0F2EF5AF" w:rsidR="00375729" w:rsidRDefault="004919FA" w:rsidP="00375729">
      <w:pPr>
        <w:spacing w:after="60"/>
      </w:pPr>
      <w:r>
        <w:rPr>
          <w:noProof/>
          <w:lang w:eastAsia="en-AU"/>
        </w:rPr>
        <w:drawing>
          <wp:inline distT="0" distB="0" distL="0" distR="0" wp14:anchorId="448F76A1" wp14:editId="476F2D70">
            <wp:extent cx="4584700" cy="2755900"/>
            <wp:effectExtent l="0" t="0" r="635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28686C7" w14:textId="77777777" w:rsidR="00375729" w:rsidRDefault="00375729" w:rsidP="00012248">
      <w:pPr>
        <w:pStyle w:val="SourceNotes"/>
      </w:pPr>
      <w:r>
        <w:t xml:space="preserve">Source: </w:t>
      </w:r>
      <w:r w:rsidRPr="00323930">
        <w:t xml:space="preserve">ABS Cat. No. 5260.0.55.002 </w:t>
      </w:r>
    </w:p>
    <w:p w14:paraId="6DED447A" w14:textId="77777777" w:rsidR="00375729" w:rsidRPr="00176DE4" w:rsidRDefault="00375729" w:rsidP="00375729">
      <w:r w:rsidRPr="00176DE4">
        <w:t>MFP growth was especially strong in the 1990s at 4.0 per cent a year, accounting for about two-thirds of the v</w:t>
      </w:r>
      <w:r>
        <w:t>ery strong growth in LP (</w:t>
      </w:r>
      <w:r w:rsidR="006C31C1" w:rsidRPr="006C31C1">
        <w:t>Table C1</w:t>
      </w:r>
      <w:r w:rsidRPr="00176DE4">
        <w:t>). As MFP growth slowed in the 2000s and 2010s, capital deepening came to account for the majority of LP growth.</w:t>
      </w:r>
    </w:p>
    <w:p w14:paraId="4268E166" w14:textId="77777777" w:rsidR="00375729" w:rsidRPr="00176DE4" w:rsidRDefault="00375729" w:rsidP="00375729">
      <w:r w:rsidRPr="00176DE4">
        <w:t>There are indications of substitution of IT capital for labour having a very strong effect on LP growth in wholesale. IT capital deepening contributed 0.7 of a percentage point to LP growth in the 1990s, rising to 0.9 of a percentage point in the first period in the 2000s. These contributions were divided approximately two-thirds to hardware and one-third to software.</w:t>
      </w:r>
    </w:p>
    <w:p w14:paraId="4C9BE13E" w14:textId="77777777" w:rsidR="00375729" w:rsidRPr="00176DE4" w:rsidRDefault="00375729" w:rsidP="00375729">
      <w:r w:rsidRPr="00176DE4">
        <w:t>The IT capital deepening contribution fell to 0.4 of a percentage point after 2005–06 in line with slower growth in IT use. The fall was greater in hardware, meaning it and software contributed equally to IT capital deepening after 2005–06.</w:t>
      </w:r>
    </w:p>
    <w:p w14:paraId="131CE38A"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5651DAB5" w14:textId="77777777" w:rsidR="00375729" w:rsidRDefault="00375729" w:rsidP="004919FA">
      <w:pPr>
        <w:pStyle w:val="Tablecaption"/>
      </w:pPr>
      <w:r>
        <w:t xml:space="preserve">Table </w:t>
      </w:r>
      <w:r w:rsidR="006C31C1">
        <w:t>C1</w:t>
      </w:r>
      <w:r>
        <w:t>: Labour productivity growth accounting (per cent per annum and percentage points)</w:t>
      </w:r>
      <w:r>
        <w:rPr>
          <w:sz w:val="22"/>
          <w:szCs w:val="22"/>
          <w:vertAlign w:val="superscript"/>
        </w:rPr>
        <w:t>a</w:t>
      </w:r>
      <w:r>
        <w:rPr>
          <w:iCs/>
          <w:sz w:val="22"/>
          <w:szCs w:val="22"/>
        </w:rPr>
        <w:fldChar w:fldCharType="begin"/>
      </w:r>
      <w:r>
        <w:instrText xml:space="preserve"> LINK Excel.Sheet.12 "\\\\dept.gov.au\\DFS\\Home\\DParham\\desktop\\Docs\\1. GA project\\Industry studies\\Wholesale trade\\Wholesale workbook 150922.xlsx" "LP!R5C44:R12C47" \a \f 4 \h  \* MERGEFORMAT </w:instrText>
      </w:r>
      <w:r>
        <w:rPr>
          <w:iCs/>
          <w:sz w:val="22"/>
          <w:szCs w:val="22"/>
        </w:rPr>
        <w:fldChar w:fldCharType="separate"/>
      </w:r>
    </w:p>
    <w:tbl>
      <w:tblPr>
        <w:tblW w:w="7933" w:type="dxa"/>
        <w:tblLayout w:type="fixed"/>
        <w:tblLook w:val="04A0" w:firstRow="1" w:lastRow="0" w:firstColumn="1" w:lastColumn="0" w:noHBand="0" w:noVBand="1"/>
      </w:tblPr>
      <w:tblGrid>
        <w:gridCol w:w="3539"/>
        <w:gridCol w:w="1701"/>
        <w:gridCol w:w="1276"/>
        <w:gridCol w:w="1417"/>
      </w:tblGrid>
      <w:tr w:rsidR="00375729" w:rsidRPr="00132D5E" w14:paraId="236B5ECF" w14:textId="77777777" w:rsidTr="00CF3D6E">
        <w:trPr>
          <w:trHeight w:val="51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026BA" w14:textId="77777777" w:rsidR="00375729" w:rsidRPr="00E86E42" w:rsidRDefault="00375729" w:rsidP="004919FA">
            <w:pPr>
              <w:pStyle w:val="Tablecellheading"/>
            </w:pPr>
            <w:r w:rsidRPr="00E86E42">
              <w:t> </w:t>
            </w:r>
          </w:p>
        </w:tc>
        <w:tc>
          <w:tcPr>
            <w:tcW w:w="170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411A604C" w14:textId="77777777" w:rsidR="00375729" w:rsidRPr="00E86E42" w:rsidRDefault="00375729" w:rsidP="004919FA">
            <w:pPr>
              <w:pStyle w:val="Tablecellheading"/>
            </w:pPr>
            <w:r w:rsidRPr="00E86E42">
              <w:t>1990–91 to 2000–01</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2BED1C53" w14:textId="77777777" w:rsidR="00375729" w:rsidRPr="00E86E42" w:rsidRDefault="00375729" w:rsidP="004919FA">
            <w:pPr>
              <w:pStyle w:val="Tablecellheading"/>
            </w:pPr>
            <w:r w:rsidRPr="00E86E42">
              <w:t>2000–01 to 2005–06</w:t>
            </w:r>
          </w:p>
        </w:tc>
        <w:tc>
          <w:tcPr>
            <w:tcW w:w="1417"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42647864" w14:textId="77777777" w:rsidR="00375729" w:rsidRPr="00E86E42" w:rsidRDefault="00375729" w:rsidP="004919FA">
            <w:pPr>
              <w:pStyle w:val="Tablecellheading"/>
            </w:pPr>
            <w:r w:rsidRPr="00E86E42">
              <w:t>2005–06 to 2013–14</w:t>
            </w:r>
          </w:p>
        </w:tc>
      </w:tr>
      <w:tr w:rsidR="00375729" w:rsidRPr="00132D5E" w14:paraId="5F0EF2FE" w14:textId="77777777" w:rsidTr="00CF3D6E">
        <w:trPr>
          <w:trHeight w:val="330"/>
        </w:trPr>
        <w:tc>
          <w:tcPr>
            <w:tcW w:w="3539" w:type="dxa"/>
            <w:tcBorders>
              <w:top w:val="single" w:sz="4" w:space="0" w:color="auto"/>
              <w:left w:val="single" w:sz="4" w:space="0" w:color="auto"/>
              <w:bottom w:val="nil"/>
              <w:right w:val="single" w:sz="4" w:space="0" w:color="auto"/>
            </w:tcBorders>
            <w:shd w:val="clear" w:color="auto" w:fill="auto"/>
            <w:noWrap/>
            <w:vAlign w:val="bottom"/>
            <w:hideMark/>
          </w:tcPr>
          <w:p w14:paraId="6920F3CD" w14:textId="77777777" w:rsidR="00375729" w:rsidRPr="00CF3D6E" w:rsidRDefault="00375729" w:rsidP="004919FA">
            <w:pPr>
              <w:pStyle w:val="Tablecellsub-heading"/>
            </w:pPr>
            <w:r w:rsidRPr="00CF3D6E">
              <w:t>Capital deepening (pp)</w:t>
            </w:r>
          </w:p>
        </w:tc>
        <w:tc>
          <w:tcPr>
            <w:tcW w:w="1701" w:type="dxa"/>
            <w:tcBorders>
              <w:top w:val="single" w:sz="4" w:space="0" w:color="auto"/>
              <w:left w:val="single" w:sz="4" w:space="0" w:color="auto"/>
              <w:bottom w:val="nil"/>
              <w:right w:val="single" w:sz="4" w:space="0" w:color="BFBFBF" w:themeColor="background1" w:themeShade="BF"/>
            </w:tcBorders>
            <w:shd w:val="clear" w:color="auto" w:fill="auto"/>
            <w:noWrap/>
            <w:vAlign w:val="bottom"/>
            <w:hideMark/>
          </w:tcPr>
          <w:p w14:paraId="3036000D" w14:textId="77777777" w:rsidR="00375729" w:rsidRPr="00CF3D6E" w:rsidRDefault="00375729" w:rsidP="004919FA">
            <w:pPr>
              <w:pStyle w:val="Tabletext"/>
            </w:pPr>
            <w:r w:rsidRPr="00CF3D6E">
              <w:t>1.8 (31)</w:t>
            </w:r>
          </w:p>
        </w:tc>
        <w:tc>
          <w:tcPr>
            <w:tcW w:w="1276"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2ACC0E0" w14:textId="77777777" w:rsidR="00375729" w:rsidRPr="00CF3D6E" w:rsidRDefault="00375729" w:rsidP="004919FA">
            <w:pPr>
              <w:pStyle w:val="Tabletext"/>
            </w:pPr>
            <w:r w:rsidRPr="00CF3D6E">
              <w:t>2.4 (65)</w:t>
            </w:r>
          </w:p>
        </w:tc>
        <w:tc>
          <w:tcPr>
            <w:tcW w:w="1417" w:type="dxa"/>
            <w:tcBorders>
              <w:top w:val="single" w:sz="4" w:space="0" w:color="auto"/>
              <w:left w:val="single" w:sz="4" w:space="0" w:color="BFBFBF" w:themeColor="background1" w:themeShade="BF"/>
              <w:bottom w:val="nil"/>
              <w:right w:val="single" w:sz="4" w:space="0" w:color="auto"/>
            </w:tcBorders>
            <w:shd w:val="clear" w:color="auto" w:fill="auto"/>
            <w:noWrap/>
            <w:vAlign w:val="bottom"/>
            <w:hideMark/>
          </w:tcPr>
          <w:p w14:paraId="58701628" w14:textId="77777777" w:rsidR="00375729" w:rsidRPr="00CF3D6E" w:rsidRDefault="00375729" w:rsidP="004919FA">
            <w:pPr>
              <w:pStyle w:val="Tabletext"/>
            </w:pPr>
            <w:r w:rsidRPr="00CF3D6E">
              <w:t>0.9 (57)</w:t>
            </w:r>
          </w:p>
        </w:tc>
      </w:tr>
      <w:tr w:rsidR="00375729" w:rsidRPr="00132D5E" w14:paraId="1FB00537" w14:textId="77777777" w:rsidTr="00CF3D6E">
        <w:trPr>
          <w:trHeight w:val="330"/>
        </w:trPr>
        <w:tc>
          <w:tcPr>
            <w:tcW w:w="3539" w:type="dxa"/>
            <w:tcBorders>
              <w:top w:val="nil"/>
              <w:left w:val="single" w:sz="4" w:space="0" w:color="auto"/>
              <w:bottom w:val="nil"/>
              <w:right w:val="single" w:sz="4" w:space="0" w:color="auto"/>
            </w:tcBorders>
            <w:shd w:val="clear" w:color="auto" w:fill="auto"/>
            <w:noWrap/>
            <w:vAlign w:val="bottom"/>
            <w:hideMark/>
          </w:tcPr>
          <w:p w14:paraId="5B8CDAC8" w14:textId="77777777" w:rsidR="00375729" w:rsidRPr="00E86E42" w:rsidRDefault="00375729" w:rsidP="004919FA">
            <w:pPr>
              <w:pStyle w:val="Tablecellsub-heading"/>
            </w:pPr>
            <w:r w:rsidRPr="00E86E42">
              <w:t>IT capital deepening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45B202B2" w14:textId="77777777" w:rsidR="00375729" w:rsidRPr="00E86E42" w:rsidRDefault="00375729" w:rsidP="004919FA">
            <w:pPr>
              <w:pStyle w:val="Tabletext"/>
            </w:pPr>
            <w:r w:rsidRPr="00E86E42">
              <w:t>0.9 (16)</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91E50E9" w14:textId="77777777" w:rsidR="00375729" w:rsidRPr="00E86E42" w:rsidRDefault="00375729" w:rsidP="004919FA">
            <w:pPr>
              <w:pStyle w:val="Tabletext"/>
            </w:pPr>
            <w:r w:rsidRPr="00E86E42">
              <w:t>0.9 (25)</w:t>
            </w:r>
          </w:p>
        </w:tc>
        <w:tc>
          <w:tcPr>
            <w:tcW w:w="1417" w:type="dxa"/>
            <w:tcBorders>
              <w:top w:val="nil"/>
              <w:left w:val="single" w:sz="4" w:space="0" w:color="BFBFBF" w:themeColor="background1" w:themeShade="BF"/>
              <w:bottom w:val="nil"/>
              <w:right w:val="single" w:sz="4" w:space="0" w:color="auto"/>
            </w:tcBorders>
            <w:shd w:val="clear" w:color="auto" w:fill="auto"/>
            <w:noWrap/>
            <w:vAlign w:val="bottom"/>
            <w:hideMark/>
          </w:tcPr>
          <w:p w14:paraId="7B12EA36" w14:textId="77777777" w:rsidR="00375729" w:rsidRPr="00E86E42" w:rsidRDefault="00375729" w:rsidP="004919FA">
            <w:pPr>
              <w:pStyle w:val="Tabletext"/>
            </w:pPr>
            <w:r w:rsidRPr="00E86E42">
              <w:t>0.4 (24)</w:t>
            </w:r>
          </w:p>
        </w:tc>
      </w:tr>
      <w:tr w:rsidR="00375729" w:rsidRPr="00132D5E" w14:paraId="1F3C3526" w14:textId="77777777" w:rsidTr="00CF3D6E">
        <w:trPr>
          <w:trHeight w:val="330"/>
        </w:trPr>
        <w:tc>
          <w:tcPr>
            <w:tcW w:w="3539" w:type="dxa"/>
            <w:tcBorders>
              <w:top w:val="nil"/>
              <w:left w:val="single" w:sz="4" w:space="0" w:color="auto"/>
              <w:bottom w:val="nil"/>
              <w:right w:val="single" w:sz="4" w:space="0" w:color="auto"/>
            </w:tcBorders>
            <w:shd w:val="clear" w:color="auto" w:fill="auto"/>
            <w:noWrap/>
            <w:vAlign w:val="bottom"/>
            <w:hideMark/>
          </w:tcPr>
          <w:p w14:paraId="3EC4E287" w14:textId="77777777" w:rsidR="00375729" w:rsidRPr="00CF3D6E" w:rsidRDefault="0058764D" w:rsidP="004919FA">
            <w:pPr>
              <w:pStyle w:val="Tablecellsub-heading"/>
              <w:rPr>
                <w:i/>
              </w:rPr>
            </w:pPr>
            <w:r>
              <w:rPr>
                <w:i/>
              </w:rPr>
              <w:t>H</w:t>
            </w:r>
            <w:r w:rsidR="00375729" w:rsidRPr="00CF3D6E">
              <w:rPr>
                <w:i/>
              </w:rPr>
              <w:t>ardware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22331CD4" w14:textId="77777777" w:rsidR="00375729" w:rsidRPr="00CF3D6E" w:rsidRDefault="00375729" w:rsidP="004919FA">
            <w:pPr>
              <w:pStyle w:val="Tabletext"/>
              <w:rPr>
                <w:i/>
              </w:rPr>
            </w:pPr>
            <w:r w:rsidRPr="00CF3D6E">
              <w:rPr>
                <w:i/>
              </w:rPr>
              <w:t>0.6</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DE5A4F1" w14:textId="77777777" w:rsidR="00375729" w:rsidRPr="00CF3D6E" w:rsidRDefault="00375729" w:rsidP="004919FA">
            <w:pPr>
              <w:pStyle w:val="Tabletext"/>
              <w:rPr>
                <w:i/>
              </w:rPr>
            </w:pPr>
            <w:r w:rsidRPr="00CF3D6E">
              <w:rPr>
                <w:i/>
              </w:rPr>
              <w:t>0.6</w:t>
            </w:r>
          </w:p>
        </w:tc>
        <w:tc>
          <w:tcPr>
            <w:tcW w:w="1417" w:type="dxa"/>
            <w:tcBorders>
              <w:top w:val="nil"/>
              <w:left w:val="single" w:sz="4" w:space="0" w:color="BFBFBF" w:themeColor="background1" w:themeShade="BF"/>
              <w:bottom w:val="nil"/>
              <w:right w:val="single" w:sz="4" w:space="0" w:color="auto"/>
            </w:tcBorders>
            <w:shd w:val="clear" w:color="auto" w:fill="auto"/>
            <w:noWrap/>
            <w:vAlign w:val="bottom"/>
            <w:hideMark/>
          </w:tcPr>
          <w:p w14:paraId="0DF586AC" w14:textId="77777777" w:rsidR="00375729" w:rsidRPr="00CF3D6E" w:rsidRDefault="00375729" w:rsidP="004919FA">
            <w:pPr>
              <w:pStyle w:val="Tabletext"/>
              <w:rPr>
                <w:i/>
              </w:rPr>
            </w:pPr>
            <w:r w:rsidRPr="00CF3D6E">
              <w:rPr>
                <w:i/>
              </w:rPr>
              <w:t>0.2</w:t>
            </w:r>
          </w:p>
        </w:tc>
      </w:tr>
      <w:tr w:rsidR="00375729" w:rsidRPr="00132D5E" w14:paraId="5AE79B47" w14:textId="77777777" w:rsidTr="00CF3D6E">
        <w:trPr>
          <w:trHeight w:val="330"/>
        </w:trPr>
        <w:tc>
          <w:tcPr>
            <w:tcW w:w="3539" w:type="dxa"/>
            <w:tcBorders>
              <w:top w:val="nil"/>
              <w:left w:val="single" w:sz="4" w:space="0" w:color="auto"/>
              <w:bottom w:val="nil"/>
              <w:right w:val="single" w:sz="4" w:space="0" w:color="auto"/>
            </w:tcBorders>
            <w:shd w:val="clear" w:color="auto" w:fill="auto"/>
            <w:noWrap/>
            <w:vAlign w:val="bottom"/>
            <w:hideMark/>
          </w:tcPr>
          <w:p w14:paraId="63CFC347" w14:textId="77777777" w:rsidR="00375729" w:rsidRPr="00CF3D6E" w:rsidRDefault="0058764D" w:rsidP="004919FA">
            <w:pPr>
              <w:pStyle w:val="Tablecellsub-heading"/>
              <w:rPr>
                <w:i/>
              </w:rPr>
            </w:pPr>
            <w:r>
              <w:rPr>
                <w:i/>
              </w:rPr>
              <w:t>S</w:t>
            </w:r>
            <w:r w:rsidR="00375729" w:rsidRPr="00CF3D6E">
              <w:rPr>
                <w:i/>
              </w:rPr>
              <w:t>oftware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348357C8" w14:textId="77777777" w:rsidR="00375729" w:rsidRPr="00CF3D6E" w:rsidRDefault="00375729" w:rsidP="004919FA">
            <w:pPr>
              <w:pStyle w:val="Tabletext"/>
              <w:rPr>
                <w:i/>
              </w:rPr>
            </w:pPr>
            <w:r w:rsidRPr="00CF3D6E">
              <w:rPr>
                <w:i/>
              </w:rPr>
              <w:t>0.3</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CB5718" w14:textId="77777777" w:rsidR="00375729" w:rsidRPr="00CF3D6E" w:rsidRDefault="00375729" w:rsidP="004919FA">
            <w:pPr>
              <w:pStyle w:val="Tabletext"/>
              <w:rPr>
                <w:i/>
              </w:rPr>
            </w:pPr>
            <w:r w:rsidRPr="00CF3D6E">
              <w:rPr>
                <w:i/>
              </w:rPr>
              <w:t>0.3</w:t>
            </w:r>
          </w:p>
        </w:tc>
        <w:tc>
          <w:tcPr>
            <w:tcW w:w="1417" w:type="dxa"/>
            <w:tcBorders>
              <w:top w:val="nil"/>
              <w:left w:val="single" w:sz="4" w:space="0" w:color="BFBFBF" w:themeColor="background1" w:themeShade="BF"/>
              <w:bottom w:val="nil"/>
              <w:right w:val="single" w:sz="4" w:space="0" w:color="auto"/>
            </w:tcBorders>
            <w:shd w:val="clear" w:color="auto" w:fill="auto"/>
            <w:noWrap/>
            <w:vAlign w:val="bottom"/>
            <w:hideMark/>
          </w:tcPr>
          <w:p w14:paraId="6CD8F979" w14:textId="77777777" w:rsidR="00375729" w:rsidRPr="00CF3D6E" w:rsidRDefault="00375729" w:rsidP="004919FA">
            <w:pPr>
              <w:pStyle w:val="Tabletext"/>
              <w:rPr>
                <w:i/>
              </w:rPr>
            </w:pPr>
            <w:r w:rsidRPr="00CF3D6E">
              <w:rPr>
                <w:i/>
              </w:rPr>
              <w:t>0.2</w:t>
            </w:r>
          </w:p>
        </w:tc>
      </w:tr>
      <w:tr w:rsidR="00375729" w:rsidRPr="00132D5E" w14:paraId="5E4F88D9" w14:textId="77777777" w:rsidTr="00CF3D6E">
        <w:trPr>
          <w:trHeight w:val="330"/>
        </w:trPr>
        <w:tc>
          <w:tcPr>
            <w:tcW w:w="3539" w:type="dxa"/>
            <w:tcBorders>
              <w:top w:val="nil"/>
              <w:left w:val="single" w:sz="4" w:space="0" w:color="auto"/>
              <w:bottom w:val="nil"/>
              <w:right w:val="single" w:sz="4" w:space="0" w:color="auto"/>
            </w:tcBorders>
            <w:shd w:val="clear" w:color="auto" w:fill="auto"/>
            <w:noWrap/>
            <w:vAlign w:val="bottom"/>
            <w:hideMark/>
          </w:tcPr>
          <w:p w14:paraId="023CEA9B" w14:textId="77777777" w:rsidR="00375729" w:rsidRPr="00E86E42" w:rsidRDefault="00375729" w:rsidP="004919FA">
            <w:pPr>
              <w:pStyle w:val="Tablecellsub-heading"/>
            </w:pPr>
            <w:r w:rsidRPr="00E86E42">
              <w:t>Non-IT capital deepening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760100CA" w14:textId="77777777" w:rsidR="00375729" w:rsidRPr="00E86E42" w:rsidRDefault="00375729" w:rsidP="004919FA">
            <w:pPr>
              <w:pStyle w:val="Tabletext"/>
            </w:pPr>
            <w:r w:rsidRPr="00E86E42">
              <w:t>0.9 (15)</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884657" w14:textId="77777777" w:rsidR="00375729" w:rsidRPr="00E86E42" w:rsidRDefault="00375729" w:rsidP="004919FA">
            <w:pPr>
              <w:pStyle w:val="Tabletext"/>
            </w:pPr>
            <w:r w:rsidRPr="00E86E42">
              <w:t>1.5 (40)</w:t>
            </w:r>
          </w:p>
        </w:tc>
        <w:tc>
          <w:tcPr>
            <w:tcW w:w="1417" w:type="dxa"/>
            <w:tcBorders>
              <w:top w:val="nil"/>
              <w:left w:val="single" w:sz="4" w:space="0" w:color="BFBFBF" w:themeColor="background1" w:themeShade="BF"/>
              <w:bottom w:val="nil"/>
              <w:right w:val="single" w:sz="4" w:space="0" w:color="auto"/>
            </w:tcBorders>
            <w:shd w:val="clear" w:color="auto" w:fill="auto"/>
            <w:noWrap/>
            <w:vAlign w:val="bottom"/>
            <w:hideMark/>
          </w:tcPr>
          <w:p w14:paraId="49FF32E0" w14:textId="77777777" w:rsidR="00375729" w:rsidRPr="00E86E42" w:rsidRDefault="00375729" w:rsidP="004919FA">
            <w:pPr>
              <w:pStyle w:val="Tabletext"/>
            </w:pPr>
            <w:r w:rsidRPr="00E86E42">
              <w:t>0.6 (33)</w:t>
            </w:r>
          </w:p>
        </w:tc>
      </w:tr>
      <w:tr w:rsidR="00375729" w:rsidRPr="00132D5E" w14:paraId="57193D3B" w14:textId="77777777" w:rsidTr="00CF3D6E">
        <w:trPr>
          <w:trHeight w:val="330"/>
        </w:trPr>
        <w:tc>
          <w:tcPr>
            <w:tcW w:w="3539" w:type="dxa"/>
            <w:tcBorders>
              <w:top w:val="nil"/>
              <w:left w:val="single" w:sz="4" w:space="0" w:color="auto"/>
              <w:bottom w:val="nil"/>
              <w:right w:val="single" w:sz="4" w:space="0" w:color="auto"/>
            </w:tcBorders>
            <w:shd w:val="clear" w:color="auto" w:fill="auto"/>
            <w:noWrap/>
            <w:vAlign w:val="bottom"/>
            <w:hideMark/>
          </w:tcPr>
          <w:p w14:paraId="2C41E5FE" w14:textId="77777777" w:rsidR="00375729" w:rsidRPr="00CF3D6E" w:rsidRDefault="00375729" w:rsidP="004919FA">
            <w:pPr>
              <w:pStyle w:val="Tablecellsub-heading"/>
            </w:pPr>
            <w:r w:rsidRPr="00CF3D6E">
              <w:t>MFP growth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77211018" w14:textId="77777777" w:rsidR="00375729" w:rsidRPr="00CF3D6E" w:rsidRDefault="00375729" w:rsidP="004919FA">
            <w:pPr>
              <w:pStyle w:val="Tabletext"/>
            </w:pPr>
            <w:r w:rsidRPr="00CF3D6E">
              <w:t>4.0 (69)</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736C38" w14:textId="77777777" w:rsidR="00375729" w:rsidRPr="00CF3D6E" w:rsidRDefault="00375729" w:rsidP="004919FA">
            <w:pPr>
              <w:pStyle w:val="Tabletext"/>
            </w:pPr>
            <w:r w:rsidRPr="00CF3D6E">
              <w:t>1.3 (35)</w:t>
            </w:r>
          </w:p>
        </w:tc>
        <w:tc>
          <w:tcPr>
            <w:tcW w:w="1417" w:type="dxa"/>
            <w:tcBorders>
              <w:top w:val="nil"/>
              <w:left w:val="single" w:sz="4" w:space="0" w:color="BFBFBF" w:themeColor="background1" w:themeShade="BF"/>
              <w:bottom w:val="nil"/>
              <w:right w:val="single" w:sz="4" w:space="0" w:color="auto"/>
            </w:tcBorders>
            <w:shd w:val="clear" w:color="auto" w:fill="auto"/>
            <w:noWrap/>
            <w:vAlign w:val="bottom"/>
            <w:hideMark/>
          </w:tcPr>
          <w:p w14:paraId="490B71CA" w14:textId="77777777" w:rsidR="00375729" w:rsidRPr="00CF3D6E" w:rsidRDefault="00375729" w:rsidP="004919FA">
            <w:pPr>
              <w:pStyle w:val="Tabletext"/>
            </w:pPr>
            <w:r w:rsidRPr="00CF3D6E">
              <w:t>0.7 (43)</w:t>
            </w:r>
          </w:p>
        </w:tc>
      </w:tr>
      <w:tr w:rsidR="00375729" w:rsidRPr="00132D5E" w14:paraId="368F158A" w14:textId="77777777" w:rsidTr="00CF3D6E">
        <w:trPr>
          <w:trHeight w:val="330"/>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7E4EDB05" w14:textId="77777777" w:rsidR="00375729" w:rsidRPr="00CF3D6E" w:rsidRDefault="00375729" w:rsidP="004919FA">
            <w:pPr>
              <w:pStyle w:val="Tablecellsub-heading"/>
            </w:pPr>
            <w:r w:rsidRPr="00CF3D6E">
              <w:t>Labour productivity growth (%pp)</w:t>
            </w:r>
          </w:p>
        </w:tc>
        <w:tc>
          <w:tcPr>
            <w:tcW w:w="1701" w:type="dxa"/>
            <w:tcBorders>
              <w:top w:val="nil"/>
              <w:left w:val="single" w:sz="4" w:space="0" w:color="auto"/>
              <w:bottom w:val="single" w:sz="4" w:space="0" w:color="auto"/>
              <w:right w:val="single" w:sz="4" w:space="0" w:color="BFBFBF" w:themeColor="background1" w:themeShade="BF"/>
            </w:tcBorders>
            <w:shd w:val="clear" w:color="auto" w:fill="auto"/>
            <w:noWrap/>
            <w:vAlign w:val="bottom"/>
            <w:hideMark/>
          </w:tcPr>
          <w:p w14:paraId="32353FCF" w14:textId="77777777" w:rsidR="00375729" w:rsidRPr="00CF3D6E" w:rsidRDefault="00375729" w:rsidP="004919FA">
            <w:pPr>
              <w:pStyle w:val="Tabletext"/>
            </w:pPr>
            <w:r w:rsidRPr="00CF3D6E">
              <w:t>5.8 (100)</w:t>
            </w:r>
          </w:p>
        </w:tc>
        <w:tc>
          <w:tcPr>
            <w:tcW w:w="1276"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3FDDBEBE" w14:textId="77777777" w:rsidR="00375729" w:rsidRPr="00CF3D6E" w:rsidRDefault="00375729" w:rsidP="004919FA">
            <w:pPr>
              <w:pStyle w:val="Tabletext"/>
            </w:pPr>
            <w:r w:rsidRPr="00CF3D6E">
              <w:t>3.7 (100)</w:t>
            </w:r>
          </w:p>
        </w:tc>
        <w:tc>
          <w:tcPr>
            <w:tcW w:w="1417" w:type="dxa"/>
            <w:tcBorders>
              <w:top w:val="nil"/>
              <w:left w:val="single" w:sz="4" w:space="0" w:color="BFBFBF" w:themeColor="background1" w:themeShade="BF"/>
              <w:bottom w:val="single" w:sz="4" w:space="0" w:color="auto"/>
              <w:right w:val="single" w:sz="4" w:space="0" w:color="auto"/>
            </w:tcBorders>
            <w:shd w:val="clear" w:color="auto" w:fill="auto"/>
            <w:noWrap/>
            <w:vAlign w:val="bottom"/>
            <w:hideMark/>
          </w:tcPr>
          <w:p w14:paraId="38EB50FF" w14:textId="77777777" w:rsidR="00375729" w:rsidRPr="00CF3D6E" w:rsidRDefault="00375729" w:rsidP="004919FA">
            <w:pPr>
              <w:pStyle w:val="Tabletext"/>
            </w:pPr>
            <w:r w:rsidRPr="00CF3D6E">
              <w:t>1.7 (100)</w:t>
            </w:r>
          </w:p>
        </w:tc>
      </w:tr>
    </w:tbl>
    <w:p w14:paraId="2A3A0CE0" w14:textId="77777777" w:rsidR="00E6193A" w:rsidRPr="00323930" w:rsidRDefault="00375729" w:rsidP="00012248">
      <w:pPr>
        <w:pStyle w:val="SourceNotes"/>
      </w:pPr>
      <w:r>
        <w:fldChar w:fldCharType="end"/>
      </w:r>
      <w:r>
        <w:t>Note: a. Figures in brackets refer to percentages of labour productivity growth</w:t>
      </w:r>
      <w:r w:rsidR="00E6193A">
        <w:t xml:space="preserve">. </w:t>
      </w:r>
      <w:r w:rsidR="00E6193A">
        <w:br/>
      </w:r>
      <w:r w:rsidR="00E6193A" w:rsidRPr="000E36A5">
        <w:t>Numbers may not add up due to rounding</w:t>
      </w:r>
      <w:r w:rsidR="00E6193A">
        <w:t xml:space="preserve">. </w:t>
      </w:r>
      <w:r w:rsidR="00E6193A" w:rsidRPr="00323930">
        <w:tab/>
      </w:r>
    </w:p>
    <w:p w14:paraId="100CBAA1" w14:textId="77777777" w:rsidR="00375729" w:rsidRDefault="00375729" w:rsidP="00012248">
      <w:pPr>
        <w:pStyle w:val="SourceNotes"/>
      </w:pPr>
      <w:r>
        <w:t xml:space="preserve">Source: </w:t>
      </w:r>
      <w:r w:rsidRPr="00F07285">
        <w:t>Author estimates</w:t>
      </w:r>
    </w:p>
    <w:p w14:paraId="53607061" w14:textId="77777777" w:rsidR="00375729" w:rsidRDefault="00375729" w:rsidP="00375729">
      <w:r>
        <w:t>Any co-variation between the IT capital deepening contribution and LP growth across the cycles was swamped by variations in MFP growth</w:t>
      </w:r>
      <w:r w:rsidRPr="00737F48">
        <w:t xml:space="preserve"> </w:t>
      </w:r>
      <w:r>
        <w:t>and non-IT capital deepening.</w:t>
      </w:r>
    </w:p>
    <w:p w14:paraId="35C4146D" w14:textId="77777777" w:rsidR="00375729" w:rsidRDefault="00D263BE" w:rsidP="00CF3D6E">
      <w:pPr>
        <w:pStyle w:val="BCRAppendicesSubSubheading"/>
      </w:pPr>
      <w:r>
        <w:t>C.2</w:t>
      </w:r>
      <w:r w:rsidR="00375729">
        <w:t>.2 IT use and skills</w:t>
      </w:r>
    </w:p>
    <w:p w14:paraId="3E50759C" w14:textId="77777777" w:rsidR="00375729" w:rsidRPr="00176DE4" w:rsidRDefault="00375729" w:rsidP="00375729">
      <w:r w:rsidRPr="00176DE4">
        <w:t>The average skill level</w:t>
      </w:r>
      <w:r w:rsidR="00711EDC">
        <w:t xml:space="preserve"> </w:t>
      </w:r>
      <w:r w:rsidR="00A94483">
        <w:t>of labour</w:t>
      </w:r>
      <w:r w:rsidRPr="00176DE4">
        <w:t xml:space="preserve"> increased by 13 per cent over the entire period. Even though the use of IT increased by much more there was very high correlation (a coefficient of 0.98) between the increase in skill and the increase in IT use (</w:t>
      </w:r>
      <w:r w:rsidR="00A212AC">
        <w:t>Figure</w:t>
      </w:r>
      <w:r w:rsidR="006C31C1" w:rsidRPr="006C31C1">
        <w:t xml:space="preserve"> C7</w:t>
      </w:r>
      <w:r w:rsidRPr="00176DE4">
        <w:t xml:space="preserve">). </w:t>
      </w:r>
    </w:p>
    <w:p w14:paraId="2FBCBD9C" w14:textId="77777777" w:rsidR="00375729" w:rsidRDefault="00375729" w:rsidP="00375729">
      <w:r w:rsidRPr="00176DE4">
        <w:t>This co-variation could reflect, at least to some extent, a bias in IT use toward skill. If IT was helping wholesale to transform away from a storage-based system, the need for unskilled labour in storage-based loading and unloading activities could be reduced. Without further analysis, it is not possible to confirm whether or the extent to which the co-variation is causal or spurious.</w:t>
      </w:r>
    </w:p>
    <w:p w14:paraId="76C2DEA3" w14:textId="77777777" w:rsidR="00375729" w:rsidRPr="004919FA" w:rsidRDefault="00375729" w:rsidP="004919FA">
      <w:pPr>
        <w:pStyle w:val="Figurecaption"/>
      </w:pPr>
      <w:bookmarkStart w:id="112" w:name="_Ref425252304"/>
      <w:r w:rsidRPr="004919FA">
        <w:rPr>
          <w:rStyle w:val="ChartandfiguresheadingChar"/>
          <w:rFonts w:ascii="Calibri" w:eastAsiaTheme="minorHAnsi" w:hAnsi="Calibri" w:cstheme="minorBidi"/>
          <w:bCs/>
          <w:color w:val="AB0F14" w:themeColor="text1"/>
          <w:sz w:val="18"/>
          <w:szCs w:val="18"/>
        </w:rPr>
        <w:t xml:space="preserve">Figure </w:t>
      </w:r>
      <w:bookmarkEnd w:id="112"/>
      <w:r w:rsidR="006C31C1" w:rsidRPr="004919FA">
        <w:rPr>
          <w:rStyle w:val="ChartandfiguresheadingChar"/>
          <w:rFonts w:ascii="Calibri" w:eastAsiaTheme="minorHAnsi" w:hAnsi="Calibri" w:cstheme="minorBidi"/>
          <w:bCs/>
          <w:color w:val="AB0F14" w:themeColor="text1"/>
          <w:sz w:val="18"/>
          <w:szCs w:val="18"/>
        </w:rPr>
        <w:t>C7</w:t>
      </w:r>
      <w:r w:rsidRPr="004919FA">
        <w:rPr>
          <w:rStyle w:val="ChartandfiguresheadingChar"/>
          <w:rFonts w:ascii="Calibri" w:eastAsiaTheme="minorHAnsi" w:hAnsi="Calibri" w:cstheme="minorBidi"/>
          <w:bCs/>
          <w:color w:val="AB0F14" w:themeColor="text1"/>
          <w:sz w:val="18"/>
          <w:szCs w:val="18"/>
        </w:rPr>
        <w:t>: IT capital and average skill in wholesale trade</w:t>
      </w:r>
      <w:r w:rsidR="007940E0" w:rsidRPr="004919FA">
        <w:rPr>
          <w:rStyle w:val="ChartandfiguresheadingChar"/>
          <w:rFonts w:ascii="Calibri" w:eastAsiaTheme="minorHAnsi" w:hAnsi="Calibri" w:cstheme="minorBidi"/>
          <w:bCs/>
          <w:color w:val="AB0F14" w:themeColor="text1"/>
          <w:sz w:val="18"/>
          <w:szCs w:val="18"/>
        </w:rPr>
        <w:t xml:space="preserve"> </w:t>
      </w:r>
      <w:r w:rsidR="007940E0" w:rsidRPr="004919FA">
        <w:t>(index, 2012–13</w:t>
      </w:r>
      <w:r w:rsidR="006A530A" w:rsidRPr="004919FA">
        <w:t xml:space="preserve"> = </w:t>
      </w:r>
      <w:r w:rsidR="007940E0" w:rsidRPr="004919FA">
        <w:t>100)</w:t>
      </w:r>
    </w:p>
    <w:p w14:paraId="2CE412AB" w14:textId="5EC76585" w:rsidR="00375729" w:rsidRDefault="004919FA" w:rsidP="00012248">
      <w:pPr>
        <w:pStyle w:val="SourceNotes"/>
      </w:pPr>
      <w:r>
        <w:rPr>
          <w:noProof/>
          <w:lang w:eastAsia="en-AU"/>
        </w:rPr>
        <w:drawing>
          <wp:inline distT="0" distB="0" distL="0" distR="0" wp14:anchorId="29A23E9C" wp14:editId="59C4679A">
            <wp:extent cx="4584700" cy="2755900"/>
            <wp:effectExtent l="0" t="0" r="635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4AD02E9" w14:textId="77777777" w:rsidR="00375729" w:rsidRPr="001825E8" w:rsidRDefault="00375729" w:rsidP="00012248">
      <w:pPr>
        <w:pStyle w:val="SourceNotes"/>
      </w:pPr>
      <w:r w:rsidRPr="001825E8">
        <w:t>Source: Author estimates</w:t>
      </w:r>
    </w:p>
    <w:p w14:paraId="3C5587DA" w14:textId="77777777" w:rsidR="00375729" w:rsidRDefault="00D263BE" w:rsidP="00CF3D6E">
      <w:pPr>
        <w:pStyle w:val="BCRAppendicesSubheading"/>
      </w:pPr>
      <w:r>
        <w:t xml:space="preserve">C.3 </w:t>
      </w:r>
      <w:r w:rsidR="00375729">
        <w:t>IT, asset use</w:t>
      </w:r>
      <w:r w:rsidR="00D03D0D">
        <w:t>,</w:t>
      </w:r>
      <w:r w:rsidR="00375729">
        <w:t xml:space="preserve"> and capital productivity</w:t>
      </w:r>
    </w:p>
    <w:p w14:paraId="38497C8E" w14:textId="77777777" w:rsidR="00375729" w:rsidRPr="00176DE4" w:rsidRDefault="00375729" w:rsidP="00375729">
      <w:r w:rsidRPr="00176DE4">
        <w:t>IT can also enhance the productivity of other assets. For example, if IT enabled the industry to transform away from storage-based operations the unit requirements for various types of assets such as buildings and inventories may fall. That is, the productivity of non-IT assets may rise.</w:t>
      </w:r>
    </w:p>
    <w:p w14:paraId="763C1C90" w14:textId="77777777" w:rsidR="00375729" w:rsidRPr="00176DE4" w:rsidRDefault="006C31C1" w:rsidP="00375729">
      <w:r w:rsidRPr="006C31C1">
        <w:t>Figure C8</w:t>
      </w:r>
      <w:r w:rsidR="00375729" w:rsidRPr="00176DE4">
        <w:t xml:space="preserve"> shows the productivity of total capital and non-IT capital. The difference between the two is the productivity of IT capital. Because IT capital has grown much more rapidly than value added in wholesaling, IT capital productivity has fallen steeply.</w:t>
      </w:r>
    </w:p>
    <w:p w14:paraId="7B20BD5D" w14:textId="77777777" w:rsidR="00375729" w:rsidRDefault="00375729" w:rsidP="004919FA">
      <w:pPr>
        <w:pStyle w:val="Figurecaption"/>
      </w:pPr>
      <w:r>
        <w:t xml:space="preserve">Figure </w:t>
      </w:r>
      <w:r w:rsidR="006C31C1">
        <w:t>C8</w:t>
      </w:r>
      <w:r>
        <w:t>: Capital productivity of all assets and non-IT assets in wholesale trade</w:t>
      </w:r>
    </w:p>
    <w:p w14:paraId="320D9F22" w14:textId="62019416" w:rsidR="00375729" w:rsidRDefault="004919FA" w:rsidP="00375729">
      <w:r>
        <w:rPr>
          <w:noProof/>
          <w:lang w:eastAsia="en-AU"/>
        </w:rPr>
        <w:drawing>
          <wp:inline distT="0" distB="0" distL="0" distR="0" wp14:anchorId="1A7851F1" wp14:editId="77ED3470">
            <wp:extent cx="4298315" cy="2585085"/>
            <wp:effectExtent l="0" t="0" r="6985" b="57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8315" cy="2585085"/>
                    </a:xfrm>
                    <a:prstGeom prst="rect">
                      <a:avLst/>
                    </a:prstGeom>
                    <a:noFill/>
                  </pic:spPr>
                </pic:pic>
              </a:graphicData>
            </a:graphic>
          </wp:inline>
        </w:drawing>
      </w:r>
    </w:p>
    <w:p w14:paraId="4F9EA90D" w14:textId="77777777" w:rsidR="00375729" w:rsidRDefault="00375729" w:rsidP="00012248">
      <w:pPr>
        <w:pStyle w:val="SourceNotes"/>
      </w:pPr>
      <w:r>
        <w:t xml:space="preserve">Source: </w:t>
      </w:r>
      <w:r w:rsidRPr="00323930">
        <w:t>Author estimates</w:t>
      </w:r>
    </w:p>
    <w:p w14:paraId="14C83F6D" w14:textId="77777777" w:rsidR="00375729" w:rsidRPr="00176DE4" w:rsidRDefault="00375729" w:rsidP="00375729">
      <w:pPr>
        <w:pStyle w:val="BodyTextNoIndent"/>
      </w:pPr>
      <w:r w:rsidRPr="00176DE4">
        <w:t>There is some association between IT use and the productivity of non-IT assets. The productivity of non-IT capital grew in the 1990s when there was steep growth in IT. However, it levelled out from the late-1990s when there was still strong growth in IT, and declined a little in the second half of the 2000s when there was little growth in IT.</w:t>
      </w:r>
    </w:p>
    <w:p w14:paraId="6135FB0F" w14:textId="77777777" w:rsidR="00375729" w:rsidRPr="00176DE4" w:rsidRDefault="00375729" w:rsidP="00375729">
      <w:pPr>
        <w:pStyle w:val="BodyTextNoIndent"/>
      </w:pPr>
      <w:r w:rsidRPr="00176DE4">
        <w:t>The productivity of individual asset types was also investigated. The major capital inputs in wholesale are non-dwelling construction (average 26 per cent of capital costs), inventories (23 per cent), industrial machinery and equipment (13 per cent) and road vehicles (9 per cent). Non-dwelling construction is assumed to be mostly buildings.</w:t>
      </w:r>
    </w:p>
    <w:p w14:paraId="6EED4CB5" w14:textId="77777777" w:rsidR="00375729" w:rsidRPr="00176DE4" w:rsidRDefault="007068B6" w:rsidP="00375729">
      <w:pPr>
        <w:pStyle w:val="BodyTextNoIndent"/>
      </w:pPr>
      <w:r>
        <w:t>Figure C9</w:t>
      </w:r>
      <w:r w:rsidR="00375729" w:rsidRPr="00176DE4">
        <w:t xml:space="preserve"> shows the productivity of use of these major assets, along with the productivity of land use (2 per cent of capital income).</w:t>
      </w:r>
    </w:p>
    <w:p w14:paraId="20A4A8ED" w14:textId="77777777" w:rsidR="00375729" w:rsidRPr="00176DE4" w:rsidRDefault="00375729" w:rsidP="00375729">
      <w:pPr>
        <w:pStyle w:val="BodyTextNoIndent"/>
      </w:pPr>
      <w:r w:rsidRPr="00176DE4">
        <w:t>The productivity of buildings and of land has improved around</w:t>
      </w:r>
      <w:r>
        <w:t xml:space="preserve"> </w:t>
      </w:r>
      <w:r w:rsidRPr="00176DE4">
        <w:t xml:space="preserve">100 per cent from the mid-1990s to the early 2010s. That is, double the amount of output could be generated from the same amount of land and buildings. This is consistent with IT enabling the rationalisation of storage facilities and the transition away from a storage-based model of wholesale distribution. The correlation coefficients for IT use with land productivity and with building productivity are both 0.93. </w:t>
      </w:r>
    </w:p>
    <w:p w14:paraId="67F15899" w14:textId="77777777" w:rsidR="00375729" w:rsidRPr="00176DE4" w:rsidRDefault="00375729" w:rsidP="00375729">
      <w:pPr>
        <w:pStyle w:val="BodyTextNoIndent"/>
      </w:pPr>
      <w:r w:rsidRPr="00176DE4">
        <w:t>The productivity of the other major assets improved in the 1990s. This was especially true of industrial machinery and equipment.</w:t>
      </w:r>
    </w:p>
    <w:p w14:paraId="30E0D0E1" w14:textId="77777777" w:rsidR="00375729" w:rsidRPr="00176DE4" w:rsidRDefault="00375729" w:rsidP="00375729">
      <w:pPr>
        <w:pStyle w:val="BodyTextNoIndent"/>
      </w:pPr>
      <w:r w:rsidRPr="00176DE4">
        <w:t>However, there were larger requirements for holding inventories and use of road vehicles and industrial machinery and equipment in the 2000s. This has not been investigated but may reflect a compositional shift within the industry associated with the mining boom. According to ABS data</w:t>
      </w:r>
      <w:r w:rsidRPr="00176DE4">
        <w:rPr>
          <w:vertAlign w:val="superscript"/>
        </w:rPr>
        <w:footnoteReference w:id="15"/>
      </w:r>
      <w:r w:rsidRPr="00176DE4">
        <w:t>, the distribution of basic materials was the largest of wholesale’s sub-industries in 2012–13.</w:t>
      </w:r>
      <w:r w:rsidR="009A2198">
        <w:rPr>
          <w:rStyle w:val="EndnoteReference"/>
        </w:rPr>
        <w:endnoteReference w:id="21"/>
      </w:r>
    </w:p>
    <w:p w14:paraId="3BBA25C6" w14:textId="77777777" w:rsidR="00375729" w:rsidRDefault="00375729" w:rsidP="004919FA">
      <w:pPr>
        <w:pStyle w:val="Figurecaption"/>
      </w:pPr>
      <w:r>
        <w:t xml:space="preserve">Figure </w:t>
      </w:r>
      <w:r w:rsidR="006C31C1">
        <w:t>C9</w:t>
      </w:r>
      <w:r>
        <w:t>: Asset productivity</w:t>
      </w:r>
      <w:r w:rsidR="00B872C3">
        <w:t>—</w:t>
      </w:r>
      <w:r>
        <w:t>the ratio of value added to use of selected assets in wholesale trade</w:t>
      </w:r>
    </w:p>
    <w:p w14:paraId="6F47F531" w14:textId="6BDBCE01" w:rsidR="00375729" w:rsidRDefault="004919FA" w:rsidP="00375729">
      <w:r>
        <w:rPr>
          <w:noProof/>
          <w:lang w:eastAsia="en-AU"/>
        </w:rPr>
        <w:drawing>
          <wp:inline distT="0" distB="0" distL="0" distR="0" wp14:anchorId="4540D9BD" wp14:editId="58BD2907">
            <wp:extent cx="4584700" cy="2755900"/>
            <wp:effectExtent l="0" t="0" r="635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69657F4" w14:textId="77777777" w:rsidR="00375729" w:rsidRDefault="00375729" w:rsidP="00012248">
      <w:pPr>
        <w:pStyle w:val="SourceNotes"/>
      </w:pPr>
      <w:r>
        <w:t xml:space="preserve">Source: </w:t>
      </w:r>
      <w:r w:rsidRPr="00323930">
        <w:t>Author estimates</w:t>
      </w:r>
    </w:p>
    <w:p w14:paraId="40B90EEC" w14:textId="77777777" w:rsidR="00375729" w:rsidRDefault="00D263BE" w:rsidP="00CF3D6E">
      <w:pPr>
        <w:pStyle w:val="BCRAppendicesSubheading"/>
      </w:pPr>
      <w:r>
        <w:t xml:space="preserve">C.4 </w:t>
      </w:r>
      <w:r w:rsidR="00375729">
        <w:t>Use of intermediates</w:t>
      </w:r>
    </w:p>
    <w:p w14:paraId="167E4110" w14:textId="77777777" w:rsidR="00375729" w:rsidRPr="00176DE4" w:rsidRDefault="00375729" w:rsidP="00375729">
      <w:r w:rsidRPr="00176DE4">
        <w:t>Another proposition is that IT could help improve the efficiency of use of intermediate inputs, that is, inputs of purchased materials, energy and services). However, over the period 1994–95 to 2012–13, the productivity of intermediate use, that is the ratio of gross output to intermediate input use, declined in wholesale trade.</w:t>
      </w:r>
    </w:p>
    <w:p w14:paraId="0492C7AD" w14:textId="77777777" w:rsidR="00375729" w:rsidRDefault="00D263BE" w:rsidP="00F37FA2">
      <w:pPr>
        <w:pStyle w:val="BCRAppendicesSubheading"/>
      </w:pPr>
      <w:r>
        <w:t xml:space="preserve">C.5 </w:t>
      </w:r>
      <w:r w:rsidR="00375729">
        <w:t>MFP growth</w:t>
      </w:r>
    </w:p>
    <w:p w14:paraId="0E02E88E" w14:textId="77777777" w:rsidR="00375729" w:rsidRPr="00176DE4" w:rsidRDefault="00375729" w:rsidP="00375729">
      <w:r w:rsidRPr="00176DE4">
        <w:t xml:space="preserve">The association between IT and MFP was examined in the context of MFP cycles. According to the method set out in section 5.3, MFP peaks in wholesale trade occurred in 1989–90, 1997–98, 2000–01, 2011–12 and 2013–14. As with LP, 1990–91 was used rather than 1989–90 and another peak in 2005–06 was imposed. The peak in 2011–12 was dropped as it only just qualifies and is close to the next peak. The resulting cycles are shown in </w:t>
      </w:r>
      <w:r w:rsidR="007068B6" w:rsidRPr="007068B6">
        <w:t>Figure C10</w:t>
      </w:r>
      <w:r w:rsidRPr="00176DE4">
        <w:t>.</w:t>
      </w:r>
    </w:p>
    <w:p w14:paraId="20A0459D" w14:textId="77777777" w:rsidR="00375729" w:rsidRDefault="00375729" w:rsidP="004919FA">
      <w:pPr>
        <w:pStyle w:val="Figurecaption"/>
      </w:pPr>
      <w:r>
        <w:t xml:space="preserve">Figure </w:t>
      </w:r>
      <w:r w:rsidR="007068B6">
        <w:t>C10</w:t>
      </w:r>
      <w:r>
        <w:t>: Actual and trend MFP in wholesale trade (indexes, actual 2012–13</w:t>
      </w:r>
      <w:r w:rsidR="006A530A">
        <w:t xml:space="preserve"> = </w:t>
      </w:r>
      <w:r>
        <w:t>100)</w:t>
      </w:r>
    </w:p>
    <w:p w14:paraId="3F9B4A16" w14:textId="26F97FC8" w:rsidR="00375729" w:rsidRDefault="004919FA" w:rsidP="00375729">
      <w:r>
        <w:rPr>
          <w:noProof/>
          <w:lang w:eastAsia="en-AU"/>
        </w:rPr>
        <w:drawing>
          <wp:inline distT="0" distB="0" distL="0" distR="0" wp14:anchorId="348821A5" wp14:editId="11D156BE">
            <wp:extent cx="4584700" cy="2755900"/>
            <wp:effectExtent l="0" t="0" r="635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37614B8" w14:textId="77777777" w:rsidR="00375729" w:rsidRDefault="00375729" w:rsidP="00012248">
      <w:pPr>
        <w:pStyle w:val="SourceNotes"/>
      </w:pPr>
      <w:r w:rsidRPr="00323930">
        <w:t>Source:</w:t>
      </w:r>
      <w:r>
        <w:t xml:space="preserve"> </w:t>
      </w:r>
      <w:r w:rsidRPr="00323930">
        <w:t>Author estimates</w:t>
      </w:r>
    </w:p>
    <w:p w14:paraId="2405B1CF" w14:textId="77777777" w:rsidR="00375729" w:rsidRPr="00B9088B" w:rsidRDefault="00375729" w:rsidP="00375729">
      <w:r w:rsidRPr="00B9088B">
        <w:t>From the above analysis, it would appear IT effects on MFP growth would come from a combination of labour productivity (labour substitution and complementary skill) effects and capital productivity effects. Accordingly, MFP growth is treated as a weighted average of labour productivity growth and capital productivity growth, where the weights are the shares of labour and capital in value added respectively.</w:t>
      </w:r>
    </w:p>
    <w:p w14:paraId="0983194F" w14:textId="77777777" w:rsidR="00375729" w:rsidRDefault="007068B6" w:rsidP="00375729">
      <w:r>
        <w:t>Table C2</w:t>
      </w:r>
      <w:r w:rsidR="00D03D0D" w:rsidRPr="00B9088B">
        <w:t xml:space="preserve"> </w:t>
      </w:r>
      <w:r w:rsidR="00375729" w:rsidRPr="00B9088B">
        <w:t>shows this treatment over MFP cycles. The labour productivity contribution (LP growth multiplied by the labour income share) plus the capital productivity contribution (capital productivity growth multiplied by the capital income share) equals MFP growth.</w:t>
      </w:r>
      <w:r w:rsidR="00375729">
        <w:rPr>
          <w:rFonts w:asciiTheme="minorHAnsi" w:hAnsiTheme="minorHAnsi"/>
        </w:rPr>
        <w:fldChar w:fldCharType="begin"/>
      </w:r>
      <w:r w:rsidR="00375729">
        <w:instrText xml:space="preserve"> LINK Excel.Sheet.12 "\\\\dept.gov.au\\DFS\\Home\\DParham\\Desktop\\Docs\\1. GA project\\Wholesale trade\\Wholesale workbook mkII 150708 (2).xlsx" MFP!R77C28:R87C32 \a \f 4 \h  \* MERGEFORMAT </w:instrText>
      </w:r>
      <w:r w:rsidR="00375729">
        <w:rPr>
          <w:rFonts w:asciiTheme="minorHAnsi" w:hAnsiTheme="minorHAnsi"/>
        </w:rPr>
        <w:fldChar w:fldCharType="separate"/>
      </w:r>
    </w:p>
    <w:p w14:paraId="056EADA4"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02081A10" w14:textId="77777777" w:rsidR="00375729" w:rsidRDefault="00375729" w:rsidP="004919FA">
      <w:pPr>
        <w:pStyle w:val="Tablecaption"/>
      </w:pPr>
      <w:r>
        <w:t xml:space="preserve">Table </w:t>
      </w:r>
      <w:r w:rsidR="007068B6">
        <w:t>C2</w:t>
      </w:r>
      <w:r>
        <w:t>: Contributions to MFP growth in wholesale trade</w:t>
      </w:r>
      <w:r>
        <w:fldChar w:fldCharType="end"/>
      </w:r>
      <w:r>
        <w:rPr>
          <w:iCs/>
        </w:rPr>
        <w:fldChar w:fldCharType="begin"/>
      </w:r>
      <w:r>
        <w:instrText xml:space="preserve"> LINK Excel.Sheet.12 "\\\\dept.gov.au\\DFS\\Home\\dparham\\Desktop\\Docs\\1. GA project\\Industry studies\\Wholesale trade\\Wholesale workbook 150922.xlsx" "MFP!R134C28:R144C32" \a \f 4 \h  \* MERGEFORMAT </w:instrText>
      </w:r>
      <w:r>
        <w:rPr>
          <w:iCs/>
        </w:rPr>
        <w:fldChar w:fldCharType="separate"/>
      </w:r>
    </w:p>
    <w:tbl>
      <w:tblPr>
        <w:tblW w:w="8106" w:type="dxa"/>
        <w:tblLayout w:type="fixed"/>
        <w:tblLook w:val="04A0" w:firstRow="1" w:lastRow="0" w:firstColumn="1" w:lastColumn="0" w:noHBand="0" w:noVBand="1"/>
      </w:tblPr>
      <w:tblGrid>
        <w:gridCol w:w="3256"/>
        <w:gridCol w:w="1212"/>
        <w:gridCol w:w="1213"/>
        <w:gridCol w:w="1212"/>
        <w:gridCol w:w="1213"/>
      </w:tblGrid>
      <w:tr w:rsidR="00375729" w:rsidRPr="00CD08A2" w14:paraId="03585EA8" w14:textId="77777777" w:rsidTr="00301886">
        <w:trPr>
          <w:trHeight w:val="495"/>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C951B" w14:textId="77777777" w:rsidR="00375729" w:rsidRPr="00253CD1" w:rsidRDefault="00375729" w:rsidP="004919FA">
            <w:pPr>
              <w:pStyle w:val="Tablecellheading"/>
            </w:pPr>
            <w:r w:rsidRPr="00253CD1">
              <w:t> </w:t>
            </w:r>
          </w:p>
        </w:tc>
        <w:tc>
          <w:tcPr>
            <w:tcW w:w="1212"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2850F69E" w14:textId="77777777" w:rsidR="00375729" w:rsidRPr="00253CD1" w:rsidRDefault="00375729" w:rsidP="004919FA">
            <w:pPr>
              <w:pStyle w:val="Tablecellheading"/>
            </w:pPr>
            <w:r w:rsidRPr="00253CD1">
              <w:t>1990–91 to 1997–98</w:t>
            </w:r>
          </w:p>
        </w:tc>
        <w:tc>
          <w:tcPr>
            <w:tcW w:w="12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4511D2A5" w14:textId="77777777" w:rsidR="00375729" w:rsidRPr="00253CD1" w:rsidRDefault="00375729" w:rsidP="004919FA">
            <w:pPr>
              <w:pStyle w:val="Tablecellheading"/>
            </w:pPr>
            <w:r w:rsidRPr="00253CD1">
              <w:t>1997–98 to 2000–01</w:t>
            </w:r>
          </w:p>
        </w:tc>
        <w:tc>
          <w:tcPr>
            <w:tcW w:w="121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57CAEAEE" w14:textId="77777777" w:rsidR="00375729" w:rsidRPr="00253CD1" w:rsidRDefault="00375729" w:rsidP="004919FA">
            <w:pPr>
              <w:pStyle w:val="Tablecellheading"/>
            </w:pPr>
            <w:r w:rsidRPr="00253CD1">
              <w:t>2000–01 to 2005–06</w:t>
            </w:r>
          </w:p>
        </w:tc>
        <w:tc>
          <w:tcPr>
            <w:tcW w:w="1213"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1EA38CAC" w14:textId="77777777" w:rsidR="00375729" w:rsidRPr="00253CD1" w:rsidRDefault="00375729" w:rsidP="004919FA">
            <w:pPr>
              <w:pStyle w:val="Tablecellheading"/>
            </w:pPr>
            <w:r w:rsidRPr="00253CD1">
              <w:t>2005–06 to 2013–14</w:t>
            </w:r>
          </w:p>
        </w:tc>
      </w:tr>
      <w:tr w:rsidR="00375729" w:rsidRPr="00CD08A2" w14:paraId="3ECCAF64" w14:textId="77777777" w:rsidTr="00301886">
        <w:trPr>
          <w:trHeight w:val="300"/>
        </w:trPr>
        <w:tc>
          <w:tcPr>
            <w:tcW w:w="3256" w:type="dxa"/>
            <w:tcBorders>
              <w:top w:val="single" w:sz="4" w:space="0" w:color="auto"/>
              <w:left w:val="single" w:sz="4" w:space="0" w:color="auto"/>
              <w:bottom w:val="nil"/>
              <w:right w:val="single" w:sz="4" w:space="0" w:color="auto"/>
            </w:tcBorders>
            <w:shd w:val="clear" w:color="auto" w:fill="auto"/>
            <w:noWrap/>
            <w:vAlign w:val="bottom"/>
            <w:hideMark/>
          </w:tcPr>
          <w:p w14:paraId="70340109" w14:textId="77777777" w:rsidR="00375729" w:rsidRPr="00CF3D6E" w:rsidRDefault="00375729" w:rsidP="004919FA">
            <w:pPr>
              <w:pStyle w:val="Tabletext"/>
            </w:pPr>
            <w:r w:rsidRPr="00CF3D6E">
              <w:t>LP growth contribution (pp)</w:t>
            </w:r>
          </w:p>
        </w:tc>
        <w:tc>
          <w:tcPr>
            <w:tcW w:w="1212" w:type="dxa"/>
            <w:tcBorders>
              <w:top w:val="single" w:sz="4" w:space="0" w:color="auto"/>
              <w:left w:val="single" w:sz="4" w:space="0" w:color="auto"/>
              <w:bottom w:val="nil"/>
              <w:right w:val="single" w:sz="4" w:space="0" w:color="BFBFBF" w:themeColor="background1" w:themeShade="BF"/>
            </w:tcBorders>
            <w:shd w:val="clear" w:color="auto" w:fill="auto"/>
            <w:noWrap/>
            <w:vAlign w:val="bottom"/>
            <w:hideMark/>
          </w:tcPr>
          <w:p w14:paraId="1618A458" w14:textId="77777777" w:rsidR="00375729" w:rsidRPr="00CF3D6E" w:rsidRDefault="00375729" w:rsidP="004919FA">
            <w:pPr>
              <w:pStyle w:val="Tabletext"/>
            </w:pPr>
            <w:r w:rsidRPr="00CF3D6E">
              <w:t>3.5</w:t>
            </w:r>
          </w:p>
        </w:tc>
        <w:tc>
          <w:tcPr>
            <w:tcW w:w="1213"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657100" w14:textId="77777777" w:rsidR="00375729" w:rsidRPr="00CF3D6E" w:rsidRDefault="00375729" w:rsidP="004919FA">
            <w:pPr>
              <w:pStyle w:val="Tabletext"/>
            </w:pPr>
            <w:r w:rsidRPr="00CF3D6E">
              <w:t>4.7</w:t>
            </w:r>
          </w:p>
        </w:tc>
        <w:tc>
          <w:tcPr>
            <w:tcW w:w="1212"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ACED36" w14:textId="77777777" w:rsidR="00375729" w:rsidRPr="00CF3D6E" w:rsidRDefault="00375729" w:rsidP="004919FA">
            <w:pPr>
              <w:pStyle w:val="Tabletext"/>
            </w:pPr>
            <w:r w:rsidRPr="00CF3D6E">
              <w:t>2.3</w:t>
            </w:r>
          </w:p>
        </w:tc>
        <w:tc>
          <w:tcPr>
            <w:tcW w:w="1213" w:type="dxa"/>
            <w:tcBorders>
              <w:top w:val="single" w:sz="4" w:space="0" w:color="auto"/>
              <w:left w:val="single" w:sz="4" w:space="0" w:color="BFBFBF" w:themeColor="background1" w:themeShade="BF"/>
              <w:bottom w:val="nil"/>
              <w:right w:val="single" w:sz="4" w:space="0" w:color="auto"/>
            </w:tcBorders>
            <w:shd w:val="clear" w:color="auto" w:fill="auto"/>
            <w:noWrap/>
            <w:vAlign w:val="bottom"/>
            <w:hideMark/>
          </w:tcPr>
          <w:p w14:paraId="7514ECC8" w14:textId="77777777" w:rsidR="00375729" w:rsidRPr="00CF3D6E" w:rsidRDefault="00375729" w:rsidP="004919FA">
            <w:pPr>
              <w:pStyle w:val="Tabletext"/>
            </w:pPr>
            <w:r w:rsidRPr="00CF3D6E">
              <w:t>1.1</w:t>
            </w:r>
          </w:p>
        </w:tc>
      </w:tr>
      <w:tr w:rsidR="00375729" w:rsidRPr="00CD08A2" w14:paraId="5EF12C44" w14:textId="77777777" w:rsidTr="00301886">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4D71572F" w14:textId="0D4951BC" w:rsidR="00375729" w:rsidRPr="00253CD1" w:rsidRDefault="00375729" w:rsidP="004919FA">
            <w:pPr>
              <w:pStyle w:val="Tabletext"/>
            </w:pPr>
            <w:r w:rsidRPr="00253CD1">
              <w:t>of which</w:t>
            </w:r>
          </w:p>
        </w:tc>
        <w:tc>
          <w:tcPr>
            <w:tcW w:w="1212" w:type="dxa"/>
            <w:tcBorders>
              <w:top w:val="nil"/>
              <w:left w:val="single" w:sz="4" w:space="0" w:color="auto"/>
              <w:bottom w:val="nil"/>
              <w:right w:val="single" w:sz="4" w:space="0" w:color="BFBFBF" w:themeColor="background1" w:themeShade="BF"/>
            </w:tcBorders>
            <w:shd w:val="clear" w:color="auto" w:fill="auto"/>
            <w:noWrap/>
            <w:vAlign w:val="bottom"/>
            <w:hideMark/>
          </w:tcPr>
          <w:p w14:paraId="102A8756" w14:textId="77777777" w:rsidR="00375729" w:rsidRPr="00253CD1" w:rsidRDefault="00375729" w:rsidP="004919FA">
            <w:pPr>
              <w:pStyle w:val="Tabletext"/>
            </w:pPr>
          </w:p>
        </w:tc>
        <w:tc>
          <w:tcPr>
            <w:tcW w:w="1213"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A9698E0" w14:textId="77777777" w:rsidR="00375729" w:rsidRPr="00253CD1" w:rsidRDefault="00375729" w:rsidP="004919FA">
            <w:pPr>
              <w:pStyle w:val="Tabletext"/>
            </w:pPr>
          </w:p>
        </w:tc>
        <w:tc>
          <w:tcPr>
            <w:tcW w:w="1212"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E73B0C8" w14:textId="77777777" w:rsidR="00375729" w:rsidRPr="00253CD1" w:rsidRDefault="00375729" w:rsidP="004919FA">
            <w:pPr>
              <w:pStyle w:val="Tabletext"/>
            </w:pPr>
          </w:p>
        </w:tc>
        <w:tc>
          <w:tcPr>
            <w:tcW w:w="1213" w:type="dxa"/>
            <w:tcBorders>
              <w:top w:val="nil"/>
              <w:left w:val="single" w:sz="4" w:space="0" w:color="BFBFBF" w:themeColor="background1" w:themeShade="BF"/>
              <w:bottom w:val="nil"/>
              <w:right w:val="single" w:sz="4" w:space="0" w:color="auto"/>
            </w:tcBorders>
            <w:shd w:val="clear" w:color="auto" w:fill="auto"/>
            <w:noWrap/>
            <w:vAlign w:val="bottom"/>
            <w:hideMark/>
          </w:tcPr>
          <w:p w14:paraId="07518F40" w14:textId="77777777" w:rsidR="00375729" w:rsidRPr="00253CD1" w:rsidRDefault="00375729" w:rsidP="004919FA">
            <w:pPr>
              <w:pStyle w:val="Tabletext"/>
            </w:pPr>
          </w:p>
        </w:tc>
      </w:tr>
      <w:tr w:rsidR="00375729" w:rsidRPr="00CD08A2" w14:paraId="37484B6C" w14:textId="77777777" w:rsidTr="00301886">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653C1860" w14:textId="297023FC" w:rsidR="00375729" w:rsidRPr="00CF3D6E" w:rsidRDefault="00375729" w:rsidP="004919FA">
            <w:pPr>
              <w:pStyle w:val="Tablebullet-Level1"/>
            </w:pPr>
            <w:r w:rsidRPr="00CF3D6E">
              <w:t>IT capital deepening (pp)</w:t>
            </w:r>
          </w:p>
        </w:tc>
        <w:tc>
          <w:tcPr>
            <w:tcW w:w="1212" w:type="dxa"/>
            <w:tcBorders>
              <w:top w:val="nil"/>
              <w:left w:val="single" w:sz="4" w:space="0" w:color="auto"/>
              <w:bottom w:val="nil"/>
              <w:right w:val="single" w:sz="4" w:space="0" w:color="BFBFBF" w:themeColor="background1" w:themeShade="BF"/>
            </w:tcBorders>
            <w:shd w:val="clear" w:color="auto" w:fill="auto"/>
            <w:noWrap/>
            <w:vAlign w:val="bottom"/>
            <w:hideMark/>
          </w:tcPr>
          <w:p w14:paraId="4D7FF563" w14:textId="77777777" w:rsidR="00375729" w:rsidRPr="00CF3D6E" w:rsidRDefault="00375729" w:rsidP="004919FA">
            <w:pPr>
              <w:pStyle w:val="Tabletext"/>
              <w:rPr>
                <w:i/>
              </w:rPr>
            </w:pPr>
            <w:r w:rsidRPr="00CF3D6E">
              <w:rPr>
                <w:i/>
              </w:rPr>
              <w:t>0.5</w:t>
            </w:r>
          </w:p>
        </w:tc>
        <w:tc>
          <w:tcPr>
            <w:tcW w:w="1213"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0F5C0FD" w14:textId="77777777" w:rsidR="00375729" w:rsidRPr="00CF3D6E" w:rsidRDefault="00375729" w:rsidP="004919FA">
            <w:pPr>
              <w:pStyle w:val="Tabletext"/>
              <w:rPr>
                <w:i/>
              </w:rPr>
            </w:pPr>
            <w:r w:rsidRPr="00CF3D6E">
              <w:rPr>
                <w:i/>
              </w:rPr>
              <w:t>1.0</w:t>
            </w:r>
          </w:p>
        </w:tc>
        <w:tc>
          <w:tcPr>
            <w:tcW w:w="1212"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EF98493" w14:textId="77777777" w:rsidR="00375729" w:rsidRPr="00CF3D6E" w:rsidRDefault="00375729" w:rsidP="004919FA">
            <w:pPr>
              <w:pStyle w:val="Tabletext"/>
              <w:rPr>
                <w:i/>
              </w:rPr>
            </w:pPr>
            <w:r w:rsidRPr="00CF3D6E">
              <w:rPr>
                <w:i/>
              </w:rPr>
              <w:t>0.6</w:t>
            </w:r>
          </w:p>
        </w:tc>
        <w:tc>
          <w:tcPr>
            <w:tcW w:w="1213" w:type="dxa"/>
            <w:tcBorders>
              <w:top w:val="nil"/>
              <w:left w:val="single" w:sz="4" w:space="0" w:color="BFBFBF" w:themeColor="background1" w:themeShade="BF"/>
              <w:bottom w:val="nil"/>
              <w:right w:val="single" w:sz="4" w:space="0" w:color="auto"/>
            </w:tcBorders>
            <w:shd w:val="clear" w:color="auto" w:fill="auto"/>
            <w:noWrap/>
            <w:vAlign w:val="bottom"/>
            <w:hideMark/>
          </w:tcPr>
          <w:p w14:paraId="355FCD00" w14:textId="77777777" w:rsidR="00375729" w:rsidRPr="00CF3D6E" w:rsidRDefault="00375729" w:rsidP="004919FA">
            <w:pPr>
              <w:pStyle w:val="Tabletext"/>
              <w:rPr>
                <w:i/>
              </w:rPr>
            </w:pPr>
            <w:r w:rsidRPr="00CF3D6E">
              <w:rPr>
                <w:i/>
              </w:rPr>
              <w:t>0.3</w:t>
            </w:r>
          </w:p>
        </w:tc>
      </w:tr>
      <w:tr w:rsidR="00375729" w:rsidRPr="00CD08A2" w14:paraId="2C5F0231" w14:textId="77777777" w:rsidTr="00301886">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1A7E59CE" w14:textId="77777777" w:rsidR="00375729" w:rsidRPr="00CF3D6E" w:rsidRDefault="00375729" w:rsidP="004919FA">
            <w:pPr>
              <w:pStyle w:val="Tablebullet-Level1"/>
            </w:pPr>
            <w:r w:rsidRPr="00CF3D6E">
              <w:t>KP growth contribution (pp)</w:t>
            </w:r>
          </w:p>
        </w:tc>
        <w:tc>
          <w:tcPr>
            <w:tcW w:w="1212" w:type="dxa"/>
            <w:tcBorders>
              <w:top w:val="nil"/>
              <w:left w:val="single" w:sz="4" w:space="0" w:color="auto"/>
              <w:bottom w:val="nil"/>
              <w:right w:val="single" w:sz="4" w:space="0" w:color="BFBFBF" w:themeColor="background1" w:themeShade="BF"/>
            </w:tcBorders>
            <w:shd w:val="clear" w:color="auto" w:fill="auto"/>
            <w:noWrap/>
            <w:vAlign w:val="bottom"/>
            <w:hideMark/>
          </w:tcPr>
          <w:p w14:paraId="7C47E0B7" w14:textId="77777777" w:rsidR="00375729" w:rsidRPr="00CF3D6E" w:rsidRDefault="00375729" w:rsidP="004919FA">
            <w:pPr>
              <w:pStyle w:val="Tabletext"/>
            </w:pPr>
            <w:r w:rsidRPr="00CF3D6E">
              <w:t>0.5</w:t>
            </w:r>
          </w:p>
        </w:tc>
        <w:tc>
          <w:tcPr>
            <w:tcW w:w="1213"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C84C51D" w14:textId="77777777" w:rsidR="00375729" w:rsidRPr="00CF3D6E" w:rsidRDefault="00375729" w:rsidP="004919FA">
            <w:pPr>
              <w:pStyle w:val="Tabletext"/>
            </w:pPr>
            <w:r w:rsidRPr="00CF3D6E">
              <w:t>-0.6</w:t>
            </w:r>
          </w:p>
        </w:tc>
        <w:tc>
          <w:tcPr>
            <w:tcW w:w="1212"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C8AD475" w14:textId="77777777" w:rsidR="00375729" w:rsidRPr="00CF3D6E" w:rsidRDefault="00375729" w:rsidP="004919FA">
            <w:pPr>
              <w:pStyle w:val="Tabletext"/>
            </w:pPr>
            <w:r w:rsidRPr="00CF3D6E">
              <w:t>-1.1</w:t>
            </w:r>
          </w:p>
        </w:tc>
        <w:tc>
          <w:tcPr>
            <w:tcW w:w="1213" w:type="dxa"/>
            <w:tcBorders>
              <w:top w:val="nil"/>
              <w:left w:val="single" w:sz="4" w:space="0" w:color="BFBFBF" w:themeColor="background1" w:themeShade="BF"/>
              <w:bottom w:val="nil"/>
              <w:right w:val="single" w:sz="4" w:space="0" w:color="auto"/>
            </w:tcBorders>
            <w:shd w:val="clear" w:color="auto" w:fill="auto"/>
            <w:noWrap/>
            <w:vAlign w:val="bottom"/>
            <w:hideMark/>
          </w:tcPr>
          <w:p w14:paraId="35056E23" w14:textId="77777777" w:rsidR="00375729" w:rsidRPr="00CF3D6E" w:rsidRDefault="00375729" w:rsidP="004919FA">
            <w:pPr>
              <w:pStyle w:val="Tabletext"/>
            </w:pPr>
            <w:r w:rsidRPr="00CF3D6E">
              <w:t>-0.4</w:t>
            </w:r>
          </w:p>
        </w:tc>
      </w:tr>
      <w:tr w:rsidR="00375729" w:rsidRPr="00CD08A2" w14:paraId="205ABA5F" w14:textId="77777777" w:rsidTr="00301886">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53E3E498" w14:textId="78F05CD0" w:rsidR="00375729" w:rsidRPr="00253CD1" w:rsidRDefault="00375729" w:rsidP="004919FA">
            <w:pPr>
              <w:pStyle w:val="Tabletext"/>
            </w:pPr>
            <w:r w:rsidRPr="00253CD1">
              <w:t>of which</w:t>
            </w:r>
          </w:p>
        </w:tc>
        <w:tc>
          <w:tcPr>
            <w:tcW w:w="1212" w:type="dxa"/>
            <w:tcBorders>
              <w:top w:val="nil"/>
              <w:left w:val="single" w:sz="4" w:space="0" w:color="auto"/>
              <w:bottom w:val="nil"/>
              <w:right w:val="single" w:sz="4" w:space="0" w:color="BFBFBF" w:themeColor="background1" w:themeShade="BF"/>
            </w:tcBorders>
            <w:shd w:val="clear" w:color="auto" w:fill="auto"/>
            <w:noWrap/>
            <w:vAlign w:val="bottom"/>
            <w:hideMark/>
          </w:tcPr>
          <w:p w14:paraId="68C59068" w14:textId="77777777" w:rsidR="00375729" w:rsidRPr="00253CD1" w:rsidRDefault="00375729" w:rsidP="004919FA">
            <w:pPr>
              <w:pStyle w:val="Tabletext"/>
            </w:pPr>
          </w:p>
        </w:tc>
        <w:tc>
          <w:tcPr>
            <w:tcW w:w="1213"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E41C2EA" w14:textId="77777777" w:rsidR="00375729" w:rsidRPr="00253CD1" w:rsidRDefault="00375729" w:rsidP="004919FA">
            <w:pPr>
              <w:pStyle w:val="Tabletext"/>
            </w:pPr>
          </w:p>
        </w:tc>
        <w:tc>
          <w:tcPr>
            <w:tcW w:w="1212"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BDF82BE" w14:textId="77777777" w:rsidR="00375729" w:rsidRPr="00253CD1" w:rsidRDefault="00375729" w:rsidP="004919FA">
            <w:pPr>
              <w:pStyle w:val="Tabletext"/>
            </w:pPr>
          </w:p>
        </w:tc>
        <w:tc>
          <w:tcPr>
            <w:tcW w:w="1213" w:type="dxa"/>
            <w:tcBorders>
              <w:top w:val="nil"/>
              <w:left w:val="single" w:sz="4" w:space="0" w:color="BFBFBF" w:themeColor="background1" w:themeShade="BF"/>
              <w:bottom w:val="nil"/>
              <w:right w:val="single" w:sz="4" w:space="0" w:color="auto"/>
            </w:tcBorders>
            <w:shd w:val="clear" w:color="auto" w:fill="auto"/>
            <w:noWrap/>
            <w:vAlign w:val="bottom"/>
            <w:hideMark/>
          </w:tcPr>
          <w:p w14:paraId="08A7970E" w14:textId="77777777" w:rsidR="00375729" w:rsidRPr="00253CD1" w:rsidRDefault="00375729" w:rsidP="004919FA">
            <w:pPr>
              <w:pStyle w:val="Tabletext"/>
            </w:pPr>
          </w:p>
        </w:tc>
      </w:tr>
      <w:tr w:rsidR="00375729" w:rsidRPr="00CD08A2" w14:paraId="77FACC13" w14:textId="77777777" w:rsidTr="00301886">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53AC9086" w14:textId="6AD3EC03" w:rsidR="00375729" w:rsidRPr="00CF3D6E" w:rsidRDefault="00375729" w:rsidP="004919FA">
            <w:pPr>
              <w:pStyle w:val="Tablebullet-Level1"/>
            </w:pPr>
            <w:r w:rsidRPr="00CF3D6E">
              <w:t>IT capital productivity (pp)</w:t>
            </w:r>
          </w:p>
        </w:tc>
        <w:tc>
          <w:tcPr>
            <w:tcW w:w="1212" w:type="dxa"/>
            <w:tcBorders>
              <w:top w:val="nil"/>
              <w:left w:val="single" w:sz="4" w:space="0" w:color="auto"/>
              <w:bottom w:val="nil"/>
              <w:right w:val="single" w:sz="4" w:space="0" w:color="BFBFBF" w:themeColor="background1" w:themeShade="BF"/>
            </w:tcBorders>
            <w:shd w:val="clear" w:color="auto" w:fill="auto"/>
            <w:noWrap/>
            <w:vAlign w:val="bottom"/>
            <w:hideMark/>
          </w:tcPr>
          <w:p w14:paraId="1E313F7F" w14:textId="77777777" w:rsidR="00375729" w:rsidRPr="00CF3D6E" w:rsidRDefault="00375729" w:rsidP="004919FA">
            <w:pPr>
              <w:pStyle w:val="Tabletext"/>
              <w:rPr>
                <w:i/>
              </w:rPr>
            </w:pPr>
            <w:r w:rsidRPr="00CF3D6E">
              <w:rPr>
                <w:i/>
              </w:rPr>
              <w:t>0.26</w:t>
            </w:r>
          </w:p>
        </w:tc>
        <w:tc>
          <w:tcPr>
            <w:tcW w:w="1213"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25DA44E" w14:textId="77777777" w:rsidR="00375729" w:rsidRPr="00CF3D6E" w:rsidRDefault="00375729" w:rsidP="004919FA">
            <w:pPr>
              <w:pStyle w:val="Tabletext"/>
              <w:rPr>
                <w:i/>
              </w:rPr>
            </w:pPr>
            <w:r w:rsidRPr="00CF3D6E">
              <w:rPr>
                <w:i/>
              </w:rPr>
              <w:t>-0.36</w:t>
            </w:r>
          </w:p>
        </w:tc>
        <w:tc>
          <w:tcPr>
            <w:tcW w:w="1212"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D7534E1" w14:textId="77777777" w:rsidR="00375729" w:rsidRPr="00CF3D6E" w:rsidRDefault="00375729" w:rsidP="004919FA">
            <w:pPr>
              <w:pStyle w:val="Tabletext"/>
              <w:rPr>
                <w:i/>
              </w:rPr>
            </w:pPr>
            <w:r w:rsidRPr="00CF3D6E">
              <w:rPr>
                <w:i/>
              </w:rPr>
              <w:t>-0.25</w:t>
            </w:r>
          </w:p>
        </w:tc>
        <w:tc>
          <w:tcPr>
            <w:tcW w:w="1213" w:type="dxa"/>
            <w:tcBorders>
              <w:top w:val="nil"/>
              <w:left w:val="single" w:sz="4" w:space="0" w:color="BFBFBF" w:themeColor="background1" w:themeShade="BF"/>
              <w:bottom w:val="nil"/>
              <w:right w:val="single" w:sz="4" w:space="0" w:color="auto"/>
            </w:tcBorders>
            <w:shd w:val="clear" w:color="auto" w:fill="auto"/>
            <w:noWrap/>
            <w:vAlign w:val="bottom"/>
            <w:hideMark/>
          </w:tcPr>
          <w:p w14:paraId="547A6ED5" w14:textId="77777777" w:rsidR="00375729" w:rsidRPr="00CF3D6E" w:rsidRDefault="00375729" w:rsidP="004919FA">
            <w:pPr>
              <w:pStyle w:val="Tabletext"/>
              <w:rPr>
                <w:i/>
              </w:rPr>
            </w:pPr>
            <w:r w:rsidRPr="00CF3D6E">
              <w:rPr>
                <w:i/>
              </w:rPr>
              <w:t>-0.14</w:t>
            </w:r>
          </w:p>
        </w:tc>
      </w:tr>
      <w:tr w:rsidR="00375729" w:rsidRPr="00CD08A2" w14:paraId="36AEDB1D" w14:textId="77777777" w:rsidTr="00301886">
        <w:trPr>
          <w:trHeight w:val="300"/>
        </w:trPr>
        <w:tc>
          <w:tcPr>
            <w:tcW w:w="3256" w:type="dxa"/>
            <w:tcBorders>
              <w:top w:val="nil"/>
              <w:left w:val="single" w:sz="4" w:space="0" w:color="auto"/>
              <w:bottom w:val="nil"/>
              <w:right w:val="single" w:sz="4" w:space="0" w:color="auto"/>
            </w:tcBorders>
            <w:shd w:val="clear" w:color="auto" w:fill="auto"/>
            <w:noWrap/>
            <w:vAlign w:val="bottom"/>
            <w:hideMark/>
          </w:tcPr>
          <w:p w14:paraId="6B73E7EA" w14:textId="1EF7EDBE" w:rsidR="00375729" w:rsidRPr="00CF3D6E" w:rsidRDefault="00375729" w:rsidP="004919FA">
            <w:pPr>
              <w:pStyle w:val="Tablebullet-Level1"/>
            </w:pPr>
            <w:r w:rsidRPr="00CF3D6E">
              <w:t>Non-IT capital productivity (pp)</w:t>
            </w:r>
          </w:p>
        </w:tc>
        <w:tc>
          <w:tcPr>
            <w:tcW w:w="1212" w:type="dxa"/>
            <w:tcBorders>
              <w:top w:val="nil"/>
              <w:left w:val="single" w:sz="4" w:space="0" w:color="auto"/>
              <w:bottom w:val="nil"/>
              <w:right w:val="single" w:sz="4" w:space="0" w:color="BFBFBF" w:themeColor="background1" w:themeShade="BF"/>
            </w:tcBorders>
            <w:shd w:val="clear" w:color="auto" w:fill="auto"/>
            <w:noWrap/>
            <w:vAlign w:val="bottom"/>
            <w:hideMark/>
          </w:tcPr>
          <w:p w14:paraId="5894F551" w14:textId="77777777" w:rsidR="00375729" w:rsidRPr="00CF3D6E" w:rsidRDefault="00375729" w:rsidP="004919FA">
            <w:pPr>
              <w:pStyle w:val="Tabletext"/>
              <w:rPr>
                <w:i/>
              </w:rPr>
            </w:pPr>
            <w:r w:rsidRPr="00CF3D6E">
              <w:rPr>
                <w:i/>
              </w:rPr>
              <w:t>0.28</w:t>
            </w:r>
          </w:p>
        </w:tc>
        <w:tc>
          <w:tcPr>
            <w:tcW w:w="1213"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940143" w14:textId="77777777" w:rsidR="00375729" w:rsidRPr="00CF3D6E" w:rsidRDefault="00375729" w:rsidP="004919FA">
            <w:pPr>
              <w:pStyle w:val="Tabletext"/>
              <w:rPr>
                <w:i/>
              </w:rPr>
            </w:pPr>
            <w:r w:rsidRPr="00CF3D6E">
              <w:rPr>
                <w:i/>
              </w:rPr>
              <w:t>-0.24</w:t>
            </w:r>
          </w:p>
        </w:tc>
        <w:tc>
          <w:tcPr>
            <w:tcW w:w="1212"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A014333" w14:textId="77777777" w:rsidR="00375729" w:rsidRPr="00CF3D6E" w:rsidRDefault="00375729" w:rsidP="004919FA">
            <w:pPr>
              <w:pStyle w:val="Tabletext"/>
              <w:rPr>
                <w:i/>
              </w:rPr>
            </w:pPr>
            <w:r w:rsidRPr="00CF3D6E">
              <w:rPr>
                <w:i/>
              </w:rPr>
              <w:t>-0.81</w:t>
            </w:r>
          </w:p>
        </w:tc>
        <w:tc>
          <w:tcPr>
            <w:tcW w:w="1213" w:type="dxa"/>
            <w:tcBorders>
              <w:top w:val="nil"/>
              <w:left w:val="single" w:sz="4" w:space="0" w:color="BFBFBF" w:themeColor="background1" w:themeShade="BF"/>
              <w:bottom w:val="nil"/>
              <w:right w:val="single" w:sz="4" w:space="0" w:color="auto"/>
            </w:tcBorders>
            <w:shd w:val="clear" w:color="auto" w:fill="auto"/>
            <w:noWrap/>
            <w:vAlign w:val="bottom"/>
            <w:hideMark/>
          </w:tcPr>
          <w:p w14:paraId="1D7BEFE5" w14:textId="77777777" w:rsidR="00375729" w:rsidRPr="00CF3D6E" w:rsidRDefault="00375729" w:rsidP="004919FA">
            <w:pPr>
              <w:pStyle w:val="Tabletext"/>
              <w:rPr>
                <w:i/>
              </w:rPr>
            </w:pPr>
            <w:r w:rsidRPr="00CF3D6E">
              <w:rPr>
                <w:i/>
              </w:rPr>
              <w:t>-0.30</w:t>
            </w:r>
          </w:p>
        </w:tc>
      </w:tr>
      <w:tr w:rsidR="00375729" w:rsidRPr="00CD08A2" w14:paraId="13FF2464" w14:textId="77777777" w:rsidTr="00301886">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06C78D45" w14:textId="77777777" w:rsidR="00375729" w:rsidRPr="00CF3D6E" w:rsidRDefault="00375729" w:rsidP="004919FA">
            <w:pPr>
              <w:pStyle w:val="Tabletext"/>
            </w:pPr>
            <w:r w:rsidRPr="00CF3D6E">
              <w:t>MFP growth</w:t>
            </w:r>
          </w:p>
        </w:tc>
        <w:tc>
          <w:tcPr>
            <w:tcW w:w="1212" w:type="dxa"/>
            <w:tcBorders>
              <w:top w:val="nil"/>
              <w:left w:val="single" w:sz="4" w:space="0" w:color="auto"/>
              <w:bottom w:val="single" w:sz="4" w:space="0" w:color="auto"/>
              <w:right w:val="single" w:sz="4" w:space="0" w:color="BFBFBF" w:themeColor="background1" w:themeShade="BF"/>
            </w:tcBorders>
            <w:shd w:val="clear" w:color="auto" w:fill="auto"/>
            <w:noWrap/>
            <w:vAlign w:val="bottom"/>
            <w:hideMark/>
          </w:tcPr>
          <w:p w14:paraId="30833C94" w14:textId="77777777" w:rsidR="00375729" w:rsidRPr="00CF3D6E" w:rsidRDefault="00375729" w:rsidP="004919FA">
            <w:pPr>
              <w:pStyle w:val="Tabletext"/>
            </w:pPr>
            <w:r w:rsidRPr="00CF3D6E">
              <w:t>4.0</w:t>
            </w:r>
          </w:p>
        </w:tc>
        <w:tc>
          <w:tcPr>
            <w:tcW w:w="1213"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35B7C031" w14:textId="77777777" w:rsidR="00375729" w:rsidRPr="00CF3D6E" w:rsidRDefault="00375729" w:rsidP="004919FA">
            <w:pPr>
              <w:pStyle w:val="Tabletext"/>
            </w:pPr>
            <w:r w:rsidRPr="00CF3D6E">
              <w:t>4.1</w:t>
            </w:r>
          </w:p>
        </w:tc>
        <w:tc>
          <w:tcPr>
            <w:tcW w:w="1212"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6554D880" w14:textId="77777777" w:rsidR="00375729" w:rsidRPr="00CF3D6E" w:rsidRDefault="00375729" w:rsidP="004919FA">
            <w:pPr>
              <w:pStyle w:val="Tabletext"/>
            </w:pPr>
            <w:r w:rsidRPr="00CF3D6E">
              <w:t>1.3</w:t>
            </w:r>
          </w:p>
        </w:tc>
        <w:tc>
          <w:tcPr>
            <w:tcW w:w="1213" w:type="dxa"/>
            <w:tcBorders>
              <w:top w:val="nil"/>
              <w:left w:val="single" w:sz="4" w:space="0" w:color="BFBFBF" w:themeColor="background1" w:themeShade="BF"/>
              <w:bottom w:val="single" w:sz="4" w:space="0" w:color="auto"/>
              <w:right w:val="single" w:sz="4" w:space="0" w:color="auto"/>
            </w:tcBorders>
            <w:shd w:val="clear" w:color="auto" w:fill="auto"/>
            <w:noWrap/>
            <w:vAlign w:val="bottom"/>
            <w:hideMark/>
          </w:tcPr>
          <w:p w14:paraId="03028D9B" w14:textId="77777777" w:rsidR="00375729" w:rsidRPr="00CF3D6E" w:rsidRDefault="00375729" w:rsidP="004919FA">
            <w:pPr>
              <w:pStyle w:val="Tabletext"/>
            </w:pPr>
            <w:r w:rsidRPr="00CF3D6E">
              <w:t>0.7</w:t>
            </w:r>
          </w:p>
        </w:tc>
      </w:tr>
    </w:tbl>
    <w:p w14:paraId="3E23C2D5" w14:textId="77777777" w:rsidR="00375729" w:rsidRDefault="00375729" w:rsidP="00012248">
      <w:pPr>
        <w:pStyle w:val="SourceNotes"/>
      </w:pPr>
      <w:r>
        <w:fldChar w:fldCharType="end"/>
      </w:r>
      <w:r w:rsidRPr="00F4528C">
        <w:t xml:space="preserve"> </w:t>
      </w:r>
      <w:r w:rsidRPr="00323930">
        <w:t>Source:</w:t>
      </w:r>
      <w:r>
        <w:t xml:space="preserve"> </w:t>
      </w:r>
      <w:r w:rsidRPr="00323930">
        <w:t>Author estimates</w:t>
      </w:r>
      <w:r w:rsidR="00A94483">
        <w:t>. N</w:t>
      </w:r>
      <w:r w:rsidR="00A94483" w:rsidRPr="00CF3D6E">
        <w:t>umbers may not add up due to rounding</w:t>
      </w:r>
    </w:p>
    <w:p w14:paraId="7CF64030" w14:textId="77777777" w:rsidR="00375729" w:rsidRPr="00231698" w:rsidRDefault="00375729" w:rsidP="00375729">
      <w:pPr>
        <w:pStyle w:val="BodyTextNoIndent"/>
      </w:pPr>
      <w:r w:rsidRPr="00231698">
        <w:t>The IT capital deepening contribution to MFP growth is shown as part of the labour productivity contribution.</w:t>
      </w:r>
      <w:r w:rsidR="009A2198">
        <w:rPr>
          <w:rStyle w:val="EndnoteReference"/>
        </w:rPr>
        <w:endnoteReference w:id="22"/>
      </w:r>
      <w:r w:rsidRPr="00231698">
        <w:t xml:space="preserve"> This accounted for 0.4 to 0.7 percentage point of MFP growth up to 2005–06. This is quite large in the context of MFP growth averaging 1.7 per cent a year over the period reviewed (1989–90 to 2013–14). </w:t>
      </w:r>
    </w:p>
    <w:p w14:paraId="0E097756" w14:textId="77777777" w:rsidR="00375729" w:rsidRPr="00231698" w:rsidRDefault="00375729" w:rsidP="00375729">
      <w:pPr>
        <w:pStyle w:val="BodyTextNoIndent"/>
      </w:pPr>
      <w:r w:rsidRPr="00231698">
        <w:t xml:space="preserve">Trends in major asset productivities are summarised for MFP cycles in Table </w:t>
      </w:r>
      <w:r w:rsidR="007068B6">
        <w:t>C3</w:t>
      </w:r>
      <w:r w:rsidRPr="00231698">
        <w:t>. The growth in asset productivity over a cycle is shown first</w:t>
      </w:r>
      <w:r w:rsidR="00386B32">
        <w:t xml:space="preserve"> (unweighted)</w:t>
      </w:r>
      <w:r w:rsidRPr="00231698">
        <w:t xml:space="preserve"> with another row showing asset productivity growth weighted by the asset’s share in capital income. This provides an indication of the relative importance of the different asset productivities. </w:t>
      </w:r>
    </w:p>
    <w:p w14:paraId="1C33E880" w14:textId="77777777" w:rsidR="009A2198" w:rsidRDefault="00375729" w:rsidP="00F37FA2">
      <w:pPr>
        <w:pStyle w:val="BodyTextNoIndent"/>
      </w:pPr>
      <w:r w:rsidRPr="00231698">
        <w:t>However, these values should not be regarded as contributions to MFP growth that can be added. To gain an indication of the contribution to MFP growth, take one third of the weighted increase in asset productivity (one third being the approximate capital income share.)</w:t>
      </w:r>
      <w:r w:rsidR="009A2198">
        <w:br w:type="page"/>
      </w:r>
    </w:p>
    <w:p w14:paraId="0E6B2A34" w14:textId="77777777" w:rsidR="00375729" w:rsidRDefault="00375729" w:rsidP="00375729">
      <w:pPr>
        <w:pStyle w:val="BodyTextNoIndent"/>
      </w:pPr>
      <w:r>
        <w:fldChar w:fldCharType="begin"/>
      </w:r>
      <w:r>
        <w:instrText xml:space="preserve"> LINK Excel.Sheet.12 "\\\\dept.gov.au\\DFS\\Home\\dparham\\Desktop\\Docs\\1. GA project\\Industry studies\\Wholesale trade\\Wholesale workbook 150922.xlsx" "MFP!R147C28:R155C32" \a \f 4 \h  \* MERGEFORMAT </w:instrText>
      </w:r>
      <w:r>
        <w:fldChar w:fldCharType="separate"/>
      </w:r>
    </w:p>
    <w:p w14:paraId="403ECD1B" w14:textId="77777777" w:rsidR="00375729" w:rsidRPr="00A7255E" w:rsidRDefault="00375729" w:rsidP="004919FA">
      <w:pPr>
        <w:pStyle w:val="Tablecaption"/>
      </w:pPr>
      <w:r>
        <w:t xml:space="preserve">Table </w:t>
      </w:r>
      <w:r w:rsidR="007068B6">
        <w:t>C3</w:t>
      </w:r>
      <w:r w:rsidRPr="00A7255E">
        <w:t>: Capital produ</w:t>
      </w:r>
      <w:r>
        <w:t>ctivity for selected assets in w</w:t>
      </w:r>
      <w:r w:rsidRPr="00A7255E">
        <w:t>holesale trade over MFP cycles, unweighted and weighted</w:t>
      </w:r>
      <w:r w:rsidRPr="00DB6D21">
        <w:rPr>
          <w:vertAlign w:val="superscript"/>
        </w:rPr>
        <w:t>a</w:t>
      </w:r>
      <w:r w:rsidRPr="00A7255E">
        <w:t xml:space="preserve"> (per cent per year)</w:t>
      </w:r>
    </w:p>
    <w:tbl>
      <w:tblPr>
        <w:tblpPr w:leftFromText="180" w:rightFromText="180" w:vertAnchor="text" w:tblpY="1"/>
        <w:tblOverlap w:val="never"/>
        <w:tblW w:w="7508" w:type="dxa"/>
        <w:tblLayout w:type="fixed"/>
        <w:tblLook w:val="04A0" w:firstRow="1" w:lastRow="0" w:firstColumn="1" w:lastColumn="0" w:noHBand="0" w:noVBand="1"/>
      </w:tblPr>
      <w:tblGrid>
        <w:gridCol w:w="2689"/>
        <w:gridCol w:w="1204"/>
        <w:gridCol w:w="1205"/>
        <w:gridCol w:w="1205"/>
        <w:gridCol w:w="1205"/>
      </w:tblGrid>
      <w:tr w:rsidR="00375729" w:rsidRPr="007C5631" w14:paraId="02DDCBB0" w14:textId="77777777" w:rsidTr="004919FA">
        <w:trPr>
          <w:trHeight w:val="495"/>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F51D6" w14:textId="77777777" w:rsidR="00375729" w:rsidRPr="00075CE2" w:rsidRDefault="00375729" w:rsidP="004919FA">
            <w:pPr>
              <w:pStyle w:val="Tablecellheading"/>
            </w:pPr>
            <w:r w:rsidRPr="00075CE2">
              <w:t> </w:t>
            </w:r>
          </w:p>
        </w:tc>
        <w:tc>
          <w:tcPr>
            <w:tcW w:w="120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32034E18" w14:textId="77777777" w:rsidR="00375729" w:rsidRPr="00075CE2" w:rsidRDefault="00375729" w:rsidP="004919FA">
            <w:pPr>
              <w:pStyle w:val="Tablecellheading"/>
            </w:pPr>
            <w:r w:rsidRPr="00075CE2">
              <w:t>1990–91 to 1997–98</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43D7AFE8" w14:textId="77777777" w:rsidR="00375729" w:rsidRPr="00075CE2" w:rsidRDefault="00375729" w:rsidP="004919FA">
            <w:pPr>
              <w:pStyle w:val="Tablecellheading"/>
            </w:pPr>
            <w:r w:rsidRPr="00075CE2">
              <w:t>1997–98 to 2000–01</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4484322B" w14:textId="77777777" w:rsidR="00375729" w:rsidRPr="00075CE2" w:rsidRDefault="00375729" w:rsidP="004919FA">
            <w:pPr>
              <w:pStyle w:val="Tablecellheading"/>
            </w:pPr>
            <w:r w:rsidRPr="00075CE2">
              <w:t>2000–01 to 2005–06</w:t>
            </w:r>
          </w:p>
        </w:tc>
        <w:tc>
          <w:tcPr>
            <w:tcW w:w="1205"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1E858220" w14:textId="77777777" w:rsidR="00375729" w:rsidRPr="00075CE2" w:rsidRDefault="00375729" w:rsidP="004919FA">
            <w:pPr>
              <w:pStyle w:val="Tablecellheading"/>
            </w:pPr>
            <w:r w:rsidRPr="00075CE2">
              <w:t>2005–06 to 2013–14</w:t>
            </w:r>
          </w:p>
        </w:tc>
      </w:tr>
      <w:tr w:rsidR="00375729" w:rsidRPr="007C5631" w14:paraId="2CFF9057" w14:textId="77777777" w:rsidTr="004919FA">
        <w:trPr>
          <w:trHeight w:val="300"/>
        </w:trPr>
        <w:tc>
          <w:tcPr>
            <w:tcW w:w="2689" w:type="dxa"/>
            <w:tcBorders>
              <w:top w:val="single" w:sz="4" w:space="0" w:color="auto"/>
              <w:left w:val="single" w:sz="4" w:space="0" w:color="auto"/>
              <w:bottom w:val="nil"/>
              <w:right w:val="single" w:sz="4" w:space="0" w:color="auto"/>
            </w:tcBorders>
            <w:shd w:val="clear" w:color="auto" w:fill="auto"/>
            <w:noWrap/>
            <w:vAlign w:val="bottom"/>
            <w:hideMark/>
          </w:tcPr>
          <w:p w14:paraId="11DBCC0C" w14:textId="77777777" w:rsidR="00375729" w:rsidRPr="00CF3D6E" w:rsidRDefault="00375729" w:rsidP="004919FA">
            <w:pPr>
              <w:pStyle w:val="BodyTextNoIndent"/>
              <w:rPr>
                <w:b/>
              </w:rPr>
            </w:pPr>
            <w:r w:rsidRPr="00CF3D6E">
              <w:rPr>
                <w:b/>
              </w:rPr>
              <w:t>Inventories productivity</w:t>
            </w:r>
            <w:r w:rsidR="00CB2686">
              <w:rPr>
                <w:b/>
              </w:rPr>
              <w:t xml:space="preserve"> </w:t>
            </w:r>
          </w:p>
        </w:tc>
        <w:tc>
          <w:tcPr>
            <w:tcW w:w="1204"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382FA92D" w14:textId="77777777" w:rsidR="00375729" w:rsidRPr="00CF3D6E" w:rsidRDefault="00375729" w:rsidP="004919FA">
            <w:pPr>
              <w:pStyle w:val="Tabletext"/>
            </w:pPr>
            <w:r w:rsidRPr="00CF3D6E">
              <w:t>2.73</w:t>
            </w:r>
          </w:p>
        </w:tc>
        <w:tc>
          <w:tcPr>
            <w:tcW w:w="120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1779F266" w14:textId="77777777" w:rsidR="00375729" w:rsidRPr="00CF3D6E" w:rsidRDefault="00375729" w:rsidP="004919FA">
            <w:pPr>
              <w:pStyle w:val="Tabletext"/>
            </w:pPr>
            <w:r w:rsidRPr="00CF3D6E">
              <w:t>-0.43</w:t>
            </w:r>
          </w:p>
        </w:tc>
        <w:tc>
          <w:tcPr>
            <w:tcW w:w="120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3C54FEBC" w14:textId="77777777" w:rsidR="00375729" w:rsidRPr="00CF3D6E" w:rsidRDefault="00375729" w:rsidP="004919FA">
            <w:pPr>
              <w:pStyle w:val="Tabletext"/>
            </w:pPr>
            <w:r w:rsidRPr="00CF3D6E">
              <w:t>-2.92</w:t>
            </w:r>
          </w:p>
        </w:tc>
        <w:tc>
          <w:tcPr>
            <w:tcW w:w="1205"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23BD374F" w14:textId="77777777" w:rsidR="00375729" w:rsidRPr="00CF3D6E" w:rsidRDefault="00375729" w:rsidP="004919FA">
            <w:pPr>
              <w:pStyle w:val="Tabletext"/>
            </w:pPr>
            <w:r w:rsidRPr="00CF3D6E">
              <w:t>-0.25</w:t>
            </w:r>
          </w:p>
        </w:tc>
      </w:tr>
      <w:tr w:rsidR="00375729" w:rsidRPr="007C5631" w14:paraId="5C7070BA" w14:textId="77777777" w:rsidTr="004919FA">
        <w:trPr>
          <w:trHeight w:val="300"/>
        </w:trPr>
        <w:tc>
          <w:tcPr>
            <w:tcW w:w="2689"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3512DC0" w14:textId="77777777" w:rsidR="00375729" w:rsidRPr="00075CE2" w:rsidRDefault="0058764D" w:rsidP="004919FA">
            <w:pPr>
              <w:pStyle w:val="Tablebullet-Level1"/>
            </w:pPr>
            <w:r>
              <w:t>W</w:t>
            </w:r>
            <w:r w:rsidR="00375729" w:rsidRPr="00075CE2">
              <w:t>eighted</w:t>
            </w:r>
          </w:p>
        </w:tc>
        <w:tc>
          <w:tcPr>
            <w:tcW w:w="1204"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3C54F7EA" w14:textId="77777777" w:rsidR="00375729" w:rsidRPr="00075CE2" w:rsidRDefault="00375729" w:rsidP="004919FA">
            <w:pPr>
              <w:pStyle w:val="Tabletext"/>
            </w:pPr>
            <w:r w:rsidRPr="00075CE2">
              <w:t>0.67</w:t>
            </w:r>
          </w:p>
        </w:tc>
        <w:tc>
          <w:tcPr>
            <w:tcW w:w="12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B7ABB1" w14:textId="77777777" w:rsidR="00375729" w:rsidRPr="00075CE2" w:rsidRDefault="00375729" w:rsidP="004919FA">
            <w:pPr>
              <w:pStyle w:val="Tabletext"/>
            </w:pPr>
            <w:r w:rsidRPr="00075CE2">
              <w:t>-0.10</w:t>
            </w:r>
          </w:p>
        </w:tc>
        <w:tc>
          <w:tcPr>
            <w:tcW w:w="12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B427D6A" w14:textId="77777777" w:rsidR="00375729" w:rsidRPr="00075CE2" w:rsidRDefault="00375729" w:rsidP="004919FA">
            <w:pPr>
              <w:pStyle w:val="Tabletext"/>
            </w:pPr>
            <w:r w:rsidRPr="00075CE2">
              <w:t>-0.85</w:t>
            </w:r>
          </w:p>
        </w:tc>
        <w:tc>
          <w:tcPr>
            <w:tcW w:w="1205"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40D23CBA" w14:textId="77777777" w:rsidR="00375729" w:rsidRPr="00075CE2" w:rsidRDefault="00375729" w:rsidP="004919FA">
            <w:pPr>
              <w:pStyle w:val="Tabletext"/>
            </w:pPr>
            <w:r w:rsidRPr="00075CE2">
              <w:t>-0.05</w:t>
            </w:r>
          </w:p>
        </w:tc>
      </w:tr>
      <w:tr w:rsidR="00375729" w:rsidRPr="007C5631" w14:paraId="68633504" w14:textId="77777777" w:rsidTr="004919FA">
        <w:trPr>
          <w:trHeight w:val="300"/>
        </w:trPr>
        <w:tc>
          <w:tcPr>
            <w:tcW w:w="2689"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60A18282" w14:textId="77777777" w:rsidR="00375729" w:rsidRPr="00CF3D6E" w:rsidRDefault="00375729" w:rsidP="004919FA">
            <w:pPr>
              <w:pStyle w:val="BodyTextNoIndent"/>
              <w:rPr>
                <w:b/>
              </w:rPr>
            </w:pPr>
            <w:r w:rsidRPr="00CF3D6E">
              <w:rPr>
                <w:b/>
              </w:rPr>
              <w:t>Other P &amp; E productivity</w:t>
            </w:r>
          </w:p>
        </w:tc>
        <w:tc>
          <w:tcPr>
            <w:tcW w:w="1204" w:type="dxa"/>
            <w:tcBorders>
              <w:top w:val="single" w:sz="4" w:space="0" w:color="BFBFBF" w:themeColor="background1" w:themeShade="BF"/>
              <w:left w:val="single" w:sz="4" w:space="0" w:color="auto"/>
              <w:bottom w:val="nil"/>
              <w:right w:val="single" w:sz="4" w:space="0" w:color="BFBFBF" w:themeColor="background1" w:themeShade="BF"/>
            </w:tcBorders>
            <w:shd w:val="clear" w:color="auto" w:fill="auto"/>
            <w:noWrap/>
            <w:vAlign w:val="bottom"/>
            <w:hideMark/>
          </w:tcPr>
          <w:p w14:paraId="2F18A77E" w14:textId="77777777" w:rsidR="00375729" w:rsidRPr="00CF3D6E" w:rsidRDefault="00375729" w:rsidP="004919FA">
            <w:pPr>
              <w:pStyle w:val="Tabletext"/>
            </w:pPr>
            <w:r w:rsidRPr="00CF3D6E">
              <w:t>1.10</w:t>
            </w:r>
          </w:p>
        </w:tc>
        <w:tc>
          <w:tcPr>
            <w:tcW w:w="12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FDE66B0" w14:textId="77777777" w:rsidR="00375729" w:rsidRPr="00CF3D6E" w:rsidRDefault="00375729" w:rsidP="004919FA">
            <w:pPr>
              <w:pStyle w:val="Tabletext"/>
            </w:pPr>
            <w:r w:rsidRPr="00CF3D6E">
              <w:t>-1.90</w:t>
            </w:r>
          </w:p>
        </w:tc>
        <w:tc>
          <w:tcPr>
            <w:tcW w:w="12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2164693" w14:textId="77777777" w:rsidR="00375729" w:rsidRPr="00CF3D6E" w:rsidRDefault="00375729" w:rsidP="004919FA">
            <w:pPr>
              <w:pStyle w:val="Tabletext"/>
            </w:pPr>
            <w:r w:rsidRPr="00CF3D6E">
              <w:t>-2.38</w:t>
            </w:r>
          </w:p>
        </w:tc>
        <w:tc>
          <w:tcPr>
            <w:tcW w:w="1205" w:type="dxa"/>
            <w:tcBorders>
              <w:top w:val="single" w:sz="4" w:space="0" w:color="BFBFBF" w:themeColor="background1" w:themeShade="BF"/>
              <w:left w:val="single" w:sz="4" w:space="0" w:color="BFBFBF" w:themeColor="background1" w:themeShade="BF"/>
              <w:bottom w:val="nil"/>
              <w:right w:val="single" w:sz="4" w:space="0" w:color="auto"/>
            </w:tcBorders>
            <w:shd w:val="clear" w:color="auto" w:fill="auto"/>
            <w:noWrap/>
            <w:vAlign w:val="bottom"/>
            <w:hideMark/>
          </w:tcPr>
          <w:p w14:paraId="5B9E7108" w14:textId="77777777" w:rsidR="00375729" w:rsidRPr="00CF3D6E" w:rsidRDefault="00375729" w:rsidP="004919FA">
            <w:pPr>
              <w:pStyle w:val="Tabletext"/>
            </w:pPr>
            <w:r w:rsidRPr="00CF3D6E">
              <w:t>0.15</w:t>
            </w:r>
          </w:p>
        </w:tc>
      </w:tr>
      <w:tr w:rsidR="00375729" w:rsidRPr="007C5631" w14:paraId="7827F41E" w14:textId="77777777" w:rsidTr="004919FA">
        <w:trPr>
          <w:trHeight w:val="300"/>
        </w:trPr>
        <w:tc>
          <w:tcPr>
            <w:tcW w:w="2689"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40F5D6FC" w14:textId="77777777" w:rsidR="00375729" w:rsidRPr="00075CE2" w:rsidRDefault="0058764D" w:rsidP="004919FA">
            <w:pPr>
              <w:pStyle w:val="Tablebullet-Level1"/>
            </w:pPr>
            <w:r>
              <w:t>W</w:t>
            </w:r>
            <w:r w:rsidR="00375729" w:rsidRPr="00075CE2">
              <w:t>eighted</w:t>
            </w:r>
          </w:p>
        </w:tc>
        <w:tc>
          <w:tcPr>
            <w:tcW w:w="1204"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3245570B" w14:textId="77777777" w:rsidR="00375729" w:rsidRPr="00075CE2" w:rsidRDefault="00375729" w:rsidP="004919FA">
            <w:pPr>
              <w:pStyle w:val="Tabletext"/>
            </w:pPr>
            <w:r w:rsidRPr="00075CE2">
              <w:t>0.04</w:t>
            </w:r>
          </w:p>
        </w:tc>
        <w:tc>
          <w:tcPr>
            <w:tcW w:w="12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928FE24" w14:textId="77777777" w:rsidR="00375729" w:rsidRPr="00075CE2" w:rsidRDefault="00375729" w:rsidP="004919FA">
            <w:pPr>
              <w:pStyle w:val="Tabletext"/>
            </w:pPr>
            <w:r w:rsidRPr="00075CE2">
              <w:t>-0.09</w:t>
            </w:r>
          </w:p>
        </w:tc>
        <w:tc>
          <w:tcPr>
            <w:tcW w:w="12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4AA66F3" w14:textId="77777777" w:rsidR="00375729" w:rsidRPr="00075CE2" w:rsidRDefault="00375729" w:rsidP="004919FA">
            <w:pPr>
              <w:pStyle w:val="Tabletext"/>
            </w:pPr>
            <w:r w:rsidRPr="00075CE2">
              <w:t>-0.10</w:t>
            </w:r>
          </w:p>
        </w:tc>
        <w:tc>
          <w:tcPr>
            <w:tcW w:w="1205"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383C30C6" w14:textId="77777777" w:rsidR="00375729" w:rsidRPr="00075CE2" w:rsidRDefault="00375729" w:rsidP="004919FA">
            <w:pPr>
              <w:pStyle w:val="Tabletext"/>
            </w:pPr>
            <w:r w:rsidRPr="00075CE2">
              <w:t>0.01</w:t>
            </w:r>
          </w:p>
        </w:tc>
      </w:tr>
      <w:tr w:rsidR="00375729" w:rsidRPr="007C5631" w14:paraId="76FD74F4" w14:textId="77777777" w:rsidTr="004919FA">
        <w:trPr>
          <w:trHeight w:val="300"/>
        </w:trPr>
        <w:tc>
          <w:tcPr>
            <w:tcW w:w="2689"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2FCD1B16" w14:textId="77777777" w:rsidR="00375729" w:rsidRPr="00CF3D6E" w:rsidRDefault="00375729" w:rsidP="004919FA">
            <w:pPr>
              <w:pStyle w:val="BodyTextNoIndent"/>
              <w:rPr>
                <w:b/>
              </w:rPr>
            </w:pPr>
            <w:r w:rsidRPr="00CF3D6E">
              <w:rPr>
                <w:b/>
              </w:rPr>
              <w:t>Road vehicles productivity</w:t>
            </w:r>
          </w:p>
        </w:tc>
        <w:tc>
          <w:tcPr>
            <w:tcW w:w="1204" w:type="dxa"/>
            <w:tcBorders>
              <w:top w:val="single" w:sz="4" w:space="0" w:color="BFBFBF" w:themeColor="background1" w:themeShade="BF"/>
              <w:left w:val="single" w:sz="4" w:space="0" w:color="auto"/>
              <w:bottom w:val="nil"/>
              <w:right w:val="single" w:sz="4" w:space="0" w:color="BFBFBF" w:themeColor="background1" w:themeShade="BF"/>
            </w:tcBorders>
            <w:shd w:val="clear" w:color="auto" w:fill="auto"/>
            <w:noWrap/>
            <w:vAlign w:val="bottom"/>
            <w:hideMark/>
          </w:tcPr>
          <w:p w14:paraId="6A94DBF4" w14:textId="77777777" w:rsidR="00375729" w:rsidRPr="00CF3D6E" w:rsidRDefault="00375729" w:rsidP="004919FA">
            <w:pPr>
              <w:pStyle w:val="Tabletext"/>
            </w:pPr>
            <w:r w:rsidRPr="00CF3D6E">
              <w:t>2.75</w:t>
            </w:r>
          </w:p>
        </w:tc>
        <w:tc>
          <w:tcPr>
            <w:tcW w:w="12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BC70BFC" w14:textId="77777777" w:rsidR="00375729" w:rsidRPr="00CF3D6E" w:rsidRDefault="00375729" w:rsidP="004919FA">
            <w:pPr>
              <w:pStyle w:val="Tabletext"/>
            </w:pPr>
            <w:r w:rsidRPr="00CF3D6E">
              <w:t>-0.98</w:t>
            </w:r>
          </w:p>
        </w:tc>
        <w:tc>
          <w:tcPr>
            <w:tcW w:w="12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E23B569" w14:textId="77777777" w:rsidR="00375729" w:rsidRPr="00CF3D6E" w:rsidRDefault="00375729" w:rsidP="004919FA">
            <w:pPr>
              <w:pStyle w:val="Tabletext"/>
            </w:pPr>
            <w:r w:rsidRPr="00CF3D6E">
              <w:t>-0.01</w:t>
            </w:r>
          </w:p>
        </w:tc>
        <w:tc>
          <w:tcPr>
            <w:tcW w:w="1205" w:type="dxa"/>
            <w:tcBorders>
              <w:top w:val="single" w:sz="4" w:space="0" w:color="BFBFBF" w:themeColor="background1" w:themeShade="BF"/>
              <w:left w:val="single" w:sz="4" w:space="0" w:color="BFBFBF" w:themeColor="background1" w:themeShade="BF"/>
              <w:bottom w:val="nil"/>
              <w:right w:val="single" w:sz="4" w:space="0" w:color="auto"/>
            </w:tcBorders>
            <w:shd w:val="clear" w:color="auto" w:fill="auto"/>
            <w:noWrap/>
            <w:vAlign w:val="bottom"/>
            <w:hideMark/>
          </w:tcPr>
          <w:p w14:paraId="4AF36884" w14:textId="77777777" w:rsidR="00375729" w:rsidRPr="00CF3D6E" w:rsidRDefault="00375729" w:rsidP="004919FA">
            <w:pPr>
              <w:pStyle w:val="Tabletext"/>
            </w:pPr>
            <w:r w:rsidRPr="00CF3D6E">
              <w:t>-2.23</w:t>
            </w:r>
          </w:p>
        </w:tc>
      </w:tr>
      <w:tr w:rsidR="00375729" w:rsidRPr="007C5631" w14:paraId="0645B58D" w14:textId="77777777" w:rsidTr="004919FA">
        <w:trPr>
          <w:trHeight w:val="300"/>
        </w:trPr>
        <w:tc>
          <w:tcPr>
            <w:tcW w:w="2689"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47CAF25" w14:textId="77777777" w:rsidR="00375729" w:rsidRPr="00075CE2" w:rsidRDefault="0058764D" w:rsidP="004919FA">
            <w:pPr>
              <w:pStyle w:val="Tablebullet-Level1"/>
            </w:pPr>
            <w:r>
              <w:t>W</w:t>
            </w:r>
            <w:r w:rsidR="00375729" w:rsidRPr="00075CE2">
              <w:t>eighted</w:t>
            </w:r>
          </w:p>
        </w:tc>
        <w:tc>
          <w:tcPr>
            <w:tcW w:w="1204"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6E581E0B" w14:textId="77777777" w:rsidR="00375729" w:rsidRPr="00075CE2" w:rsidRDefault="00375729" w:rsidP="004919FA">
            <w:pPr>
              <w:pStyle w:val="Tabletext"/>
            </w:pPr>
            <w:r w:rsidRPr="00075CE2">
              <w:t>0.22</w:t>
            </w:r>
          </w:p>
        </w:tc>
        <w:tc>
          <w:tcPr>
            <w:tcW w:w="12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8572B9" w14:textId="77777777" w:rsidR="00375729" w:rsidRPr="00075CE2" w:rsidRDefault="00375729" w:rsidP="004919FA">
            <w:pPr>
              <w:pStyle w:val="Tabletext"/>
            </w:pPr>
            <w:r w:rsidRPr="00075CE2">
              <w:t>-0.10</w:t>
            </w:r>
          </w:p>
        </w:tc>
        <w:tc>
          <w:tcPr>
            <w:tcW w:w="120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8EFE3F" w14:textId="77777777" w:rsidR="00375729" w:rsidRPr="00075CE2" w:rsidRDefault="00375729" w:rsidP="004919FA">
            <w:pPr>
              <w:pStyle w:val="Tabletext"/>
            </w:pPr>
            <w:r w:rsidRPr="00075CE2">
              <w:t>-0.00</w:t>
            </w:r>
          </w:p>
        </w:tc>
        <w:tc>
          <w:tcPr>
            <w:tcW w:w="1205"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27BC84F7" w14:textId="77777777" w:rsidR="00375729" w:rsidRPr="00075CE2" w:rsidRDefault="00375729" w:rsidP="004919FA">
            <w:pPr>
              <w:pStyle w:val="Tabletext"/>
            </w:pPr>
            <w:r w:rsidRPr="00075CE2">
              <w:t>-0.25</w:t>
            </w:r>
          </w:p>
        </w:tc>
      </w:tr>
      <w:tr w:rsidR="00375729" w:rsidRPr="007C5631" w14:paraId="6B7465BC" w14:textId="77777777" w:rsidTr="004919FA">
        <w:trPr>
          <w:trHeight w:val="300"/>
        </w:trPr>
        <w:tc>
          <w:tcPr>
            <w:tcW w:w="2689"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3B529014" w14:textId="77777777" w:rsidR="00375729" w:rsidRPr="00CF3D6E" w:rsidRDefault="00375729" w:rsidP="004919FA">
            <w:pPr>
              <w:pStyle w:val="BodyTextNoIndent"/>
              <w:rPr>
                <w:b/>
              </w:rPr>
            </w:pPr>
            <w:r w:rsidRPr="00CF3D6E">
              <w:rPr>
                <w:b/>
              </w:rPr>
              <w:t>Construction productivity</w:t>
            </w:r>
          </w:p>
        </w:tc>
        <w:tc>
          <w:tcPr>
            <w:tcW w:w="1204" w:type="dxa"/>
            <w:tcBorders>
              <w:top w:val="single" w:sz="4" w:space="0" w:color="BFBFBF" w:themeColor="background1" w:themeShade="BF"/>
              <w:left w:val="single" w:sz="4" w:space="0" w:color="auto"/>
              <w:bottom w:val="nil"/>
              <w:right w:val="single" w:sz="4" w:space="0" w:color="BFBFBF" w:themeColor="background1" w:themeShade="BF"/>
            </w:tcBorders>
            <w:shd w:val="clear" w:color="auto" w:fill="auto"/>
            <w:noWrap/>
            <w:vAlign w:val="bottom"/>
            <w:hideMark/>
          </w:tcPr>
          <w:p w14:paraId="696E2F65" w14:textId="77777777" w:rsidR="00375729" w:rsidRPr="00CF3D6E" w:rsidRDefault="00375729" w:rsidP="004919FA">
            <w:pPr>
              <w:pStyle w:val="Tabletext"/>
            </w:pPr>
            <w:r w:rsidRPr="00CF3D6E">
              <w:t>3.54</w:t>
            </w:r>
          </w:p>
        </w:tc>
        <w:tc>
          <w:tcPr>
            <w:tcW w:w="12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31D379E" w14:textId="77777777" w:rsidR="00375729" w:rsidRPr="00CF3D6E" w:rsidRDefault="00375729" w:rsidP="004919FA">
            <w:pPr>
              <w:pStyle w:val="Tabletext"/>
            </w:pPr>
            <w:r w:rsidRPr="00CF3D6E">
              <w:t>1.77</w:t>
            </w:r>
          </w:p>
        </w:tc>
        <w:tc>
          <w:tcPr>
            <w:tcW w:w="120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EB80E3" w14:textId="77777777" w:rsidR="00375729" w:rsidRPr="00CF3D6E" w:rsidRDefault="00375729" w:rsidP="004919FA">
            <w:pPr>
              <w:pStyle w:val="Tabletext"/>
            </w:pPr>
            <w:r w:rsidRPr="00CF3D6E">
              <w:t>3.65</w:t>
            </w:r>
          </w:p>
        </w:tc>
        <w:tc>
          <w:tcPr>
            <w:tcW w:w="1205" w:type="dxa"/>
            <w:tcBorders>
              <w:top w:val="single" w:sz="4" w:space="0" w:color="BFBFBF" w:themeColor="background1" w:themeShade="BF"/>
              <w:left w:val="single" w:sz="4" w:space="0" w:color="BFBFBF" w:themeColor="background1" w:themeShade="BF"/>
              <w:bottom w:val="nil"/>
              <w:right w:val="single" w:sz="4" w:space="0" w:color="auto"/>
            </w:tcBorders>
            <w:shd w:val="clear" w:color="auto" w:fill="auto"/>
            <w:noWrap/>
            <w:vAlign w:val="bottom"/>
            <w:hideMark/>
          </w:tcPr>
          <w:p w14:paraId="2FBC7229" w14:textId="77777777" w:rsidR="00375729" w:rsidRPr="00CF3D6E" w:rsidRDefault="00375729" w:rsidP="004919FA">
            <w:pPr>
              <w:pStyle w:val="Tabletext"/>
            </w:pPr>
            <w:r w:rsidRPr="00CF3D6E">
              <w:t>1.42</w:t>
            </w:r>
          </w:p>
        </w:tc>
      </w:tr>
      <w:tr w:rsidR="00375729" w:rsidRPr="007C5631" w14:paraId="4E4609BC" w14:textId="77777777" w:rsidTr="004919FA">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B6FCB24" w14:textId="77777777" w:rsidR="00375729" w:rsidRPr="00075CE2" w:rsidRDefault="0058764D" w:rsidP="004919FA">
            <w:pPr>
              <w:pStyle w:val="Tablebullet-Level1"/>
            </w:pPr>
            <w:r>
              <w:t>W</w:t>
            </w:r>
            <w:r w:rsidR="00375729" w:rsidRPr="00075CE2">
              <w:t>eighted</w:t>
            </w:r>
          </w:p>
        </w:tc>
        <w:tc>
          <w:tcPr>
            <w:tcW w:w="1204" w:type="dxa"/>
            <w:tcBorders>
              <w:top w:val="nil"/>
              <w:left w:val="single" w:sz="4" w:space="0" w:color="auto"/>
              <w:bottom w:val="single" w:sz="4" w:space="0" w:color="auto"/>
              <w:right w:val="single" w:sz="4" w:space="0" w:color="BFBFBF" w:themeColor="background1" w:themeShade="BF"/>
            </w:tcBorders>
            <w:shd w:val="clear" w:color="auto" w:fill="auto"/>
            <w:noWrap/>
            <w:vAlign w:val="bottom"/>
            <w:hideMark/>
          </w:tcPr>
          <w:p w14:paraId="3AD10902" w14:textId="77777777" w:rsidR="00375729" w:rsidRPr="00075CE2" w:rsidRDefault="00375729" w:rsidP="004919FA">
            <w:pPr>
              <w:pStyle w:val="Tabletext"/>
            </w:pPr>
            <w:r w:rsidRPr="00075CE2">
              <w:t>0.90</w:t>
            </w:r>
          </w:p>
        </w:tc>
        <w:tc>
          <w:tcPr>
            <w:tcW w:w="120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00535EFB" w14:textId="77777777" w:rsidR="00375729" w:rsidRPr="00075CE2" w:rsidRDefault="00375729" w:rsidP="004919FA">
            <w:pPr>
              <w:pStyle w:val="Tabletext"/>
            </w:pPr>
            <w:r w:rsidRPr="00075CE2">
              <w:t>0.50</w:t>
            </w:r>
          </w:p>
        </w:tc>
        <w:tc>
          <w:tcPr>
            <w:tcW w:w="120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196F8114" w14:textId="77777777" w:rsidR="00375729" w:rsidRPr="00075CE2" w:rsidRDefault="00375729" w:rsidP="004919FA">
            <w:pPr>
              <w:pStyle w:val="Tabletext"/>
            </w:pPr>
            <w:r w:rsidRPr="00075CE2">
              <w:t>0.82</w:t>
            </w:r>
          </w:p>
        </w:tc>
        <w:tc>
          <w:tcPr>
            <w:tcW w:w="1205" w:type="dxa"/>
            <w:tcBorders>
              <w:top w:val="nil"/>
              <w:left w:val="single" w:sz="4" w:space="0" w:color="BFBFBF" w:themeColor="background1" w:themeShade="BF"/>
              <w:bottom w:val="single" w:sz="4" w:space="0" w:color="auto"/>
              <w:right w:val="single" w:sz="4" w:space="0" w:color="auto"/>
            </w:tcBorders>
            <w:shd w:val="clear" w:color="auto" w:fill="auto"/>
            <w:noWrap/>
            <w:vAlign w:val="bottom"/>
            <w:hideMark/>
          </w:tcPr>
          <w:p w14:paraId="65B79117" w14:textId="77777777" w:rsidR="00375729" w:rsidRPr="00075CE2" w:rsidRDefault="00375729" w:rsidP="004919FA">
            <w:pPr>
              <w:pStyle w:val="Tabletext"/>
            </w:pPr>
            <w:r w:rsidRPr="00075CE2">
              <w:t>0.31</w:t>
            </w:r>
          </w:p>
        </w:tc>
      </w:tr>
    </w:tbl>
    <w:p w14:paraId="6FF0504E" w14:textId="0E7E6E89" w:rsidR="00375729" w:rsidRPr="00A7255E" w:rsidRDefault="00375729" w:rsidP="00012248">
      <w:pPr>
        <w:pStyle w:val="SourceNotes"/>
      </w:pPr>
      <w:r>
        <w:fldChar w:fldCharType="end"/>
      </w:r>
      <w:r w:rsidR="004919FA">
        <w:br w:type="textWrapping" w:clear="all"/>
      </w:r>
      <w:r>
        <w:t xml:space="preserve">Note: a. </w:t>
      </w:r>
      <w:r w:rsidRPr="00A7255E">
        <w:t>Weighted by the share of the asset in capital income</w:t>
      </w:r>
    </w:p>
    <w:p w14:paraId="7145A676" w14:textId="77777777" w:rsidR="00375729" w:rsidRPr="00A7255E" w:rsidRDefault="00375729" w:rsidP="00012248">
      <w:pPr>
        <w:pStyle w:val="SourceNotes"/>
      </w:pPr>
      <w:r>
        <w:t xml:space="preserve">Source: </w:t>
      </w:r>
      <w:r w:rsidRPr="00A7255E">
        <w:t>Author estimates</w:t>
      </w:r>
    </w:p>
    <w:p w14:paraId="180FECE3" w14:textId="77777777" w:rsidR="00375729" w:rsidRPr="00231698" w:rsidRDefault="00375729" w:rsidP="00375729">
      <w:r w:rsidRPr="00231698">
        <w:t xml:space="preserve">From this purely accounting perspective, IT appears to have made a strong contribution to MFP growth. The IT capital deepening contribution accounts for 0.4 to 0.7 of a percentage point of annual MFP growth up to the mid-2000s. IT could have contributed more through the capital productivity of different assets. </w:t>
      </w:r>
    </w:p>
    <w:p w14:paraId="35FF8939" w14:textId="77777777" w:rsidR="00375729" w:rsidRDefault="00375729" w:rsidP="00375729">
      <w:r w:rsidRPr="00231698">
        <w:t>In the case of better use of buildings, IT could have contributed up to 0.3 of a percentage of annual MFP growth. In the first MFP cycle IT could have contributed anywhere up to 0.4 of a percentage point if it was influential across all major asset categories.</w:t>
      </w:r>
    </w:p>
    <w:p w14:paraId="2740117F" w14:textId="77777777" w:rsidR="00375729" w:rsidRDefault="00375729" w:rsidP="00375729">
      <w:pPr>
        <w:spacing w:after="120"/>
        <w:ind w:left="1021" w:hanging="1021"/>
      </w:pPr>
      <w:r>
        <w:br w:type="page"/>
      </w:r>
    </w:p>
    <w:p w14:paraId="5FEBFB0B" w14:textId="77777777" w:rsidR="00375729" w:rsidRDefault="00375729" w:rsidP="00CF3D6E">
      <w:pPr>
        <w:pStyle w:val="BCRAppendicesHeading"/>
      </w:pPr>
      <w:bookmarkStart w:id="113" w:name="_Toc442448192"/>
      <w:r>
        <w:t>Retail trade</w:t>
      </w:r>
      <w:bookmarkEnd w:id="113"/>
    </w:p>
    <w:p w14:paraId="7B0AC0E4" w14:textId="77777777" w:rsidR="006139F5" w:rsidRDefault="006139F5" w:rsidP="00F37FA2">
      <w:pPr>
        <w:pStyle w:val="Boxheading"/>
      </w:pPr>
      <w:r>
        <w:t>Key points</w:t>
      </w:r>
    </w:p>
    <w:p w14:paraId="6696DA3F" w14:textId="77777777" w:rsidR="00375729" w:rsidRPr="002F404B" w:rsidRDefault="00375729" w:rsidP="00012248">
      <w:pPr>
        <w:pStyle w:val="Boxtext"/>
      </w:pPr>
      <w:r w:rsidRPr="002F404B">
        <w:t>Information Technology (IT) grew very rapidly in retail in the 1990s and 2000s</w:t>
      </w:r>
      <w:r w:rsidR="00736904">
        <w:t xml:space="preserve">, </w:t>
      </w:r>
      <w:r w:rsidRPr="002F404B">
        <w:t>up until 2007</w:t>
      </w:r>
      <w:r w:rsidR="00736904">
        <w:noBreakHyphen/>
      </w:r>
      <w:r w:rsidRPr="002F404B">
        <w:t>08</w:t>
      </w:r>
      <w:r w:rsidR="00736904">
        <w:t xml:space="preserve">, </w:t>
      </w:r>
      <w:r w:rsidRPr="002F404B">
        <w:t>with annual rates of growth typically 15</w:t>
      </w:r>
      <w:r w:rsidR="00736904">
        <w:noBreakHyphen/>
      </w:r>
      <w:r w:rsidRPr="002F404B">
        <w:t>20 per cent:</w:t>
      </w:r>
    </w:p>
    <w:p w14:paraId="443F809F" w14:textId="77777777" w:rsidR="00375729" w:rsidRPr="002F404B" w:rsidRDefault="00375729" w:rsidP="00012248">
      <w:pPr>
        <w:pStyle w:val="Boxbullet"/>
      </w:pPr>
      <w:r w:rsidRPr="002F404B">
        <w:t>Growth in hardware, in particular, dropped off after 2007</w:t>
      </w:r>
      <w:r w:rsidR="00736904">
        <w:noBreakHyphen/>
      </w:r>
      <w:r w:rsidRPr="002F404B">
        <w:t>08.</w:t>
      </w:r>
    </w:p>
    <w:p w14:paraId="53363684" w14:textId="77777777" w:rsidR="00375729" w:rsidRPr="002F404B" w:rsidRDefault="00375729" w:rsidP="00012248">
      <w:pPr>
        <w:pStyle w:val="Boxtext"/>
      </w:pPr>
      <w:r w:rsidRPr="002F404B">
        <w:t>Between 1989–90 and 2013–14, labour productivity (LP) growth was moderate to strong. While it was quite steady throughout this period, labour productivity growth was slower in the 2000s.</w:t>
      </w:r>
    </w:p>
    <w:p w14:paraId="61D64F3A" w14:textId="77777777" w:rsidR="00375729" w:rsidRPr="002F404B" w:rsidRDefault="00375729" w:rsidP="00012248">
      <w:pPr>
        <w:pStyle w:val="Boxtext"/>
      </w:pPr>
      <w:r w:rsidRPr="002F404B">
        <w:t>Multifactor productivity (MFP) growth was more important than capital deepening as a source of labour productivity growth over the observation period, even though</w:t>
      </w:r>
      <w:r>
        <w:t xml:space="preserve"> </w:t>
      </w:r>
      <w:r w:rsidRPr="002F404B">
        <w:t xml:space="preserve">MFP growth slowed in the 2000s. </w:t>
      </w:r>
    </w:p>
    <w:p w14:paraId="75AA45C6" w14:textId="77777777" w:rsidR="00375729" w:rsidRPr="002F404B" w:rsidRDefault="00375729" w:rsidP="00012248">
      <w:pPr>
        <w:pStyle w:val="Boxtext"/>
      </w:pPr>
      <w:r w:rsidRPr="002F404B">
        <w:t>The Information Technology (IT) capital deepening contribution to LP growth was quite strong at 0.6 of a percentage point up to the end of the 2000s. This represents roughly 20–25 per cent of LP growth over different cycles.</w:t>
      </w:r>
    </w:p>
    <w:p w14:paraId="2043B7BD" w14:textId="77777777" w:rsidR="00375729" w:rsidRPr="002F404B" w:rsidRDefault="00375729" w:rsidP="00012248">
      <w:pPr>
        <w:pStyle w:val="Boxtext"/>
      </w:pPr>
      <w:r w:rsidRPr="002F404B">
        <w:t>A slowdown in LP and MFP growth is associated with a slowdown in IT growth. A causal link, however, was not established in this analysis.</w:t>
      </w:r>
    </w:p>
    <w:p w14:paraId="60EC9C68" w14:textId="77777777" w:rsidR="00375729" w:rsidRPr="002F404B" w:rsidRDefault="00375729" w:rsidP="00012248">
      <w:pPr>
        <w:pStyle w:val="Boxtext"/>
      </w:pPr>
      <w:r w:rsidRPr="002F404B">
        <w:t>There has been little improvement in average skill in the industry.</w:t>
      </w:r>
    </w:p>
    <w:p w14:paraId="70393E4F" w14:textId="77777777" w:rsidR="00375729" w:rsidRPr="002F404B" w:rsidRDefault="00375729" w:rsidP="00012248">
      <w:pPr>
        <w:pStyle w:val="Boxtext"/>
      </w:pPr>
      <w:r w:rsidRPr="002F404B">
        <w:t>IT has likely enabled MFP gains through labour and capital substitution effects.</w:t>
      </w:r>
    </w:p>
    <w:p w14:paraId="5F18588E" w14:textId="77777777" w:rsidR="00375729" w:rsidRPr="002F404B" w:rsidRDefault="00375729" w:rsidP="00012248">
      <w:pPr>
        <w:pStyle w:val="Boxtext"/>
      </w:pPr>
      <w:r w:rsidRPr="002F404B">
        <w:t>Areas of substantial improvement in capital productivity that could be associated with IT use include:</w:t>
      </w:r>
    </w:p>
    <w:p w14:paraId="440A232A" w14:textId="77777777" w:rsidR="00375729" w:rsidRPr="002F404B" w:rsidRDefault="00375729" w:rsidP="00012248">
      <w:pPr>
        <w:pStyle w:val="Boxbullet"/>
      </w:pPr>
      <w:r w:rsidRPr="002F404B">
        <w:t>Efficiency in the use of land (80 per cent) and buildings (35 per cent).</w:t>
      </w:r>
    </w:p>
    <w:p w14:paraId="53F3EB75" w14:textId="77777777" w:rsidR="00375729" w:rsidRPr="002F404B" w:rsidRDefault="00375729" w:rsidP="00012248">
      <w:pPr>
        <w:pStyle w:val="Boxbullet"/>
      </w:pPr>
      <w:r w:rsidRPr="002F404B">
        <w:t xml:space="preserve">Productivity of road vehicles improved 60 per cent over the 1990s and early 2000s before falling back. </w:t>
      </w:r>
    </w:p>
    <w:p w14:paraId="4F9CC23E" w14:textId="77777777" w:rsidR="00375729" w:rsidRPr="002F404B" w:rsidRDefault="00375729" w:rsidP="00012248">
      <w:pPr>
        <w:pStyle w:val="Boxbullet"/>
      </w:pPr>
      <w:r w:rsidRPr="002F404B">
        <w:t>Improvement of nearly 20 per cent in the productivity of other plant and equipment.</w:t>
      </w:r>
    </w:p>
    <w:p w14:paraId="4BD49D17" w14:textId="77777777" w:rsidR="00375729" w:rsidRPr="002F404B" w:rsidRDefault="00375729" w:rsidP="00012248">
      <w:pPr>
        <w:pStyle w:val="Boxbullet"/>
      </w:pPr>
      <w:r w:rsidRPr="002F404B">
        <w:t>Inventories productivity increased 20 per cent in the 2000s.</w:t>
      </w:r>
    </w:p>
    <w:p w14:paraId="369B49A8" w14:textId="77777777" w:rsidR="00375729" w:rsidRPr="002F404B" w:rsidRDefault="00375729" w:rsidP="00012248">
      <w:pPr>
        <w:pStyle w:val="Boxtext"/>
      </w:pPr>
      <w:r w:rsidRPr="002F404B">
        <w:t xml:space="preserve">The efficiency of use of intermediate inputs increased by over 30 per cent up to 2006–07. </w:t>
      </w:r>
    </w:p>
    <w:p w14:paraId="7E6584C0" w14:textId="77777777" w:rsidR="00375729" w:rsidRPr="002F404B" w:rsidRDefault="00375729" w:rsidP="00375729">
      <w:pPr>
        <w:pStyle w:val="BCRBodytext"/>
      </w:pPr>
      <w:r w:rsidRPr="002F404B">
        <w:t>The Australian Bureau of Statistics (ABS) identifies the following subdivisions within retail trade:</w:t>
      </w:r>
    </w:p>
    <w:p w14:paraId="17A2A7F9" w14:textId="77777777" w:rsidR="00375729" w:rsidRPr="002F404B" w:rsidRDefault="00375729" w:rsidP="004919FA">
      <w:pPr>
        <w:pStyle w:val="Bodybullet-Level1"/>
      </w:pPr>
      <w:r w:rsidRPr="002F404B">
        <w:t xml:space="preserve">food retailing </w:t>
      </w:r>
    </w:p>
    <w:p w14:paraId="5612B66D" w14:textId="77777777" w:rsidR="00375729" w:rsidRPr="002F404B" w:rsidRDefault="00375729" w:rsidP="004919FA">
      <w:pPr>
        <w:pStyle w:val="Bodybullet-Level1"/>
      </w:pPr>
      <w:r w:rsidRPr="002F404B">
        <w:t>household goods retailing</w:t>
      </w:r>
    </w:p>
    <w:p w14:paraId="26ED4B91" w14:textId="77777777" w:rsidR="00375729" w:rsidRPr="002F404B" w:rsidRDefault="00375729" w:rsidP="004919FA">
      <w:pPr>
        <w:pStyle w:val="Bodybullet-Level1"/>
      </w:pPr>
      <w:r w:rsidRPr="002F404B">
        <w:t>clothing, footwear and personal accessory retailing</w:t>
      </w:r>
    </w:p>
    <w:p w14:paraId="7878B697" w14:textId="77777777" w:rsidR="00375729" w:rsidRPr="002F404B" w:rsidRDefault="00375729" w:rsidP="004919FA">
      <w:pPr>
        <w:pStyle w:val="Bodybullet-Level1"/>
      </w:pPr>
      <w:r w:rsidRPr="002F404B">
        <w:t xml:space="preserve">department stores </w:t>
      </w:r>
    </w:p>
    <w:p w14:paraId="4A01B28B" w14:textId="77777777" w:rsidR="00375729" w:rsidRPr="002F404B" w:rsidRDefault="00375729" w:rsidP="004919FA">
      <w:pPr>
        <w:pStyle w:val="Bodybullet-Level1"/>
      </w:pPr>
      <w:r w:rsidRPr="002F404B">
        <w:t>other retailing</w:t>
      </w:r>
      <w:r w:rsidR="00052F6B">
        <w:t>, and</w:t>
      </w:r>
    </w:p>
    <w:p w14:paraId="3E2B69B8" w14:textId="77777777" w:rsidR="00375729" w:rsidRPr="002F404B" w:rsidRDefault="00375729" w:rsidP="004919FA">
      <w:pPr>
        <w:pStyle w:val="Bodybullet-Level1"/>
      </w:pPr>
      <w:r w:rsidRPr="002F404B">
        <w:t>cafes, restaurants and takeaway food services.</w:t>
      </w:r>
    </w:p>
    <w:p w14:paraId="22838EEA" w14:textId="77777777" w:rsidR="00375729" w:rsidRPr="002F404B" w:rsidRDefault="00375729" w:rsidP="00375729">
      <w:pPr>
        <w:pStyle w:val="BodyTextNoIndent"/>
      </w:pPr>
      <w:r w:rsidRPr="002F404B">
        <w:t>Retail trade grew at 3.9 per cent a year between 1989–90 and 2013–14. Since that was below the economy-wide average, retail fell as a proportion of GDP from 5.3 to 4.8 per cent over that period. Output growth dwindled after 2007–08, to an average 2.1 per cent a year.</w:t>
      </w:r>
    </w:p>
    <w:p w14:paraId="2C0E5D08" w14:textId="77777777" w:rsidR="00375729" w:rsidRPr="002F404B" w:rsidRDefault="00375729" w:rsidP="00375729">
      <w:pPr>
        <w:pStyle w:val="BodyTextNoIndent"/>
      </w:pPr>
      <w:r w:rsidRPr="002F404B">
        <w:t>There was a distinct slowdown in growth of the sector from 2007–08 (</w:t>
      </w:r>
      <w:r w:rsidR="00864A1D" w:rsidRPr="00864A1D">
        <w:t>Figure D1</w:t>
      </w:r>
      <w:r w:rsidRPr="002F404B">
        <w:t>). Growth in output and capital halved and growth in labour turned into shedding of labour (</w:t>
      </w:r>
      <w:r>
        <w:t xml:space="preserve">Table </w:t>
      </w:r>
      <w:r w:rsidR="00521411">
        <w:t>D1</w:t>
      </w:r>
      <w:r w:rsidRPr="002F404B">
        <w:t>).</w:t>
      </w:r>
    </w:p>
    <w:p w14:paraId="3E13D452" w14:textId="77777777" w:rsidR="00375729" w:rsidRPr="002F404B" w:rsidRDefault="00375729" w:rsidP="00375729">
      <w:pPr>
        <w:pStyle w:val="BodyTextNoIndent"/>
      </w:pPr>
      <w:r w:rsidRPr="002F404B">
        <w:t xml:space="preserve">The sector is very labour intensive, with labour costs absorbing around 75 per cent of gross income between 1989–90 and 2013–14. </w:t>
      </w:r>
    </w:p>
    <w:p w14:paraId="19C53485" w14:textId="77777777" w:rsidR="00375729" w:rsidRDefault="00375729" w:rsidP="004919FA">
      <w:pPr>
        <w:pStyle w:val="Figurecaption"/>
      </w:pPr>
      <w:r>
        <w:t xml:space="preserve"> Figure </w:t>
      </w:r>
      <w:r w:rsidR="00864A1D">
        <w:t>D</w:t>
      </w:r>
      <w:r w:rsidR="00052F6B">
        <w:t>1</w:t>
      </w:r>
      <w:r>
        <w:t>: Capital, Labour and output in Retail trade (index, 2012–13</w:t>
      </w:r>
      <w:r w:rsidR="006A530A">
        <w:t xml:space="preserve"> = </w:t>
      </w:r>
      <w:r>
        <w:t>100)</w:t>
      </w:r>
    </w:p>
    <w:p w14:paraId="3D7C86EB" w14:textId="554A7A47" w:rsidR="00375729" w:rsidRDefault="004919FA" w:rsidP="00375729">
      <w:r>
        <w:rPr>
          <w:noProof/>
          <w:lang w:eastAsia="en-AU"/>
        </w:rPr>
        <w:drawing>
          <wp:inline distT="0" distB="0" distL="0" distR="0" wp14:anchorId="2396D7FB" wp14:editId="42EB3B30">
            <wp:extent cx="4529455" cy="2908300"/>
            <wp:effectExtent l="0" t="0" r="4445"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29455" cy="2908300"/>
                    </a:xfrm>
                    <a:prstGeom prst="rect">
                      <a:avLst/>
                    </a:prstGeom>
                    <a:noFill/>
                  </pic:spPr>
                </pic:pic>
              </a:graphicData>
            </a:graphic>
          </wp:inline>
        </w:drawing>
      </w:r>
    </w:p>
    <w:p w14:paraId="6D50AC7A" w14:textId="77777777" w:rsidR="00375729" w:rsidRDefault="00375729" w:rsidP="00012248">
      <w:pPr>
        <w:pStyle w:val="SourceNotes"/>
      </w:pPr>
      <w:r>
        <w:t xml:space="preserve">Source: </w:t>
      </w:r>
      <w:r w:rsidRPr="00323930">
        <w:t xml:space="preserve">ABS Cat. No. 5260.0.55.002 </w:t>
      </w:r>
      <w:r>
        <w:fldChar w:fldCharType="begin"/>
      </w:r>
      <w:r>
        <w:instrText xml:space="preserve"> LINK Excel.Sheet.12 "\\\\dept.gov.au\\DFS\\Home\\DParham\\desktop\\Docs\\1. GA project\\Industry studies\\Retail trade\\retail workbook 150923.xlsx" "Overview!R10C30:R13C33" \a \f 4 \h  \* MERGEFORMAT </w:instrText>
      </w:r>
      <w:r>
        <w:fldChar w:fldCharType="separate"/>
      </w:r>
    </w:p>
    <w:p w14:paraId="4AF5AC9F" w14:textId="77777777" w:rsidR="00375729" w:rsidRDefault="00375729" w:rsidP="004919FA">
      <w:pPr>
        <w:pStyle w:val="Tablecaption"/>
      </w:pPr>
      <w:r>
        <w:t xml:space="preserve">Table </w:t>
      </w:r>
      <w:r w:rsidR="00521411">
        <w:t>D1</w:t>
      </w:r>
      <w:r>
        <w:t xml:space="preserve">: Rates of output, capital and labour growth in Retail trade (% pa) </w:t>
      </w:r>
    </w:p>
    <w:tbl>
      <w:tblPr>
        <w:tblW w:w="4660" w:type="dxa"/>
        <w:tblLook w:val="04A0" w:firstRow="1" w:lastRow="0" w:firstColumn="1" w:lastColumn="0" w:noHBand="0" w:noVBand="1"/>
      </w:tblPr>
      <w:tblGrid>
        <w:gridCol w:w="1780"/>
        <w:gridCol w:w="960"/>
        <w:gridCol w:w="960"/>
        <w:gridCol w:w="960"/>
      </w:tblGrid>
      <w:tr w:rsidR="00375729" w:rsidRPr="004E2369" w14:paraId="20DECDDA" w14:textId="77777777" w:rsidTr="00301886">
        <w:trPr>
          <w:trHeight w:val="46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239B" w14:textId="77777777" w:rsidR="00375729" w:rsidRPr="004E2369" w:rsidRDefault="00375729" w:rsidP="004919FA">
            <w:pPr>
              <w:pStyle w:val="Tablecellheading"/>
            </w:pPr>
            <w:r w:rsidRPr="004E2369">
              <w:t> </w:t>
            </w:r>
          </w:p>
        </w:tc>
        <w:tc>
          <w:tcPr>
            <w:tcW w:w="960" w:type="dxa"/>
            <w:tcBorders>
              <w:top w:val="single" w:sz="4" w:space="0" w:color="auto"/>
              <w:left w:val="single" w:sz="4" w:space="0" w:color="auto"/>
              <w:bottom w:val="single" w:sz="4" w:space="0" w:color="auto"/>
              <w:right w:val="nil"/>
            </w:tcBorders>
            <w:shd w:val="clear" w:color="auto" w:fill="auto"/>
            <w:vAlign w:val="center"/>
            <w:hideMark/>
          </w:tcPr>
          <w:p w14:paraId="771ED4F6" w14:textId="77777777" w:rsidR="00375729" w:rsidRPr="004E2369" w:rsidRDefault="00375729" w:rsidP="004919FA">
            <w:pPr>
              <w:pStyle w:val="Tablecellheading"/>
              <w:rPr>
                <w:sz w:val="16"/>
                <w:szCs w:val="16"/>
              </w:rPr>
            </w:pPr>
            <w:r w:rsidRPr="004E2369">
              <w:rPr>
                <w:sz w:val="16"/>
                <w:szCs w:val="16"/>
              </w:rPr>
              <w:t>1989</w:t>
            </w:r>
            <w:r>
              <w:rPr>
                <w:sz w:val="16"/>
                <w:szCs w:val="16"/>
              </w:rPr>
              <w:t>–</w:t>
            </w:r>
            <w:r w:rsidRPr="004E2369">
              <w:rPr>
                <w:sz w:val="16"/>
                <w:szCs w:val="16"/>
              </w:rPr>
              <w:t>90 to 2007</w:t>
            </w:r>
            <w:r>
              <w:rPr>
                <w:sz w:val="16"/>
                <w:szCs w:val="16"/>
              </w:rPr>
              <w:t>–</w:t>
            </w:r>
            <w:r w:rsidRPr="004E2369">
              <w:rPr>
                <w:sz w:val="16"/>
                <w:szCs w:val="16"/>
              </w:rPr>
              <w:t>08</w:t>
            </w:r>
          </w:p>
        </w:tc>
        <w:tc>
          <w:tcPr>
            <w:tcW w:w="960" w:type="dxa"/>
            <w:tcBorders>
              <w:top w:val="single" w:sz="4" w:space="0" w:color="auto"/>
              <w:left w:val="nil"/>
              <w:bottom w:val="single" w:sz="4" w:space="0" w:color="auto"/>
              <w:right w:val="nil"/>
            </w:tcBorders>
            <w:shd w:val="clear" w:color="auto" w:fill="auto"/>
            <w:vAlign w:val="center"/>
            <w:hideMark/>
          </w:tcPr>
          <w:p w14:paraId="74DCD188" w14:textId="77777777" w:rsidR="00375729" w:rsidRPr="004E2369" w:rsidRDefault="00375729" w:rsidP="004919FA">
            <w:pPr>
              <w:pStyle w:val="Tablecellheading"/>
              <w:rPr>
                <w:sz w:val="16"/>
                <w:szCs w:val="16"/>
              </w:rPr>
            </w:pPr>
            <w:r w:rsidRPr="004E2369">
              <w:rPr>
                <w:sz w:val="16"/>
                <w:szCs w:val="16"/>
              </w:rPr>
              <w:t>2007</w:t>
            </w:r>
            <w:r>
              <w:rPr>
                <w:sz w:val="16"/>
                <w:szCs w:val="16"/>
              </w:rPr>
              <w:t>–</w:t>
            </w:r>
            <w:r w:rsidRPr="004E2369">
              <w:rPr>
                <w:sz w:val="16"/>
                <w:szCs w:val="16"/>
              </w:rPr>
              <w:t>08 to 2013</w:t>
            </w:r>
            <w:r>
              <w:rPr>
                <w:sz w:val="16"/>
                <w:szCs w:val="16"/>
              </w:rPr>
              <w:t>–</w:t>
            </w:r>
            <w:r w:rsidRPr="004E2369">
              <w:rPr>
                <w:sz w:val="16"/>
                <w:szCs w:val="16"/>
              </w:rPr>
              <w:t>14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65F4B76" w14:textId="77777777" w:rsidR="00375729" w:rsidRPr="004E2369" w:rsidRDefault="00375729" w:rsidP="004919FA">
            <w:pPr>
              <w:pStyle w:val="Tablecellheading"/>
              <w:rPr>
                <w:sz w:val="16"/>
                <w:szCs w:val="16"/>
              </w:rPr>
            </w:pPr>
            <w:r w:rsidRPr="004E2369">
              <w:rPr>
                <w:sz w:val="16"/>
                <w:szCs w:val="16"/>
              </w:rPr>
              <w:t>1989</w:t>
            </w:r>
            <w:r>
              <w:rPr>
                <w:sz w:val="16"/>
                <w:szCs w:val="16"/>
              </w:rPr>
              <w:t>–</w:t>
            </w:r>
            <w:r w:rsidRPr="004E2369">
              <w:rPr>
                <w:sz w:val="16"/>
                <w:szCs w:val="16"/>
              </w:rPr>
              <w:t>90 to 2013</w:t>
            </w:r>
            <w:r>
              <w:rPr>
                <w:sz w:val="16"/>
                <w:szCs w:val="16"/>
              </w:rPr>
              <w:t>–</w:t>
            </w:r>
            <w:r w:rsidRPr="004E2369">
              <w:rPr>
                <w:sz w:val="16"/>
                <w:szCs w:val="16"/>
              </w:rPr>
              <w:t>14</w:t>
            </w:r>
          </w:p>
        </w:tc>
      </w:tr>
      <w:tr w:rsidR="00375729" w:rsidRPr="004E2369" w14:paraId="4910F1A4" w14:textId="77777777" w:rsidTr="00301886">
        <w:trPr>
          <w:trHeight w:val="300"/>
        </w:trPr>
        <w:tc>
          <w:tcPr>
            <w:tcW w:w="1780" w:type="dxa"/>
            <w:tcBorders>
              <w:top w:val="single" w:sz="4" w:space="0" w:color="auto"/>
              <w:left w:val="single" w:sz="4" w:space="0" w:color="auto"/>
              <w:bottom w:val="nil"/>
              <w:right w:val="single" w:sz="4" w:space="0" w:color="auto"/>
            </w:tcBorders>
            <w:shd w:val="clear" w:color="auto" w:fill="auto"/>
            <w:noWrap/>
            <w:vAlign w:val="bottom"/>
            <w:hideMark/>
          </w:tcPr>
          <w:p w14:paraId="1E8BF1D3" w14:textId="77777777" w:rsidR="00375729" w:rsidRPr="004E2369" w:rsidRDefault="00375729" w:rsidP="004919FA">
            <w:pPr>
              <w:pStyle w:val="Tabletext"/>
            </w:pPr>
            <w:r w:rsidRPr="004E2369">
              <w:t>Output</w:t>
            </w:r>
          </w:p>
        </w:tc>
        <w:tc>
          <w:tcPr>
            <w:tcW w:w="960" w:type="dxa"/>
            <w:tcBorders>
              <w:top w:val="single" w:sz="4" w:space="0" w:color="auto"/>
              <w:left w:val="single" w:sz="4" w:space="0" w:color="auto"/>
              <w:bottom w:val="nil"/>
              <w:right w:val="nil"/>
            </w:tcBorders>
            <w:shd w:val="clear" w:color="auto" w:fill="auto"/>
            <w:noWrap/>
            <w:vAlign w:val="center"/>
            <w:hideMark/>
          </w:tcPr>
          <w:p w14:paraId="79C8E605" w14:textId="77777777" w:rsidR="00375729" w:rsidRPr="004E2369" w:rsidRDefault="00375729" w:rsidP="004919FA">
            <w:pPr>
              <w:pStyle w:val="Tabletext"/>
            </w:pPr>
            <w:r w:rsidRPr="004E2369">
              <w:t>4.2</w:t>
            </w:r>
          </w:p>
        </w:tc>
        <w:tc>
          <w:tcPr>
            <w:tcW w:w="960" w:type="dxa"/>
            <w:tcBorders>
              <w:top w:val="single" w:sz="4" w:space="0" w:color="auto"/>
              <w:left w:val="nil"/>
              <w:bottom w:val="nil"/>
              <w:right w:val="nil"/>
            </w:tcBorders>
            <w:shd w:val="clear" w:color="auto" w:fill="auto"/>
            <w:noWrap/>
            <w:vAlign w:val="center"/>
            <w:hideMark/>
          </w:tcPr>
          <w:p w14:paraId="2B2D3AC4" w14:textId="77777777" w:rsidR="00375729" w:rsidRPr="004E2369" w:rsidRDefault="00375729" w:rsidP="004919FA">
            <w:pPr>
              <w:pStyle w:val="Tabletext"/>
            </w:pPr>
            <w:r w:rsidRPr="004E2369">
              <w:t>2.1</w:t>
            </w:r>
          </w:p>
        </w:tc>
        <w:tc>
          <w:tcPr>
            <w:tcW w:w="960" w:type="dxa"/>
            <w:tcBorders>
              <w:top w:val="single" w:sz="4" w:space="0" w:color="auto"/>
              <w:left w:val="nil"/>
              <w:bottom w:val="nil"/>
              <w:right w:val="single" w:sz="4" w:space="0" w:color="auto"/>
            </w:tcBorders>
            <w:shd w:val="clear" w:color="auto" w:fill="auto"/>
            <w:noWrap/>
            <w:vAlign w:val="center"/>
            <w:hideMark/>
          </w:tcPr>
          <w:p w14:paraId="013428E1" w14:textId="77777777" w:rsidR="00375729" w:rsidRPr="004E2369" w:rsidRDefault="00375729" w:rsidP="004919FA">
            <w:pPr>
              <w:pStyle w:val="Tabletext"/>
            </w:pPr>
            <w:r w:rsidRPr="004E2369">
              <w:t>3.6</w:t>
            </w:r>
          </w:p>
        </w:tc>
      </w:tr>
      <w:tr w:rsidR="00375729" w:rsidRPr="004E2369" w14:paraId="4343F4E9" w14:textId="77777777" w:rsidTr="00301886">
        <w:trPr>
          <w:trHeight w:val="300"/>
        </w:trPr>
        <w:tc>
          <w:tcPr>
            <w:tcW w:w="1780" w:type="dxa"/>
            <w:tcBorders>
              <w:top w:val="nil"/>
              <w:left w:val="single" w:sz="4" w:space="0" w:color="auto"/>
              <w:bottom w:val="nil"/>
              <w:right w:val="single" w:sz="4" w:space="0" w:color="auto"/>
            </w:tcBorders>
            <w:shd w:val="clear" w:color="auto" w:fill="auto"/>
            <w:noWrap/>
            <w:vAlign w:val="bottom"/>
            <w:hideMark/>
          </w:tcPr>
          <w:p w14:paraId="2A12F95F" w14:textId="77777777" w:rsidR="00375729" w:rsidRPr="004E2369" w:rsidRDefault="00375729" w:rsidP="004919FA">
            <w:pPr>
              <w:pStyle w:val="Tabletext"/>
            </w:pPr>
            <w:r w:rsidRPr="004E2369">
              <w:t>Capital</w:t>
            </w:r>
          </w:p>
        </w:tc>
        <w:tc>
          <w:tcPr>
            <w:tcW w:w="960" w:type="dxa"/>
            <w:tcBorders>
              <w:top w:val="nil"/>
              <w:left w:val="single" w:sz="4" w:space="0" w:color="auto"/>
              <w:bottom w:val="nil"/>
              <w:right w:val="nil"/>
            </w:tcBorders>
            <w:shd w:val="clear" w:color="auto" w:fill="auto"/>
            <w:noWrap/>
            <w:vAlign w:val="center"/>
            <w:hideMark/>
          </w:tcPr>
          <w:p w14:paraId="34F579D2" w14:textId="77777777" w:rsidR="00375729" w:rsidRPr="004E2369" w:rsidRDefault="00375729" w:rsidP="004919FA">
            <w:pPr>
              <w:pStyle w:val="Tabletext"/>
            </w:pPr>
            <w:r w:rsidRPr="004E2369">
              <w:t>5.4</w:t>
            </w:r>
          </w:p>
        </w:tc>
        <w:tc>
          <w:tcPr>
            <w:tcW w:w="960" w:type="dxa"/>
            <w:tcBorders>
              <w:top w:val="nil"/>
              <w:left w:val="nil"/>
              <w:bottom w:val="nil"/>
              <w:right w:val="nil"/>
            </w:tcBorders>
            <w:shd w:val="clear" w:color="auto" w:fill="auto"/>
            <w:noWrap/>
            <w:vAlign w:val="center"/>
            <w:hideMark/>
          </w:tcPr>
          <w:p w14:paraId="484F2BA1" w14:textId="77777777" w:rsidR="00375729" w:rsidRPr="004E2369" w:rsidRDefault="00375729" w:rsidP="004919FA">
            <w:pPr>
              <w:pStyle w:val="Tabletext"/>
            </w:pPr>
            <w:r w:rsidRPr="004E2369">
              <w:t>2.5</w:t>
            </w:r>
          </w:p>
        </w:tc>
        <w:tc>
          <w:tcPr>
            <w:tcW w:w="960" w:type="dxa"/>
            <w:tcBorders>
              <w:top w:val="nil"/>
              <w:left w:val="nil"/>
              <w:bottom w:val="nil"/>
              <w:right w:val="single" w:sz="4" w:space="0" w:color="auto"/>
            </w:tcBorders>
            <w:shd w:val="clear" w:color="auto" w:fill="auto"/>
            <w:noWrap/>
            <w:vAlign w:val="center"/>
            <w:hideMark/>
          </w:tcPr>
          <w:p w14:paraId="20499E20" w14:textId="77777777" w:rsidR="00375729" w:rsidRPr="004E2369" w:rsidRDefault="00375729" w:rsidP="004919FA">
            <w:pPr>
              <w:pStyle w:val="Tabletext"/>
            </w:pPr>
            <w:r w:rsidRPr="004E2369">
              <w:t>4.6</w:t>
            </w:r>
          </w:p>
        </w:tc>
      </w:tr>
      <w:tr w:rsidR="00375729" w:rsidRPr="004E2369" w14:paraId="7D6B4B7B" w14:textId="77777777" w:rsidTr="0030188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1176CD5" w14:textId="77777777" w:rsidR="00375729" w:rsidRPr="004E2369" w:rsidRDefault="00375729" w:rsidP="004919FA">
            <w:pPr>
              <w:pStyle w:val="Tabletext"/>
            </w:pPr>
            <w:r w:rsidRPr="004E2369">
              <w:t>Labour</w:t>
            </w:r>
          </w:p>
        </w:tc>
        <w:tc>
          <w:tcPr>
            <w:tcW w:w="960" w:type="dxa"/>
            <w:tcBorders>
              <w:top w:val="nil"/>
              <w:left w:val="single" w:sz="4" w:space="0" w:color="auto"/>
              <w:bottom w:val="single" w:sz="4" w:space="0" w:color="auto"/>
              <w:right w:val="nil"/>
            </w:tcBorders>
            <w:shd w:val="clear" w:color="auto" w:fill="auto"/>
            <w:noWrap/>
            <w:vAlign w:val="center"/>
            <w:hideMark/>
          </w:tcPr>
          <w:p w14:paraId="1AB6E738" w14:textId="77777777" w:rsidR="00375729" w:rsidRPr="004E2369" w:rsidRDefault="00375729" w:rsidP="004919FA">
            <w:pPr>
              <w:pStyle w:val="Tabletext"/>
            </w:pPr>
            <w:r w:rsidRPr="004E2369">
              <w:t>1.5</w:t>
            </w:r>
          </w:p>
        </w:tc>
        <w:tc>
          <w:tcPr>
            <w:tcW w:w="960" w:type="dxa"/>
            <w:tcBorders>
              <w:top w:val="nil"/>
              <w:left w:val="nil"/>
              <w:bottom w:val="single" w:sz="4" w:space="0" w:color="auto"/>
              <w:right w:val="nil"/>
            </w:tcBorders>
            <w:shd w:val="clear" w:color="auto" w:fill="auto"/>
            <w:noWrap/>
            <w:vAlign w:val="center"/>
            <w:hideMark/>
          </w:tcPr>
          <w:p w14:paraId="75D11FE4" w14:textId="77777777" w:rsidR="00375729" w:rsidRPr="004E2369" w:rsidRDefault="00375729" w:rsidP="004919FA">
            <w:pPr>
              <w:pStyle w:val="Tabletext"/>
            </w:pPr>
            <w:r w:rsidRPr="004E2369">
              <w:t>-1.0</w:t>
            </w:r>
          </w:p>
        </w:tc>
        <w:tc>
          <w:tcPr>
            <w:tcW w:w="960" w:type="dxa"/>
            <w:tcBorders>
              <w:top w:val="nil"/>
              <w:left w:val="nil"/>
              <w:bottom w:val="single" w:sz="4" w:space="0" w:color="auto"/>
              <w:right w:val="single" w:sz="4" w:space="0" w:color="auto"/>
            </w:tcBorders>
            <w:shd w:val="clear" w:color="auto" w:fill="auto"/>
            <w:noWrap/>
            <w:vAlign w:val="center"/>
            <w:hideMark/>
          </w:tcPr>
          <w:p w14:paraId="72C151C8" w14:textId="77777777" w:rsidR="00375729" w:rsidRPr="004E2369" w:rsidRDefault="00375729" w:rsidP="004919FA">
            <w:pPr>
              <w:pStyle w:val="Tabletext"/>
            </w:pPr>
            <w:r w:rsidRPr="004E2369">
              <w:t>0.8</w:t>
            </w:r>
          </w:p>
        </w:tc>
      </w:tr>
    </w:tbl>
    <w:p w14:paraId="183BA832" w14:textId="77777777" w:rsidR="00375729" w:rsidRPr="002745C0" w:rsidRDefault="00375729" w:rsidP="00012248">
      <w:pPr>
        <w:pStyle w:val="SourceNotes"/>
      </w:pPr>
      <w:r>
        <w:fldChar w:fldCharType="end"/>
      </w:r>
      <w:r>
        <w:t xml:space="preserve">Source: </w:t>
      </w:r>
      <w:r w:rsidRPr="002745C0">
        <w:t>Author estimates</w:t>
      </w:r>
    </w:p>
    <w:p w14:paraId="43B0390A" w14:textId="77777777" w:rsidR="00375729" w:rsidRDefault="00A17716" w:rsidP="00F37FA2">
      <w:pPr>
        <w:pStyle w:val="BCRAppendicesSubheading"/>
      </w:pPr>
      <w:r>
        <w:t>D.</w:t>
      </w:r>
      <w:r w:rsidR="00375729">
        <w:t xml:space="preserve">1 </w:t>
      </w:r>
      <w:r w:rsidR="00375729">
        <w:tab/>
        <w:t>Growth in IT capital</w:t>
      </w:r>
    </w:p>
    <w:p w14:paraId="5A891B49" w14:textId="77777777" w:rsidR="00CD3EC1" w:rsidRPr="00185E7D" w:rsidRDefault="00375729" w:rsidP="00375729">
      <w:pPr>
        <w:pStyle w:val="BodyTextNoIndent"/>
      </w:pPr>
      <w:r w:rsidRPr="002F404B">
        <w:t xml:space="preserve">The rapid rate of growth in Information Technology (IT) capital since 1989–90 is evident in </w:t>
      </w:r>
      <w:r w:rsidRPr="002F404B">
        <w:fldChar w:fldCharType="begin"/>
      </w:r>
      <w:r w:rsidRPr="002F404B">
        <w:instrText xml:space="preserve"> REF _Ref423883829 \h </w:instrText>
      </w:r>
      <w:r>
        <w:instrText xml:space="preserve"> \* MERGEFORMAT </w:instrText>
      </w:r>
      <w:r w:rsidRPr="002F404B">
        <w:fldChar w:fldCharType="separate"/>
      </w:r>
      <w:r w:rsidR="00012248">
        <w:t>t</w:t>
      </w:r>
      <w:r w:rsidR="00CD3EC1" w:rsidRPr="00185E7D">
        <w:t xml:space="preserve">he rate of growth in investment eased in the 2000s. Growth in software investment slowed from a very rapid 30 per cent a year in the decade before 2003–04 to 16 per cent a year in the decade after. Over the same periods, growth in hardware investment slowed from 13 to eight per cent a year. </w:t>
      </w:r>
    </w:p>
    <w:p w14:paraId="58E89383" w14:textId="77777777" w:rsidR="00CD3EC1" w:rsidRPr="00185E7D" w:rsidRDefault="00C45E57" w:rsidP="00375729">
      <w:pPr>
        <w:pStyle w:val="BodyTextNoIndent"/>
      </w:pPr>
      <w:r w:rsidRPr="00C45E57">
        <w:t>Figure D2</w:t>
      </w:r>
      <w:r w:rsidR="00CD3EC1" w:rsidRPr="00185E7D">
        <w:t xml:space="preserve"> shows investment in E&amp;E equipment stalled in the mid-2000s, but then resumed growth in the 2010s. The average rate of growth in the two periods was 15 and six per cent a year respectively.</w:t>
      </w:r>
    </w:p>
    <w:p w14:paraId="6D6FFA2E" w14:textId="77777777" w:rsidR="00A40B9A" w:rsidRDefault="00CD3EC1" w:rsidP="00375729">
      <w:pPr>
        <w:pStyle w:val="BodyTextNoIndent"/>
      </w:pPr>
      <w:r w:rsidRPr="00185E7D">
        <w:t xml:space="preserve">The rate of growth in hardware investment has been variable since the mid-2000s. It slowed considerably after a brief acceleration in 2007–08, which may have been prompted by the global financial crisis. There was a 40 per cent rise in hardware investment in 2013–14, which could possibly be catch-up after deferred investment.  </w:t>
      </w:r>
      <w:r w:rsidR="00375729" w:rsidRPr="002F404B">
        <w:fldChar w:fldCharType="end"/>
      </w:r>
    </w:p>
    <w:p w14:paraId="7BDD9EA2" w14:textId="77777777" w:rsidR="00375729" w:rsidRPr="002F404B" w:rsidRDefault="00375729" w:rsidP="00375729">
      <w:pPr>
        <w:pStyle w:val="BodyTextNoIndent"/>
      </w:pPr>
      <w:r w:rsidRPr="002F404B">
        <w:t>With some variation, annual rates of growth in IT capital were strong through the 1990s and into the 2000s, up until 2007–08 (</w:t>
      </w:r>
      <w:r w:rsidR="00C45E57" w:rsidRPr="00C45E57">
        <w:t>Figure D3</w:t>
      </w:r>
      <w:r w:rsidRPr="002F404B">
        <w:t>).</w:t>
      </w:r>
    </w:p>
    <w:p w14:paraId="001BAAA9" w14:textId="77777777" w:rsidR="00375729" w:rsidRPr="002F404B" w:rsidRDefault="00375729" w:rsidP="00375729">
      <w:pPr>
        <w:pStyle w:val="BodyTextNoIndent"/>
      </w:pPr>
      <w:r w:rsidRPr="002F404B">
        <w:t>This strong growth in IT capital had an impact on total capital growth in the industry because of IT’s importance in retail’s use of capital. IT has accounted for 15–20 per cent of capital income in the sector for most of the period (</w:t>
      </w:r>
      <w:r w:rsidR="00CE4A39" w:rsidRPr="002F404B">
        <w:fldChar w:fldCharType="begin"/>
      </w:r>
      <w:r w:rsidR="00CE4A39" w:rsidRPr="002F404B">
        <w:instrText xml:space="preserve"> REF _Ref423884120 \h </w:instrText>
      </w:r>
      <w:r w:rsidR="00CE4A39">
        <w:instrText xml:space="preserve"> \* MERGEFORMAT </w:instrText>
      </w:r>
      <w:r w:rsidR="00CE4A39" w:rsidRPr="002F404B">
        <w:fldChar w:fldCharType="separate"/>
      </w:r>
      <w:r w:rsidR="00C45E57" w:rsidRPr="00C45E57">
        <w:t>Figure D3</w:t>
      </w:r>
      <w:r w:rsidR="00CE4A39" w:rsidRPr="002F404B">
        <w:fldChar w:fldCharType="end"/>
      </w:r>
      <w:r w:rsidRPr="002F404B">
        <w:t>).</w:t>
      </w:r>
    </w:p>
    <w:p w14:paraId="406EC7F9" w14:textId="77777777" w:rsidR="00375729" w:rsidRDefault="00375729" w:rsidP="004919FA">
      <w:pPr>
        <w:pStyle w:val="Figurecaption"/>
      </w:pPr>
      <w:r>
        <w:t xml:space="preserve">Figure </w:t>
      </w:r>
      <w:r w:rsidR="00C45E57">
        <w:t>D</w:t>
      </w:r>
      <w:r w:rsidR="00387EDD">
        <w:t>2</w:t>
      </w:r>
      <w:r>
        <w:t>: Capital, IT capital and non-IT capital in retail trade (index, 2012–13</w:t>
      </w:r>
      <w:r w:rsidR="006A530A">
        <w:t xml:space="preserve"> = </w:t>
      </w:r>
      <w:r>
        <w:t>100)</w:t>
      </w:r>
    </w:p>
    <w:p w14:paraId="74FA663C" w14:textId="52B7C766" w:rsidR="00375729" w:rsidRDefault="004919FA" w:rsidP="00375729">
      <w:pPr>
        <w:spacing w:after="60"/>
      </w:pPr>
      <w:r>
        <w:rPr>
          <w:noProof/>
          <w:lang w:eastAsia="en-AU"/>
        </w:rPr>
        <w:drawing>
          <wp:inline distT="0" distB="0" distL="0" distR="0" wp14:anchorId="48A8DDDD" wp14:editId="2493BC9E">
            <wp:extent cx="4584700" cy="2743200"/>
            <wp:effectExtent l="0" t="0" r="635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4530FEA9" w14:textId="77777777" w:rsidR="00375729" w:rsidRDefault="00375729" w:rsidP="00012248">
      <w:pPr>
        <w:pStyle w:val="SourceNotes"/>
      </w:pPr>
      <w:r>
        <w:t xml:space="preserve">Source: </w:t>
      </w:r>
      <w:r w:rsidRPr="00323930">
        <w:t>ABS Cat. No. 5260.0.55.002 and author estimates</w:t>
      </w:r>
    </w:p>
    <w:p w14:paraId="03A684C5" w14:textId="77777777" w:rsidR="00375729" w:rsidRDefault="00375729" w:rsidP="004919FA">
      <w:pPr>
        <w:pStyle w:val="Figurecaption"/>
      </w:pPr>
      <w:r>
        <w:t xml:space="preserve">Figure </w:t>
      </w:r>
      <w:r w:rsidR="00C45E57">
        <w:t>D3</w:t>
      </w:r>
      <w:r>
        <w:t>: Annual growth in IT and non-IT capital (% per year) and the IT share of capital income (%) in retail trade</w:t>
      </w:r>
    </w:p>
    <w:p w14:paraId="26403835" w14:textId="7CCF7B51" w:rsidR="00375729" w:rsidRDefault="004919FA" w:rsidP="00375729">
      <w:pPr>
        <w:spacing w:after="60"/>
      </w:pPr>
      <w:r>
        <w:rPr>
          <w:noProof/>
          <w:lang w:eastAsia="en-AU"/>
        </w:rPr>
        <w:drawing>
          <wp:inline distT="0" distB="0" distL="0" distR="0" wp14:anchorId="0D0FD394" wp14:editId="70C97D0E">
            <wp:extent cx="4572635" cy="32067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635" cy="3206750"/>
                    </a:xfrm>
                    <a:prstGeom prst="rect">
                      <a:avLst/>
                    </a:prstGeom>
                    <a:noFill/>
                  </pic:spPr>
                </pic:pic>
              </a:graphicData>
            </a:graphic>
          </wp:inline>
        </w:drawing>
      </w:r>
    </w:p>
    <w:p w14:paraId="08B91D67" w14:textId="77777777" w:rsidR="00375729" w:rsidRDefault="00375729" w:rsidP="00012248">
      <w:pPr>
        <w:pStyle w:val="SourceNotes"/>
      </w:pPr>
      <w:r>
        <w:t xml:space="preserve">Source: </w:t>
      </w:r>
      <w:r w:rsidRPr="00323930">
        <w:t>Author estimates</w:t>
      </w:r>
    </w:p>
    <w:p w14:paraId="40A9AB38" w14:textId="77777777" w:rsidR="00375729" w:rsidRPr="002F404B" w:rsidRDefault="00375729" w:rsidP="00375729">
      <w:pPr>
        <w:pStyle w:val="BodyTextNoIndent"/>
      </w:pPr>
      <w:r w:rsidRPr="002F404B">
        <w:t xml:space="preserve">The growth in hardware and software components of IT capital is shown in </w:t>
      </w:r>
      <w:r w:rsidR="009D3FD3" w:rsidRPr="002F404B">
        <w:fldChar w:fldCharType="begin"/>
      </w:r>
      <w:r w:rsidR="009D3FD3" w:rsidRPr="002F404B">
        <w:instrText xml:space="preserve"> REF _Ref423944462 \h </w:instrText>
      </w:r>
      <w:r w:rsidR="009D3FD3">
        <w:instrText xml:space="preserve"> \* MERGEFORMAT </w:instrText>
      </w:r>
      <w:r w:rsidR="009D3FD3" w:rsidRPr="002F404B">
        <w:fldChar w:fldCharType="separate"/>
      </w:r>
      <w:r w:rsidR="00C45E57" w:rsidRPr="00C45E57">
        <w:t>Figure D4</w:t>
      </w:r>
      <w:r w:rsidR="009D3FD3" w:rsidRPr="002F404B">
        <w:fldChar w:fldCharType="end"/>
      </w:r>
      <w:r w:rsidRPr="002F404B">
        <w:t>. The figure also shows the share of hardware in capital income, which indicates the degree to which retail is hardware intensive.</w:t>
      </w:r>
    </w:p>
    <w:p w14:paraId="481A6307" w14:textId="77777777" w:rsidR="00375729" w:rsidRPr="002F404B" w:rsidRDefault="00375729" w:rsidP="00375729">
      <w:pPr>
        <w:pStyle w:val="BodyTextNoIndent"/>
      </w:pPr>
      <w:r w:rsidRPr="002F404B">
        <w:t xml:space="preserve">The hardware share shows retail trade has generally been about equally divided between software and hardware use. There was strong growth in software—around 8–10 per cent </w:t>
      </w:r>
      <w:r w:rsidR="00CA5643">
        <w:t>per</w:t>
      </w:r>
      <w:r w:rsidR="00CA5643" w:rsidRPr="002F404B">
        <w:t xml:space="preserve"> </w:t>
      </w:r>
      <w:r w:rsidRPr="002F404B">
        <w:t xml:space="preserve">year—in the early 1990s. Hardware growth then took over from the mid-1990s. Annual growth in hardware varied between 10–15 per cent between 1995–96 and 2007–08. </w:t>
      </w:r>
    </w:p>
    <w:p w14:paraId="3755DBA9" w14:textId="77777777" w:rsidR="00375729" w:rsidRDefault="00375729" w:rsidP="004919FA">
      <w:pPr>
        <w:pStyle w:val="Figurecaption"/>
      </w:pPr>
      <w:r>
        <w:t xml:space="preserve">Figure </w:t>
      </w:r>
      <w:r w:rsidR="00C45E57">
        <w:t>D4</w:t>
      </w:r>
      <w:r>
        <w:t>: Annual growth in software and hardware (% per year) and hardware share of IT capital income (%) in retail trade</w:t>
      </w:r>
    </w:p>
    <w:p w14:paraId="73D8AD3F" w14:textId="001B6D48" w:rsidR="00375729" w:rsidRDefault="004919FA" w:rsidP="00375729">
      <w:pPr>
        <w:spacing w:after="60"/>
      </w:pPr>
      <w:r>
        <w:rPr>
          <w:noProof/>
          <w:lang w:eastAsia="en-AU"/>
        </w:rPr>
        <w:drawing>
          <wp:inline distT="0" distB="0" distL="0" distR="0" wp14:anchorId="628508E4" wp14:editId="4F0B507B">
            <wp:extent cx="5633085" cy="3072765"/>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3085" cy="3072765"/>
                    </a:xfrm>
                    <a:prstGeom prst="rect">
                      <a:avLst/>
                    </a:prstGeom>
                    <a:noFill/>
                  </pic:spPr>
                </pic:pic>
              </a:graphicData>
            </a:graphic>
          </wp:inline>
        </w:drawing>
      </w:r>
    </w:p>
    <w:p w14:paraId="5A7B3555" w14:textId="77777777" w:rsidR="00375729" w:rsidRDefault="00375729" w:rsidP="00012248">
      <w:pPr>
        <w:pStyle w:val="SourceNotes"/>
      </w:pPr>
      <w:r>
        <w:t xml:space="preserve">Source: </w:t>
      </w:r>
      <w:r w:rsidRPr="00323930">
        <w:t>Author estimates</w:t>
      </w:r>
    </w:p>
    <w:p w14:paraId="43B9EA00" w14:textId="77777777" w:rsidR="00375729" w:rsidRDefault="00D263BE" w:rsidP="00CF3D6E">
      <w:pPr>
        <w:pStyle w:val="BCRAppendicesSubheading"/>
      </w:pPr>
      <w:r>
        <w:t xml:space="preserve">D.2 </w:t>
      </w:r>
      <w:r w:rsidR="00375729" w:rsidRPr="0066151C">
        <w:t>Labour</w:t>
      </w:r>
      <w:r w:rsidR="00375729">
        <w:t xml:space="preserve"> productivity growth</w:t>
      </w:r>
    </w:p>
    <w:p w14:paraId="4E52DFF6" w14:textId="77777777" w:rsidR="00375729" w:rsidRPr="002F404B" w:rsidRDefault="00375729" w:rsidP="00375729">
      <w:pPr>
        <w:pStyle w:val="BodyTextNoIndent"/>
      </w:pPr>
      <w:r w:rsidRPr="002F404B">
        <w:t>In the period reviewed, IT brought business transformation and productivity gains in retail trade by enabling developments such as electronic payment, point of sale stock monitoring, just-in-time inventory management and internet marketing and sales.</w:t>
      </w:r>
    </w:p>
    <w:p w14:paraId="5C66B1AA" w14:textId="77777777" w:rsidR="00375729" w:rsidRPr="002F404B" w:rsidRDefault="00375729" w:rsidP="00375729">
      <w:pPr>
        <w:pStyle w:val="BodyTextNoIndent"/>
      </w:pPr>
      <w:r w:rsidRPr="002F404B">
        <w:t>Labour productivity (LP) growth in retail was moderate to strong. The level of LP increased 93</w:t>
      </w:r>
      <w:r w:rsidR="00ED75AA">
        <w:t> </w:t>
      </w:r>
      <w:r w:rsidRPr="002F404B">
        <w:t>per</w:t>
      </w:r>
      <w:r w:rsidR="00ED75AA">
        <w:t> </w:t>
      </w:r>
      <w:r w:rsidRPr="002F404B">
        <w:t>cent between 1989–90 and 2013–14. The average annual rate of growth in trend LP was 2.8</w:t>
      </w:r>
      <w:r w:rsidR="00ED75AA">
        <w:t> </w:t>
      </w:r>
      <w:r w:rsidRPr="002F404B">
        <w:t>per</w:t>
      </w:r>
      <w:r w:rsidR="00ED75AA">
        <w:t> </w:t>
      </w:r>
      <w:r w:rsidRPr="002F404B">
        <w:t>cent.</w:t>
      </w:r>
    </w:p>
    <w:p w14:paraId="6ABAA3AB" w14:textId="77777777" w:rsidR="00375729" w:rsidRPr="00855EC7" w:rsidRDefault="00375729" w:rsidP="00375729">
      <w:pPr>
        <w:pStyle w:val="BodyTextNoIndent"/>
      </w:pPr>
      <w:r w:rsidRPr="00855EC7">
        <w:t xml:space="preserve">Productivity growth was reasonably steady, with no </w:t>
      </w:r>
      <w:r w:rsidR="00E95D4D" w:rsidRPr="00855EC7">
        <w:t>major</w:t>
      </w:r>
      <w:r w:rsidR="00CA5643" w:rsidRPr="00855EC7">
        <w:t xml:space="preserve"> </w:t>
      </w:r>
      <w:r w:rsidRPr="00855EC7">
        <w:t>movements above or below trend (</w:t>
      </w:r>
      <w:r w:rsidR="00CA5643" w:rsidRPr="00855EC7">
        <w:fldChar w:fldCharType="begin"/>
      </w:r>
      <w:r w:rsidR="00CA5643" w:rsidRPr="00855EC7">
        <w:instrText xml:space="preserve"> REF _Ref423783671 \h  \* MERGEFORMAT </w:instrText>
      </w:r>
      <w:r w:rsidR="00CA5643" w:rsidRPr="00855EC7">
        <w:fldChar w:fldCharType="separate"/>
      </w:r>
      <w:r w:rsidR="00C45E57" w:rsidRPr="00855EC7">
        <w:t>Figure D5</w:t>
      </w:r>
      <w:r w:rsidR="00CA5643" w:rsidRPr="00855EC7">
        <w:fldChar w:fldCharType="end"/>
      </w:r>
      <w:r w:rsidRPr="00855EC7">
        <w:t>).</w:t>
      </w:r>
    </w:p>
    <w:p w14:paraId="1525B9F4" w14:textId="77777777" w:rsidR="00375729" w:rsidRPr="002F404B" w:rsidRDefault="00375729" w:rsidP="00375729">
      <w:pPr>
        <w:pStyle w:val="BodyTextNoIndent"/>
      </w:pPr>
      <w:r w:rsidRPr="00855EC7">
        <w:t>Peaks in LP cycles, according to the method set out in section 5.3, occurred 1989–90, 1997–98,</w:t>
      </w:r>
      <w:r w:rsidRPr="002F404B">
        <w:t xml:space="preserve"> 2001–02, 2003–04, 2009–10 and 2012–13. The peak in 2001–02 was overlooked, as it was close to the next peak in 2003–04 and unlikely to furnish much additional insight.</w:t>
      </w:r>
    </w:p>
    <w:p w14:paraId="635B8F85" w14:textId="77777777" w:rsidR="00375729" w:rsidRPr="002F404B" w:rsidRDefault="00375729" w:rsidP="00375729">
      <w:pPr>
        <w:pStyle w:val="BodyTextNoIndent"/>
      </w:pPr>
      <w:r w:rsidRPr="002F404B">
        <w:t xml:space="preserve">The underlying rate of growth in LP has slowed gradually over the entire period. Average rates of growth over the cycles were: </w:t>
      </w:r>
    </w:p>
    <w:p w14:paraId="4A9DBEE7" w14:textId="77777777" w:rsidR="00375729" w:rsidRPr="002F404B" w:rsidRDefault="00375729" w:rsidP="004919FA">
      <w:pPr>
        <w:pStyle w:val="Bodybullet-Level1"/>
      </w:pPr>
      <w:r w:rsidRPr="002F404B">
        <w:t>1989–90 to 1997–98: 3.1 per cent a year</w:t>
      </w:r>
    </w:p>
    <w:p w14:paraId="20B178BD" w14:textId="77777777" w:rsidR="00375729" w:rsidRPr="002F404B" w:rsidRDefault="00375729" w:rsidP="004919FA">
      <w:pPr>
        <w:pStyle w:val="Bodybullet-Level1"/>
      </w:pPr>
      <w:r w:rsidRPr="002F404B">
        <w:t>1997–98 to 2003–04: 2.8 per cent a year</w:t>
      </w:r>
    </w:p>
    <w:p w14:paraId="5371B5D0" w14:textId="77777777" w:rsidR="00375729" w:rsidRPr="002F404B" w:rsidRDefault="00375729" w:rsidP="004919FA">
      <w:pPr>
        <w:pStyle w:val="Bodybullet-Level1"/>
      </w:pPr>
      <w:r w:rsidRPr="002F404B">
        <w:t>2003–04 to 2009–10: 2.5 per cent a year</w:t>
      </w:r>
      <w:r w:rsidR="00E965E5">
        <w:t>, and</w:t>
      </w:r>
    </w:p>
    <w:p w14:paraId="4C58CD85" w14:textId="77777777" w:rsidR="00375729" w:rsidRPr="002F404B" w:rsidRDefault="00375729" w:rsidP="004919FA">
      <w:pPr>
        <w:pStyle w:val="Bodybullet-Level1"/>
      </w:pPr>
      <w:r w:rsidRPr="002F404B">
        <w:t>2009–10 to 2012–13: 2.4 per cent a year.</w:t>
      </w:r>
      <w:r w:rsidR="009A2198">
        <w:rPr>
          <w:rStyle w:val="EndnoteReference"/>
        </w:rPr>
        <w:endnoteReference w:id="23"/>
      </w:r>
    </w:p>
    <w:p w14:paraId="05D142CF" w14:textId="77777777" w:rsidR="00375729" w:rsidRPr="00A90AE3" w:rsidRDefault="00375729" w:rsidP="004919FA">
      <w:pPr>
        <w:pStyle w:val="Figurecaption"/>
      </w:pPr>
      <w:r>
        <w:t xml:space="preserve">Figure </w:t>
      </w:r>
      <w:r w:rsidR="00C45E57">
        <w:t>D5</w:t>
      </w:r>
      <w:r>
        <w:t>: Actual and trend labour productivity in retail trade</w:t>
      </w:r>
      <w:r>
        <w:rPr>
          <w:vertAlign w:val="superscript"/>
        </w:rPr>
        <w:t xml:space="preserve">a </w:t>
      </w:r>
      <w:r>
        <w:t>(index, actual 2012–13</w:t>
      </w:r>
      <w:r w:rsidR="006A530A">
        <w:t xml:space="preserve"> = </w:t>
      </w:r>
      <w:r>
        <w:t>100)</w:t>
      </w:r>
    </w:p>
    <w:p w14:paraId="47FCAA5C" w14:textId="0AE3A14E" w:rsidR="00375729" w:rsidRDefault="004919FA" w:rsidP="00375729">
      <w:pPr>
        <w:spacing w:after="60"/>
      </w:pPr>
      <w:r>
        <w:rPr>
          <w:noProof/>
          <w:lang w:eastAsia="en-AU"/>
        </w:rPr>
        <w:drawing>
          <wp:inline distT="0" distB="0" distL="0" distR="0" wp14:anchorId="2CBC4224" wp14:editId="142C847E">
            <wp:extent cx="4572635" cy="27432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32056E0" w14:textId="77777777" w:rsidR="00375729" w:rsidRPr="00323930" w:rsidRDefault="00375729" w:rsidP="00012248">
      <w:pPr>
        <w:pStyle w:val="SourceNotes"/>
      </w:pPr>
      <w:r>
        <w:t xml:space="preserve">Note: </w:t>
      </w:r>
      <w:r w:rsidRPr="00323930">
        <w:t>a.</w:t>
      </w:r>
      <w:r>
        <w:t xml:space="preserve"> </w:t>
      </w:r>
      <w:r w:rsidRPr="00323930">
        <w:t>Trend series formed with a Hodrick-Prescott filter λ</w:t>
      </w:r>
      <w:r w:rsidR="006A530A">
        <w:t xml:space="preserve"> = </w:t>
      </w:r>
      <w:r w:rsidRPr="00323930">
        <w:t>100</w:t>
      </w:r>
      <w:r w:rsidRPr="00323930">
        <w:tab/>
      </w:r>
    </w:p>
    <w:p w14:paraId="4AB1A5D8" w14:textId="77777777" w:rsidR="00375729" w:rsidRDefault="00375729" w:rsidP="00012248">
      <w:pPr>
        <w:pStyle w:val="SourceNotes"/>
      </w:pPr>
      <w:r>
        <w:t xml:space="preserve">Source: </w:t>
      </w:r>
      <w:r w:rsidRPr="00323930">
        <w:t>ABS Cat. No. 5260.0.55.002 and author estimates</w:t>
      </w:r>
    </w:p>
    <w:p w14:paraId="1C341A79" w14:textId="77777777" w:rsidR="00375729" w:rsidRDefault="00016127" w:rsidP="00F37FA2">
      <w:pPr>
        <w:pStyle w:val="BCRAppendicesSubSubheading"/>
      </w:pPr>
      <w:r>
        <w:t>D.2</w:t>
      </w:r>
      <w:r w:rsidR="00375729">
        <w:t>.1 IT capital deepening and LP growth</w:t>
      </w:r>
    </w:p>
    <w:p w14:paraId="15E866FB" w14:textId="77777777" w:rsidR="00375729" w:rsidRPr="002F404B" w:rsidRDefault="00375729" w:rsidP="00375729">
      <w:pPr>
        <w:pStyle w:val="BodyTextNoIndent"/>
      </w:pPr>
      <w:r w:rsidRPr="002F404B">
        <w:t xml:space="preserve">The growth in labour productivity can be decomposed into contributions from capital deepening and multifactor productivity (MFP) growth. Capital deepening is growth in the capital-labour ratio, multiplied by the share of total industry income attributed to capital. </w:t>
      </w:r>
    </w:p>
    <w:p w14:paraId="0FC3688E" w14:textId="77777777" w:rsidR="00375729" w:rsidRPr="002F404B" w:rsidRDefault="00375729" w:rsidP="00375729">
      <w:pPr>
        <w:pStyle w:val="BodyTextNoIndent"/>
      </w:pPr>
      <w:r w:rsidRPr="002F404B">
        <w:t>On a rough calculation, MFP contributed more than capital deepening to LP growth over the entire period. MFP grew 55 per cent. The capital-labour ratio grew over 140 per cent (</w:t>
      </w:r>
      <w:r w:rsidR="00C45E57" w:rsidRPr="00C45E57">
        <w:t>Figure D6</w:t>
      </w:r>
      <w:r w:rsidRPr="002F404B">
        <w:t xml:space="preserve">) which, with a capital share of total income of around 0.26, means capital deepening contributed roughly 37 percentage points to LP growth. </w:t>
      </w:r>
    </w:p>
    <w:p w14:paraId="568EB9FF" w14:textId="77777777" w:rsidR="00375729" w:rsidRDefault="00375729" w:rsidP="004919FA">
      <w:pPr>
        <w:pStyle w:val="Figurecaption"/>
      </w:pPr>
      <w:r>
        <w:t xml:space="preserve">Figure </w:t>
      </w:r>
      <w:r w:rsidR="00C45E57">
        <w:t>D6</w:t>
      </w:r>
      <w:r>
        <w:t>: Labour productivity (LP), the capital-labour ratio (K/L) and multifactor productivity (MFP) in retail trade (index, 2012–13</w:t>
      </w:r>
      <w:r w:rsidR="006A530A">
        <w:t xml:space="preserve"> = </w:t>
      </w:r>
      <w:r>
        <w:t>100)</w:t>
      </w:r>
    </w:p>
    <w:p w14:paraId="3C823E22" w14:textId="78B90B6F" w:rsidR="00375729" w:rsidRDefault="004919FA" w:rsidP="00375729">
      <w:pPr>
        <w:spacing w:after="60"/>
      </w:pPr>
      <w:r>
        <w:rPr>
          <w:noProof/>
          <w:lang w:eastAsia="en-AU"/>
        </w:rPr>
        <w:drawing>
          <wp:inline distT="0" distB="0" distL="0" distR="0" wp14:anchorId="26E33196" wp14:editId="631005BD">
            <wp:extent cx="5633085" cy="2743200"/>
            <wp:effectExtent l="0" t="0" r="571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3085" cy="2743200"/>
                    </a:xfrm>
                    <a:prstGeom prst="rect">
                      <a:avLst/>
                    </a:prstGeom>
                    <a:noFill/>
                  </pic:spPr>
                </pic:pic>
              </a:graphicData>
            </a:graphic>
          </wp:inline>
        </w:drawing>
      </w:r>
    </w:p>
    <w:p w14:paraId="6B9677AA" w14:textId="77777777" w:rsidR="00375729" w:rsidRPr="00ED039F" w:rsidRDefault="00375729" w:rsidP="00012248">
      <w:pPr>
        <w:pStyle w:val="SourceNotes"/>
      </w:pPr>
      <w:r>
        <w:t xml:space="preserve">Source: </w:t>
      </w:r>
      <w:r w:rsidRPr="00323930">
        <w:t xml:space="preserve">ABS Cat. No. 5260.0.55.002 </w:t>
      </w:r>
    </w:p>
    <w:p w14:paraId="0679A262" w14:textId="77777777" w:rsidR="00375729" w:rsidRPr="002F404B" w:rsidRDefault="00375729" w:rsidP="00375729">
      <w:pPr>
        <w:pStyle w:val="BodyTextNoIndent"/>
      </w:pPr>
      <w:r w:rsidRPr="002F404B">
        <w:t xml:space="preserve">The strength of the MFP contribution is confirmed in the formal decomposition of LP growth over cycles as presented in </w:t>
      </w:r>
      <w:r>
        <w:t xml:space="preserve">Table </w:t>
      </w:r>
      <w:r w:rsidR="00A8031E">
        <w:t>D2</w:t>
      </w:r>
      <w:r w:rsidRPr="002F404B">
        <w:t xml:space="preserve">. It shows the capital-deepening contribution strengthened over time, while the MFP contribution weakened up until the last cycle. </w:t>
      </w:r>
    </w:p>
    <w:p w14:paraId="03573331" w14:textId="77777777" w:rsidR="00375729" w:rsidRPr="002F404B" w:rsidRDefault="00375729" w:rsidP="00375729">
      <w:pPr>
        <w:pStyle w:val="BodyTextNoIndent"/>
      </w:pPr>
      <w:r w:rsidRPr="002F404B">
        <w:t>The IT contribution was reasonably strong and very steady at 0.6 of a percentage point up until the last cycle. It fell to 0.2 of a percentage point, more or less in line with the fall in contribution from capital-deepening as a whole. Up until the last cycle, IT capital deepening accounted for around 20–25 per cent of LP growth.</w:t>
      </w:r>
    </w:p>
    <w:p w14:paraId="43538B02" w14:textId="77777777" w:rsidR="00375729" w:rsidRPr="002F404B" w:rsidRDefault="00375729" w:rsidP="00375729">
      <w:pPr>
        <w:pStyle w:val="BodyTextNoIndent"/>
      </w:pPr>
      <w:r w:rsidRPr="002F404B">
        <w:t>With the heavier uptake of hardware in the second half of the 1990s and up to 2007–08, hardware contributed more than software to IT capital deepening in the middle two cycles.</w:t>
      </w:r>
    </w:p>
    <w:p w14:paraId="7708AC02"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22BBB23A" w14:textId="77777777" w:rsidR="00375729" w:rsidRPr="009830AA" w:rsidRDefault="00375729" w:rsidP="004919FA">
      <w:pPr>
        <w:pStyle w:val="Tablecaption"/>
        <w:rPr>
          <w:sz w:val="22"/>
          <w:szCs w:val="22"/>
          <w:vertAlign w:val="superscript"/>
        </w:rPr>
      </w:pPr>
      <w:r>
        <w:t xml:space="preserve">Table </w:t>
      </w:r>
      <w:r w:rsidR="00A8031E">
        <w:t>D2</w:t>
      </w:r>
      <w:r>
        <w:t>: Labour productivity growth accounting (per cent per annum and percentage points)</w:t>
      </w:r>
      <w:r>
        <w:rPr>
          <w:sz w:val="22"/>
          <w:szCs w:val="22"/>
          <w:vertAlign w:val="superscript"/>
        </w:rPr>
        <w:t>a</w:t>
      </w:r>
    </w:p>
    <w:tbl>
      <w:tblPr>
        <w:tblW w:w="8926" w:type="dxa"/>
        <w:tblLayout w:type="fixed"/>
        <w:tblLook w:val="04A0" w:firstRow="1" w:lastRow="0" w:firstColumn="1" w:lastColumn="0" w:noHBand="0" w:noVBand="1"/>
      </w:tblPr>
      <w:tblGrid>
        <w:gridCol w:w="3539"/>
        <w:gridCol w:w="1418"/>
        <w:gridCol w:w="1275"/>
        <w:gridCol w:w="1276"/>
        <w:gridCol w:w="1418"/>
      </w:tblGrid>
      <w:tr w:rsidR="00375729" w:rsidRPr="001F451B" w14:paraId="018198B1" w14:textId="77777777" w:rsidTr="00CF3D6E">
        <w:trPr>
          <w:trHeight w:val="567"/>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12B52" w14:textId="77777777" w:rsidR="00375729" w:rsidRPr="001F451B" w:rsidRDefault="00375729" w:rsidP="004919FA">
            <w:pPr>
              <w:pStyle w:val="Tablecellheading"/>
            </w:pP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48D7B0DF" w14:textId="77777777" w:rsidR="00375729" w:rsidRPr="001F451B" w:rsidRDefault="00375729" w:rsidP="004919FA">
            <w:pPr>
              <w:pStyle w:val="Tablecellheading"/>
              <w:rPr>
                <w:sz w:val="18"/>
                <w:szCs w:val="18"/>
              </w:rPr>
            </w:pPr>
            <w:r w:rsidRPr="001F451B">
              <w:rPr>
                <w:sz w:val="18"/>
                <w:szCs w:val="18"/>
              </w:rPr>
              <w:t>1989</w:t>
            </w:r>
            <w:r>
              <w:rPr>
                <w:sz w:val="18"/>
                <w:szCs w:val="18"/>
              </w:rPr>
              <w:t>–</w:t>
            </w:r>
            <w:r w:rsidRPr="001F451B">
              <w:rPr>
                <w:sz w:val="18"/>
                <w:szCs w:val="18"/>
              </w:rPr>
              <w:t>90 to 1997</w:t>
            </w:r>
            <w:r>
              <w:rPr>
                <w:sz w:val="18"/>
                <w:szCs w:val="18"/>
              </w:rPr>
              <w:t>–</w:t>
            </w:r>
            <w:r w:rsidRPr="001F451B">
              <w:rPr>
                <w:sz w:val="18"/>
                <w:szCs w:val="18"/>
              </w:rPr>
              <w:t>98</w:t>
            </w:r>
          </w:p>
        </w:tc>
        <w:tc>
          <w:tcPr>
            <w:tcW w:w="12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15A92AD0" w14:textId="77777777" w:rsidR="00375729" w:rsidRPr="001F451B" w:rsidRDefault="00375729" w:rsidP="004919FA">
            <w:pPr>
              <w:pStyle w:val="Tablecellheading"/>
              <w:rPr>
                <w:sz w:val="18"/>
                <w:szCs w:val="18"/>
              </w:rPr>
            </w:pPr>
            <w:r w:rsidRPr="001F451B">
              <w:rPr>
                <w:sz w:val="18"/>
                <w:szCs w:val="18"/>
              </w:rPr>
              <w:t>1997</w:t>
            </w:r>
            <w:r>
              <w:rPr>
                <w:sz w:val="18"/>
                <w:szCs w:val="18"/>
              </w:rPr>
              <w:t>–</w:t>
            </w:r>
            <w:r w:rsidRPr="001F451B">
              <w:rPr>
                <w:sz w:val="18"/>
                <w:szCs w:val="18"/>
              </w:rPr>
              <w:t xml:space="preserve">98 to </w:t>
            </w:r>
            <w:r>
              <w:rPr>
                <w:sz w:val="18"/>
                <w:szCs w:val="18"/>
              </w:rPr>
              <w:t>2003–04</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15DC3233" w14:textId="77777777" w:rsidR="00375729" w:rsidRPr="001F451B" w:rsidRDefault="00375729" w:rsidP="004919FA">
            <w:pPr>
              <w:pStyle w:val="Tablecellheading"/>
              <w:rPr>
                <w:sz w:val="18"/>
                <w:szCs w:val="18"/>
              </w:rPr>
            </w:pPr>
            <w:r w:rsidRPr="001F451B">
              <w:rPr>
                <w:sz w:val="18"/>
                <w:szCs w:val="18"/>
              </w:rPr>
              <w:t>2003</w:t>
            </w:r>
            <w:r>
              <w:rPr>
                <w:sz w:val="18"/>
                <w:szCs w:val="18"/>
              </w:rPr>
              <w:t>–</w:t>
            </w:r>
            <w:r w:rsidRPr="001F451B">
              <w:rPr>
                <w:sz w:val="18"/>
                <w:szCs w:val="18"/>
              </w:rPr>
              <w:t>04 to 2009</w:t>
            </w:r>
            <w:r>
              <w:rPr>
                <w:sz w:val="18"/>
                <w:szCs w:val="18"/>
              </w:rPr>
              <w:t>–</w:t>
            </w:r>
            <w:r w:rsidRPr="001F451B">
              <w:rPr>
                <w:sz w:val="18"/>
                <w:szCs w:val="18"/>
              </w:rPr>
              <w:t>10</w:t>
            </w:r>
          </w:p>
        </w:tc>
        <w:tc>
          <w:tcPr>
            <w:tcW w:w="141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3B7E90B1" w14:textId="77777777" w:rsidR="00375729" w:rsidRPr="001F451B" w:rsidRDefault="00375729" w:rsidP="004919FA">
            <w:pPr>
              <w:pStyle w:val="Tablecellheading"/>
              <w:rPr>
                <w:sz w:val="18"/>
                <w:szCs w:val="18"/>
              </w:rPr>
            </w:pPr>
            <w:r>
              <w:rPr>
                <w:sz w:val="18"/>
                <w:szCs w:val="18"/>
              </w:rPr>
              <w:t>2009–10</w:t>
            </w:r>
            <w:r w:rsidRPr="001F451B">
              <w:rPr>
                <w:sz w:val="18"/>
                <w:szCs w:val="18"/>
              </w:rPr>
              <w:t xml:space="preserve"> to 2012</w:t>
            </w:r>
            <w:r>
              <w:rPr>
                <w:sz w:val="18"/>
                <w:szCs w:val="18"/>
              </w:rPr>
              <w:t>–</w:t>
            </w:r>
            <w:r w:rsidRPr="001F451B">
              <w:rPr>
                <w:sz w:val="18"/>
                <w:szCs w:val="18"/>
              </w:rPr>
              <w:t>13</w:t>
            </w:r>
          </w:p>
        </w:tc>
      </w:tr>
      <w:tr w:rsidR="00375729" w:rsidRPr="001F451B" w14:paraId="5F8B7A70" w14:textId="77777777" w:rsidTr="00CF3D6E">
        <w:trPr>
          <w:trHeight w:val="397"/>
        </w:trPr>
        <w:tc>
          <w:tcPr>
            <w:tcW w:w="3539" w:type="dxa"/>
            <w:tcBorders>
              <w:top w:val="single" w:sz="4" w:space="0" w:color="auto"/>
              <w:left w:val="single" w:sz="4" w:space="0" w:color="auto"/>
              <w:bottom w:val="nil"/>
              <w:right w:val="single" w:sz="4" w:space="0" w:color="auto"/>
            </w:tcBorders>
            <w:shd w:val="clear" w:color="auto" w:fill="auto"/>
            <w:noWrap/>
            <w:vAlign w:val="center"/>
            <w:hideMark/>
          </w:tcPr>
          <w:p w14:paraId="63CB6F3A" w14:textId="77777777" w:rsidR="00375729" w:rsidRPr="00CF3D6E" w:rsidRDefault="00375729" w:rsidP="004919FA">
            <w:pPr>
              <w:pStyle w:val="Tabletext"/>
            </w:pPr>
            <w:r w:rsidRPr="00CF3D6E">
              <w:t>Capital deepening (pp)</w:t>
            </w:r>
          </w:p>
        </w:tc>
        <w:tc>
          <w:tcPr>
            <w:tcW w:w="1418"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0E76F55E" w14:textId="77777777" w:rsidR="00375729" w:rsidRPr="00CF3D6E" w:rsidRDefault="00375729" w:rsidP="004919FA">
            <w:pPr>
              <w:pStyle w:val="Tabletext"/>
            </w:pPr>
            <w:r w:rsidRPr="00CF3D6E">
              <w:t>0.8 (27)</w:t>
            </w:r>
          </w:p>
        </w:tc>
        <w:tc>
          <w:tcPr>
            <w:tcW w:w="127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4AFC84E" w14:textId="77777777" w:rsidR="00375729" w:rsidRPr="00CF3D6E" w:rsidRDefault="00375729" w:rsidP="004919FA">
            <w:pPr>
              <w:pStyle w:val="Tabletext"/>
            </w:pPr>
            <w:r w:rsidRPr="00CF3D6E">
              <w:t>0.9 (33)</w:t>
            </w:r>
          </w:p>
        </w:tc>
        <w:tc>
          <w:tcPr>
            <w:tcW w:w="1276"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66A411CE" w14:textId="77777777" w:rsidR="00375729" w:rsidRPr="00CF3D6E" w:rsidRDefault="00375729" w:rsidP="004919FA">
            <w:pPr>
              <w:pStyle w:val="Tabletext"/>
            </w:pPr>
            <w:r w:rsidRPr="00CF3D6E">
              <w:t>1.2 (49)</w:t>
            </w:r>
          </w:p>
        </w:tc>
        <w:tc>
          <w:tcPr>
            <w:tcW w:w="1418"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3F4BF1E3" w14:textId="77777777" w:rsidR="00375729" w:rsidRPr="00CF3D6E" w:rsidRDefault="00375729" w:rsidP="004919FA">
            <w:pPr>
              <w:pStyle w:val="Tabletext"/>
            </w:pPr>
            <w:r w:rsidRPr="00CF3D6E">
              <w:t>0.5 (20)</w:t>
            </w:r>
          </w:p>
        </w:tc>
      </w:tr>
      <w:tr w:rsidR="00375729" w:rsidRPr="001F451B" w14:paraId="4D858210" w14:textId="77777777" w:rsidTr="00CF3D6E">
        <w:trPr>
          <w:trHeight w:val="300"/>
        </w:trPr>
        <w:tc>
          <w:tcPr>
            <w:tcW w:w="3539" w:type="dxa"/>
            <w:tcBorders>
              <w:top w:val="nil"/>
              <w:left w:val="single" w:sz="4" w:space="0" w:color="auto"/>
              <w:bottom w:val="nil"/>
              <w:right w:val="single" w:sz="4" w:space="0" w:color="auto"/>
            </w:tcBorders>
            <w:shd w:val="clear" w:color="auto" w:fill="auto"/>
            <w:noWrap/>
            <w:vAlign w:val="center"/>
            <w:hideMark/>
          </w:tcPr>
          <w:p w14:paraId="04E506E3" w14:textId="77777777" w:rsidR="00375729" w:rsidRPr="001F451B" w:rsidRDefault="00375729" w:rsidP="004919FA">
            <w:pPr>
              <w:pStyle w:val="Tabletext"/>
            </w:pPr>
            <w:r>
              <w:t>IT</w:t>
            </w:r>
            <w:r w:rsidRPr="001F451B">
              <w:t xml:space="preserve"> capital deepening</w:t>
            </w:r>
            <w:r>
              <w:t xml:space="preserve"> (pp)</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6145F107" w14:textId="77777777" w:rsidR="00375729" w:rsidRPr="00195A67" w:rsidRDefault="00375729" w:rsidP="004919FA">
            <w:pPr>
              <w:pStyle w:val="Tabletext"/>
            </w:pPr>
            <w:r w:rsidRPr="00195A67">
              <w:t xml:space="preserve">0.6 </w:t>
            </w:r>
            <w:r w:rsidRPr="00CF3D6E">
              <w:t>(19)</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33C8D15" w14:textId="77777777" w:rsidR="00375729" w:rsidRPr="00195A67" w:rsidRDefault="00375729" w:rsidP="004919FA">
            <w:pPr>
              <w:pStyle w:val="Tabletext"/>
            </w:pPr>
            <w:r w:rsidRPr="00195A67">
              <w:t xml:space="preserve">0.6 </w:t>
            </w:r>
            <w:r w:rsidRPr="00CF3D6E">
              <w:t>(22)</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4FD3BEA" w14:textId="77777777" w:rsidR="00375729" w:rsidRPr="00195A67" w:rsidRDefault="00375729" w:rsidP="004919FA">
            <w:pPr>
              <w:pStyle w:val="Tabletext"/>
            </w:pPr>
            <w:r w:rsidRPr="00195A67">
              <w:t xml:space="preserve">0.6 </w:t>
            </w:r>
            <w:r w:rsidRPr="00CF3D6E">
              <w:t>(25)</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hideMark/>
          </w:tcPr>
          <w:p w14:paraId="11F05F52" w14:textId="77777777" w:rsidR="00375729" w:rsidRPr="00195A67" w:rsidRDefault="00375729" w:rsidP="004919FA">
            <w:pPr>
              <w:pStyle w:val="Tabletext"/>
            </w:pPr>
            <w:r w:rsidRPr="00195A67">
              <w:t xml:space="preserve">0.2 </w:t>
            </w:r>
            <w:r w:rsidRPr="00CF3D6E">
              <w:t>(9)</w:t>
            </w:r>
          </w:p>
        </w:tc>
      </w:tr>
      <w:tr w:rsidR="00375729" w:rsidRPr="001F451B" w14:paraId="1359D299" w14:textId="77777777" w:rsidTr="00CF3D6E">
        <w:trPr>
          <w:trHeight w:val="300"/>
        </w:trPr>
        <w:tc>
          <w:tcPr>
            <w:tcW w:w="3539" w:type="dxa"/>
            <w:tcBorders>
              <w:top w:val="nil"/>
              <w:left w:val="single" w:sz="4" w:space="0" w:color="auto"/>
              <w:bottom w:val="nil"/>
              <w:right w:val="single" w:sz="4" w:space="0" w:color="auto"/>
            </w:tcBorders>
            <w:shd w:val="clear" w:color="auto" w:fill="auto"/>
            <w:noWrap/>
            <w:vAlign w:val="center"/>
          </w:tcPr>
          <w:p w14:paraId="15DB7F46" w14:textId="77777777" w:rsidR="00375729" w:rsidRPr="00CF3D6E" w:rsidRDefault="00375729" w:rsidP="004919FA">
            <w:pPr>
              <w:pStyle w:val="Tabletext"/>
              <w:rPr>
                <w:i/>
              </w:rPr>
            </w:pPr>
            <w:r w:rsidRPr="00CF3D6E">
              <w:rPr>
                <w:i/>
              </w:rPr>
              <w:t>Hardware</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tcPr>
          <w:p w14:paraId="20AE63A5" w14:textId="77777777" w:rsidR="00375729" w:rsidRPr="00CF3D6E" w:rsidRDefault="00375729" w:rsidP="004919FA">
            <w:pPr>
              <w:pStyle w:val="Tabletext"/>
              <w:rPr>
                <w:i/>
              </w:rPr>
            </w:pPr>
            <w:r w:rsidRPr="00CF3D6E">
              <w:rPr>
                <w:i/>
              </w:rPr>
              <w:t>0.3</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5D3161CB" w14:textId="77777777" w:rsidR="00375729" w:rsidRPr="00CF3D6E" w:rsidRDefault="00375729" w:rsidP="004919FA">
            <w:pPr>
              <w:pStyle w:val="Tabletext"/>
              <w:rPr>
                <w:i/>
              </w:rPr>
            </w:pPr>
            <w:r w:rsidRPr="00CF3D6E">
              <w:rPr>
                <w:i/>
              </w:rPr>
              <w:t>0.5</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4A819312" w14:textId="77777777" w:rsidR="00375729" w:rsidRPr="00CF3D6E" w:rsidRDefault="00375729" w:rsidP="004919FA">
            <w:pPr>
              <w:pStyle w:val="Tabletext"/>
              <w:rPr>
                <w:i/>
              </w:rPr>
            </w:pPr>
            <w:r w:rsidRPr="00CF3D6E">
              <w:rPr>
                <w:i/>
              </w:rPr>
              <w:t>0.5</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tcPr>
          <w:p w14:paraId="67F3E9B6" w14:textId="77777777" w:rsidR="00375729" w:rsidRPr="00CF3D6E" w:rsidRDefault="00375729" w:rsidP="004919FA">
            <w:pPr>
              <w:pStyle w:val="Tabletext"/>
              <w:rPr>
                <w:i/>
              </w:rPr>
            </w:pPr>
            <w:r w:rsidRPr="00CF3D6E">
              <w:rPr>
                <w:i/>
              </w:rPr>
              <w:t>0.1</w:t>
            </w:r>
          </w:p>
        </w:tc>
      </w:tr>
      <w:tr w:rsidR="00375729" w:rsidRPr="001F451B" w14:paraId="013AC162" w14:textId="77777777" w:rsidTr="00CF3D6E">
        <w:trPr>
          <w:trHeight w:val="300"/>
        </w:trPr>
        <w:tc>
          <w:tcPr>
            <w:tcW w:w="3539" w:type="dxa"/>
            <w:tcBorders>
              <w:top w:val="nil"/>
              <w:left w:val="single" w:sz="4" w:space="0" w:color="auto"/>
              <w:bottom w:val="nil"/>
              <w:right w:val="single" w:sz="4" w:space="0" w:color="auto"/>
            </w:tcBorders>
            <w:shd w:val="clear" w:color="auto" w:fill="auto"/>
            <w:noWrap/>
            <w:vAlign w:val="center"/>
          </w:tcPr>
          <w:p w14:paraId="77F0E523" w14:textId="77777777" w:rsidR="00375729" w:rsidRPr="00CF3D6E" w:rsidRDefault="00375729" w:rsidP="004919FA">
            <w:pPr>
              <w:pStyle w:val="Tabletext"/>
              <w:rPr>
                <w:i/>
              </w:rPr>
            </w:pPr>
            <w:r w:rsidRPr="00CF3D6E">
              <w:rPr>
                <w:i/>
              </w:rPr>
              <w:t>Software</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tcPr>
          <w:p w14:paraId="6F935A56" w14:textId="77777777" w:rsidR="00375729" w:rsidRPr="00CF3D6E" w:rsidRDefault="00375729" w:rsidP="004919FA">
            <w:pPr>
              <w:pStyle w:val="Tabletext"/>
              <w:rPr>
                <w:i/>
              </w:rPr>
            </w:pPr>
            <w:r w:rsidRPr="00CF3D6E">
              <w:rPr>
                <w:i/>
              </w:rPr>
              <w:t>0.3</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02FD815E" w14:textId="77777777" w:rsidR="00375729" w:rsidRPr="00CF3D6E" w:rsidRDefault="00375729" w:rsidP="004919FA">
            <w:pPr>
              <w:pStyle w:val="Tabletext"/>
              <w:rPr>
                <w:i/>
              </w:rPr>
            </w:pPr>
            <w:r w:rsidRPr="00CF3D6E">
              <w:rPr>
                <w:i/>
              </w:rPr>
              <w:t>0.2</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5258AAD2" w14:textId="77777777" w:rsidR="00375729" w:rsidRPr="00CF3D6E" w:rsidRDefault="00375729" w:rsidP="004919FA">
            <w:pPr>
              <w:pStyle w:val="Tabletext"/>
              <w:rPr>
                <w:i/>
              </w:rPr>
            </w:pPr>
            <w:r w:rsidRPr="00CF3D6E">
              <w:rPr>
                <w:i/>
              </w:rPr>
              <w:t>0.2</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tcPr>
          <w:p w14:paraId="2E9E128F" w14:textId="77777777" w:rsidR="00375729" w:rsidRPr="00CF3D6E" w:rsidRDefault="00375729" w:rsidP="004919FA">
            <w:pPr>
              <w:pStyle w:val="Tabletext"/>
              <w:rPr>
                <w:i/>
              </w:rPr>
            </w:pPr>
            <w:r w:rsidRPr="00CF3D6E">
              <w:rPr>
                <w:i/>
              </w:rPr>
              <w:t>0.1</w:t>
            </w:r>
          </w:p>
        </w:tc>
      </w:tr>
      <w:tr w:rsidR="00375729" w:rsidRPr="001F451B" w14:paraId="38D3322C" w14:textId="77777777" w:rsidTr="00CF3D6E">
        <w:trPr>
          <w:trHeight w:val="300"/>
        </w:trPr>
        <w:tc>
          <w:tcPr>
            <w:tcW w:w="3539" w:type="dxa"/>
            <w:tcBorders>
              <w:top w:val="nil"/>
              <w:left w:val="single" w:sz="4" w:space="0" w:color="auto"/>
              <w:bottom w:val="nil"/>
              <w:right w:val="single" w:sz="4" w:space="0" w:color="auto"/>
            </w:tcBorders>
            <w:shd w:val="clear" w:color="auto" w:fill="auto"/>
            <w:noWrap/>
            <w:vAlign w:val="center"/>
            <w:hideMark/>
          </w:tcPr>
          <w:p w14:paraId="46198061" w14:textId="77777777" w:rsidR="00375729" w:rsidRPr="001F451B" w:rsidRDefault="00375729" w:rsidP="004919FA">
            <w:pPr>
              <w:pStyle w:val="Tabletext"/>
            </w:pPr>
            <w:r w:rsidRPr="001F451B">
              <w:t>Non-</w:t>
            </w:r>
            <w:r>
              <w:t>IT</w:t>
            </w:r>
            <w:r w:rsidRPr="001F451B">
              <w:t xml:space="preserve"> capital deep</w:t>
            </w:r>
            <w:r>
              <w:t>enin</w:t>
            </w:r>
            <w:r w:rsidRPr="001F451B">
              <w:t>g</w:t>
            </w:r>
            <w:r>
              <w:t xml:space="preserve"> (pp)</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5B5ED06C" w14:textId="77777777" w:rsidR="00375729" w:rsidRPr="00195A67" w:rsidRDefault="00375729" w:rsidP="004919FA">
            <w:pPr>
              <w:pStyle w:val="Tabletext"/>
            </w:pPr>
            <w:r w:rsidRPr="00195A67">
              <w:t xml:space="preserve">0.3 </w:t>
            </w:r>
            <w:r w:rsidRPr="00CF3D6E">
              <w:t>(8)</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F6E939A" w14:textId="77777777" w:rsidR="00375729" w:rsidRPr="00195A67" w:rsidRDefault="00375729" w:rsidP="004919FA">
            <w:pPr>
              <w:pStyle w:val="Tabletext"/>
            </w:pPr>
            <w:r w:rsidRPr="00195A67">
              <w:t xml:space="preserve"> 0.3 </w:t>
            </w:r>
            <w:r w:rsidRPr="00CF3D6E">
              <w:t>(11)</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30216904" w14:textId="77777777" w:rsidR="00375729" w:rsidRPr="00195A67" w:rsidRDefault="00375729" w:rsidP="004919FA">
            <w:pPr>
              <w:pStyle w:val="Tabletext"/>
            </w:pPr>
            <w:r w:rsidRPr="00195A67">
              <w:t xml:space="preserve"> 0.6 </w:t>
            </w:r>
            <w:r w:rsidRPr="00CF3D6E">
              <w:t>(24)</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hideMark/>
          </w:tcPr>
          <w:p w14:paraId="0CC691C7" w14:textId="77777777" w:rsidR="00375729" w:rsidRPr="00195A67" w:rsidRDefault="00375729" w:rsidP="004919FA">
            <w:pPr>
              <w:pStyle w:val="Tabletext"/>
            </w:pPr>
            <w:r w:rsidRPr="00195A67">
              <w:t xml:space="preserve"> 0.3 </w:t>
            </w:r>
            <w:r w:rsidRPr="00CF3D6E">
              <w:t>(11)</w:t>
            </w:r>
          </w:p>
        </w:tc>
      </w:tr>
      <w:tr w:rsidR="00375729" w:rsidRPr="001F451B" w14:paraId="5568EC31" w14:textId="77777777" w:rsidTr="00CF3D6E">
        <w:trPr>
          <w:trHeight w:val="397"/>
        </w:trPr>
        <w:tc>
          <w:tcPr>
            <w:tcW w:w="3539" w:type="dxa"/>
            <w:tcBorders>
              <w:top w:val="nil"/>
              <w:left w:val="single" w:sz="4" w:space="0" w:color="auto"/>
              <w:bottom w:val="nil"/>
              <w:right w:val="single" w:sz="4" w:space="0" w:color="auto"/>
            </w:tcBorders>
            <w:shd w:val="clear" w:color="auto" w:fill="auto"/>
            <w:noWrap/>
            <w:vAlign w:val="center"/>
            <w:hideMark/>
          </w:tcPr>
          <w:p w14:paraId="19388247" w14:textId="77777777" w:rsidR="00375729" w:rsidRPr="00CF3D6E" w:rsidRDefault="00375729" w:rsidP="004919FA">
            <w:pPr>
              <w:pStyle w:val="Tabletext"/>
            </w:pPr>
            <w:r w:rsidRPr="00CF3D6E">
              <w:t>MFP growth (%pa)</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27EA8B6D" w14:textId="77777777" w:rsidR="00375729" w:rsidRPr="00CF3D6E" w:rsidRDefault="00375729" w:rsidP="004919FA">
            <w:pPr>
              <w:pStyle w:val="Tabletext"/>
            </w:pPr>
            <w:r w:rsidRPr="00CF3D6E">
              <w:t>2.2 (73)</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6BF39FD3" w14:textId="77777777" w:rsidR="00375729" w:rsidRPr="00CF3D6E" w:rsidRDefault="00375729" w:rsidP="004919FA">
            <w:pPr>
              <w:pStyle w:val="Tabletext"/>
            </w:pPr>
            <w:r w:rsidRPr="00CF3D6E">
              <w:t>1.9 (67)</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C474993" w14:textId="77777777" w:rsidR="00375729" w:rsidRPr="00CF3D6E" w:rsidRDefault="00375729" w:rsidP="004919FA">
            <w:pPr>
              <w:pStyle w:val="Tabletext"/>
            </w:pPr>
            <w:r w:rsidRPr="00CF3D6E">
              <w:t>1.3 (51)</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hideMark/>
          </w:tcPr>
          <w:p w14:paraId="55DE8A35" w14:textId="77777777" w:rsidR="00375729" w:rsidRPr="00CF3D6E" w:rsidRDefault="00375729" w:rsidP="004919FA">
            <w:pPr>
              <w:pStyle w:val="Tabletext"/>
            </w:pPr>
            <w:r w:rsidRPr="00CF3D6E">
              <w:t>1.9 (80)</w:t>
            </w:r>
          </w:p>
        </w:tc>
      </w:tr>
      <w:tr w:rsidR="00375729" w:rsidRPr="001F451B" w14:paraId="4C34ADBC" w14:textId="77777777" w:rsidTr="00CF3D6E">
        <w:trPr>
          <w:trHeight w:val="397"/>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53A04F2" w14:textId="77777777" w:rsidR="00375729" w:rsidRPr="00CF3D6E" w:rsidRDefault="00375729" w:rsidP="004919FA">
            <w:pPr>
              <w:pStyle w:val="Tabletext"/>
            </w:pPr>
            <w:r w:rsidRPr="00CF3D6E">
              <w:t>Labour productivity growth (%pa)</w:t>
            </w:r>
          </w:p>
        </w:tc>
        <w:tc>
          <w:tcPr>
            <w:tcW w:w="1418"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0DDC7608" w14:textId="77777777" w:rsidR="00375729" w:rsidRPr="00CF3D6E" w:rsidRDefault="00375729" w:rsidP="004919FA">
            <w:pPr>
              <w:pStyle w:val="Tabletext"/>
            </w:pPr>
            <w:r w:rsidRPr="00CF3D6E">
              <w:t>3.1 (100)</w:t>
            </w:r>
          </w:p>
        </w:tc>
        <w:tc>
          <w:tcPr>
            <w:tcW w:w="1275" w:type="dxa"/>
            <w:tcBorders>
              <w:top w:val="nil"/>
              <w:left w:val="single" w:sz="4" w:space="0" w:color="BFBFBF" w:themeColor="background1" w:themeShade="BF"/>
              <w:bottom w:val="single" w:sz="4" w:space="0" w:color="A6A6A6" w:themeColor="background1" w:themeShade="A6"/>
              <w:right w:val="single" w:sz="4" w:space="0" w:color="BFBFBF" w:themeColor="background1" w:themeShade="BF"/>
            </w:tcBorders>
            <w:shd w:val="clear" w:color="auto" w:fill="auto"/>
            <w:noWrap/>
            <w:vAlign w:val="center"/>
            <w:hideMark/>
          </w:tcPr>
          <w:p w14:paraId="5DA8DAA2" w14:textId="77777777" w:rsidR="00375729" w:rsidRPr="00CF3D6E" w:rsidRDefault="00375729" w:rsidP="004919FA">
            <w:pPr>
              <w:pStyle w:val="Tabletext"/>
            </w:pPr>
            <w:r w:rsidRPr="00CF3D6E">
              <w:t>2.8 (100)</w:t>
            </w:r>
          </w:p>
        </w:tc>
        <w:tc>
          <w:tcPr>
            <w:tcW w:w="1276"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31D86EDD" w14:textId="77777777" w:rsidR="00375729" w:rsidRPr="00CF3D6E" w:rsidRDefault="00375729" w:rsidP="004919FA">
            <w:pPr>
              <w:pStyle w:val="Tabletext"/>
            </w:pPr>
            <w:r w:rsidRPr="00CF3D6E">
              <w:t>2.5 (100)</w:t>
            </w:r>
          </w:p>
        </w:tc>
        <w:tc>
          <w:tcPr>
            <w:tcW w:w="1418"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5721F158" w14:textId="77777777" w:rsidR="00375729" w:rsidRPr="00CF3D6E" w:rsidRDefault="00375729" w:rsidP="004919FA">
            <w:pPr>
              <w:pStyle w:val="Tabletext"/>
            </w:pPr>
            <w:r w:rsidRPr="00CF3D6E">
              <w:t>2.4 (100)</w:t>
            </w:r>
          </w:p>
        </w:tc>
      </w:tr>
    </w:tbl>
    <w:p w14:paraId="1BF9ED4D" w14:textId="77777777" w:rsidR="00E6193A" w:rsidRPr="00323930" w:rsidRDefault="00375729" w:rsidP="00012248">
      <w:pPr>
        <w:pStyle w:val="SourceNotes"/>
      </w:pPr>
      <w:r>
        <w:t xml:space="preserve">Note: </w:t>
      </w:r>
      <w:r w:rsidRPr="00323930">
        <w:t>a.</w:t>
      </w:r>
      <w:r>
        <w:t xml:space="preserve"> Figures in brackets refer to percentages of labour productivity growth</w:t>
      </w:r>
      <w:r w:rsidR="00E6193A">
        <w:t xml:space="preserve">. </w:t>
      </w:r>
      <w:r w:rsidR="00E6193A">
        <w:br/>
      </w:r>
      <w:r w:rsidR="00E6193A" w:rsidRPr="000E36A5">
        <w:t>Numbers may not add up due to rounding</w:t>
      </w:r>
      <w:r w:rsidR="00E6193A">
        <w:t xml:space="preserve">. </w:t>
      </w:r>
      <w:r w:rsidR="00E6193A" w:rsidRPr="00323930">
        <w:tab/>
      </w:r>
    </w:p>
    <w:p w14:paraId="5E115AF1" w14:textId="77777777" w:rsidR="00375729" w:rsidRDefault="00375729" w:rsidP="00012248">
      <w:pPr>
        <w:pStyle w:val="SourceNotes"/>
      </w:pPr>
      <w:r>
        <w:t xml:space="preserve">Source: </w:t>
      </w:r>
      <w:r w:rsidRPr="00F07285">
        <w:t>Author estimates</w:t>
      </w:r>
    </w:p>
    <w:p w14:paraId="5ADAC3B0" w14:textId="77777777" w:rsidR="00375729" w:rsidRPr="002F404B" w:rsidRDefault="00375729" w:rsidP="00375729">
      <w:pPr>
        <w:pStyle w:val="BodyTextNoIndent"/>
      </w:pPr>
      <w:r w:rsidRPr="002F404B">
        <w:t>There was only very weak co-variation between IT capital deepening and LP growth across the LP cycles. That is, changes in IT capital deepening contributions did not closely match changes in LP growth. There is stronger co-variation between MFP growth and LP growth.</w:t>
      </w:r>
    </w:p>
    <w:p w14:paraId="1592259C" w14:textId="77777777" w:rsidR="00375729" w:rsidRDefault="00B736A7" w:rsidP="00F37FA2">
      <w:pPr>
        <w:pStyle w:val="BCRAppendicesSubSubheading"/>
      </w:pPr>
      <w:r>
        <w:t>D.2</w:t>
      </w:r>
      <w:r w:rsidR="00375729">
        <w:t>.2 IT use and skills</w:t>
      </w:r>
    </w:p>
    <w:p w14:paraId="22B99004" w14:textId="77777777" w:rsidR="00375729" w:rsidRDefault="00375729" w:rsidP="00375729">
      <w:pPr>
        <w:pStyle w:val="BodyTextNoIndent"/>
      </w:pPr>
      <w:r>
        <w:t xml:space="preserve">The average skill level </w:t>
      </w:r>
      <w:r w:rsidR="000A7F53">
        <w:t xml:space="preserve">of labour in the industry </w:t>
      </w:r>
      <w:r>
        <w:t>increased by 7 per cent over the entire period. The correlation with IT use was a very high 0.98.</w:t>
      </w:r>
    </w:p>
    <w:p w14:paraId="43D6A1B9" w14:textId="77777777" w:rsidR="00375729" w:rsidRPr="00265BF9" w:rsidRDefault="00B736A7" w:rsidP="00F37FA2">
      <w:pPr>
        <w:pStyle w:val="BCRAppendicesSubheading"/>
      </w:pPr>
      <w:r>
        <w:t xml:space="preserve">D.3 </w:t>
      </w:r>
      <w:r w:rsidR="00375729" w:rsidRPr="00265BF9">
        <w:t>IT, asset use and capital productivity</w:t>
      </w:r>
    </w:p>
    <w:p w14:paraId="1C071FDC" w14:textId="77777777" w:rsidR="00375729" w:rsidRPr="002F404B" w:rsidRDefault="00375729" w:rsidP="00375729">
      <w:pPr>
        <w:pStyle w:val="BodyTextNoIndent"/>
      </w:pPr>
      <w:r w:rsidRPr="002F404B">
        <w:t xml:space="preserve">IT can enhance the productivity of other assets. </w:t>
      </w:r>
    </w:p>
    <w:p w14:paraId="585DF2BE" w14:textId="77777777" w:rsidR="00375729" w:rsidRPr="002F404B" w:rsidRDefault="00375729" w:rsidP="00375729">
      <w:pPr>
        <w:pStyle w:val="BodyTextNoIndent"/>
      </w:pPr>
      <w:r w:rsidRPr="002F404B">
        <w:t xml:space="preserve">The productivity of total capital and of non-IT capital is shown in </w:t>
      </w:r>
      <w:r w:rsidR="007C78F6" w:rsidRPr="007C78F6">
        <w:t>Figure D7</w:t>
      </w:r>
      <w:r w:rsidRPr="002F404B">
        <w:t>. The difference between the two is the productivity of IT capital. Because IT capital has grown much more rapidly than value added in retailing, IT capital productivity has fallen steeply.</w:t>
      </w:r>
    </w:p>
    <w:p w14:paraId="2736493A" w14:textId="77777777" w:rsidR="00375729" w:rsidRDefault="00375729" w:rsidP="00375729">
      <w:pPr>
        <w:pStyle w:val="BodyTextNoIndent"/>
      </w:pPr>
      <w:r w:rsidRPr="002F404B">
        <w:t>The increase in non-IT productivity is somewhat correlated with IT use over the entire period (correlation coefficient of 0.74). However, there was higher correlation (0.90) up to 2004–05, when the productivity of non-IT capital increased by about 25 per cent. While there was some decline over the rest of the decade, there was very little change overall between 2004–05 and 2013–14.</w:t>
      </w:r>
    </w:p>
    <w:p w14:paraId="68A4069E" w14:textId="77777777" w:rsidR="00375729" w:rsidRDefault="00375729" w:rsidP="00375729"/>
    <w:p w14:paraId="779EBF5A" w14:textId="77777777" w:rsidR="00375729" w:rsidRDefault="00375729" w:rsidP="004919FA">
      <w:pPr>
        <w:pStyle w:val="Figurecaption"/>
      </w:pPr>
      <w:r>
        <w:t xml:space="preserve">Figure </w:t>
      </w:r>
      <w:r w:rsidR="007C78F6">
        <w:t>D7</w:t>
      </w:r>
      <w:r>
        <w:t>: Capital productivity of all assets and non-IT assets in retail trade (index, 2012–13</w:t>
      </w:r>
      <w:r w:rsidR="006A530A">
        <w:t xml:space="preserve"> = </w:t>
      </w:r>
      <w:r>
        <w:t>100)</w:t>
      </w:r>
    </w:p>
    <w:p w14:paraId="201FC560" w14:textId="1BE525C8" w:rsidR="00375729" w:rsidRDefault="004919FA" w:rsidP="00375729">
      <w:pPr>
        <w:spacing w:after="60"/>
        <w:rPr>
          <w:noProof/>
          <w:lang w:eastAsia="en-AU"/>
        </w:rPr>
      </w:pPr>
      <w:r>
        <w:rPr>
          <w:noProof/>
          <w:lang w:eastAsia="en-AU"/>
        </w:rPr>
        <w:drawing>
          <wp:inline distT="0" distB="0" distL="0" distR="0" wp14:anchorId="0056D8A2" wp14:editId="02554282">
            <wp:extent cx="5292090" cy="2773680"/>
            <wp:effectExtent l="0" t="0" r="3810" b="7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92090" cy="2773680"/>
                    </a:xfrm>
                    <a:prstGeom prst="rect">
                      <a:avLst/>
                    </a:prstGeom>
                    <a:noFill/>
                  </pic:spPr>
                </pic:pic>
              </a:graphicData>
            </a:graphic>
          </wp:inline>
        </w:drawing>
      </w:r>
    </w:p>
    <w:p w14:paraId="7DE3BA14" w14:textId="77777777" w:rsidR="00375729" w:rsidRDefault="00375729" w:rsidP="00012248">
      <w:pPr>
        <w:pStyle w:val="SourceNotes"/>
      </w:pPr>
      <w:r>
        <w:t xml:space="preserve">Source: </w:t>
      </w:r>
      <w:r w:rsidRPr="00323930">
        <w:t>Author estimates</w:t>
      </w:r>
    </w:p>
    <w:p w14:paraId="2466990A" w14:textId="77777777" w:rsidR="00375729" w:rsidRPr="002F404B" w:rsidRDefault="00375729" w:rsidP="00375729">
      <w:pPr>
        <w:pStyle w:val="BodyTextNoIndent"/>
      </w:pPr>
      <w:r w:rsidRPr="002F404B">
        <w:t xml:space="preserve">The period of growth in non-IT capital productivity corresponds broadly with the period of strongest growth in IT use, which ended in 2007–08. While there is strong correlation between IT use and non-IT capital productivity (correlation coefficient of 0.74), there is not necessarily a causal relationship between the two. </w:t>
      </w:r>
    </w:p>
    <w:p w14:paraId="0F09CD35" w14:textId="77777777" w:rsidR="00375729" w:rsidRPr="002F404B" w:rsidRDefault="00375729" w:rsidP="00375729">
      <w:pPr>
        <w:pStyle w:val="BodyTextNoIndent"/>
      </w:pPr>
      <w:r w:rsidRPr="002F404B">
        <w:t>The productivity of individual assets was also investigated. The major capital inputs in retail trade are: construction assets (26 per cent of capital income)</w:t>
      </w:r>
      <w:r w:rsidR="009A2198">
        <w:rPr>
          <w:rStyle w:val="EndnoteReference"/>
        </w:rPr>
        <w:endnoteReference w:id="24"/>
      </w:r>
      <w:r w:rsidRPr="002F404B">
        <w:t>, inventories (17 per cent), road vehicles (13 per cent) and other plant and equipment (10 per cent). Non-dwelling construction assets are assumed to be mostly buildings. While not a major asset, land (4 per cent) was also included.</w:t>
      </w:r>
    </w:p>
    <w:p w14:paraId="0612230E" w14:textId="77777777" w:rsidR="00375729" w:rsidRPr="002F404B" w:rsidRDefault="00375729" w:rsidP="00375729">
      <w:pPr>
        <w:pStyle w:val="BodyTextNoIndent"/>
      </w:pPr>
      <w:r w:rsidRPr="002F404B">
        <w:t>The productivity of all these assets increased over the period with some variation in the sub-periods in which they grew strongest (</w:t>
      </w:r>
      <w:r w:rsidR="007C78F6" w:rsidRPr="007C78F6">
        <w:t>Figure D8</w:t>
      </w:r>
      <w:r w:rsidRPr="002F404B">
        <w:t>):</w:t>
      </w:r>
    </w:p>
    <w:p w14:paraId="00D7776D" w14:textId="77777777" w:rsidR="00375729" w:rsidRPr="002F404B" w:rsidRDefault="00375729" w:rsidP="004919FA">
      <w:pPr>
        <w:pStyle w:val="Bodybullet-Level1"/>
      </w:pPr>
      <w:r w:rsidRPr="002F404B">
        <w:t xml:space="preserve">Land showed the strongest and steadiest increase in capital productivity at around 80 per cent for the whole period. (Correlation coefficient with IT use </w:t>
      </w:r>
      <w:r w:rsidR="006A530A">
        <w:t xml:space="preserve">= </w:t>
      </w:r>
      <w:r w:rsidRPr="002F404B">
        <w:t>0.94.)</w:t>
      </w:r>
    </w:p>
    <w:p w14:paraId="650D51EF" w14:textId="77777777" w:rsidR="00375729" w:rsidRPr="002F404B" w:rsidRDefault="00375729" w:rsidP="004919FA">
      <w:pPr>
        <w:pStyle w:val="Bodybullet-Level1"/>
      </w:pPr>
      <w:r w:rsidRPr="002F404B">
        <w:t xml:space="preserve">The productivity of buildings increased by about 35 per cent over the whole period. (Correlation coefficient with IT use = 0.90.) </w:t>
      </w:r>
    </w:p>
    <w:p w14:paraId="4B0D26A6" w14:textId="77777777" w:rsidR="00375729" w:rsidRPr="002F404B" w:rsidRDefault="00375729" w:rsidP="004919FA">
      <w:pPr>
        <w:pStyle w:val="Bodybullet-Level1"/>
      </w:pPr>
      <w:r w:rsidRPr="002F404B">
        <w:t>The productivity of road vehicles increased over 60 per cent up to 2004–05 before falling back. (Correlation coefficient</w:t>
      </w:r>
      <w:r w:rsidR="000A7F53">
        <w:t xml:space="preserve"> with IT use</w:t>
      </w:r>
      <w:r w:rsidRPr="002F404B">
        <w:t xml:space="preserve"> =</w:t>
      </w:r>
      <w:r w:rsidR="006A530A">
        <w:t xml:space="preserve"> </w:t>
      </w:r>
      <w:r w:rsidRPr="002F404B">
        <w:t>0.55.)</w:t>
      </w:r>
    </w:p>
    <w:p w14:paraId="52909807" w14:textId="77777777" w:rsidR="00375729" w:rsidRPr="002F404B" w:rsidRDefault="00375729" w:rsidP="004919FA">
      <w:pPr>
        <w:pStyle w:val="Bodybullet-Level1"/>
      </w:pPr>
      <w:r w:rsidRPr="002F404B">
        <w:t xml:space="preserve">The productivity of other plant and equipment increased in the 1990s, but was basically </w:t>
      </w:r>
      <w:r w:rsidR="00995D2D">
        <w:t>constant</w:t>
      </w:r>
      <w:r w:rsidR="00995D2D" w:rsidRPr="002F404B">
        <w:t xml:space="preserve"> </w:t>
      </w:r>
      <w:r w:rsidRPr="002F404B">
        <w:t>after that. (Correlation coefficient</w:t>
      </w:r>
      <w:r w:rsidR="00995D2D">
        <w:t xml:space="preserve"> with IT use</w:t>
      </w:r>
      <w:r w:rsidRPr="002F404B">
        <w:t xml:space="preserve"> = 0.43.)</w:t>
      </w:r>
    </w:p>
    <w:p w14:paraId="102529B3" w14:textId="77777777" w:rsidR="00375729" w:rsidRPr="002F404B" w:rsidRDefault="00375729" w:rsidP="004919FA">
      <w:pPr>
        <w:pStyle w:val="Bodybullet-Level1"/>
      </w:pPr>
      <w:r w:rsidRPr="002F404B">
        <w:t xml:space="preserve">There was little overall change in inventories productivity in the 1990s but it improved by around 20 per cent in the 2000s. (Correlation coefficient </w:t>
      </w:r>
      <w:r w:rsidR="00995D2D">
        <w:t>with IT use</w:t>
      </w:r>
      <w:r w:rsidR="006A530A">
        <w:t xml:space="preserve"> </w:t>
      </w:r>
      <w:r w:rsidRPr="002F404B">
        <w:t>= 0.93.)</w:t>
      </w:r>
    </w:p>
    <w:p w14:paraId="7CBD73BE" w14:textId="77777777" w:rsidR="00375729" w:rsidRDefault="00375729" w:rsidP="004919FA">
      <w:pPr>
        <w:pStyle w:val="Figurecaption"/>
      </w:pPr>
      <w:r>
        <w:t xml:space="preserve">Figure </w:t>
      </w:r>
      <w:r w:rsidR="007C78F6">
        <w:t>D8</w:t>
      </w:r>
      <w:r>
        <w:t>: Asset productivity–the ratio of value added to use of selected assets in wholesale</w:t>
      </w:r>
      <w:r w:rsidR="00995D2D">
        <w:t xml:space="preserve"> </w:t>
      </w:r>
      <w:r w:rsidR="00995D2D">
        <w:br/>
        <w:t>(index, 2012–13</w:t>
      </w:r>
      <w:r w:rsidR="006A530A">
        <w:t xml:space="preserve"> = </w:t>
      </w:r>
      <w:r w:rsidR="00995D2D">
        <w:t>100)</w:t>
      </w:r>
    </w:p>
    <w:p w14:paraId="0B0E3750" w14:textId="7CF4E38A" w:rsidR="00375729" w:rsidRDefault="004919FA" w:rsidP="00375729">
      <w:pPr>
        <w:spacing w:after="60"/>
        <w:rPr>
          <w:noProof/>
          <w:lang w:eastAsia="en-AU"/>
        </w:rPr>
      </w:pPr>
      <w:r>
        <w:rPr>
          <w:noProof/>
          <w:lang w:eastAsia="en-AU"/>
        </w:rPr>
        <w:drawing>
          <wp:inline distT="0" distB="0" distL="0" distR="0" wp14:anchorId="06D5FD7F" wp14:editId="63D852FF">
            <wp:extent cx="4584700" cy="2755900"/>
            <wp:effectExtent l="0" t="0" r="635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6CB222" w14:textId="77777777" w:rsidR="00375729" w:rsidRDefault="00375729" w:rsidP="00012248">
      <w:pPr>
        <w:pStyle w:val="SourceNotes"/>
      </w:pPr>
      <w:r>
        <w:t xml:space="preserve">Source: </w:t>
      </w:r>
      <w:r w:rsidRPr="00323930">
        <w:t>Author estimates</w:t>
      </w:r>
    </w:p>
    <w:p w14:paraId="53FA936C" w14:textId="77777777" w:rsidR="00375729" w:rsidRDefault="00B736A7" w:rsidP="00F37FA2">
      <w:pPr>
        <w:pStyle w:val="BCRAppendicesSubheading"/>
      </w:pPr>
      <w:r>
        <w:t xml:space="preserve">D.4 </w:t>
      </w:r>
      <w:r w:rsidR="00375729">
        <w:t>Use of intermediates</w:t>
      </w:r>
    </w:p>
    <w:p w14:paraId="4EF6849A" w14:textId="77777777" w:rsidR="00375729" w:rsidRPr="002F404B" w:rsidRDefault="00745B19" w:rsidP="00375729">
      <w:pPr>
        <w:pStyle w:val="BodyTextNoIndent"/>
      </w:pPr>
      <w:r>
        <w:t>Whether</w:t>
      </w:r>
      <w:r w:rsidRPr="002F404B">
        <w:t xml:space="preserve"> </w:t>
      </w:r>
      <w:r w:rsidR="00375729" w:rsidRPr="002F404B">
        <w:t>IT could help improve the efficiency with which intermediate inputs (component materials, energy and</w:t>
      </w:r>
      <w:r w:rsidR="00375729">
        <w:t xml:space="preserve"> </w:t>
      </w:r>
      <w:r w:rsidR="00375729" w:rsidRPr="002F404B">
        <w:t xml:space="preserve">purchased services) are used was another possibility examined. In the case of intermediate input use, productivity is determined in reference to the gross output </w:t>
      </w:r>
      <w:r>
        <w:t>rather than the</w:t>
      </w:r>
      <w:r w:rsidR="0058764D">
        <w:t xml:space="preserve"> </w:t>
      </w:r>
      <w:r w:rsidR="00375729" w:rsidRPr="002F404B">
        <w:t>value</w:t>
      </w:r>
      <w:r>
        <w:noBreakHyphen/>
      </w:r>
      <w:r w:rsidR="00375729" w:rsidRPr="002F404B">
        <w:t>added measure of output.</w:t>
      </w:r>
    </w:p>
    <w:p w14:paraId="6249F723" w14:textId="77777777" w:rsidR="00375729" w:rsidRPr="002F404B" w:rsidRDefault="00375729" w:rsidP="00375729">
      <w:pPr>
        <w:pStyle w:val="BodyTextNoIndent"/>
      </w:pPr>
      <w:r w:rsidRPr="002F404B">
        <w:t>Retail is one industry where the efficiency of intermediates use did improve over the period (</w:t>
      </w:r>
      <w:r w:rsidR="007C78F6" w:rsidRPr="007C78F6">
        <w:t>Figure D9</w:t>
      </w:r>
      <w:r w:rsidRPr="002F404B">
        <w:t>). While gross output grew steadily over the period, intermediate input use remained flat until 2006–07. Intermediates productivity rose about 32 per cent up to that point. With the improvement in efficiency, the share of intermediate inputs in total costs fell from 55 per cent in 1994–95 to 41 per cent in 2004–05.</w:t>
      </w:r>
    </w:p>
    <w:p w14:paraId="4A9AE8D5" w14:textId="77777777" w:rsidR="00375729" w:rsidRPr="002F404B" w:rsidRDefault="00375729" w:rsidP="00375729">
      <w:pPr>
        <w:pStyle w:val="BodyTextNoIndent"/>
      </w:pPr>
      <w:r w:rsidRPr="002F404B">
        <w:t>Intermediates cover the purchased materials, energy and other services used in the production of retail services.</w:t>
      </w:r>
    </w:p>
    <w:p w14:paraId="33E31B88" w14:textId="77777777" w:rsidR="00375729" w:rsidRDefault="00375729" w:rsidP="004919FA">
      <w:pPr>
        <w:pStyle w:val="Figurecaption"/>
      </w:pPr>
      <w:r>
        <w:t xml:space="preserve">Figure </w:t>
      </w:r>
      <w:r w:rsidR="007C78F6">
        <w:t>D9</w:t>
      </w:r>
      <w:r>
        <w:t>: Gross output, Intermediate input use and intermediate input productivity in retail trade</w:t>
      </w:r>
    </w:p>
    <w:p w14:paraId="2AA3F651" w14:textId="77BB4160" w:rsidR="00375729" w:rsidRDefault="004919FA" w:rsidP="00375729">
      <w:pPr>
        <w:spacing w:after="60"/>
        <w:rPr>
          <w:noProof/>
          <w:lang w:eastAsia="en-AU"/>
        </w:rPr>
      </w:pPr>
      <w:r>
        <w:rPr>
          <w:noProof/>
          <w:lang w:eastAsia="en-AU"/>
        </w:rPr>
        <w:drawing>
          <wp:inline distT="0" distB="0" distL="0" distR="0" wp14:anchorId="32C88530" wp14:editId="20DA74B0">
            <wp:extent cx="5468620" cy="275590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68620" cy="2755900"/>
                    </a:xfrm>
                    <a:prstGeom prst="rect">
                      <a:avLst/>
                    </a:prstGeom>
                    <a:noFill/>
                  </pic:spPr>
                </pic:pic>
              </a:graphicData>
            </a:graphic>
          </wp:inline>
        </w:drawing>
      </w:r>
    </w:p>
    <w:p w14:paraId="6F2D46F5" w14:textId="77777777" w:rsidR="00375729" w:rsidRDefault="00375729" w:rsidP="00012248">
      <w:pPr>
        <w:pStyle w:val="SourceNotes"/>
      </w:pPr>
      <w:r>
        <w:t xml:space="preserve">Source: </w:t>
      </w:r>
      <w:r w:rsidRPr="00323930">
        <w:t>Author estimates</w:t>
      </w:r>
    </w:p>
    <w:p w14:paraId="3708146C" w14:textId="77777777" w:rsidR="00375729" w:rsidRDefault="00B736A7" w:rsidP="00F37FA2">
      <w:pPr>
        <w:pStyle w:val="BCRAppendicesSubheading"/>
      </w:pPr>
      <w:r>
        <w:t xml:space="preserve">D.5 </w:t>
      </w:r>
      <w:r w:rsidR="00375729">
        <w:t>MFP growth</w:t>
      </w:r>
    </w:p>
    <w:p w14:paraId="4C0450F8" w14:textId="77777777" w:rsidR="00375729" w:rsidRPr="002F404B" w:rsidRDefault="00375729" w:rsidP="00375729">
      <w:pPr>
        <w:pStyle w:val="BodyTextNoIndent"/>
      </w:pPr>
      <w:r w:rsidRPr="002F404B">
        <w:t xml:space="preserve">The association between IT and MFP was examined in the context of MFP cycles. According to the method set out in </w:t>
      </w:r>
      <w:r w:rsidR="008215C6">
        <w:t>S</w:t>
      </w:r>
      <w:r w:rsidR="008215C6" w:rsidRPr="002F404B">
        <w:t xml:space="preserve">ection </w:t>
      </w:r>
      <w:r w:rsidRPr="002F404B">
        <w:t>5.3, MFP peaks in retail trade took place in 1996–97, 2001–02, 2003–04, 2009–10, and 2012–13 (</w:t>
      </w:r>
      <w:r w:rsidR="001E6D48" w:rsidRPr="002F404B">
        <w:fldChar w:fldCharType="begin"/>
      </w:r>
      <w:r w:rsidR="001E6D48" w:rsidRPr="002F404B">
        <w:instrText xml:space="preserve"> REF _Ref424047898 \h </w:instrText>
      </w:r>
      <w:r w:rsidR="001E6D48">
        <w:instrText xml:space="preserve"> \* MERGEFORMAT </w:instrText>
      </w:r>
      <w:r w:rsidR="001E6D48" w:rsidRPr="002F404B">
        <w:fldChar w:fldCharType="separate"/>
      </w:r>
      <w:r w:rsidR="005B6974" w:rsidRPr="005B6974">
        <w:t>Figure D10</w:t>
      </w:r>
      <w:r w:rsidR="001E6D48" w:rsidRPr="002F404B">
        <w:fldChar w:fldCharType="end"/>
      </w:r>
      <w:r w:rsidRPr="002F404B">
        <w:t>). Because the early</w:t>
      </w:r>
      <w:r w:rsidR="002F0E26">
        <w:t xml:space="preserve"> </w:t>
      </w:r>
      <w:r w:rsidRPr="002F404B">
        <w:t>1990s are of interest due to strong investment in software—a peak was also imposed at 1989–90. As with labour productivity, the 2001–02 peak was overlooked.</w:t>
      </w:r>
    </w:p>
    <w:p w14:paraId="5CA31CD9" w14:textId="77777777" w:rsidR="00375729" w:rsidRPr="002F404B" w:rsidRDefault="00375729" w:rsidP="00375729">
      <w:pPr>
        <w:pStyle w:val="BodyTextNoIndent"/>
      </w:pPr>
      <w:r w:rsidRPr="002F404B">
        <w:t>The only difference between LP and MFP cycles is that the 1990s peak in LP occurred in 1997–98, whereas the MFP peak occurred in 1996–97.</w:t>
      </w:r>
    </w:p>
    <w:p w14:paraId="78969A1A" w14:textId="77777777" w:rsidR="00375729" w:rsidRDefault="00375729" w:rsidP="004919FA">
      <w:pPr>
        <w:pStyle w:val="Figurecaption"/>
      </w:pPr>
      <w:r>
        <w:t xml:space="preserve">Figure </w:t>
      </w:r>
      <w:r w:rsidR="005B6974">
        <w:t>D</w:t>
      </w:r>
      <w:r w:rsidR="001E6D48">
        <w:t>10</w:t>
      </w:r>
      <w:r>
        <w:t>: Actual and trend MFP in wholesale trade</w:t>
      </w:r>
      <w:r>
        <w:rPr>
          <w:vertAlign w:val="superscript"/>
        </w:rPr>
        <w:t>a</w:t>
      </w:r>
      <w:r>
        <w:t xml:space="preserve"> (index, actual 2012–13</w:t>
      </w:r>
      <w:r w:rsidR="006A530A">
        <w:t xml:space="preserve"> = </w:t>
      </w:r>
      <w:r>
        <w:t>100)</w:t>
      </w:r>
    </w:p>
    <w:p w14:paraId="44A2DF84" w14:textId="7444D4AE" w:rsidR="00375729" w:rsidRDefault="004919FA" w:rsidP="00375729">
      <w:pPr>
        <w:spacing w:after="60"/>
      </w:pPr>
      <w:r>
        <w:rPr>
          <w:noProof/>
          <w:lang w:eastAsia="en-AU"/>
        </w:rPr>
        <w:drawing>
          <wp:inline distT="0" distB="0" distL="0" distR="0" wp14:anchorId="114DCC76" wp14:editId="5A651E36">
            <wp:extent cx="5206365" cy="2871470"/>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06365" cy="2871470"/>
                    </a:xfrm>
                    <a:prstGeom prst="rect">
                      <a:avLst/>
                    </a:prstGeom>
                    <a:noFill/>
                  </pic:spPr>
                </pic:pic>
              </a:graphicData>
            </a:graphic>
          </wp:inline>
        </w:drawing>
      </w:r>
    </w:p>
    <w:p w14:paraId="37659F66" w14:textId="77777777" w:rsidR="00375729" w:rsidRPr="00323930" w:rsidRDefault="00375729" w:rsidP="00012248">
      <w:pPr>
        <w:pStyle w:val="SourceNotes"/>
      </w:pPr>
      <w:r>
        <w:t xml:space="preserve">Note: </w:t>
      </w:r>
      <w:r w:rsidRPr="00323930">
        <w:t>a.</w:t>
      </w:r>
      <w:r>
        <w:t xml:space="preserve"> </w:t>
      </w:r>
      <w:r w:rsidRPr="00323930">
        <w:t>Trend series formed with a Hodrick-Prescott filter λ</w:t>
      </w:r>
      <w:r w:rsidR="006A530A">
        <w:t xml:space="preserve"> = </w:t>
      </w:r>
      <w:r w:rsidRPr="00323930">
        <w:t>100</w:t>
      </w:r>
      <w:r w:rsidRPr="00323930">
        <w:tab/>
      </w:r>
    </w:p>
    <w:p w14:paraId="50A0DABB" w14:textId="77777777" w:rsidR="00375729" w:rsidRDefault="00375729" w:rsidP="00012248">
      <w:pPr>
        <w:pStyle w:val="SourceNotes"/>
      </w:pPr>
      <w:r>
        <w:t xml:space="preserve">Source: </w:t>
      </w:r>
      <w:r w:rsidRPr="00323930">
        <w:t>ABS Cat. No. 5260.0.55.002 and author estimates</w:t>
      </w:r>
    </w:p>
    <w:p w14:paraId="45F40722" w14:textId="77777777" w:rsidR="00375729" w:rsidRPr="00DA670A" w:rsidRDefault="00375729" w:rsidP="00375729">
      <w:pPr>
        <w:pStyle w:val="BodyTextNoIndent"/>
      </w:pPr>
      <w:r w:rsidRPr="00DA670A">
        <w:t>The average rates of growth over MFP cycles were:</w:t>
      </w:r>
    </w:p>
    <w:p w14:paraId="3DC27CF7" w14:textId="77777777" w:rsidR="00375729" w:rsidRPr="00DA670A" w:rsidRDefault="00375729" w:rsidP="004919FA">
      <w:pPr>
        <w:pStyle w:val="Bodybullet-Level1"/>
      </w:pPr>
      <w:r w:rsidRPr="00DA670A">
        <w:t>1989–90 to 1996–97: 2.3 per cent a year</w:t>
      </w:r>
    </w:p>
    <w:p w14:paraId="6940F2DC" w14:textId="77777777" w:rsidR="00375729" w:rsidRPr="00DA670A" w:rsidRDefault="00375729" w:rsidP="004919FA">
      <w:pPr>
        <w:pStyle w:val="Bodybullet-Level1"/>
      </w:pPr>
      <w:r w:rsidRPr="00DA670A">
        <w:t>1996–97 to 2003–04: 1.9 per cent a year</w:t>
      </w:r>
    </w:p>
    <w:p w14:paraId="7BB1C7AC" w14:textId="77777777" w:rsidR="00375729" w:rsidRPr="00DA670A" w:rsidRDefault="00375729" w:rsidP="004919FA">
      <w:pPr>
        <w:pStyle w:val="Bodybullet-Level1"/>
      </w:pPr>
      <w:r w:rsidRPr="00DA670A">
        <w:t>2003–04 to 2009–10: 1.3 per cent a year</w:t>
      </w:r>
      <w:r w:rsidR="002F0E26">
        <w:t>, and</w:t>
      </w:r>
    </w:p>
    <w:p w14:paraId="6E4604F2" w14:textId="77777777" w:rsidR="00375729" w:rsidRPr="00DA670A" w:rsidRDefault="00375729" w:rsidP="004919FA">
      <w:pPr>
        <w:pStyle w:val="Bodybullet-Level1"/>
      </w:pPr>
      <w:r w:rsidRPr="00DA670A">
        <w:t>2009–10 to 2012–13: 1.9 per cent a year.</w:t>
      </w:r>
    </w:p>
    <w:p w14:paraId="0F38B4AC" w14:textId="77777777" w:rsidR="00375729" w:rsidRPr="00DA670A" w:rsidRDefault="00375729" w:rsidP="00375729">
      <w:pPr>
        <w:pStyle w:val="BodyTextNoIndent"/>
      </w:pPr>
      <w:r w:rsidRPr="00DA670A">
        <w:t>For current purposes, MFP growth is treated as a weighted average of LP growth and capital productivity growth, with the respective income shares as the weights. This allowed the influences of IT growth on MFP to be seen as a combination of substitution effects on labour and on capital.</w:t>
      </w:r>
    </w:p>
    <w:p w14:paraId="0D77EE99" w14:textId="77777777" w:rsidR="00375729" w:rsidRPr="00DA670A" w:rsidRDefault="00375729" w:rsidP="00F37FA2">
      <w:pPr>
        <w:pStyle w:val="BodyTextNoIndent"/>
      </w:pPr>
      <w:r w:rsidRPr="00DA670A">
        <w:t xml:space="preserve">MFP growth accounting is shown in </w:t>
      </w:r>
      <w:r w:rsidR="005B6974" w:rsidRPr="005B6974">
        <w:t xml:space="preserve">Table </w:t>
      </w:r>
      <w:r w:rsidR="006F0637">
        <w:t>D3</w:t>
      </w:r>
      <w:r w:rsidRPr="00DA670A">
        <w:t>. The labour productivity growth contribution plus the capital productivity contribution equals the MFP growth presented in the bottom row of the table.</w:t>
      </w:r>
    </w:p>
    <w:p w14:paraId="4D091B54" w14:textId="77777777" w:rsidR="00375729" w:rsidRDefault="00375729" w:rsidP="00375729">
      <w:pPr>
        <w:rPr>
          <w:i/>
          <w:iCs/>
          <w:color w:val="5F5F5F" w:themeColor="text2"/>
          <w:sz w:val="18"/>
          <w:szCs w:val="18"/>
        </w:rPr>
      </w:pPr>
      <w:r>
        <w:rPr>
          <w:i/>
          <w:iCs/>
          <w:color w:val="5F5F5F" w:themeColor="text2"/>
          <w:sz w:val="18"/>
          <w:szCs w:val="18"/>
        </w:rPr>
        <w:br w:type="page"/>
      </w:r>
    </w:p>
    <w:p w14:paraId="716A44BF" w14:textId="77777777" w:rsidR="00375729" w:rsidRPr="00961DF0" w:rsidRDefault="00375729" w:rsidP="004919FA">
      <w:pPr>
        <w:pStyle w:val="Tablecaption"/>
      </w:pPr>
      <w:r w:rsidRPr="00961DF0">
        <w:fldChar w:fldCharType="begin"/>
      </w:r>
      <w:r w:rsidRPr="00961DF0">
        <w:instrText xml:space="preserve"> LINK Excel.Sheet.12 "\\\\dept.gov.au\\DFS\\Home\\DParham\\Desktop\\Docs\\1. GA project\\Retail trade\\Retail workbook 150709.xlsx" MFP!R134C28:R144C33 \a \f 4 \h  \* MERGEFORMAT </w:instrText>
      </w:r>
      <w:r w:rsidRPr="00961DF0">
        <w:fldChar w:fldCharType="separate"/>
      </w:r>
      <w:r>
        <w:t>Table</w:t>
      </w:r>
      <w:r w:rsidR="005B6974">
        <w:t xml:space="preserve"> </w:t>
      </w:r>
      <w:r w:rsidR="006F0637">
        <w:t>D3</w:t>
      </w:r>
      <w:r w:rsidRPr="00961DF0">
        <w:t xml:space="preserve">: Multifactor productivity growth accounting over MFP cycles in </w:t>
      </w:r>
      <w:r>
        <w:t>r</w:t>
      </w:r>
      <w:r w:rsidRPr="00961DF0">
        <w:t>etail trade</w:t>
      </w:r>
      <w:r w:rsidRPr="00961DF0">
        <w:fldChar w:fldCharType="end"/>
      </w:r>
      <w:r w:rsidRPr="00961DF0">
        <w:t xml:space="preserve"> </w:t>
      </w:r>
      <w:r w:rsidRPr="00961DF0">
        <w:fldChar w:fldCharType="begin"/>
      </w:r>
      <w:r w:rsidRPr="00961DF0">
        <w:instrText xml:space="preserve"> LINK Excel.Sheet.12 "\\\\dept.gov.au\\DFS\\Home\\DParham\\Desktop\\Docs\\1. GA project\\Retail trade\\Retail workbook 150709.xlsx" MFP!R134C28:R144C33 \a \f 4 \h  \* MERGEFORMAT </w:instrText>
      </w:r>
      <w:r w:rsidRPr="00961DF0">
        <w:fldChar w:fldCharType="separate"/>
      </w:r>
    </w:p>
    <w:tbl>
      <w:tblPr>
        <w:tblW w:w="9067" w:type="dxa"/>
        <w:tblLook w:val="04A0" w:firstRow="1" w:lastRow="0" w:firstColumn="1" w:lastColumn="0" w:noHBand="0" w:noVBand="1"/>
      </w:tblPr>
      <w:tblGrid>
        <w:gridCol w:w="3510"/>
        <w:gridCol w:w="1447"/>
        <w:gridCol w:w="1417"/>
        <w:gridCol w:w="1418"/>
        <w:gridCol w:w="1275"/>
      </w:tblGrid>
      <w:tr w:rsidR="00375729" w:rsidRPr="00961DF0" w14:paraId="2C0EC1DD" w14:textId="77777777" w:rsidTr="00CF3D6E">
        <w:trPr>
          <w:trHeight w:val="567"/>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C4E6C" w14:textId="77777777" w:rsidR="00375729" w:rsidRPr="00961DF0" w:rsidRDefault="00375729" w:rsidP="004919FA">
            <w:pPr>
              <w:pStyle w:val="Tablecellheading"/>
            </w:pPr>
            <w:r w:rsidRPr="00961DF0">
              <w:t> </w:t>
            </w:r>
          </w:p>
        </w:tc>
        <w:tc>
          <w:tcPr>
            <w:tcW w:w="1447"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62B94299" w14:textId="77777777" w:rsidR="00375729" w:rsidRPr="00961DF0" w:rsidRDefault="00375729" w:rsidP="004919FA">
            <w:pPr>
              <w:pStyle w:val="Tablecellheading"/>
            </w:pPr>
            <w:r w:rsidRPr="00961DF0">
              <w:t>1989</w:t>
            </w:r>
            <w:r>
              <w:t>–</w:t>
            </w:r>
            <w:r w:rsidRPr="00961DF0">
              <w:t>90 to 1996</w:t>
            </w:r>
            <w:r>
              <w:t>–</w:t>
            </w:r>
            <w:r w:rsidRPr="00961DF0">
              <w:t>97</w:t>
            </w:r>
          </w:p>
        </w:tc>
        <w:tc>
          <w:tcPr>
            <w:tcW w:w="141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783CDEB7" w14:textId="77777777" w:rsidR="00375729" w:rsidRPr="00961DF0" w:rsidRDefault="00375729" w:rsidP="004919FA">
            <w:pPr>
              <w:pStyle w:val="Tablecellheading"/>
            </w:pPr>
            <w:r w:rsidRPr="00961DF0">
              <w:t>1996</w:t>
            </w:r>
            <w:r>
              <w:t>–</w:t>
            </w:r>
            <w:r w:rsidRPr="00961DF0">
              <w:t>97 to 2003</w:t>
            </w:r>
            <w:r>
              <w:t>–</w:t>
            </w:r>
            <w:r w:rsidRPr="00961DF0">
              <w:t>04</w:t>
            </w:r>
          </w:p>
        </w:tc>
        <w:tc>
          <w:tcPr>
            <w:tcW w:w="14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52390B57" w14:textId="77777777" w:rsidR="00375729" w:rsidRPr="00961DF0" w:rsidRDefault="00375729" w:rsidP="004919FA">
            <w:pPr>
              <w:pStyle w:val="Tablecellheading"/>
            </w:pPr>
            <w:r w:rsidRPr="00961DF0">
              <w:t>2003</w:t>
            </w:r>
            <w:r>
              <w:t>–</w:t>
            </w:r>
            <w:r w:rsidRPr="00961DF0">
              <w:t>04 to 2009</w:t>
            </w:r>
            <w:r>
              <w:t>–</w:t>
            </w:r>
            <w:r w:rsidRPr="00961DF0">
              <w:t>10</w:t>
            </w:r>
          </w:p>
        </w:tc>
        <w:tc>
          <w:tcPr>
            <w:tcW w:w="1275"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7174E1FE" w14:textId="77777777" w:rsidR="00375729" w:rsidRPr="00961DF0" w:rsidRDefault="00375729" w:rsidP="004919FA">
            <w:pPr>
              <w:pStyle w:val="Tablecellheading"/>
            </w:pPr>
            <w:r w:rsidRPr="00961DF0">
              <w:t>2009</w:t>
            </w:r>
            <w:r>
              <w:t>–</w:t>
            </w:r>
            <w:r w:rsidRPr="00961DF0">
              <w:t>10 to 2012</w:t>
            </w:r>
            <w:r>
              <w:t>–</w:t>
            </w:r>
            <w:r w:rsidRPr="00961DF0">
              <w:t>13</w:t>
            </w:r>
          </w:p>
        </w:tc>
      </w:tr>
      <w:tr w:rsidR="00375729" w:rsidRPr="00961DF0" w14:paraId="7309E137" w14:textId="77777777" w:rsidTr="00CF3D6E">
        <w:trPr>
          <w:trHeight w:val="397"/>
        </w:trPr>
        <w:tc>
          <w:tcPr>
            <w:tcW w:w="3510" w:type="dxa"/>
            <w:tcBorders>
              <w:top w:val="single" w:sz="4" w:space="0" w:color="auto"/>
              <w:left w:val="single" w:sz="4" w:space="0" w:color="auto"/>
              <w:bottom w:val="nil"/>
              <w:right w:val="single" w:sz="4" w:space="0" w:color="auto"/>
            </w:tcBorders>
            <w:shd w:val="clear" w:color="auto" w:fill="auto"/>
            <w:noWrap/>
            <w:vAlign w:val="bottom"/>
            <w:hideMark/>
          </w:tcPr>
          <w:p w14:paraId="4D30070A" w14:textId="77777777" w:rsidR="00375729" w:rsidRPr="00CF3D6E" w:rsidRDefault="00375729" w:rsidP="004919FA">
            <w:pPr>
              <w:pStyle w:val="Tabletext"/>
            </w:pPr>
            <w:r w:rsidRPr="00CF3D6E">
              <w:t xml:space="preserve">LP growth contribution </w:t>
            </w:r>
          </w:p>
        </w:tc>
        <w:tc>
          <w:tcPr>
            <w:tcW w:w="1447" w:type="dxa"/>
            <w:tcBorders>
              <w:top w:val="single" w:sz="4" w:space="0" w:color="auto"/>
              <w:left w:val="single" w:sz="4" w:space="0" w:color="auto"/>
              <w:bottom w:val="nil"/>
              <w:right w:val="single" w:sz="4" w:space="0" w:color="BFBFBF" w:themeColor="background1" w:themeShade="BF"/>
            </w:tcBorders>
            <w:shd w:val="clear" w:color="auto" w:fill="auto"/>
            <w:noWrap/>
            <w:vAlign w:val="bottom"/>
            <w:hideMark/>
          </w:tcPr>
          <w:p w14:paraId="468AD69C" w14:textId="77777777" w:rsidR="00375729" w:rsidRPr="00CF3D6E" w:rsidRDefault="00375729" w:rsidP="004919FA">
            <w:pPr>
              <w:pStyle w:val="Tabletext"/>
            </w:pPr>
            <w:r w:rsidRPr="00CF3D6E">
              <w:t>2.3</w:t>
            </w:r>
          </w:p>
        </w:tc>
        <w:tc>
          <w:tcPr>
            <w:tcW w:w="1417"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757FF8E" w14:textId="77777777" w:rsidR="00375729" w:rsidRPr="00CF3D6E" w:rsidRDefault="00375729" w:rsidP="004919FA">
            <w:pPr>
              <w:pStyle w:val="Tabletext"/>
            </w:pPr>
            <w:r w:rsidRPr="00CF3D6E">
              <w:t>2.2</w:t>
            </w:r>
          </w:p>
        </w:tc>
        <w:tc>
          <w:tcPr>
            <w:tcW w:w="1418"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5F3BF1A" w14:textId="77777777" w:rsidR="00375729" w:rsidRPr="00CF3D6E" w:rsidRDefault="00375729" w:rsidP="004919FA">
            <w:pPr>
              <w:pStyle w:val="Tabletext"/>
            </w:pPr>
            <w:r w:rsidRPr="00CF3D6E">
              <w:t>1.9</w:t>
            </w:r>
          </w:p>
        </w:tc>
        <w:tc>
          <w:tcPr>
            <w:tcW w:w="1275" w:type="dxa"/>
            <w:tcBorders>
              <w:top w:val="single" w:sz="4" w:space="0" w:color="auto"/>
              <w:left w:val="single" w:sz="4" w:space="0" w:color="BFBFBF" w:themeColor="background1" w:themeShade="BF"/>
              <w:bottom w:val="nil"/>
              <w:right w:val="single" w:sz="4" w:space="0" w:color="auto"/>
            </w:tcBorders>
            <w:shd w:val="clear" w:color="auto" w:fill="auto"/>
            <w:noWrap/>
            <w:vAlign w:val="bottom"/>
            <w:hideMark/>
          </w:tcPr>
          <w:p w14:paraId="52F74473" w14:textId="77777777" w:rsidR="00375729" w:rsidRPr="00CF3D6E" w:rsidRDefault="00375729" w:rsidP="004919FA">
            <w:pPr>
              <w:pStyle w:val="Tabletext"/>
            </w:pPr>
            <w:r w:rsidRPr="00CF3D6E">
              <w:t>1.7</w:t>
            </w:r>
          </w:p>
        </w:tc>
      </w:tr>
      <w:tr w:rsidR="004919FA" w:rsidRPr="00961DF0" w14:paraId="7BD760B2" w14:textId="77777777" w:rsidTr="007A5BBF">
        <w:trPr>
          <w:trHeight w:val="227"/>
        </w:trPr>
        <w:tc>
          <w:tcPr>
            <w:tcW w:w="3510" w:type="dxa"/>
            <w:tcBorders>
              <w:top w:val="nil"/>
              <w:left w:val="single" w:sz="4" w:space="0" w:color="auto"/>
              <w:bottom w:val="nil"/>
              <w:right w:val="single" w:sz="4" w:space="0" w:color="auto"/>
            </w:tcBorders>
            <w:shd w:val="clear" w:color="auto" w:fill="auto"/>
            <w:noWrap/>
            <w:vAlign w:val="bottom"/>
            <w:hideMark/>
          </w:tcPr>
          <w:p w14:paraId="5D11FB55" w14:textId="2BA5B454" w:rsidR="004919FA" w:rsidRPr="00961DF0" w:rsidRDefault="004919FA" w:rsidP="004919FA">
            <w:pPr>
              <w:pStyle w:val="Tabletext"/>
            </w:pPr>
            <w:r w:rsidRPr="00961DF0">
              <w:t>of which</w:t>
            </w:r>
          </w:p>
        </w:tc>
        <w:tc>
          <w:tcPr>
            <w:tcW w:w="5557" w:type="dxa"/>
            <w:gridSpan w:val="4"/>
            <w:tcBorders>
              <w:top w:val="nil"/>
              <w:left w:val="single" w:sz="4" w:space="0" w:color="auto"/>
              <w:bottom w:val="nil"/>
              <w:right w:val="single" w:sz="4" w:space="0" w:color="auto"/>
            </w:tcBorders>
            <w:shd w:val="clear" w:color="auto" w:fill="auto"/>
            <w:noWrap/>
            <w:vAlign w:val="bottom"/>
            <w:hideMark/>
          </w:tcPr>
          <w:p w14:paraId="4E004802" w14:textId="77777777" w:rsidR="004919FA" w:rsidRPr="00961DF0" w:rsidRDefault="004919FA" w:rsidP="004919FA">
            <w:pPr>
              <w:pStyle w:val="Tabletext"/>
            </w:pPr>
            <w:r w:rsidRPr="00961DF0">
              <w:t> </w:t>
            </w:r>
          </w:p>
        </w:tc>
      </w:tr>
      <w:tr w:rsidR="00375729" w:rsidRPr="00961DF0" w14:paraId="6AA229C8" w14:textId="77777777" w:rsidTr="00CF3D6E">
        <w:trPr>
          <w:trHeight w:val="300"/>
        </w:trPr>
        <w:tc>
          <w:tcPr>
            <w:tcW w:w="3510" w:type="dxa"/>
            <w:tcBorders>
              <w:top w:val="nil"/>
              <w:left w:val="single" w:sz="4" w:space="0" w:color="auto"/>
              <w:bottom w:val="nil"/>
              <w:right w:val="single" w:sz="4" w:space="0" w:color="auto"/>
            </w:tcBorders>
            <w:shd w:val="clear" w:color="auto" w:fill="auto"/>
            <w:noWrap/>
            <w:vAlign w:val="bottom"/>
            <w:hideMark/>
          </w:tcPr>
          <w:p w14:paraId="10A5830E" w14:textId="215D5A54" w:rsidR="00375729" w:rsidRPr="00961DF0" w:rsidRDefault="00375729" w:rsidP="004919FA">
            <w:pPr>
              <w:pStyle w:val="Tablebullet-Level1"/>
            </w:pPr>
            <w:r>
              <w:t>IT</w:t>
            </w:r>
            <w:r w:rsidRPr="00961DF0">
              <w:t xml:space="preserve"> capital deepening </w:t>
            </w:r>
          </w:p>
        </w:tc>
        <w:tc>
          <w:tcPr>
            <w:tcW w:w="1447" w:type="dxa"/>
            <w:tcBorders>
              <w:top w:val="nil"/>
              <w:left w:val="single" w:sz="4" w:space="0" w:color="auto"/>
              <w:bottom w:val="nil"/>
              <w:right w:val="single" w:sz="4" w:space="0" w:color="BFBFBF" w:themeColor="background1" w:themeShade="BF"/>
            </w:tcBorders>
            <w:shd w:val="clear" w:color="auto" w:fill="auto"/>
            <w:noWrap/>
            <w:vAlign w:val="bottom"/>
            <w:hideMark/>
          </w:tcPr>
          <w:p w14:paraId="38A16343" w14:textId="77777777" w:rsidR="00375729" w:rsidRPr="00961DF0" w:rsidRDefault="00375729" w:rsidP="004919FA">
            <w:pPr>
              <w:pStyle w:val="Tabletext"/>
            </w:pPr>
            <w:r w:rsidRPr="00961DF0">
              <w:t>0.4</w:t>
            </w:r>
          </w:p>
        </w:tc>
        <w:tc>
          <w:tcPr>
            <w:tcW w:w="1417"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269DD81" w14:textId="77777777" w:rsidR="00375729" w:rsidRPr="00961DF0" w:rsidRDefault="00375729" w:rsidP="004919FA">
            <w:pPr>
              <w:pStyle w:val="Tabletext"/>
            </w:pPr>
            <w:r w:rsidRPr="00961DF0">
              <w:t>0.</w:t>
            </w:r>
            <w:r>
              <w:t>5</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263615F" w14:textId="77777777" w:rsidR="00375729" w:rsidRPr="00961DF0" w:rsidRDefault="00375729" w:rsidP="004919FA">
            <w:pPr>
              <w:pStyle w:val="Tabletext"/>
            </w:pPr>
            <w:r w:rsidRPr="00961DF0">
              <w:t>0.</w:t>
            </w:r>
            <w:r>
              <w:t>5</w:t>
            </w:r>
          </w:p>
        </w:tc>
        <w:tc>
          <w:tcPr>
            <w:tcW w:w="1275" w:type="dxa"/>
            <w:tcBorders>
              <w:top w:val="nil"/>
              <w:left w:val="single" w:sz="4" w:space="0" w:color="BFBFBF" w:themeColor="background1" w:themeShade="BF"/>
              <w:bottom w:val="nil"/>
              <w:right w:val="single" w:sz="4" w:space="0" w:color="auto"/>
            </w:tcBorders>
            <w:shd w:val="clear" w:color="auto" w:fill="auto"/>
            <w:noWrap/>
            <w:vAlign w:val="bottom"/>
            <w:hideMark/>
          </w:tcPr>
          <w:p w14:paraId="499B6C9A" w14:textId="77777777" w:rsidR="00375729" w:rsidRPr="00961DF0" w:rsidRDefault="00375729" w:rsidP="004919FA">
            <w:pPr>
              <w:pStyle w:val="Tabletext"/>
            </w:pPr>
            <w:r w:rsidRPr="00961DF0">
              <w:t>0.</w:t>
            </w:r>
            <w:r>
              <w:t>2</w:t>
            </w:r>
          </w:p>
        </w:tc>
      </w:tr>
      <w:tr w:rsidR="00375729" w:rsidRPr="00961DF0" w14:paraId="390C4CBF" w14:textId="77777777" w:rsidTr="00CF3D6E">
        <w:trPr>
          <w:trHeight w:val="300"/>
        </w:trPr>
        <w:tc>
          <w:tcPr>
            <w:tcW w:w="3510" w:type="dxa"/>
            <w:tcBorders>
              <w:top w:val="nil"/>
              <w:left w:val="single" w:sz="4" w:space="0" w:color="auto"/>
              <w:bottom w:val="nil"/>
              <w:right w:val="single" w:sz="4" w:space="0" w:color="auto"/>
            </w:tcBorders>
            <w:shd w:val="clear" w:color="auto" w:fill="auto"/>
            <w:noWrap/>
            <w:vAlign w:val="bottom"/>
            <w:hideMark/>
          </w:tcPr>
          <w:p w14:paraId="6A29D5B0" w14:textId="77777777" w:rsidR="00375729" w:rsidRPr="00CF3D6E" w:rsidRDefault="00375729" w:rsidP="004919FA">
            <w:pPr>
              <w:pStyle w:val="Tablebullet-Level1"/>
            </w:pPr>
            <w:r w:rsidRPr="00CF3D6E">
              <w:t>KP growth contribution</w:t>
            </w:r>
          </w:p>
        </w:tc>
        <w:tc>
          <w:tcPr>
            <w:tcW w:w="1447" w:type="dxa"/>
            <w:tcBorders>
              <w:top w:val="nil"/>
              <w:left w:val="single" w:sz="4" w:space="0" w:color="auto"/>
              <w:bottom w:val="nil"/>
              <w:right w:val="single" w:sz="4" w:space="0" w:color="BFBFBF" w:themeColor="background1" w:themeShade="BF"/>
            </w:tcBorders>
            <w:shd w:val="clear" w:color="auto" w:fill="auto"/>
            <w:noWrap/>
            <w:vAlign w:val="bottom"/>
            <w:hideMark/>
          </w:tcPr>
          <w:p w14:paraId="61F7C0B0" w14:textId="77777777" w:rsidR="00375729" w:rsidRPr="00CF3D6E" w:rsidRDefault="00375729" w:rsidP="004919FA">
            <w:pPr>
              <w:pStyle w:val="Tabletext"/>
            </w:pPr>
            <w:r w:rsidRPr="00CF3D6E">
              <w:t>0.0</w:t>
            </w:r>
          </w:p>
        </w:tc>
        <w:tc>
          <w:tcPr>
            <w:tcW w:w="1417"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78A81486" w14:textId="77777777" w:rsidR="00375729" w:rsidRPr="00CF3D6E" w:rsidRDefault="00375729" w:rsidP="004919FA">
            <w:pPr>
              <w:pStyle w:val="Tabletext"/>
            </w:pPr>
            <w:r w:rsidRPr="00CF3D6E">
              <w:t>-0.3</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3284ACB" w14:textId="77777777" w:rsidR="00375729" w:rsidRPr="00CF3D6E" w:rsidRDefault="00375729" w:rsidP="004919FA">
            <w:pPr>
              <w:pStyle w:val="Tabletext"/>
            </w:pPr>
            <w:r w:rsidRPr="00CF3D6E">
              <w:t>-0.6</w:t>
            </w:r>
          </w:p>
        </w:tc>
        <w:tc>
          <w:tcPr>
            <w:tcW w:w="1275" w:type="dxa"/>
            <w:tcBorders>
              <w:top w:val="nil"/>
              <w:left w:val="single" w:sz="4" w:space="0" w:color="BFBFBF" w:themeColor="background1" w:themeShade="BF"/>
              <w:bottom w:val="nil"/>
              <w:right w:val="single" w:sz="4" w:space="0" w:color="auto"/>
            </w:tcBorders>
            <w:shd w:val="clear" w:color="auto" w:fill="auto"/>
            <w:noWrap/>
            <w:vAlign w:val="bottom"/>
            <w:hideMark/>
          </w:tcPr>
          <w:p w14:paraId="1BCA402A" w14:textId="77777777" w:rsidR="00375729" w:rsidRPr="00CF3D6E" w:rsidRDefault="00375729" w:rsidP="004919FA">
            <w:pPr>
              <w:pStyle w:val="Tabletext"/>
            </w:pPr>
            <w:r w:rsidRPr="00CF3D6E">
              <w:t>0.2</w:t>
            </w:r>
          </w:p>
        </w:tc>
      </w:tr>
      <w:tr w:rsidR="004919FA" w:rsidRPr="00961DF0" w14:paraId="00D8053C" w14:textId="77777777" w:rsidTr="007A5BBF">
        <w:trPr>
          <w:trHeight w:val="300"/>
        </w:trPr>
        <w:tc>
          <w:tcPr>
            <w:tcW w:w="3510" w:type="dxa"/>
            <w:tcBorders>
              <w:top w:val="nil"/>
              <w:left w:val="single" w:sz="4" w:space="0" w:color="auto"/>
              <w:bottom w:val="nil"/>
              <w:right w:val="single" w:sz="4" w:space="0" w:color="auto"/>
            </w:tcBorders>
            <w:shd w:val="clear" w:color="auto" w:fill="auto"/>
            <w:noWrap/>
            <w:vAlign w:val="bottom"/>
            <w:hideMark/>
          </w:tcPr>
          <w:p w14:paraId="27E90BC9" w14:textId="3177C53B" w:rsidR="004919FA" w:rsidRPr="00961DF0" w:rsidRDefault="004919FA" w:rsidP="004919FA">
            <w:pPr>
              <w:pStyle w:val="Tabletext"/>
            </w:pPr>
            <w:r w:rsidRPr="00961DF0">
              <w:t>of which</w:t>
            </w:r>
          </w:p>
        </w:tc>
        <w:tc>
          <w:tcPr>
            <w:tcW w:w="5557" w:type="dxa"/>
            <w:gridSpan w:val="4"/>
            <w:tcBorders>
              <w:top w:val="nil"/>
              <w:left w:val="single" w:sz="4" w:space="0" w:color="auto"/>
              <w:bottom w:val="nil"/>
              <w:right w:val="single" w:sz="4" w:space="0" w:color="auto"/>
            </w:tcBorders>
            <w:shd w:val="clear" w:color="auto" w:fill="auto"/>
            <w:noWrap/>
            <w:vAlign w:val="bottom"/>
            <w:hideMark/>
          </w:tcPr>
          <w:p w14:paraId="6E3EF8B4" w14:textId="77777777" w:rsidR="004919FA" w:rsidRPr="00961DF0" w:rsidRDefault="004919FA" w:rsidP="004919FA">
            <w:pPr>
              <w:pStyle w:val="Tabletext"/>
            </w:pPr>
            <w:r w:rsidRPr="00961DF0">
              <w:t> </w:t>
            </w:r>
          </w:p>
        </w:tc>
      </w:tr>
      <w:tr w:rsidR="00375729" w:rsidRPr="00961DF0" w14:paraId="4B852BA4" w14:textId="77777777" w:rsidTr="00CF3D6E">
        <w:trPr>
          <w:trHeight w:val="300"/>
        </w:trPr>
        <w:tc>
          <w:tcPr>
            <w:tcW w:w="3510" w:type="dxa"/>
            <w:tcBorders>
              <w:top w:val="nil"/>
              <w:left w:val="single" w:sz="4" w:space="0" w:color="auto"/>
              <w:bottom w:val="nil"/>
              <w:right w:val="single" w:sz="4" w:space="0" w:color="auto"/>
            </w:tcBorders>
            <w:shd w:val="clear" w:color="auto" w:fill="auto"/>
            <w:noWrap/>
            <w:vAlign w:val="bottom"/>
            <w:hideMark/>
          </w:tcPr>
          <w:p w14:paraId="7A4D7B60" w14:textId="025B6F35" w:rsidR="00375729" w:rsidRPr="00961DF0" w:rsidRDefault="00375729" w:rsidP="004919FA">
            <w:pPr>
              <w:pStyle w:val="Tablebullet-Level1"/>
            </w:pPr>
            <w:r>
              <w:t>IT</w:t>
            </w:r>
            <w:r w:rsidRPr="00961DF0">
              <w:t xml:space="preserve"> capital productivity</w:t>
            </w:r>
          </w:p>
        </w:tc>
        <w:tc>
          <w:tcPr>
            <w:tcW w:w="1447" w:type="dxa"/>
            <w:tcBorders>
              <w:top w:val="nil"/>
              <w:left w:val="single" w:sz="4" w:space="0" w:color="auto"/>
              <w:bottom w:val="nil"/>
              <w:right w:val="single" w:sz="4" w:space="0" w:color="BFBFBF" w:themeColor="background1" w:themeShade="BF"/>
            </w:tcBorders>
            <w:shd w:val="clear" w:color="auto" w:fill="auto"/>
            <w:noWrap/>
            <w:vAlign w:val="bottom"/>
            <w:hideMark/>
          </w:tcPr>
          <w:p w14:paraId="09831501" w14:textId="77777777" w:rsidR="00375729" w:rsidRPr="00961DF0" w:rsidRDefault="00375729" w:rsidP="004919FA">
            <w:pPr>
              <w:pStyle w:val="Tabletext"/>
            </w:pPr>
            <w:r w:rsidRPr="00961DF0">
              <w:t>-0.</w:t>
            </w:r>
            <w:r>
              <w:t>40</w:t>
            </w:r>
          </w:p>
        </w:tc>
        <w:tc>
          <w:tcPr>
            <w:tcW w:w="1417"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4C98170" w14:textId="77777777" w:rsidR="00375729" w:rsidRPr="00961DF0" w:rsidRDefault="00375729" w:rsidP="004919FA">
            <w:pPr>
              <w:pStyle w:val="Tabletext"/>
            </w:pPr>
            <w:r w:rsidRPr="00961DF0">
              <w:t>-0.</w:t>
            </w:r>
            <w:r>
              <w:t>53</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1775066" w14:textId="77777777" w:rsidR="00375729" w:rsidRPr="00961DF0" w:rsidRDefault="00375729" w:rsidP="004919FA">
            <w:pPr>
              <w:pStyle w:val="Tabletext"/>
            </w:pPr>
            <w:r w:rsidRPr="00961DF0">
              <w:t>-0.</w:t>
            </w:r>
            <w:r>
              <w:t>51</w:t>
            </w:r>
          </w:p>
        </w:tc>
        <w:tc>
          <w:tcPr>
            <w:tcW w:w="1275" w:type="dxa"/>
            <w:tcBorders>
              <w:top w:val="nil"/>
              <w:left w:val="single" w:sz="4" w:space="0" w:color="BFBFBF" w:themeColor="background1" w:themeShade="BF"/>
              <w:bottom w:val="nil"/>
              <w:right w:val="single" w:sz="4" w:space="0" w:color="auto"/>
            </w:tcBorders>
            <w:shd w:val="clear" w:color="auto" w:fill="auto"/>
            <w:noWrap/>
            <w:vAlign w:val="bottom"/>
            <w:hideMark/>
          </w:tcPr>
          <w:p w14:paraId="19542110" w14:textId="77777777" w:rsidR="00375729" w:rsidRPr="00961DF0" w:rsidRDefault="00375729" w:rsidP="004919FA">
            <w:pPr>
              <w:pStyle w:val="Tabletext"/>
            </w:pPr>
            <w:r>
              <w:t>-</w:t>
            </w:r>
            <w:r w:rsidRPr="00961DF0">
              <w:t>0.1</w:t>
            </w:r>
            <w:r>
              <w:t>2</w:t>
            </w:r>
          </w:p>
        </w:tc>
      </w:tr>
      <w:tr w:rsidR="00375729" w:rsidRPr="00961DF0" w14:paraId="407A417E" w14:textId="77777777" w:rsidTr="00CF3D6E">
        <w:trPr>
          <w:trHeight w:val="300"/>
        </w:trPr>
        <w:tc>
          <w:tcPr>
            <w:tcW w:w="3510" w:type="dxa"/>
            <w:tcBorders>
              <w:top w:val="nil"/>
              <w:left w:val="single" w:sz="4" w:space="0" w:color="auto"/>
              <w:bottom w:val="nil"/>
              <w:right w:val="single" w:sz="4" w:space="0" w:color="auto"/>
            </w:tcBorders>
            <w:shd w:val="clear" w:color="auto" w:fill="auto"/>
            <w:noWrap/>
            <w:vAlign w:val="bottom"/>
            <w:hideMark/>
          </w:tcPr>
          <w:p w14:paraId="4EE821B2" w14:textId="7DDD2586" w:rsidR="00375729" w:rsidRPr="00961DF0" w:rsidRDefault="00375729" w:rsidP="004919FA">
            <w:pPr>
              <w:pStyle w:val="Tablebullet-Level1"/>
            </w:pPr>
            <w:r w:rsidRPr="00961DF0">
              <w:t>Non-</w:t>
            </w:r>
            <w:r>
              <w:t>IT</w:t>
            </w:r>
            <w:r w:rsidRPr="00961DF0">
              <w:t xml:space="preserve"> capital productivity</w:t>
            </w:r>
          </w:p>
        </w:tc>
        <w:tc>
          <w:tcPr>
            <w:tcW w:w="1447" w:type="dxa"/>
            <w:tcBorders>
              <w:top w:val="nil"/>
              <w:left w:val="single" w:sz="4" w:space="0" w:color="auto"/>
              <w:bottom w:val="nil"/>
              <w:right w:val="single" w:sz="4" w:space="0" w:color="BFBFBF" w:themeColor="background1" w:themeShade="BF"/>
            </w:tcBorders>
            <w:shd w:val="clear" w:color="auto" w:fill="auto"/>
            <w:noWrap/>
            <w:vAlign w:val="bottom"/>
            <w:hideMark/>
          </w:tcPr>
          <w:p w14:paraId="3A6191D1" w14:textId="77777777" w:rsidR="00375729" w:rsidRPr="00961DF0" w:rsidRDefault="00375729" w:rsidP="004919FA">
            <w:pPr>
              <w:pStyle w:val="Tabletext"/>
            </w:pPr>
            <w:r w:rsidRPr="00961DF0">
              <w:t>0.</w:t>
            </w:r>
            <w:r>
              <w:t>37</w:t>
            </w:r>
          </w:p>
        </w:tc>
        <w:tc>
          <w:tcPr>
            <w:tcW w:w="1417"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4C23C4D5" w14:textId="77777777" w:rsidR="00375729" w:rsidRPr="00961DF0" w:rsidRDefault="00375729" w:rsidP="004919FA">
            <w:pPr>
              <w:pStyle w:val="Tabletext"/>
            </w:pPr>
            <w:r>
              <w:t>0.25</w:t>
            </w:r>
          </w:p>
        </w:tc>
        <w:tc>
          <w:tcPr>
            <w:tcW w:w="1418"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3430B47" w14:textId="77777777" w:rsidR="00375729" w:rsidRPr="00961DF0" w:rsidRDefault="00375729" w:rsidP="004919FA">
            <w:pPr>
              <w:pStyle w:val="Tabletext"/>
            </w:pPr>
            <w:r w:rsidRPr="00961DF0">
              <w:t>-0.</w:t>
            </w:r>
            <w:r>
              <w:t>07</w:t>
            </w:r>
          </w:p>
        </w:tc>
        <w:tc>
          <w:tcPr>
            <w:tcW w:w="1275" w:type="dxa"/>
            <w:tcBorders>
              <w:top w:val="nil"/>
              <w:left w:val="single" w:sz="4" w:space="0" w:color="BFBFBF" w:themeColor="background1" w:themeShade="BF"/>
              <w:bottom w:val="nil"/>
              <w:right w:val="single" w:sz="4" w:space="0" w:color="auto"/>
            </w:tcBorders>
            <w:shd w:val="clear" w:color="auto" w:fill="auto"/>
            <w:noWrap/>
            <w:vAlign w:val="bottom"/>
            <w:hideMark/>
          </w:tcPr>
          <w:p w14:paraId="0E146BDA" w14:textId="77777777" w:rsidR="00375729" w:rsidRPr="00961DF0" w:rsidRDefault="00375729" w:rsidP="004919FA">
            <w:pPr>
              <w:pStyle w:val="Tabletext"/>
            </w:pPr>
            <w:r w:rsidRPr="00961DF0">
              <w:t>0.</w:t>
            </w:r>
            <w:r>
              <w:t>28</w:t>
            </w:r>
          </w:p>
        </w:tc>
      </w:tr>
      <w:tr w:rsidR="00375729" w:rsidRPr="00961DF0" w14:paraId="695D15FE" w14:textId="77777777" w:rsidTr="00CF3D6E">
        <w:trPr>
          <w:trHeight w:val="397"/>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14:paraId="2D2F5A90" w14:textId="77777777" w:rsidR="00375729" w:rsidRPr="00CF3D6E" w:rsidRDefault="00375729" w:rsidP="004919FA">
            <w:pPr>
              <w:pStyle w:val="Tabletext"/>
            </w:pPr>
            <w:r w:rsidRPr="00CF3D6E">
              <w:t>MFP growth</w:t>
            </w:r>
          </w:p>
        </w:tc>
        <w:tc>
          <w:tcPr>
            <w:tcW w:w="1447" w:type="dxa"/>
            <w:tcBorders>
              <w:top w:val="nil"/>
              <w:left w:val="single" w:sz="4" w:space="0" w:color="auto"/>
              <w:bottom w:val="single" w:sz="4" w:space="0" w:color="auto"/>
              <w:right w:val="single" w:sz="4" w:space="0" w:color="BFBFBF" w:themeColor="background1" w:themeShade="BF"/>
            </w:tcBorders>
            <w:shd w:val="clear" w:color="auto" w:fill="auto"/>
            <w:noWrap/>
            <w:vAlign w:val="bottom"/>
            <w:hideMark/>
          </w:tcPr>
          <w:p w14:paraId="0CB20D59" w14:textId="77777777" w:rsidR="00375729" w:rsidRPr="00CF3D6E" w:rsidRDefault="00375729" w:rsidP="004919FA">
            <w:pPr>
              <w:pStyle w:val="Tabletext"/>
            </w:pPr>
            <w:r w:rsidRPr="00CF3D6E">
              <w:t>2.3</w:t>
            </w:r>
          </w:p>
        </w:tc>
        <w:tc>
          <w:tcPr>
            <w:tcW w:w="1417"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25B6CA4D" w14:textId="77777777" w:rsidR="00375729" w:rsidRPr="00CF3D6E" w:rsidRDefault="00375729" w:rsidP="004919FA">
            <w:pPr>
              <w:pStyle w:val="Tabletext"/>
            </w:pPr>
            <w:r w:rsidRPr="00CF3D6E">
              <w:t>1.9</w:t>
            </w:r>
          </w:p>
        </w:tc>
        <w:tc>
          <w:tcPr>
            <w:tcW w:w="1418"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707BC3F0" w14:textId="77777777" w:rsidR="00375729" w:rsidRPr="00CF3D6E" w:rsidRDefault="00375729" w:rsidP="004919FA">
            <w:pPr>
              <w:pStyle w:val="Tabletext"/>
            </w:pPr>
            <w:r w:rsidRPr="00CF3D6E">
              <w:t>1.3</w:t>
            </w:r>
          </w:p>
        </w:tc>
        <w:tc>
          <w:tcPr>
            <w:tcW w:w="1275" w:type="dxa"/>
            <w:tcBorders>
              <w:top w:val="nil"/>
              <w:left w:val="single" w:sz="4" w:space="0" w:color="BFBFBF" w:themeColor="background1" w:themeShade="BF"/>
              <w:bottom w:val="single" w:sz="4" w:space="0" w:color="auto"/>
              <w:right w:val="single" w:sz="4" w:space="0" w:color="auto"/>
            </w:tcBorders>
            <w:shd w:val="clear" w:color="auto" w:fill="auto"/>
            <w:noWrap/>
            <w:vAlign w:val="bottom"/>
            <w:hideMark/>
          </w:tcPr>
          <w:p w14:paraId="5718B177" w14:textId="77777777" w:rsidR="00375729" w:rsidRPr="00CF3D6E" w:rsidRDefault="00375729" w:rsidP="004919FA">
            <w:pPr>
              <w:pStyle w:val="Tabletext"/>
            </w:pPr>
            <w:r w:rsidRPr="00CF3D6E">
              <w:t>1.9</w:t>
            </w:r>
          </w:p>
        </w:tc>
      </w:tr>
    </w:tbl>
    <w:p w14:paraId="3321A377" w14:textId="77777777" w:rsidR="00375729" w:rsidRDefault="00375729" w:rsidP="007A5BBF">
      <w:pPr>
        <w:pStyle w:val="SourceNotes"/>
      </w:pPr>
      <w:r w:rsidRPr="00961DF0">
        <w:fldChar w:fldCharType="end"/>
      </w:r>
      <w:r>
        <w:t>Source:</w:t>
      </w:r>
      <w:r>
        <w:tab/>
      </w:r>
      <w:r w:rsidRPr="00323930">
        <w:t>Author estimates</w:t>
      </w:r>
    </w:p>
    <w:p w14:paraId="2C88DF2D" w14:textId="77777777" w:rsidR="00375729" w:rsidRPr="001D3324" w:rsidRDefault="00375729" w:rsidP="00375729">
      <w:pPr>
        <w:pStyle w:val="BodyTextNoIndent"/>
      </w:pPr>
      <w:r w:rsidRPr="001D3324">
        <w:t>Labour productivity growth accounts for most of the MFP growth in each cycle</w:t>
      </w:r>
      <w:r w:rsidR="00AD7234">
        <w:t xml:space="preserve"> (see </w:t>
      </w:r>
      <w:r w:rsidR="006F0637" w:rsidRPr="006F0637">
        <w:t>Table D3</w:t>
      </w:r>
      <w:r w:rsidR="00AD7234">
        <w:t>)</w:t>
      </w:r>
      <w:r w:rsidRPr="001D3324">
        <w:t>. This is as expected, given that capital productivity tends to show relatively small movements over short periods.</w:t>
      </w:r>
    </w:p>
    <w:p w14:paraId="19E69E1D" w14:textId="77777777" w:rsidR="00375729" w:rsidRPr="001D3324" w:rsidRDefault="00375729" w:rsidP="00375729">
      <w:pPr>
        <w:pStyle w:val="BodyTextNoIndent"/>
      </w:pPr>
      <w:r w:rsidRPr="001D3324">
        <w:t>The IT capital deepening contribution is shown as part of the labour productivity contribution.</w:t>
      </w:r>
      <w:r w:rsidR="009A2198">
        <w:rPr>
          <w:rStyle w:val="EndnoteReference"/>
        </w:rPr>
        <w:endnoteReference w:id="25"/>
      </w:r>
      <w:r w:rsidRPr="001D3324">
        <w:t xml:space="preserve"> A value of 0.4 to 0.5 of a percentage point up to the end of the 2000s decade is quite strong, in the context of MFP growth rates of the order of 2 per cent a year.</w:t>
      </w:r>
    </w:p>
    <w:p w14:paraId="3F4C6D11" w14:textId="77777777" w:rsidR="00375729" w:rsidRPr="001D3324" w:rsidRDefault="00375729" w:rsidP="00375729">
      <w:pPr>
        <w:pStyle w:val="BodyTextNoIndent"/>
      </w:pPr>
      <w:r w:rsidRPr="001D3324">
        <w:t>The capital productivity contribution is split into IT and non-IT contributions. The IT capital productivity contribution is negative as IT capital has grown faster than output.</w:t>
      </w:r>
    </w:p>
    <w:p w14:paraId="7200F74B" w14:textId="77777777" w:rsidR="00375729" w:rsidRPr="001D3324" w:rsidRDefault="00375729" w:rsidP="00375729">
      <w:pPr>
        <w:pStyle w:val="BodyTextNoIndent"/>
      </w:pPr>
      <w:r w:rsidRPr="001D3324">
        <w:t>Non-IT productivity grew positively in all cycles, except the third cycle for the late 2000s, raising the possibility of an association with IT use.</w:t>
      </w:r>
    </w:p>
    <w:p w14:paraId="2A1BFB72" w14:textId="77777777" w:rsidR="009A2198" w:rsidRDefault="00375729" w:rsidP="00F37FA2">
      <w:pPr>
        <w:pStyle w:val="BodyTextNoIndent"/>
      </w:pPr>
      <w:r w:rsidRPr="001D3324">
        <w:t>The trends in asset productivities examined in the previous section are summa</w:t>
      </w:r>
      <w:r w:rsidR="00AF73EF">
        <w:t>rised for MFP cycles in Table D</w:t>
      </w:r>
      <w:r w:rsidRPr="001D3324">
        <w:t>4. The growth in asset productivity over a cycle is shown first, with another row showing asset productivity growth weighted by the asset’s share in capital income. This provides an indication of the relative importance of the different asset productivities. However, these values should not be regarded as contributions that can be added.</w:t>
      </w:r>
      <w:r w:rsidR="009A2198">
        <w:br w:type="page"/>
      </w:r>
    </w:p>
    <w:p w14:paraId="0E8A205B" w14:textId="77777777" w:rsidR="00375729" w:rsidRDefault="00375729" w:rsidP="00375729">
      <w:pPr>
        <w:pStyle w:val="BodyTextNoIndent"/>
      </w:pPr>
      <w:r>
        <w:fldChar w:fldCharType="begin"/>
      </w:r>
      <w:r>
        <w:instrText xml:space="preserve"> LINK Excel.Sheet.12 "\\\\dept.gov.au\\DFS\\Home\\DParham\\Desktop\\Docs\\1. GA project\\Retail trade\\Retail workbook 150709.xlsx" MFP!R147C28:R157C33 \a \f 4 \h  \* MERGEFORMAT </w:instrText>
      </w:r>
      <w:r>
        <w:fldChar w:fldCharType="separate"/>
      </w:r>
    </w:p>
    <w:p w14:paraId="6407F1AA" w14:textId="77777777" w:rsidR="00375729" w:rsidRDefault="00375729" w:rsidP="007A5BBF">
      <w:pPr>
        <w:pStyle w:val="Tablecaption"/>
      </w:pPr>
      <w:r>
        <w:t xml:space="preserve">Table </w:t>
      </w:r>
      <w:r w:rsidR="006F0637">
        <w:t>D4</w:t>
      </w:r>
      <w:r>
        <w:t>:</w:t>
      </w:r>
      <w:r w:rsidRPr="00E071C8">
        <w:t xml:space="preserve"> </w:t>
      </w:r>
      <w:r>
        <w:t>Capital productivity for selected assets over MFP cycles, unweighted and weighted</w:t>
      </w:r>
      <w:r>
        <w:rPr>
          <w:vertAlign w:val="superscript"/>
        </w:rPr>
        <w:t>a</w:t>
      </w:r>
      <w:r>
        <w:t xml:space="preserve"> (per cent per year) in Retail trade</w:t>
      </w:r>
    </w:p>
    <w:tbl>
      <w:tblPr>
        <w:tblW w:w="8157" w:type="dxa"/>
        <w:tblInd w:w="-5" w:type="dxa"/>
        <w:tblLook w:val="04A0" w:firstRow="1" w:lastRow="0" w:firstColumn="1" w:lastColumn="0" w:noHBand="0" w:noVBand="1"/>
      </w:tblPr>
      <w:tblGrid>
        <w:gridCol w:w="3256"/>
        <w:gridCol w:w="1225"/>
        <w:gridCol w:w="1225"/>
        <w:gridCol w:w="1225"/>
        <w:gridCol w:w="1226"/>
      </w:tblGrid>
      <w:tr w:rsidR="00375729" w:rsidRPr="00D001C5" w14:paraId="69D1A195" w14:textId="77777777" w:rsidTr="00301886">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EDFDA" w14:textId="77777777" w:rsidR="00375729" w:rsidRPr="001D3324" w:rsidRDefault="00375729" w:rsidP="007A5BBF">
            <w:pPr>
              <w:pStyle w:val="Tablecellheading"/>
            </w:pPr>
            <w:r w:rsidRPr="001D3324">
              <w:t> </w:t>
            </w:r>
          </w:p>
        </w:tc>
        <w:tc>
          <w:tcPr>
            <w:tcW w:w="122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5E6E608C" w14:textId="77777777" w:rsidR="00375729" w:rsidRPr="001D3324" w:rsidRDefault="00375729" w:rsidP="007A5BBF">
            <w:pPr>
              <w:pStyle w:val="Tablecellheading"/>
            </w:pPr>
            <w:r w:rsidRPr="001D3324">
              <w:t>1989–90 to 1996–97</w:t>
            </w:r>
          </w:p>
        </w:tc>
        <w:tc>
          <w:tcPr>
            <w:tcW w:w="12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4B7AB719" w14:textId="77777777" w:rsidR="00375729" w:rsidRPr="001D3324" w:rsidRDefault="00375729" w:rsidP="007A5BBF">
            <w:pPr>
              <w:pStyle w:val="Tablecellheading"/>
            </w:pPr>
            <w:r w:rsidRPr="001D3324">
              <w:t>1996–97 to 2003–04</w:t>
            </w:r>
          </w:p>
        </w:tc>
        <w:tc>
          <w:tcPr>
            <w:tcW w:w="122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3DCF0490" w14:textId="77777777" w:rsidR="00375729" w:rsidRPr="001D3324" w:rsidRDefault="00375729" w:rsidP="007A5BBF">
            <w:pPr>
              <w:pStyle w:val="Tablecellheading"/>
            </w:pPr>
            <w:r w:rsidRPr="001D3324">
              <w:t>2003–04 to 2009–10</w:t>
            </w:r>
          </w:p>
        </w:tc>
        <w:tc>
          <w:tcPr>
            <w:tcW w:w="122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49EED0EB" w14:textId="77777777" w:rsidR="00375729" w:rsidRPr="001D3324" w:rsidRDefault="00375729" w:rsidP="007A5BBF">
            <w:pPr>
              <w:pStyle w:val="Tablecellheading"/>
            </w:pPr>
            <w:r w:rsidRPr="001D3324">
              <w:t>2009–10 to 2012–13</w:t>
            </w:r>
          </w:p>
        </w:tc>
      </w:tr>
      <w:tr w:rsidR="00375729" w:rsidRPr="00D001C5" w14:paraId="04BD674C" w14:textId="77777777" w:rsidTr="00301886">
        <w:trPr>
          <w:trHeight w:val="363"/>
        </w:trPr>
        <w:tc>
          <w:tcPr>
            <w:tcW w:w="3256" w:type="dxa"/>
            <w:tcBorders>
              <w:top w:val="single" w:sz="4" w:space="0" w:color="auto"/>
              <w:left w:val="single" w:sz="4" w:space="0" w:color="auto"/>
              <w:right w:val="single" w:sz="4" w:space="0" w:color="auto"/>
            </w:tcBorders>
            <w:shd w:val="clear" w:color="auto" w:fill="auto"/>
            <w:noWrap/>
            <w:vAlign w:val="bottom"/>
            <w:hideMark/>
          </w:tcPr>
          <w:p w14:paraId="2A30C5A5" w14:textId="77777777" w:rsidR="00375729" w:rsidRPr="00CF3D6E" w:rsidRDefault="00375729" w:rsidP="007A5BBF">
            <w:pPr>
              <w:pStyle w:val="Tabletext"/>
            </w:pPr>
            <w:r w:rsidRPr="00CF3D6E">
              <w:t>Inventories productivity</w:t>
            </w:r>
          </w:p>
        </w:tc>
        <w:tc>
          <w:tcPr>
            <w:tcW w:w="1225" w:type="dxa"/>
            <w:tcBorders>
              <w:top w:val="single" w:sz="4" w:space="0" w:color="auto"/>
              <w:left w:val="single" w:sz="4" w:space="0" w:color="auto"/>
              <w:right w:val="single" w:sz="4" w:space="0" w:color="BFBFBF" w:themeColor="background1" w:themeShade="BF"/>
            </w:tcBorders>
            <w:shd w:val="clear" w:color="auto" w:fill="auto"/>
            <w:noWrap/>
            <w:vAlign w:val="bottom"/>
            <w:hideMark/>
          </w:tcPr>
          <w:p w14:paraId="2C1B0FBA" w14:textId="77777777" w:rsidR="00375729" w:rsidRPr="00CF3D6E" w:rsidRDefault="00375729" w:rsidP="007A5BBF">
            <w:pPr>
              <w:pStyle w:val="Tabletext"/>
            </w:pPr>
            <w:r w:rsidRPr="00CF3D6E">
              <w:t>1.17</w:t>
            </w:r>
          </w:p>
        </w:tc>
        <w:tc>
          <w:tcPr>
            <w:tcW w:w="1225"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bottom"/>
            <w:hideMark/>
          </w:tcPr>
          <w:p w14:paraId="253722AC" w14:textId="77777777" w:rsidR="00375729" w:rsidRPr="00CF3D6E" w:rsidRDefault="00375729" w:rsidP="007A5BBF">
            <w:pPr>
              <w:pStyle w:val="Tabletext"/>
            </w:pPr>
            <w:r w:rsidRPr="00CF3D6E">
              <w:t>0.90</w:t>
            </w:r>
          </w:p>
        </w:tc>
        <w:tc>
          <w:tcPr>
            <w:tcW w:w="1225"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bottom"/>
            <w:hideMark/>
          </w:tcPr>
          <w:p w14:paraId="4F39DAA1" w14:textId="77777777" w:rsidR="00375729" w:rsidRPr="00CF3D6E" w:rsidRDefault="00375729" w:rsidP="007A5BBF">
            <w:pPr>
              <w:pStyle w:val="Tabletext"/>
            </w:pPr>
            <w:r w:rsidRPr="00CF3D6E">
              <w:t>1.00</w:t>
            </w:r>
          </w:p>
        </w:tc>
        <w:tc>
          <w:tcPr>
            <w:tcW w:w="1226" w:type="dxa"/>
            <w:tcBorders>
              <w:top w:val="single" w:sz="4" w:space="0" w:color="auto"/>
              <w:left w:val="single" w:sz="4" w:space="0" w:color="BFBFBF" w:themeColor="background1" w:themeShade="BF"/>
              <w:right w:val="single" w:sz="4" w:space="0" w:color="auto"/>
            </w:tcBorders>
            <w:shd w:val="clear" w:color="auto" w:fill="auto"/>
            <w:noWrap/>
            <w:vAlign w:val="bottom"/>
            <w:hideMark/>
          </w:tcPr>
          <w:p w14:paraId="79852A87" w14:textId="77777777" w:rsidR="00375729" w:rsidRPr="00CF3D6E" w:rsidRDefault="00375729" w:rsidP="007A5BBF">
            <w:pPr>
              <w:pStyle w:val="Tabletext"/>
            </w:pPr>
            <w:r w:rsidRPr="00CF3D6E">
              <w:t>2.76</w:t>
            </w:r>
          </w:p>
        </w:tc>
      </w:tr>
      <w:tr w:rsidR="00375729" w:rsidRPr="00D001C5" w14:paraId="1677AC5D" w14:textId="77777777" w:rsidTr="00301886">
        <w:trPr>
          <w:trHeight w:val="363"/>
        </w:trPr>
        <w:tc>
          <w:tcPr>
            <w:tcW w:w="325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71307199" w14:textId="77777777" w:rsidR="00375729" w:rsidRPr="001D3324" w:rsidRDefault="0058764D" w:rsidP="007A5BBF">
            <w:pPr>
              <w:pStyle w:val="Tablebullet-Level1"/>
            </w:pPr>
            <w:r>
              <w:t>W</w:t>
            </w:r>
            <w:r w:rsidR="00375729" w:rsidRPr="001D3324">
              <w:t>eighted</w:t>
            </w:r>
          </w:p>
        </w:tc>
        <w:tc>
          <w:tcPr>
            <w:tcW w:w="1225"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6A82F41D" w14:textId="77777777" w:rsidR="00375729" w:rsidRPr="001D3324" w:rsidRDefault="00375729" w:rsidP="007A5BBF">
            <w:pPr>
              <w:pStyle w:val="Tabletext"/>
            </w:pPr>
            <w:r w:rsidRPr="001D3324">
              <w:t>0.11</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DBEE5A" w14:textId="77777777" w:rsidR="00375729" w:rsidRPr="001D3324" w:rsidRDefault="00375729" w:rsidP="007A5BBF">
            <w:pPr>
              <w:pStyle w:val="Tabletext"/>
            </w:pPr>
            <w:r w:rsidRPr="001D3324">
              <w:t>0.15</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C53C929" w14:textId="77777777" w:rsidR="00375729" w:rsidRPr="001D3324" w:rsidRDefault="00375729" w:rsidP="007A5BBF">
            <w:pPr>
              <w:pStyle w:val="Tabletext"/>
            </w:pPr>
            <w:r w:rsidRPr="001D3324">
              <w:t>0.19</w:t>
            </w:r>
          </w:p>
        </w:tc>
        <w:tc>
          <w:tcPr>
            <w:tcW w:w="1226"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15591B44" w14:textId="77777777" w:rsidR="00375729" w:rsidRPr="001D3324" w:rsidRDefault="00375729" w:rsidP="007A5BBF">
            <w:pPr>
              <w:pStyle w:val="Tabletext"/>
            </w:pPr>
            <w:r w:rsidRPr="001D3324">
              <w:t>0.43</w:t>
            </w:r>
          </w:p>
        </w:tc>
      </w:tr>
      <w:tr w:rsidR="00375729" w:rsidRPr="00D001C5" w14:paraId="1D9E99AF" w14:textId="77777777" w:rsidTr="00301886">
        <w:trPr>
          <w:trHeight w:val="363"/>
        </w:trPr>
        <w:tc>
          <w:tcPr>
            <w:tcW w:w="3256" w:type="dxa"/>
            <w:tcBorders>
              <w:top w:val="single" w:sz="4" w:space="0" w:color="BFBFBF" w:themeColor="background1" w:themeShade="BF"/>
              <w:left w:val="single" w:sz="4" w:space="0" w:color="auto"/>
              <w:right w:val="single" w:sz="4" w:space="0" w:color="auto"/>
            </w:tcBorders>
            <w:shd w:val="clear" w:color="auto" w:fill="auto"/>
            <w:noWrap/>
            <w:vAlign w:val="bottom"/>
            <w:hideMark/>
          </w:tcPr>
          <w:p w14:paraId="081C2928" w14:textId="77777777" w:rsidR="00375729" w:rsidRPr="00CF3D6E" w:rsidRDefault="00375729" w:rsidP="007A5BBF">
            <w:pPr>
              <w:pStyle w:val="Tabletext"/>
            </w:pPr>
            <w:r w:rsidRPr="00CF3D6E">
              <w:t>Land productivity</w:t>
            </w:r>
          </w:p>
        </w:tc>
        <w:tc>
          <w:tcPr>
            <w:tcW w:w="1225" w:type="dxa"/>
            <w:tcBorders>
              <w:top w:val="single" w:sz="4" w:space="0" w:color="BFBFBF" w:themeColor="background1" w:themeShade="BF"/>
              <w:left w:val="single" w:sz="4" w:space="0" w:color="auto"/>
              <w:right w:val="single" w:sz="4" w:space="0" w:color="BFBFBF" w:themeColor="background1" w:themeShade="BF"/>
            </w:tcBorders>
            <w:shd w:val="clear" w:color="auto" w:fill="auto"/>
            <w:noWrap/>
            <w:vAlign w:val="bottom"/>
            <w:hideMark/>
          </w:tcPr>
          <w:p w14:paraId="3B638DF1" w14:textId="77777777" w:rsidR="00375729" w:rsidRPr="00CF3D6E" w:rsidRDefault="00375729" w:rsidP="007A5BBF">
            <w:pPr>
              <w:pStyle w:val="Tabletext"/>
            </w:pPr>
            <w:r w:rsidRPr="00CF3D6E">
              <w:t>2.58</w:t>
            </w:r>
          </w:p>
        </w:tc>
        <w:tc>
          <w:tcPr>
            <w:tcW w:w="1225"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hideMark/>
          </w:tcPr>
          <w:p w14:paraId="7549290B" w14:textId="77777777" w:rsidR="00375729" w:rsidRPr="00CF3D6E" w:rsidRDefault="00375729" w:rsidP="007A5BBF">
            <w:pPr>
              <w:pStyle w:val="Tabletext"/>
            </w:pPr>
            <w:r w:rsidRPr="00CF3D6E">
              <w:t>3.01</w:t>
            </w:r>
          </w:p>
        </w:tc>
        <w:tc>
          <w:tcPr>
            <w:tcW w:w="1225"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hideMark/>
          </w:tcPr>
          <w:p w14:paraId="12B88AAD" w14:textId="77777777" w:rsidR="00375729" w:rsidRPr="00CF3D6E" w:rsidRDefault="00375729" w:rsidP="007A5BBF">
            <w:pPr>
              <w:pStyle w:val="Tabletext"/>
            </w:pPr>
            <w:r w:rsidRPr="00CF3D6E">
              <w:t>2.14</w:t>
            </w:r>
          </w:p>
        </w:tc>
        <w:tc>
          <w:tcPr>
            <w:tcW w:w="1226" w:type="dxa"/>
            <w:tcBorders>
              <w:top w:val="single" w:sz="4" w:space="0" w:color="BFBFBF" w:themeColor="background1" w:themeShade="BF"/>
              <w:left w:val="single" w:sz="4" w:space="0" w:color="BFBFBF" w:themeColor="background1" w:themeShade="BF"/>
              <w:right w:val="single" w:sz="4" w:space="0" w:color="auto"/>
            </w:tcBorders>
            <w:shd w:val="clear" w:color="auto" w:fill="auto"/>
            <w:noWrap/>
            <w:vAlign w:val="bottom"/>
            <w:hideMark/>
          </w:tcPr>
          <w:p w14:paraId="4CACD61B" w14:textId="77777777" w:rsidR="00375729" w:rsidRPr="00CF3D6E" w:rsidRDefault="00375729" w:rsidP="007A5BBF">
            <w:pPr>
              <w:pStyle w:val="Tabletext"/>
            </w:pPr>
            <w:r w:rsidRPr="00CF3D6E">
              <w:t>1.91</w:t>
            </w:r>
          </w:p>
        </w:tc>
      </w:tr>
      <w:tr w:rsidR="00375729" w:rsidRPr="00D001C5" w14:paraId="50BE0EEA" w14:textId="77777777" w:rsidTr="00301886">
        <w:trPr>
          <w:trHeight w:val="363"/>
        </w:trPr>
        <w:tc>
          <w:tcPr>
            <w:tcW w:w="325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87A9A2D" w14:textId="77777777" w:rsidR="00375729" w:rsidRPr="001D3324" w:rsidRDefault="0058764D" w:rsidP="007A5BBF">
            <w:pPr>
              <w:pStyle w:val="Tablebullet-Level1"/>
            </w:pPr>
            <w:r>
              <w:t>W</w:t>
            </w:r>
            <w:r w:rsidR="00375729" w:rsidRPr="001D3324">
              <w:t>eighted</w:t>
            </w:r>
          </w:p>
        </w:tc>
        <w:tc>
          <w:tcPr>
            <w:tcW w:w="1225"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427994C0" w14:textId="77777777" w:rsidR="00375729" w:rsidRPr="001D3324" w:rsidRDefault="00375729" w:rsidP="007A5BBF">
            <w:pPr>
              <w:pStyle w:val="Tabletext"/>
            </w:pPr>
            <w:r w:rsidRPr="001D3324">
              <w:t>0.10</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D4C72E0" w14:textId="77777777" w:rsidR="00375729" w:rsidRPr="001D3324" w:rsidRDefault="00375729" w:rsidP="007A5BBF">
            <w:pPr>
              <w:pStyle w:val="Tabletext"/>
            </w:pPr>
            <w:r w:rsidRPr="001D3324">
              <w:t>0.09</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8DFCF26" w14:textId="77777777" w:rsidR="00375729" w:rsidRPr="001D3324" w:rsidRDefault="00375729" w:rsidP="007A5BBF">
            <w:pPr>
              <w:pStyle w:val="Tabletext"/>
            </w:pPr>
            <w:r w:rsidRPr="001D3324">
              <w:t>0.03</w:t>
            </w:r>
          </w:p>
        </w:tc>
        <w:tc>
          <w:tcPr>
            <w:tcW w:w="1226"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0D1A9B22" w14:textId="77777777" w:rsidR="00375729" w:rsidRPr="001D3324" w:rsidRDefault="00375729" w:rsidP="007A5BBF">
            <w:pPr>
              <w:pStyle w:val="Tabletext"/>
            </w:pPr>
            <w:r w:rsidRPr="001D3324">
              <w:t>0.06</w:t>
            </w:r>
          </w:p>
        </w:tc>
      </w:tr>
      <w:tr w:rsidR="00375729" w:rsidRPr="00D001C5" w14:paraId="72708E63" w14:textId="77777777" w:rsidTr="00301886">
        <w:trPr>
          <w:trHeight w:val="363"/>
        </w:trPr>
        <w:tc>
          <w:tcPr>
            <w:tcW w:w="3256" w:type="dxa"/>
            <w:tcBorders>
              <w:top w:val="single" w:sz="4" w:space="0" w:color="BFBFBF" w:themeColor="background1" w:themeShade="BF"/>
              <w:left w:val="single" w:sz="4" w:space="0" w:color="auto"/>
              <w:right w:val="single" w:sz="4" w:space="0" w:color="auto"/>
            </w:tcBorders>
            <w:shd w:val="clear" w:color="auto" w:fill="auto"/>
            <w:noWrap/>
            <w:vAlign w:val="bottom"/>
            <w:hideMark/>
          </w:tcPr>
          <w:p w14:paraId="264EFD41" w14:textId="77777777" w:rsidR="00375729" w:rsidRPr="00CF3D6E" w:rsidRDefault="00375729" w:rsidP="007A5BBF">
            <w:pPr>
              <w:pStyle w:val="Tabletext"/>
            </w:pPr>
            <w:r w:rsidRPr="00CF3D6E">
              <w:t>Other plant &amp; equip prody</w:t>
            </w:r>
          </w:p>
        </w:tc>
        <w:tc>
          <w:tcPr>
            <w:tcW w:w="1225" w:type="dxa"/>
            <w:tcBorders>
              <w:top w:val="single" w:sz="4" w:space="0" w:color="BFBFBF" w:themeColor="background1" w:themeShade="BF"/>
              <w:left w:val="single" w:sz="4" w:space="0" w:color="auto"/>
              <w:right w:val="single" w:sz="4" w:space="0" w:color="BFBFBF" w:themeColor="background1" w:themeShade="BF"/>
            </w:tcBorders>
            <w:shd w:val="clear" w:color="auto" w:fill="auto"/>
            <w:noWrap/>
            <w:vAlign w:val="bottom"/>
            <w:hideMark/>
          </w:tcPr>
          <w:p w14:paraId="3F565CB6" w14:textId="77777777" w:rsidR="00375729" w:rsidRPr="00CF3D6E" w:rsidRDefault="00375729" w:rsidP="007A5BBF">
            <w:pPr>
              <w:pStyle w:val="Tabletext"/>
            </w:pPr>
            <w:r w:rsidRPr="00CF3D6E">
              <w:t>1.61</w:t>
            </w:r>
          </w:p>
        </w:tc>
        <w:tc>
          <w:tcPr>
            <w:tcW w:w="1225"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hideMark/>
          </w:tcPr>
          <w:p w14:paraId="6F2F9180" w14:textId="77777777" w:rsidR="00375729" w:rsidRPr="00CF3D6E" w:rsidRDefault="00375729" w:rsidP="007A5BBF">
            <w:pPr>
              <w:pStyle w:val="Tabletext"/>
            </w:pPr>
            <w:r w:rsidRPr="00CF3D6E">
              <w:t>0.84</w:t>
            </w:r>
          </w:p>
        </w:tc>
        <w:tc>
          <w:tcPr>
            <w:tcW w:w="1225"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hideMark/>
          </w:tcPr>
          <w:p w14:paraId="0EEDBE1C" w14:textId="77777777" w:rsidR="00375729" w:rsidRPr="00CF3D6E" w:rsidRDefault="00375729" w:rsidP="007A5BBF">
            <w:pPr>
              <w:pStyle w:val="Tabletext"/>
            </w:pPr>
            <w:r w:rsidRPr="00CF3D6E">
              <w:t>-1.04</w:t>
            </w:r>
          </w:p>
        </w:tc>
        <w:tc>
          <w:tcPr>
            <w:tcW w:w="1226" w:type="dxa"/>
            <w:tcBorders>
              <w:top w:val="single" w:sz="4" w:space="0" w:color="BFBFBF" w:themeColor="background1" w:themeShade="BF"/>
              <w:left w:val="single" w:sz="4" w:space="0" w:color="BFBFBF" w:themeColor="background1" w:themeShade="BF"/>
              <w:right w:val="single" w:sz="4" w:space="0" w:color="auto"/>
            </w:tcBorders>
            <w:shd w:val="clear" w:color="auto" w:fill="auto"/>
            <w:noWrap/>
            <w:vAlign w:val="bottom"/>
            <w:hideMark/>
          </w:tcPr>
          <w:p w14:paraId="51A2ED25" w14:textId="77777777" w:rsidR="00375729" w:rsidRPr="00CF3D6E" w:rsidRDefault="00375729" w:rsidP="007A5BBF">
            <w:pPr>
              <w:pStyle w:val="Tabletext"/>
            </w:pPr>
            <w:r w:rsidRPr="00CF3D6E">
              <w:t>1.97</w:t>
            </w:r>
          </w:p>
        </w:tc>
      </w:tr>
      <w:tr w:rsidR="00375729" w:rsidRPr="00D001C5" w14:paraId="1FE01602" w14:textId="77777777" w:rsidTr="00301886">
        <w:trPr>
          <w:trHeight w:val="363"/>
        </w:trPr>
        <w:tc>
          <w:tcPr>
            <w:tcW w:w="325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63136605" w14:textId="77777777" w:rsidR="00375729" w:rsidRPr="001D3324" w:rsidRDefault="0058764D" w:rsidP="007A5BBF">
            <w:pPr>
              <w:pStyle w:val="Tablebullet-Level1"/>
            </w:pPr>
            <w:r>
              <w:t>W</w:t>
            </w:r>
            <w:r w:rsidR="00375729" w:rsidRPr="001D3324">
              <w:t>eighted</w:t>
            </w:r>
          </w:p>
        </w:tc>
        <w:tc>
          <w:tcPr>
            <w:tcW w:w="1225"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7A3DC9F8" w14:textId="77777777" w:rsidR="00375729" w:rsidRPr="001D3324" w:rsidRDefault="00375729" w:rsidP="007A5BBF">
            <w:pPr>
              <w:pStyle w:val="Tabletext"/>
            </w:pPr>
            <w:r w:rsidRPr="001D3324">
              <w:t>0.14</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7A2E79" w14:textId="77777777" w:rsidR="00375729" w:rsidRPr="001D3324" w:rsidRDefault="00375729" w:rsidP="007A5BBF">
            <w:pPr>
              <w:pStyle w:val="Tabletext"/>
            </w:pPr>
            <w:r w:rsidRPr="001D3324">
              <w:t>0.08</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55A9B3" w14:textId="77777777" w:rsidR="00375729" w:rsidRPr="001D3324" w:rsidRDefault="00375729" w:rsidP="007A5BBF">
            <w:pPr>
              <w:pStyle w:val="Tabletext"/>
            </w:pPr>
            <w:r w:rsidRPr="001D3324">
              <w:t>-0.11</w:t>
            </w:r>
          </w:p>
        </w:tc>
        <w:tc>
          <w:tcPr>
            <w:tcW w:w="1226"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5A5C3EBF" w14:textId="77777777" w:rsidR="00375729" w:rsidRPr="001D3324" w:rsidRDefault="00375729" w:rsidP="007A5BBF">
            <w:pPr>
              <w:pStyle w:val="Tabletext"/>
            </w:pPr>
            <w:r w:rsidRPr="001D3324">
              <w:t>0.22</w:t>
            </w:r>
          </w:p>
        </w:tc>
      </w:tr>
      <w:tr w:rsidR="00375729" w:rsidRPr="00D001C5" w14:paraId="45249411" w14:textId="77777777" w:rsidTr="00301886">
        <w:trPr>
          <w:trHeight w:val="363"/>
        </w:trPr>
        <w:tc>
          <w:tcPr>
            <w:tcW w:w="3256" w:type="dxa"/>
            <w:tcBorders>
              <w:top w:val="single" w:sz="4" w:space="0" w:color="BFBFBF" w:themeColor="background1" w:themeShade="BF"/>
              <w:left w:val="single" w:sz="4" w:space="0" w:color="auto"/>
              <w:right w:val="single" w:sz="4" w:space="0" w:color="auto"/>
            </w:tcBorders>
            <w:shd w:val="clear" w:color="auto" w:fill="auto"/>
            <w:noWrap/>
            <w:vAlign w:val="bottom"/>
            <w:hideMark/>
          </w:tcPr>
          <w:p w14:paraId="72B8FE6D" w14:textId="77777777" w:rsidR="00375729" w:rsidRPr="00CF3D6E" w:rsidRDefault="00375729" w:rsidP="007A5BBF">
            <w:pPr>
              <w:pStyle w:val="Tabletext"/>
            </w:pPr>
            <w:r w:rsidRPr="00CF3D6E">
              <w:t>Road vehicles productivity</w:t>
            </w:r>
          </w:p>
        </w:tc>
        <w:tc>
          <w:tcPr>
            <w:tcW w:w="1225" w:type="dxa"/>
            <w:tcBorders>
              <w:top w:val="single" w:sz="4" w:space="0" w:color="BFBFBF" w:themeColor="background1" w:themeShade="BF"/>
              <w:left w:val="single" w:sz="4" w:space="0" w:color="auto"/>
              <w:right w:val="single" w:sz="4" w:space="0" w:color="BFBFBF" w:themeColor="background1" w:themeShade="BF"/>
            </w:tcBorders>
            <w:shd w:val="clear" w:color="auto" w:fill="auto"/>
            <w:noWrap/>
            <w:vAlign w:val="bottom"/>
            <w:hideMark/>
          </w:tcPr>
          <w:p w14:paraId="3E05822D" w14:textId="77777777" w:rsidR="00375729" w:rsidRPr="00CF3D6E" w:rsidRDefault="00375729" w:rsidP="007A5BBF">
            <w:pPr>
              <w:pStyle w:val="Tabletext"/>
            </w:pPr>
            <w:r w:rsidRPr="00CF3D6E">
              <w:t>3.55</w:t>
            </w:r>
          </w:p>
        </w:tc>
        <w:tc>
          <w:tcPr>
            <w:tcW w:w="1225"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hideMark/>
          </w:tcPr>
          <w:p w14:paraId="745FC572" w14:textId="77777777" w:rsidR="00375729" w:rsidRPr="00CF3D6E" w:rsidRDefault="00375729" w:rsidP="007A5BBF">
            <w:pPr>
              <w:pStyle w:val="Tabletext"/>
            </w:pPr>
            <w:r w:rsidRPr="00CF3D6E">
              <w:t>3.10</w:t>
            </w:r>
          </w:p>
        </w:tc>
        <w:tc>
          <w:tcPr>
            <w:tcW w:w="1225"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bottom"/>
            <w:hideMark/>
          </w:tcPr>
          <w:p w14:paraId="1926A319" w14:textId="77777777" w:rsidR="00375729" w:rsidRPr="00CF3D6E" w:rsidRDefault="00375729" w:rsidP="007A5BBF">
            <w:pPr>
              <w:pStyle w:val="Tabletext"/>
            </w:pPr>
            <w:r w:rsidRPr="00CF3D6E">
              <w:t>-1.58</w:t>
            </w:r>
          </w:p>
        </w:tc>
        <w:tc>
          <w:tcPr>
            <w:tcW w:w="1226" w:type="dxa"/>
            <w:tcBorders>
              <w:top w:val="single" w:sz="4" w:space="0" w:color="BFBFBF" w:themeColor="background1" w:themeShade="BF"/>
              <w:left w:val="single" w:sz="4" w:space="0" w:color="BFBFBF" w:themeColor="background1" w:themeShade="BF"/>
              <w:right w:val="single" w:sz="4" w:space="0" w:color="auto"/>
            </w:tcBorders>
            <w:shd w:val="clear" w:color="auto" w:fill="auto"/>
            <w:noWrap/>
            <w:vAlign w:val="bottom"/>
            <w:hideMark/>
          </w:tcPr>
          <w:p w14:paraId="7A4BB325" w14:textId="77777777" w:rsidR="00375729" w:rsidRPr="00CF3D6E" w:rsidRDefault="00375729" w:rsidP="007A5BBF">
            <w:pPr>
              <w:pStyle w:val="Tabletext"/>
            </w:pPr>
            <w:r w:rsidRPr="00CF3D6E">
              <w:t>-1.22</w:t>
            </w:r>
          </w:p>
        </w:tc>
      </w:tr>
      <w:tr w:rsidR="00375729" w:rsidRPr="00D001C5" w14:paraId="70E47CF1" w14:textId="77777777" w:rsidTr="00301886">
        <w:trPr>
          <w:trHeight w:val="363"/>
        </w:trPr>
        <w:tc>
          <w:tcPr>
            <w:tcW w:w="3256" w:type="dxa"/>
            <w:tcBorders>
              <w:top w:val="nil"/>
              <w:left w:val="single" w:sz="4" w:space="0" w:color="auto"/>
              <w:bottom w:val="single" w:sz="4" w:space="0" w:color="BFBFBF" w:themeColor="background1" w:themeShade="BF"/>
              <w:right w:val="single" w:sz="4" w:space="0" w:color="auto"/>
            </w:tcBorders>
            <w:shd w:val="clear" w:color="auto" w:fill="auto"/>
            <w:noWrap/>
            <w:vAlign w:val="bottom"/>
            <w:hideMark/>
          </w:tcPr>
          <w:p w14:paraId="2751334F" w14:textId="77777777" w:rsidR="00375729" w:rsidRPr="001D3324" w:rsidRDefault="0058764D" w:rsidP="007A5BBF">
            <w:pPr>
              <w:pStyle w:val="Tablebullet-Level1"/>
            </w:pPr>
            <w:r>
              <w:t>W</w:t>
            </w:r>
            <w:r w:rsidR="00375729" w:rsidRPr="001D3324">
              <w:t>eighted</w:t>
            </w:r>
          </w:p>
        </w:tc>
        <w:tc>
          <w:tcPr>
            <w:tcW w:w="1225" w:type="dxa"/>
            <w:tcBorders>
              <w:top w:val="nil"/>
              <w:left w:val="single" w:sz="4" w:space="0" w:color="auto"/>
              <w:bottom w:val="single" w:sz="4" w:space="0" w:color="BFBFBF" w:themeColor="background1" w:themeShade="BF"/>
              <w:right w:val="single" w:sz="4" w:space="0" w:color="BFBFBF" w:themeColor="background1" w:themeShade="BF"/>
            </w:tcBorders>
            <w:shd w:val="clear" w:color="auto" w:fill="auto"/>
            <w:noWrap/>
            <w:vAlign w:val="bottom"/>
            <w:hideMark/>
          </w:tcPr>
          <w:p w14:paraId="712A1D16" w14:textId="77777777" w:rsidR="00375729" w:rsidRPr="001D3324" w:rsidRDefault="00375729" w:rsidP="007A5BBF">
            <w:pPr>
              <w:pStyle w:val="Tabletext"/>
            </w:pPr>
            <w:r w:rsidRPr="001D3324">
              <w:t>0.39</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7AAC874" w14:textId="77777777" w:rsidR="00375729" w:rsidRPr="001D3324" w:rsidRDefault="00375729" w:rsidP="007A5BBF">
            <w:pPr>
              <w:pStyle w:val="Tabletext"/>
            </w:pPr>
            <w:r w:rsidRPr="001D3324">
              <w:t>0.44</w:t>
            </w:r>
          </w:p>
        </w:tc>
        <w:tc>
          <w:tcPr>
            <w:tcW w:w="122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D906E5" w14:textId="77777777" w:rsidR="00375729" w:rsidRPr="001D3324" w:rsidRDefault="00375729" w:rsidP="007A5BBF">
            <w:pPr>
              <w:pStyle w:val="Tabletext"/>
            </w:pPr>
            <w:r w:rsidRPr="001D3324">
              <w:t>-0.23</w:t>
            </w:r>
          </w:p>
        </w:tc>
        <w:tc>
          <w:tcPr>
            <w:tcW w:w="1226" w:type="dxa"/>
            <w:tcBorders>
              <w:top w:val="nil"/>
              <w:left w:val="single" w:sz="4" w:space="0" w:color="BFBFBF" w:themeColor="background1" w:themeShade="BF"/>
              <w:bottom w:val="single" w:sz="4" w:space="0" w:color="BFBFBF" w:themeColor="background1" w:themeShade="BF"/>
              <w:right w:val="single" w:sz="4" w:space="0" w:color="auto"/>
            </w:tcBorders>
            <w:shd w:val="clear" w:color="auto" w:fill="auto"/>
            <w:noWrap/>
            <w:vAlign w:val="bottom"/>
            <w:hideMark/>
          </w:tcPr>
          <w:p w14:paraId="39EA69AA" w14:textId="77777777" w:rsidR="00375729" w:rsidRPr="001D3324" w:rsidRDefault="00375729" w:rsidP="007A5BBF">
            <w:pPr>
              <w:pStyle w:val="Tabletext"/>
            </w:pPr>
            <w:r w:rsidRPr="001D3324">
              <w:t>-0.15</w:t>
            </w:r>
          </w:p>
        </w:tc>
      </w:tr>
      <w:tr w:rsidR="00375729" w:rsidRPr="00D001C5" w14:paraId="4A4FA825" w14:textId="77777777" w:rsidTr="00301886">
        <w:trPr>
          <w:trHeight w:val="363"/>
        </w:trPr>
        <w:tc>
          <w:tcPr>
            <w:tcW w:w="3256" w:type="dxa"/>
            <w:tcBorders>
              <w:top w:val="single" w:sz="4" w:space="0" w:color="BFBFBF" w:themeColor="background1" w:themeShade="BF"/>
              <w:left w:val="single" w:sz="4" w:space="0" w:color="auto"/>
              <w:bottom w:val="nil"/>
              <w:right w:val="single" w:sz="4" w:space="0" w:color="auto"/>
            </w:tcBorders>
            <w:shd w:val="clear" w:color="auto" w:fill="auto"/>
            <w:noWrap/>
            <w:vAlign w:val="bottom"/>
            <w:hideMark/>
          </w:tcPr>
          <w:p w14:paraId="089A0FC2" w14:textId="77777777" w:rsidR="00375729" w:rsidRPr="00CF3D6E" w:rsidRDefault="00375729" w:rsidP="007A5BBF">
            <w:pPr>
              <w:pStyle w:val="Tabletext"/>
            </w:pPr>
            <w:r w:rsidRPr="00CF3D6E">
              <w:t>Buildings productivity</w:t>
            </w:r>
          </w:p>
        </w:tc>
        <w:tc>
          <w:tcPr>
            <w:tcW w:w="1225" w:type="dxa"/>
            <w:tcBorders>
              <w:top w:val="single" w:sz="4" w:space="0" w:color="BFBFBF" w:themeColor="background1" w:themeShade="BF"/>
              <w:left w:val="single" w:sz="4" w:space="0" w:color="auto"/>
              <w:bottom w:val="nil"/>
              <w:right w:val="single" w:sz="4" w:space="0" w:color="BFBFBF" w:themeColor="background1" w:themeShade="BF"/>
            </w:tcBorders>
            <w:shd w:val="clear" w:color="auto" w:fill="auto"/>
            <w:noWrap/>
            <w:vAlign w:val="bottom"/>
            <w:hideMark/>
          </w:tcPr>
          <w:p w14:paraId="195B2FAA" w14:textId="77777777" w:rsidR="00375729" w:rsidRPr="00CF3D6E" w:rsidRDefault="00375729" w:rsidP="007A5BBF">
            <w:pPr>
              <w:pStyle w:val="Tabletext"/>
            </w:pPr>
            <w:r w:rsidRPr="00CF3D6E">
              <w:t>1.64</w:t>
            </w:r>
          </w:p>
        </w:tc>
        <w:tc>
          <w:tcPr>
            <w:tcW w:w="122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A404A59" w14:textId="77777777" w:rsidR="00375729" w:rsidRPr="00CF3D6E" w:rsidRDefault="00375729" w:rsidP="007A5BBF">
            <w:pPr>
              <w:pStyle w:val="Tabletext"/>
            </w:pPr>
            <w:r w:rsidRPr="00CF3D6E">
              <w:t>1.47</w:t>
            </w:r>
          </w:p>
        </w:tc>
        <w:tc>
          <w:tcPr>
            <w:tcW w:w="122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711E02" w14:textId="77777777" w:rsidR="00375729" w:rsidRPr="00CF3D6E" w:rsidRDefault="00375729" w:rsidP="007A5BBF">
            <w:pPr>
              <w:pStyle w:val="Tabletext"/>
            </w:pPr>
            <w:r w:rsidRPr="00CF3D6E">
              <w:t>1.02</w:t>
            </w:r>
          </w:p>
        </w:tc>
        <w:tc>
          <w:tcPr>
            <w:tcW w:w="1226" w:type="dxa"/>
            <w:tcBorders>
              <w:top w:val="single" w:sz="4" w:space="0" w:color="BFBFBF" w:themeColor="background1" w:themeShade="BF"/>
              <w:left w:val="single" w:sz="4" w:space="0" w:color="BFBFBF" w:themeColor="background1" w:themeShade="BF"/>
              <w:bottom w:val="nil"/>
              <w:right w:val="single" w:sz="4" w:space="0" w:color="auto"/>
            </w:tcBorders>
            <w:shd w:val="clear" w:color="auto" w:fill="auto"/>
            <w:noWrap/>
            <w:vAlign w:val="bottom"/>
            <w:hideMark/>
          </w:tcPr>
          <w:p w14:paraId="61991F39" w14:textId="77777777" w:rsidR="00375729" w:rsidRPr="00CF3D6E" w:rsidRDefault="00375729" w:rsidP="007A5BBF">
            <w:pPr>
              <w:pStyle w:val="Tabletext"/>
            </w:pPr>
            <w:r w:rsidRPr="00CF3D6E">
              <w:t>0.99</w:t>
            </w:r>
          </w:p>
        </w:tc>
      </w:tr>
      <w:tr w:rsidR="00375729" w:rsidRPr="00D001C5" w14:paraId="1D6A765C" w14:textId="77777777" w:rsidTr="00301886">
        <w:trPr>
          <w:trHeight w:val="363"/>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14:paraId="6CF2767F" w14:textId="77777777" w:rsidR="00375729" w:rsidRPr="001D3324" w:rsidRDefault="0058764D" w:rsidP="007A5BBF">
            <w:pPr>
              <w:pStyle w:val="Tablebullet-Level1"/>
            </w:pPr>
            <w:r>
              <w:t>W</w:t>
            </w:r>
            <w:r w:rsidR="00375729" w:rsidRPr="001D3324">
              <w:t>eighted</w:t>
            </w:r>
          </w:p>
        </w:tc>
        <w:tc>
          <w:tcPr>
            <w:tcW w:w="1225" w:type="dxa"/>
            <w:tcBorders>
              <w:top w:val="nil"/>
              <w:left w:val="single" w:sz="4" w:space="0" w:color="auto"/>
              <w:bottom w:val="single" w:sz="4" w:space="0" w:color="auto"/>
              <w:right w:val="single" w:sz="4" w:space="0" w:color="BFBFBF" w:themeColor="background1" w:themeShade="BF"/>
            </w:tcBorders>
            <w:shd w:val="clear" w:color="auto" w:fill="auto"/>
            <w:noWrap/>
            <w:vAlign w:val="bottom"/>
            <w:hideMark/>
          </w:tcPr>
          <w:p w14:paraId="2CB8C4EC" w14:textId="77777777" w:rsidR="00375729" w:rsidRPr="001D3324" w:rsidRDefault="00375729" w:rsidP="007A5BBF">
            <w:pPr>
              <w:pStyle w:val="Tabletext"/>
            </w:pPr>
            <w:r w:rsidRPr="001D3324">
              <w:t>0.43</w:t>
            </w:r>
          </w:p>
        </w:tc>
        <w:tc>
          <w:tcPr>
            <w:tcW w:w="122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47676308" w14:textId="77777777" w:rsidR="00375729" w:rsidRPr="001D3324" w:rsidRDefault="00375729" w:rsidP="007A5BBF">
            <w:pPr>
              <w:pStyle w:val="Tabletext"/>
            </w:pPr>
            <w:r w:rsidRPr="001D3324">
              <w:t>0.34</w:t>
            </w:r>
          </w:p>
        </w:tc>
        <w:tc>
          <w:tcPr>
            <w:tcW w:w="122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bottom"/>
            <w:hideMark/>
          </w:tcPr>
          <w:p w14:paraId="644F06D1" w14:textId="77777777" w:rsidR="00375729" w:rsidRPr="001D3324" w:rsidRDefault="00375729" w:rsidP="007A5BBF">
            <w:pPr>
              <w:pStyle w:val="Tabletext"/>
            </w:pPr>
            <w:r w:rsidRPr="001D3324">
              <w:t>0.21</w:t>
            </w:r>
          </w:p>
        </w:tc>
        <w:tc>
          <w:tcPr>
            <w:tcW w:w="1226" w:type="dxa"/>
            <w:tcBorders>
              <w:top w:val="nil"/>
              <w:left w:val="single" w:sz="4" w:space="0" w:color="BFBFBF" w:themeColor="background1" w:themeShade="BF"/>
              <w:bottom w:val="single" w:sz="4" w:space="0" w:color="auto"/>
              <w:right w:val="single" w:sz="4" w:space="0" w:color="auto"/>
            </w:tcBorders>
            <w:shd w:val="clear" w:color="auto" w:fill="auto"/>
            <w:noWrap/>
            <w:vAlign w:val="bottom"/>
            <w:hideMark/>
          </w:tcPr>
          <w:p w14:paraId="46C562C2" w14:textId="77777777" w:rsidR="00375729" w:rsidRPr="001D3324" w:rsidRDefault="00375729" w:rsidP="007A5BBF">
            <w:pPr>
              <w:pStyle w:val="Tabletext"/>
            </w:pPr>
            <w:r w:rsidRPr="001D3324">
              <w:t>0.31</w:t>
            </w:r>
          </w:p>
        </w:tc>
      </w:tr>
    </w:tbl>
    <w:p w14:paraId="184B5EA6" w14:textId="77777777" w:rsidR="00375729" w:rsidRPr="00EE5711" w:rsidRDefault="00375729" w:rsidP="00012248">
      <w:pPr>
        <w:pStyle w:val="SourceNotes"/>
      </w:pPr>
      <w:r>
        <w:fldChar w:fldCharType="end"/>
      </w:r>
      <w:r>
        <w:t xml:space="preserve">Note: </w:t>
      </w:r>
      <w:r w:rsidRPr="00EE5711">
        <w:t>a. Weighted by the share of the asset in capital income</w:t>
      </w:r>
    </w:p>
    <w:p w14:paraId="1E7AB4C3" w14:textId="77777777" w:rsidR="00375729" w:rsidRPr="00EE5711" w:rsidRDefault="00375729" w:rsidP="00012248">
      <w:pPr>
        <w:pStyle w:val="SourceNotes"/>
      </w:pPr>
      <w:r>
        <w:t xml:space="preserve">Source: </w:t>
      </w:r>
      <w:r w:rsidRPr="00EE5711">
        <w:t>Author estimates</w:t>
      </w:r>
    </w:p>
    <w:p w14:paraId="647567FE" w14:textId="77777777" w:rsidR="00375729" w:rsidRDefault="00375729" w:rsidP="00375729">
      <w:pPr>
        <w:pStyle w:val="BodyTextNoIndent"/>
      </w:pPr>
      <w:r w:rsidRPr="00DA670A">
        <w:t>As previously noted, the strongest and steadiest improvements were in land and buildings productivity</w:t>
      </w:r>
      <w:r w:rsidR="005601A6">
        <w:t xml:space="preserve"> (</w:t>
      </w:r>
      <w:r w:rsidR="006F0637" w:rsidRPr="006F0637">
        <w:t>Table D4</w:t>
      </w:r>
      <w:r w:rsidR="005601A6">
        <w:t>)</w:t>
      </w:r>
      <w:r w:rsidRPr="00DA670A">
        <w:t>. The improvement in the productivity of use of road vehicles was both large (3</w:t>
      </w:r>
      <w:r w:rsidR="005601A6">
        <w:noBreakHyphen/>
      </w:r>
      <w:r w:rsidRPr="00DA670A">
        <w:t xml:space="preserve">3.5 per cent a year) and of strong relative importance up to the mid-2000s. The productivity of other plant and equipment improved over the same period, but at a slower rate and </w:t>
      </w:r>
      <w:r w:rsidR="005601A6">
        <w:t>a lower weighting</w:t>
      </w:r>
      <w:r>
        <w:t>.</w:t>
      </w:r>
      <w:r w:rsidRPr="00C519A8">
        <w:t xml:space="preserve"> </w:t>
      </w:r>
    </w:p>
    <w:p w14:paraId="07235C3C" w14:textId="77777777" w:rsidR="00375729" w:rsidRDefault="00375729" w:rsidP="00375729">
      <w:pPr>
        <w:spacing w:after="120"/>
        <w:ind w:left="1021" w:hanging="1021"/>
      </w:pPr>
      <w:r>
        <w:br w:type="page"/>
      </w:r>
    </w:p>
    <w:p w14:paraId="72961EEB" w14:textId="77777777" w:rsidR="00375729" w:rsidRDefault="00375729" w:rsidP="00CF3D6E">
      <w:pPr>
        <w:pStyle w:val="BCRAppendicesHeading"/>
      </w:pPr>
      <w:bookmarkStart w:id="114" w:name="_Toc442448193"/>
      <w:r>
        <w:t>Transport, postal and warehousing</w:t>
      </w:r>
      <w:bookmarkEnd w:id="114"/>
    </w:p>
    <w:p w14:paraId="042D1543" w14:textId="77777777" w:rsidR="006139F5" w:rsidRDefault="006139F5" w:rsidP="00F37FA2">
      <w:pPr>
        <w:pStyle w:val="Boxheading"/>
      </w:pPr>
      <w:r>
        <w:t>Key Points</w:t>
      </w:r>
    </w:p>
    <w:p w14:paraId="5095506E" w14:textId="77777777" w:rsidR="00375729" w:rsidRPr="008F15AE" w:rsidRDefault="00375729" w:rsidP="00012248">
      <w:pPr>
        <w:pStyle w:val="Boxtext"/>
      </w:pPr>
      <w:r w:rsidRPr="008F15AE">
        <w:t>From 1989–90, there was about average growth in transport, postal and warehousing (TPW). From 2007–08, the growth of this sector slowed and growth in labour turned to labour shedding. There was strong and steady growth in capital through the 2000s and into the 2010s. This sector is labour intensive with a capital income share averaging about 36 per cent.</w:t>
      </w:r>
    </w:p>
    <w:p w14:paraId="0B3B626F" w14:textId="77777777" w:rsidR="00375729" w:rsidRPr="008F15AE" w:rsidRDefault="00375729" w:rsidP="00012248">
      <w:pPr>
        <w:pStyle w:val="Boxtext"/>
      </w:pPr>
      <w:r w:rsidRPr="008F15AE">
        <w:t xml:space="preserve">While growth in Information Technology (IT) averaged 12.4 per cent a year, IT represented only about 7.7 per cent of capital costs. </w:t>
      </w:r>
    </w:p>
    <w:p w14:paraId="003BE0F8" w14:textId="77777777" w:rsidR="00375729" w:rsidRPr="008F15AE" w:rsidRDefault="00375729" w:rsidP="00012248">
      <w:pPr>
        <w:pStyle w:val="Boxtext"/>
      </w:pPr>
      <w:r w:rsidRPr="008F15AE">
        <w:t>Most of the growth in IT in the 2000s was in hardware. Nevertheless, the sector remained software intensive.</w:t>
      </w:r>
    </w:p>
    <w:p w14:paraId="143236C1" w14:textId="77777777" w:rsidR="00375729" w:rsidRPr="008F15AE" w:rsidRDefault="00375729" w:rsidP="00012248">
      <w:pPr>
        <w:pStyle w:val="Boxtext"/>
      </w:pPr>
      <w:r w:rsidRPr="008F15AE">
        <w:t>IT capital deepening contributed between 0.2 and 0.4 of a percentage point to labour productivity (LP) growth.</w:t>
      </w:r>
    </w:p>
    <w:p w14:paraId="656B477B" w14:textId="77777777" w:rsidR="00375729" w:rsidRPr="008F15AE" w:rsidRDefault="00375729" w:rsidP="00012248">
      <w:pPr>
        <w:pStyle w:val="Boxtext"/>
      </w:pPr>
      <w:r w:rsidRPr="008F15AE">
        <w:t>Average skill level increased by 8 per cent over the period, with a correlation coefficient with IT use of 0.93.</w:t>
      </w:r>
    </w:p>
    <w:p w14:paraId="5FA218D2" w14:textId="77777777" w:rsidR="00375729" w:rsidRPr="008F15AE" w:rsidRDefault="00375729" w:rsidP="00012248">
      <w:pPr>
        <w:pStyle w:val="Boxtext"/>
      </w:pPr>
      <w:r w:rsidRPr="008F15AE">
        <w:t>There were two distinct periods of movement in non-IT capital productivity. Growth in the 1990s was largely offset by decline in the 2000s and beyond.</w:t>
      </w:r>
    </w:p>
    <w:p w14:paraId="689F2C38" w14:textId="77777777" w:rsidR="00375729" w:rsidRPr="008F15AE" w:rsidRDefault="00375729" w:rsidP="00012248">
      <w:pPr>
        <w:pStyle w:val="Boxtext"/>
      </w:pPr>
      <w:r w:rsidRPr="008F15AE">
        <w:t>Nevertheless, there were periods in which the productivity of major assets improved:</w:t>
      </w:r>
    </w:p>
    <w:p w14:paraId="3D704AD1" w14:textId="77777777" w:rsidR="00375729" w:rsidRPr="008F15AE" w:rsidRDefault="00375729" w:rsidP="00F37FA2">
      <w:pPr>
        <w:pStyle w:val="Boxbullet"/>
      </w:pPr>
      <w:r w:rsidRPr="008F15AE">
        <w:t>The productivity of construction assets, which includes road and rail infrastructure, land and other transport equipment improved up to 2007–08.</w:t>
      </w:r>
    </w:p>
    <w:p w14:paraId="17F3120A" w14:textId="77777777" w:rsidR="00375729" w:rsidRPr="008F15AE" w:rsidRDefault="00375729" w:rsidP="00F37FA2">
      <w:pPr>
        <w:pStyle w:val="Boxbullet"/>
      </w:pPr>
      <w:r w:rsidRPr="008F15AE">
        <w:t>The productivity of road vehicles improved in the early 1990s.</w:t>
      </w:r>
    </w:p>
    <w:p w14:paraId="6307C280" w14:textId="77777777" w:rsidR="00375729" w:rsidRPr="008F15AE" w:rsidRDefault="00375729" w:rsidP="00012248">
      <w:pPr>
        <w:pStyle w:val="Boxtext"/>
      </w:pPr>
      <w:r w:rsidRPr="008F15AE">
        <w:t>The productivity of intermediate input usage improved by 8 per cent up to 2002–03.</w:t>
      </w:r>
    </w:p>
    <w:p w14:paraId="3BBDA388" w14:textId="77777777" w:rsidR="00375729" w:rsidRPr="008F15AE" w:rsidRDefault="00375729" w:rsidP="00012248">
      <w:pPr>
        <w:pStyle w:val="Boxtext"/>
      </w:pPr>
      <w:r w:rsidRPr="008F15AE">
        <w:t>IT contributed about 0.2 of a percentage point to annual multifactor productivity growth through the capital deepening effect on LP growth. It may also have made some contribution through improvement in non-IT capital productivity in the 1990s.</w:t>
      </w:r>
    </w:p>
    <w:p w14:paraId="75377BFC" w14:textId="77777777" w:rsidR="00375729" w:rsidRPr="008F15AE" w:rsidRDefault="00375729" w:rsidP="00375729">
      <w:pPr>
        <w:pStyle w:val="BodyTextNoIndent"/>
      </w:pPr>
      <w:r w:rsidRPr="008F15AE">
        <w:t>According to the Australian Bureau of Statistics (ABS), the transport, postal and warehousing (TPW) sector covers transport of both passengers and goods in the following industries:</w:t>
      </w:r>
    </w:p>
    <w:p w14:paraId="6C9C5BBE" w14:textId="77777777" w:rsidR="00375729" w:rsidRPr="008F15AE" w:rsidRDefault="00375729" w:rsidP="007A5BBF">
      <w:pPr>
        <w:pStyle w:val="Bodybullet-Level1"/>
      </w:pPr>
      <w:r w:rsidRPr="008F15AE">
        <w:t>road transport</w:t>
      </w:r>
    </w:p>
    <w:p w14:paraId="45788920" w14:textId="77777777" w:rsidR="00375729" w:rsidRPr="008F15AE" w:rsidRDefault="00375729" w:rsidP="007A5BBF">
      <w:pPr>
        <w:pStyle w:val="Bodybullet-Level1"/>
      </w:pPr>
      <w:r w:rsidRPr="008F15AE">
        <w:t>water transport</w:t>
      </w:r>
    </w:p>
    <w:p w14:paraId="3C316944" w14:textId="77777777" w:rsidR="00375729" w:rsidRPr="008F15AE" w:rsidRDefault="00375729" w:rsidP="007A5BBF">
      <w:pPr>
        <w:pStyle w:val="Bodybullet-Level1"/>
      </w:pPr>
      <w:r w:rsidRPr="008F15AE">
        <w:t>air and space transport</w:t>
      </w:r>
    </w:p>
    <w:p w14:paraId="4EA02AF9" w14:textId="77777777" w:rsidR="00375729" w:rsidRPr="008F15AE" w:rsidRDefault="00375729" w:rsidP="007A5BBF">
      <w:pPr>
        <w:pStyle w:val="Bodybullet-Level1"/>
      </w:pPr>
      <w:r w:rsidRPr="008F15AE">
        <w:t>other transport</w:t>
      </w:r>
    </w:p>
    <w:p w14:paraId="719D610E" w14:textId="77777777" w:rsidR="00375729" w:rsidRPr="008F15AE" w:rsidRDefault="00375729" w:rsidP="007A5BBF">
      <w:pPr>
        <w:pStyle w:val="Bodybullet-Level1"/>
      </w:pPr>
      <w:r w:rsidRPr="008F15AE">
        <w:t>postal and courier pick-up and delivery services</w:t>
      </w:r>
      <w:r w:rsidR="00957AC4">
        <w:t>, and</w:t>
      </w:r>
    </w:p>
    <w:p w14:paraId="3DA144AE" w14:textId="77777777" w:rsidR="00375729" w:rsidRPr="008F15AE" w:rsidRDefault="00375729" w:rsidP="007A5BBF">
      <w:pPr>
        <w:pStyle w:val="Bodybullet-Level1"/>
      </w:pPr>
      <w:r w:rsidRPr="008F15AE">
        <w:t>transport support services</w:t>
      </w:r>
      <w:r w:rsidR="00957AC4">
        <w:t>.</w:t>
      </w:r>
    </w:p>
    <w:p w14:paraId="6ED4A4F2" w14:textId="77777777" w:rsidR="00375729" w:rsidRPr="008F15AE" w:rsidRDefault="00375729" w:rsidP="00375729">
      <w:pPr>
        <w:pStyle w:val="BodyTextNoIndent"/>
      </w:pPr>
      <w:r w:rsidRPr="008F15AE">
        <w:t>Transport, postal and warehousing grew steadily through the 1990s an</w:t>
      </w:r>
      <w:r>
        <w:t>d 2000s, up to 2007–08 (</w:t>
      </w:r>
      <w:r w:rsidR="00707186">
        <w:t>Figure E1</w:t>
      </w:r>
      <w:r w:rsidRPr="008F15AE">
        <w:t>). Its annual growth in output averaged 3.5 per cent from 1989–90 to 2013–14, which was about the average for GDP. Consequently, the sector hovered close to 5 per cent of GDP throughout the period reviewed (1989–90 to 2013–14).</w:t>
      </w:r>
      <w:r w:rsidR="009A2198">
        <w:rPr>
          <w:rStyle w:val="EndnoteReference"/>
        </w:rPr>
        <w:endnoteReference w:id="26"/>
      </w:r>
      <w:r w:rsidRPr="008F15AE">
        <w:t xml:space="preserve"> </w:t>
      </w:r>
    </w:p>
    <w:p w14:paraId="6EC8BAAB" w14:textId="77777777" w:rsidR="00375729" w:rsidRPr="008F15AE" w:rsidRDefault="00FD152A" w:rsidP="00375729">
      <w:pPr>
        <w:pStyle w:val="BodyTextNoIndent"/>
      </w:pPr>
      <w:r>
        <w:t>T</w:t>
      </w:r>
      <w:r w:rsidR="00375729" w:rsidRPr="008F15AE">
        <w:t>here was solid growth in capital, which averaged 3.9 per cent a year over the whole period</w:t>
      </w:r>
      <w:r w:rsidR="008E1F28">
        <w:t xml:space="preserve"> (</w:t>
      </w:r>
      <w:r w:rsidR="00707186">
        <w:t>Figure E2</w:t>
      </w:r>
      <w:r w:rsidR="008E1F28">
        <w:t>)</w:t>
      </w:r>
      <w:r w:rsidR="00375729" w:rsidRPr="008F15AE">
        <w:t>. However, there was more-rapid growth after 2001–02</w:t>
      </w:r>
      <w:r w:rsidR="00E95D4D">
        <w:t xml:space="preserve"> (</w:t>
      </w:r>
      <w:r w:rsidR="0012427B">
        <w:t xml:space="preserve">at </w:t>
      </w:r>
      <w:r w:rsidR="00375729" w:rsidRPr="008F15AE">
        <w:t xml:space="preserve">.5 per cent a year compared with 2.4 per cent a year before 2001–02. Growth in labour averaged 1.3 per cent a year over the period reviewed. </w:t>
      </w:r>
    </w:p>
    <w:p w14:paraId="25AE1B8C" w14:textId="77777777" w:rsidR="00375729" w:rsidRPr="008F15AE" w:rsidRDefault="00375729" w:rsidP="00375729">
      <w:pPr>
        <w:pStyle w:val="BodyTextNoIndent"/>
      </w:pPr>
      <w:r w:rsidRPr="008F15AE">
        <w:t>The sector is labour-intensive with the capital income share averaging 36 per cent.</w:t>
      </w:r>
    </w:p>
    <w:p w14:paraId="23639337" w14:textId="77777777" w:rsidR="00375729" w:rsidRDefault="00375729" w:rsidP="007A5BBF">
      <w:pPr>
        <w:pStyle w:val="Figurecaption"/>
      </w:pPr>
      <w:r>
        <w:t xml:space="preserve">Figure </w:t>
      </w:r>
      <w:r w:rsidR="00707186">
        <w:t>E</w:t>
      </w:r>
      <w:r w:rsidR="00E53DAF">
        <w:t>1</w:t>
      </w:r>
      <w:r>
        <w:t>: Capital, labour and output in PST services (index, 2012–13</w:t>
      </w:r>
      <w:r w:rsidR="006A530A">
        <w:t xml:space="preserve"> = </w:t>
      </w:r>
      <w:r>
        <w:t>100)</w:t>
      </w:r>
    </w:p>
    <w:p w14:paraId="3E137827" w14:textId="0D2D5EEE" w:rsidR="00375729" w:rsidRDefault="007A5BBF" w:rsidP="00375729">
      <w:r>
        <w:rPr>
          <w:noProof/>
          <w:lang w:eastAsia="en-AU"/>
        </w:rPr>
        <w:drawing>
          <wp:inline distT="0" distB="0" distL="0" distR="0" wp14:anchorId="25043A3E" wp14:editId="03E89874">
            <wp:extent cx="4584700" cy="2755900"/>
            <wp:effectExtent l="0" t="0" r="635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BF53B79" w14:textId="77777777" w:rsidR="00375729" w:rsidRDefault="00375729" w:rsidP="00012248">
      <w:pPr>
        <w:pStyle w:val="SourceNotes"/>
      </w:pPr>
      <w:r>
        <w:t xml:space="preserve">Source: </w:t>
      </w:r>
      <w:r w:rsidRPr="00323930">
        <w:t xml:space="preserve">ABS Cat. No. 5260.0.55.002 </w:t>
      </w:r>
    </w:p>
    <w:p w14:paraId="59F7597D" w14:textId="77777777" w:rsidR="00375729" w:rsidRDefault="00B736A7" w:rsidP="00F37FA2">
      <w:pPr>
        <w:pStyle w:val="BCRAppendicesSubheading"/>
      </w:pPr>
      <w:r>
        <w:t xml:space="preserve">E.1 </w:t>
      </w:r>
      <w:r w:rsidR="00375729">
        <w:t>Growth in IT capital</w:t>
      </w:r>
    </w:p>
    <w:p w14:paraId="0130E3A9" w14:textId="77777777" w:rsidR="00375729" w:rsidRPr="008F15AE" w:rsidRDefault="00375729" w:rsidP="00375729">
      <w:pPr>
        <w:pStyle w:val="BodyTextNoIndent"/>
      </w:pPr>
      <w:r w:rsidRPr="008F15AE">
        <w:t>TPW is not an intensive user of Information Technology (IT). IT has accounted for between 5</w:t>
      </w:r>
      <w:r w:rsidR="00B9770E">
        <w:noBreakHyphen/>
      </w:r>
      <w:r w:rsidRPr="008F15AE">
        <w:t>15</w:t>
      </w:r>
      <w:r w:rsidR="00B9770E">
        <w:t> </w:t>
      </w:r>
      <w:r w:rsidRPr="008F15AE">
        <w:t>per</w:t>
      </w:r>
      <w:r w:rsidR="00B9770E">
        <w:t> </w:t>
      </w:r>
      <w:r w:rsidRPr="008F15AE">
        <w:t>cent of capital costs, at an average of 7.7 per cent (</w:t>
      </w:r>
      <w:r w:rsidR="00707186">
        <w:t>Figure E3</w:t>
      </w:r>
      <w:r w:rsidRPr="008F15AE">
        <w:t>). The sector accounts for about 4 per cent of hardware use in the economy and a sizeable 10 per cent of software use.</w:t>
      </w:r>
    </w:p>
    <w:p w14:paraId="4B9A764D" w14:textId="77777777" w:rsidR="00375729" w:rsidRPr="008F15AE" w:rsidRDefault="00375729" w:rsidP="00375729">
      <w:pPr>
        <w:pStyle w:val="BodyTextNoIndent"/>
      </w:pPr>
      <w:r w:rsidRPr="008F15AE">
        <w:t xml:space="preserve">While the growth in IT capital was strong, that growth did not have a big influence on growth in total capital because IT has a small share of TPW’s use of capital (Figure </w:t>
      </w:r>
      <w:r>
        <w:t>V</w:t>
      </w:r>
      <w:r w:rsidRPr="008F15AE">
        <w:t>2). Growth in IT capital grew at 12.4 per cent a year from 1989–90 and non-IT capital at 3.1 per cent a year.</w:t>
      </w:r>
    </w:p>
    <w:p w14:paraId="7FB952BE" w14:textId="77777777" w:rsidR="00375729" w:rsidRDefault="00375729" w:rsidP="007A5BBF">
      <w:pPr>
        <w:pStyle w:val="Figurecaption"/>
      </w:pPr>
      <w:r>
        <w:t xml:space="preserve">Figure </w:t>
      </w:r>
      <w:r w:rsidR="00707186">
        <w:t>E2</w:t>
      </w:r>
      <w:r>
        <w:t>: Capital, IT capital and non-IT capital in TPW (index, 2012–13</w:t>
      </w:r>
      <w:r w:rsidR="006A530A">
        <w:t xml:space="preserve"> = </w:t>
      </w:r>
      <w:r>
        <w:t>100)</w:t>
      </w:r>
    </w:p>
    <w:p w14:paraId="03A8487A" w14:textId="616927C7" w:rsidR="00375729" w:rsidRDefault="007A5BBF" w:rsidP="00375729">
      <w:pPr>
        <w:spacing w:after="60"/>
      </w:pPr>
      <w:r>
        <w:rPr>
          <w:noProof/>
          <w:lang w:eastAsia="en-AU"/>
        </w:rPr>
        <w:drawing>
          <wp:inline distT="0" distB="0" distL="0" distR="0" wp14:anchorId="6E7BC4CF" wp14:editId="2F802070">
            <wp:extent cx="4584700" cy="2743200"/>
            <wp:effectExtent l="0" t="0" r="635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14:paraId="69F110C3" w14:textId="77777777" w:rsidR="00375729" w:rsidRDefault="00375729" w:rsidP="00012248">
      <w:pPr>
        <w:pStyle w:val="SourceNotes"/>
      </w:pPr>
      <w:r w:rsidRPr="00323930">
        <w:t>Source:</w:t>
      </w:r>
      <w:r>
        <w:t xml:space="preserve"> </w:t>
      </w:r>
      <w:r w:rsidRPr="00323930">
        <w:t>ABS Cat. No. 5260.0.55.002 and author estimates</w:t>
      </w:r>
    </w:p>
    <w:p w14:paraId="601CFBA1" w14:textId="77777777" w:rsidR="00375729" w:rsidRPr="009E436A" w:rsidRDefault="00375729" w:rsidP="00375729">
      <w:pPr>
        <w:pStyle w:val="BodyTextNoIndent"/>
      </w:pPr>
      <w:r w:rsidRPr="009E436A">
        <w:t>The rates of growth in IT were strongest in the ear</w:t>
      </w:r>
      <w:r>
        <w:t>ly 1990s and the 2000s (</w:t>
      </w:r>
      <w:r w:rsidR="00707186">
        <w:t>Figure E3</w:t>
      </w:r>
      <w:r w:rsidRPr="009E436A">
        <w:t>). There was a slowdown after 2007–08 but this was not as prominent as in other industries.</w:t>
      </w:r>
    </w:p>
    <w:p w14:paraId="52EE33D1" w14:textId="77777777" w:rsidR="00375729" w:rsidRDefault="00375729" w:rsidP="007A5BBF">
      <w:pPr>
        <w:pStyle w:val="Figurecaption"/>
      </w:pPr>
      <w:r>
        <w:t xml:space="preserve">Figure </w:t>
      </w:r>
      <w:r w:rsidR="00707186">
        <w:t>E3</w:t>
      </w:r>
      <w:r>
        <w:t>: Annual growth in IT and non-IT capital (% per year) and the IT share of capital income (%) in TPW</w:t>
      </w:r>
    </w:p>
    <w:p w14:paraId="1746BB16" w14:textId="318C7D98" w:rsidR="00375729" w:rsidRDefault="007A5BBF" w:rsidP="00375729">
      <w:pPr>
        <w:spacing w:after="60"/>
      </w:pPr>
      <w:r>
        <w:rPr>
          <w:noProof/>
          <w:lang w:eastAsia="en-AU"/>
        </w:rPr>
        <w:drawing>
          <wp:inline distT="0" distB="0" distL="0" distR="0" wp14:anchorId="1367E621" wp14:editId="247181C7">
            <wp:extent cx="5791835" cy="2743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91835" cy="2743200"/>
                    </a:xfrm>
                    <a:prstGeom prst="rect">
                      <a:avLst/>
                    </a:prstGeom>
                    <a:noFill/>
                  </pic:spPr>
                </pic:pic>
              </a:graphicData>
            </a:graphic>
          </wp:inline>
        </w:drawing>
      </w:r>
    </w:p>
    <w:p w14:paraId="0F83EC86" w14:textId="77777777" w:rsidR="00375729" w:rsidRDefault="00375729" w:rsidP="00012248">
      <w:pPr>
        <w:pStyle w:val="SourceNotes"/>
      </w:pPr>
      <w:r w:rsidRPr="00323930">
        <w:t>Source:</w:t>
      </w:r>
      <w:r>
        <w:t xml:space="preserve"> </w:t>
      </w:r>
      <w:r w:rsidRPr="00323930">
        <w:t>Author estimates</w:t>
      </w:r>
    </w:p>
    <w:p w14:paraId="531586A1" w14:textId="77777777" w:rsidR="00375729" w:rsidRPr="009E436A" w:rsidRDefault="00375729" w:rsidP="00375729">
      <w:pPr>
        <w:pStyle w:val="BodyTextNoIndent"/>
      </w:pPr>
      <w:r w:rsidRPr="009E436A">
        <w:t>Most of the growth in IT in the</w:t>
      </w:r>
      <w:r>
        <w:t xml:space="preserve"> 2000s was in hardware (</w:t>
      </w:r>
      <w:r w:rsidR="00401868">
        <w:t>Figure E4</w:t>
      </w:r>
      <w:r w:rsidRPr="009E436A">
        <w:t xml:space="preserve">). Nevertheless, the sector remained software intensive, which is indicated by a hardware share of less than 50 per cent in Figure </w:t>
      </w:r>
      <w:r w:rsidR="008F57AB">
        <w:t>E</w:t>
      </w:r>
      <w:r w:rsidRPr="009E436A">
        <w:t>4.</w:t>
      </w:r>
    </w:p>
    <w:p w14:paraId="7BDA9FEF" w14:textId="77777777" w:rsidR="00375729" w:rsidRDefault="00375729" w:rsidP="007A5BBF">
      <w:pPr>
        <w:pStyle w:val="Figurecaption"/>
      </w:pPr>
      <w:r>
        <w:t xml:space="preserve">Figure </w:t>
      </w:r>
      <w:r w:rsidR="00707186">
        <w:t>E4</w:t>
      </w:r>
      <w:r>
        <w:t xml:space="preserve">: Annual growth in software and hardware (% per year) and hardware share of IT capital income (%) in TPW </w:t>
      </w:r>
    </w:p>
    <w:p w14:paraId="0D367EAD" w14:textId="38A6A2DD" w:rsidR="00375729" w:rsidRDefault="007A5BBF" w:rsidP="00375729">
      <w:pPr>
        <w:spacing w:after="60"/>
      </w:pPr>
      <w:r>
        <w:rPr>
          <w:noProof/>
          <w:lang w:eastAsia="en-AU"/>
        </w:rPr>
        <w:drawing>
          <wp:inline distT="0" distB="0" distL="0" distR="0" wp14:anchorId="7FB97297" wp14:editId="721C0988">
            <wp:extent cx="5279390" cy="2377440"/>
            <wp:effectExtent l="0" t="0" r="0" b="381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9390" cy="2377440"/>
                    </a:xfrm>
                    <a:prstGeom prst="rect">
                      <a:avLst/>
                    </a:prstGeom>
                    <a:noFill/>
                  </pic:spPr>
                </pic:pic>
              </a:graphicData>
            </a:graphic>
          </wp:inline>
        </w:drawing>
      </w:r>
    </w:p>
    <w:p w14:paraId="7EA66738" w14:textId="77777777" w:rsidR="00375729" w:rsidRDefault="00375729" w:rsidP="00012248">
      <w:pPr>
        <w:pStyle w:val="SourceNotes"/>
      </w:pPr>
      <w:r>
        <w:t xml:space="preserve">Source: </w:t>
      </w:r>
      <w:r w:rsidRPr="00323930">
        <w:t>Author estimates</w:t>
      </w:r>
    </w:p>
    <w:p w14:paraId="50D2CE46" w14:textId="77777777" w:rsidR="00375729" w:rsidRDefault="00B736A7" w:rsidP="00F37FA2">
      <w:pPr>
        <w:pStyle w:val="BCRAppendicesSubheading"/>
      </w:pPr>
      <w:r>
        <w:t xml:space="preserve">E.2 </w:t>
      </w:r>
      <w:r w:rsidR="00375729" w:rsidRPr="007D319D">
        <w:t>Labour productivity growth</w:t>
      </w:r>
    </w:p>
    <w:p w14:paraId="424021E1" w14:textId="77777777" w:rsidR="00375729" w:rsidRPr="009E436A" w:rsidRDefault="00375729" w:rsidP="00375729">
      <w:pPr>
        <w:pStyle w:val="BodyTextNoIndent"/>
      </w:pPr>
      <w:r w:rsidRPr="009E436A">
        <w:t>With relatively weak growth in labour, growth in labour productivity (LP) was reasonably strong. The level of labour productivity increased 67 per cent between 1989–90 and 2013–14. The average annual rate of growth in trend LP was 2.2 per cent.</w:t>
      </w:r>
    </w:p>
    <w:p w14:paraId="31609566" w14:textId="77777777" w:rsidR="00375729" w:rsidRPr="009E436A" w:rsidRDefault="00375729" w:rsidP="00375729">
      <w:pPr>
        <w:pStyle w:val="BodyTextNoIndent"/>
      </w:pPr>
      <w:r w:rsidRPr="009E436A">
        <w:t>Peaks in LP cycles occurred in 1992–93, 1996–97, 2006–07 and 2012–13 according to the method set out in section 5.3 (</w:t>
      </w:r>
      <w:r w:rsidR="005413EB" w:rsidRPr="009E436A">
        <w:fldChar w:fldCharType="begin"/>
      </w:r>
      <w:r w:rsidR="005413EB" w:rsidRPr="009E436A">
        <w:instrText xml:space="preserve"> REF _Ref423783671 \h </w:instrText>
      </w:r>
      <w:r w:rsidR="005413EB">
        <w:instrText xml:space="preserve"> \* MERGEFORMAT </w:instrText>
      </w:r>
      <w:r w:rsidR="005413EB" w:rsidRPr="009E436A">
        <w:fldChar w:fldCharType="separate"/>
      </w:r>
      <w:r w:rsidR="00401868">
        <w:t>Figure E5</w:t>
      </w:r>
      <w:r w:rsidR="005413EB" w:rsidRPr="009E436A">
        <w:fldChar w:fldCharType="end"/>
      </w:r>
      <w:r w:rsidRPr="009E436A">
        <w:t>). A peak at 2002–03 was imposed.</w:t>
      </w:r>
    </w:p>
    <w:p w14:paraId="615029AB" w14:textId="77777777" w:rsidR="00375729" w:rsidRPr="009E436A" w:rsidRDefault="00375729" w:rsidP="00375729">
      <w:pPr>
        <w:pStyle w:val="BodyTextNoIndent"/>
      </w:pPr>
      <w:r w:rsidRPr="009E436A">
        <w:t>Productivity growth over these LP cycles was:</w:t>
      </w:r>
    </w:p>
    <w:p w14:paraId="5B5B6720" w14:textId="77777777" w:rsidR="00375729" w:rsidRPr="009E436A" w:rsidRDefault="00375729" w:rsidP="007A5BBF">
      <w:pPr>
        <w:pStyle w:val="Bodybullet-Level1"/>
      </w:pPr>
      <w:r w:rsidRPr="009E436A">
        <w:t>1992–93 to 1996–97: 2.7 per cent a year</w:t>
      </w:r>
    </w:p>
    <w:p w14:paraId="5C9026F1" w14:textId="77777777" w:rsidR="00375729" w:rsidRPr="009E436A" w:rsidRDefault="00375729" w:rsidP="007A5BBF">
      <w:pPr>
        <w:pStyle w:val="Bodybullet-Level1"/>
      </w:pPr>
      <w:r w:rsidRPr="009E436A">
        <w:t>1996–97 to 2002–03: 3.6 per cent a year</w:t>
      </w:r>
    </w:p>
    <w:p w14:paraId="2132D01B" w14:textId="77777777" w:rsidR="00375729" w:rsidRDefault="00375729" w:rsidP="007A5BBF">
      <w:pPr>
        <w:pStyle w:val="Bodybullet-Level1"/>
      </w:pPr>
      <w:r w:rsidRPr="009E436A">
        <w:t xml:space="preserve">2002–03 to 2006–07: 2.1 per cent a </w:t>
      </w:r>
      <w:r w:rsidRPr="00BB0A27">
        <w:t>year</w:t>
      </w:r>
      <w:r w:rsidR="005413EB">
        <w:t>, and</w:t>
      </w:r>
    </w:p>
    <w:p w14:paraId="35666C82" w14:textId="77777777" w:rsidR="00375729" w:rsidRPr="00CC7C62" w:rsidRDefault="00375729" w:rsidP="007A5BBF">
      <w:pPr>
        <w:pStyle w:val="Bodybullet-Level1"/>
        <w:rPr>
          <w:vertAlign w:val="superscript"/>
        </w:rPr>
      </w:pPr>
      <w:r w:rsidRPr="00BB0A27">
        <w:t>2006–07 to 2012–13: 1.2 per cent a year.</w:t>
      </w:r>
      <w:r w:rsidR="009A2198">
        <w:rPr>
          <w:rStyle w:val="EndnoteReference"/>
        </w:rPr>
        <w:endnoteReference w:id="27"/>
      </w:r>
      <w:r w:rsidRPr="00CC7C62">
        <w:rPr>
          <w:vertAlign w:val="superscript"/>
        </w:rPr>
        <w:t xml:space="preserve"> </w:t>
      </w:r>
    </w:p>
    <w:p w14:paraId="355D82C1" w14:textId="77777777" w:rsidR="00375729" w:rsidRPr="00A90AE3" w:rsidRDefault="00375729" w:rsidP="007A5BBF">
      <w:pPr>
        <w:pStyle w:val="Figurecaption"/>
      </w:pPr>
      <w:r>
        <w:t xml:space="preserve">Figure </w:t>
      </w:r>
      <w:r w:rsidR="00401868">
        <w:t>E5</w:t>
      </w:r>
      <w:r>
        <w:t>: Actual and trend labour productivity in TPW</w:t>
      </w:r>
      <w:r>
        <w:rPr>
          <w:sz w:val="22"/>
          <w:szCs w:val="22"/>
          <w:vertAlign w:val="superscript"/>
        </w:rPr>
        <w:t xml:space="preserve">a </w:t>
      </w:r>
      <w:r>
        <w:t>(index, actual 2012–13</w:t>
      </w:r>
      <w:r w:rsidR="006A530A">
        <w:t xml:space="preserve"> = </w:t>
      </w:r>
      <w:r>
        <w:t>100)</w:t>
      </w:r>
    </w:p>
    <w:p w14:paraId="5F6E038C" w14:textId="52E5D9A0" w:rsidR="00375729" w:rsidRDefault="007A5BBF" w:rsidP="00375729">
      <w:pPr>
        <w:spacing w:after="60"/>
      </w:pPr>
      <w:r>
        <w:rPr>
          <w:noProof/>
          <w:lang w:eastAsia="en-AU"/>
        </w:rPr>
        <w:drawing>
          <wp:inline distT="0" distB="0" distL="0" distR="0" wp14:anchorId="38D4C35D" wp14:editId="326B2136">
            <wp:extent cx="5316220" cy="3048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6220" cy="3048000"/>
                    </a:xfrm>
                    <a:prstGeom prst="rect">
                      <a:avLst/>
                    </a:prstGeom>
                    <a:noFill/>
                  </pic:spPr>
                </pic:pic>
              </a:graphicData>
            </a:graphic>
          </wp:inline>
        </w:drawing>
      </w:r>
    </w:p>
    <w:p w14:paraId="1A8AFF1C" w14:textId="56DAB421" w:rsidR="00375729"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r>
        <w:br/>
      </w:r>
      <w:r w:rsidRPr="00323930">
        <w:t>Sou</w:t>
      </w:r>
      <w:r>
        <w:t xml:space="preserve">rce: </w:t>
      </w:r>
      <w:r w:rsidRPr="00323930">
        <w:t>ABS Cat. No. 5260.0.55.002 and author estimates</w:t>
      </w:r>
    </w:p>
    <w:p w14:paraId="61698234" w14:textId="77777777" w:rsidR="00375729" w:rsidRDefault="00B736A7" w:rsidP="00F37FA2">
      <w:pPr>
        <w:pStyle w:val="BCRAppendicesSubSubheading"/>
      </w:pPr>
      <w:r>
        <w:t>E.2</w:t>
      </w:r>
      <w:r w:rsidR="00375729">
        <w:t>.1</w:t>
      </w:r>
      <w:r>
        <w:t xml:space="preserve"> </w:t>
      </w:r>
      <w:r w:rsidR="00375729">
        <w:t>IT capital deepening and LP growth</w:t>
      </w:r>
    </w:p>
    <w:p w14:paraId="27B4E51A" w14:textId="77777777" w:rsidR="00375729" w:rsidRPr="009E436A" w:rsidRDefault="00375729" w:rsidP="00375729">
      <w:pPr>
        <w:pStyle w:val="BodyTextNoIndent"/>
      </w:pPr>
      <w:r w:rsidRPr="009E436A">
        <w:t xml:space="preserve">The growth in labour productivity can be decomposed into contributions from capital deepening and multifactor productivity (MFP) growth (section 4). Capital deepening is growth in the capital-labour ratio, multiplied by the share of total industry income attributed to capital. </w:t>
      </w:r>
    </w:p>
    <w:p w14:paraId="61C5D29C" w14:textId="77777777" w:rsidR="00375729" w:rsidRPr="009E436A" w:rsidRDefault="00375729" w:rsidP="00375729">
      <w:pPr>
        <w:pStyle w:val="BodyTextNoIndent"/>
      </w:pPr>
      <w:r w:rsidRPr="009E436A">
        <w:t xml:space="preserve">Labour productivity, the capital-labour ratio and MFP are illustrated in </w:t>
      </w:r>
      <w:r w:rsidR="00401868">
        <w:t>Figure E6</w:t>
      </w:r>
      <w:r w:rsidRPr="009E436A">
        <w:t xml:space="preserve">. MFP increased 34 per cent and the capital-labour ratio grew 83 per cent. (The later needs to be weighted by the capital share of total income, which averaged 0.36, to indicate its contribution to LP growth). </w:t>
      </w:r>
    </w:p>
    <w:p w14:paraId="7D2DA567" w14:textId="77777777" w:rsidR="00375729" w:rsidRDefault="00401868" w:rsidP="007A5BBF">
      <w:pPr>
        <w:pStyle w:val="Figurecaption"/>
      </w:pPr>
      <w:r>
        <w:t>Figure E6</w:t>
      </w:r>
      <w:r w:rsidR="00375729">
        <w:t>: Labour productivity (LP), the capital-labour ratio (K/L) and multifactor productivity (MFP) in TPW (index, 2012–13</w:t>
      </w:r>
      <w:r w:rsidR="006A530A">
        <w:t xml:space="preserve"> = </w:t>
      </w:r>
      <w:r w:rsidR="00375729">
        <w:t>100)</w:t>
      </w:r>
    </w:p>
    <w:p w14:paraId="5B2F4E7C" w14:textId="4F23C504" w:rsidR="00375729" w:rsidRDefault="007A5BBF" w:rsidP="00375729">
      <w:pPr>
        <w:spacing w:after="60"/>
      </w:pPr>
      <w:r>
        <w:rPr>
          <w:noProof/>
          <w:lang w:eastAsia="en-AU"/>
        </w:rPr>
        <w:drawing>
          <wp:inline distT="0" distB="0" distL="0" distR="0" wp14:anchorId="67EF2DF6" wp14:editId="73318E0F">
            <wp:extent cx="5480685" cy="2743200"/>
            <wp:effectExtent l="0" t="0" r="571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80685" cy="2743200"/>
                    </a:xfrm>
                    <a:prstGeom prst="rect">
                      <a:avLst/>
                    </a:prstGeom>
                    <a:noFill/>
                  </pic:spPr>
                </pic:pic>
              </a:graphicData>
            </a:graphic>
          </wp:inline>
        </w:drawing>
      </w:r>
    </w:p>
    <w:p w14:paraId="40E2E4CE" w14:textId="77777777" w:rsidR="00375729" w:rsidRPr="00ED039F" w:rsidRDefault="00375729" w:rsidP="00012248">
      <w:pPr>
        <w:pStyle w:val="SourceNotes"/>
      </w:pPr>
      <w:r>
        <w:t xml:space="preserve">Source: </w:t>
      </w:r>
      <w:r w:rsidRPr="00323930">
        <w:t xml:space="preserve">ABS Cat. No. 5260.0.55.002 </w:t>
      </w:r>
    </w:p>
    <w:p w14:paraId="5B70930B" w14:textId="77777777" w:rsidR="00375729" w:rsidRDefault="00375729" w:rsidP="00375729">
      <w:pPr>
        <w:pStyle w:val="BodyTextNoIndent"/>
      </w:pPr>
      <w:r>
        <w:t xml:space="preserve">The decomposition of LP growth over the cycles is presented in Table </w:t>
      </w:r>
      <w:r w:rsidR="00401868">
        <w:t>E1</w:t>
      </w:r>
      <w:r>
        <w:t>.</w:t>
      </w:r>
    </w:p>
    <w:p w14:paraId="08C5EF88" w14:textId="77777777" w:rsidR="00375729" w:rsidRDefault="00375729" w:rsidP="007A5BBF">
      <w:pPr>
        <w:pStyle w:val="Tablecaption"/>
      </w:pPr>
      <w:r>
        <w:t xml:space="preserve">Table </w:t>
      </w:r>
      <w:r w:rsidR="00401868">
        <w:t>E1</w:t>
      </w:r>
      <w:r>
        <w:t>: Labour productivity growth accounting in TPW (per cent per annum and percentage points)</w:t>
      </w:r>
      <w:r>
        <w:rPr>
          <w:sz w:val="22"/>
          <w:szCs w:val="22"/>
          <w:vertAlign w:val="superscript"/>
        </w:rPr>
        <w:t>a</w:t>
      </w:r>
      <w:r>
        <w:rPr>
          <w:iCs/>
        </w:rPr>
        <w:fldChar w:fldCharType="begin"/>
      </w:r>
      <w:r>
        <w:instrText xml:space="preserve"> LINK Excel.Sheet.12 "\\\\dept.gov.au\\DFS\\Home\\DParham\\desktop\\Docs\\1. GA project\\Industry studies\\Transport\\Transport workbook 150917.xlsx" "LP!R5C44:R12C48" \a \f 4 \h  \* MERGEFORMAT </w:instrText>
      </w:r>
      <w:r>
        <w:rPr>
          <w:iCs/>
        </w:rPr>
        <w:fldChar w:fldCharType="separate"/>
      </w:r>
      <w:r>
        <w:rPr>
          <w:iCs/>
        </w:rPr>
        <w:tab/>
      </w:r>
    </w:p>
    <w:tbl>
      <w:tblPr>
        <w:tblW w:w="8896" w:type="dxa"/>
        <w:tblLayout w:type="fixed"/>
        <w:tblLook w:val="04A0" w:firstRow="1" w:lastRow="0" w:firstColumn="1" w:lastColumn="0" w:noHBand="0" w:noVBand="1"/>
      </w:tblPr>
      <w:tblGrid>
        <w:gridCol w:w="3397"/>
        <w:gridCol w:w="1374"/>
        <w:gridCol w:w="1375"/>
        <w:gridCol w:w="1375"/>
        <w:gridCol w:w="1375"/>
      </w:tblGrid>
      <w:tr w:rsidR="00375729" w:rsidRPr="00D257B2" w14:paraId="0D498510" w14:textId="77777777" w:rsidTr="00301886">
        <w:trPr>
          <w:trHeight w:val="51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2E26A" w14:textId="77777777" w:rsidR="00375729" w:rsidRPr="00D257B2" w:rsidRDefault="00375729" w:rsidP="007A5BBF">
            <w:pPr>
              <w:pStyle w:val="Tablecellheading"/>
            </w:pPr>
          </w:p>
        </w:tc>
        <w:tc>
          <w:tcPr>
            <w:tcW w:w="13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3434C437" w14:textId="77777777" w:rsidR="00375729" w:rsidRPr="00D257B2" w:rsidRDefault="00375729" w:rsidP="007A5BBF">
            <w:pPr>
              <w:pStyle w:val="Tablecellheading"/>
              <w:rPr>
                <w:sz w:val="18"/>
                <w:szCs w:val="18"/>
              </w:rPr>
            </w:pPr>
            <w:r w:rsidRPr="00D257B2">
              <w:rPr>
                <w:sz w:val="18"/>
                <w:szCs w:val="18"/>
              </w:rPr>
              <w:t>1992</w:t>
            </w:r>
            <w:r>
              <w:rPr>
                <w:sz w:val="18"/>
                <w:szCs w:val="18"/>
              </w:rPr>
              <w:t>–</w:t>
            </w:r>
            <w:r w:rsidRPr="00D257B2">
              <w:rPr>
                <w:sz w:val="18"/>
                <w:szCs w:val="18"/>
              </w:rPr>
              <w:t>93 to 1996</w:t>
            </w:r>
            <w:r>
              <w:rPr>
                <w:sz w:val="18"/>
                <w:szCs w:val="18"/>
              </w:rPr>
              <w:t>–</w:t>
            </w:r>
            <w:r w:rsidRPr="00D257B2">
              <w:rPr>
                <w:sz w:val="18"/>
                <w:szCs w:val="18"/>
              </w:rPr>
              <w:t>97</w:t>
            </w:r>
          </w:p>
        </w:tc>
        <w:tc>
          <w:tcPr>
            <w:tcW w:w="13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6758454C" w14:textId="77777777" w:rsidR="00375729" w:rsidRPr="00D257B2" w:rsidRDefault="00375729" w:rsidP="007A5BBF">
            <w:pPr>
              <w:pStyle w:val="Tablecellheading"/>
              <w:rPr>
                <w:sz w:val="18"/>
                <w:szCs w:val="18"/>
              </w:rPr>
            </w:pPr>
            <w:r w:rsidRPr="00D257B2">
              <w:rPr>
                <w:sz w:val="18"/>
                <w:szCs w:val="18"/>
              </w:rPr>
              <w:t>1996</w:t>
            </w:r>
            <w:r>
              <w:rPr>
                <w:sz w:val="18"/>
                <w:szCs w:val="18"/>
              </w:rPr>
              <w:t>–</w:t>
            </w:r>
            <w:r w:rsidRPr="00D257B2">
              <w:rPr>
                <w:sz w:val="18"/>
                <w:szCs w:val="18"/>
              </w:rPr>
              <w:t>97 to 2002</w:t>
            </w:r>
            <w:r>
              <w:rPr>
                <w:sz w:val="18"/>
                <w:szCs w:val="18"/>
              </w:rPr>
              <w:t>–</w:t>
            </w:r>
            <w:r w:rsidRPr="00D257B2">
              <w:rPr>
                <w:sz w:val="18"/>
                <w:szCs w:val="18"/>
              </w:rPr>
              <w:t>03</w:t>
            </w:r>
          </w:p>
        </w:tc>
        <w:tc>
          <w:tcPr>
            <w:tcW w:w="13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40677436" w14:textId="77777777" w:rsidR="00375729" w:rsidRPr="00D257B2" w:rsidRDefault="00375729" w:rsidP="007A5BBF">
            <w:pPr>
              <w:pStyle w:val="Tablecellheading"/>
              <w:rPr>
                <w:sz w:val="18"/>
                <w:szCs w:val="18"/>
              </w:rPr>
            </w:pPr>
            <w:r w:rsidRPr="00D257B2">
              <w:rPr>
                <w:sz w:val="18"/>
                <w:szCs w:val="18"/>
              </w:rPr>
              <w:t>2002</w:t>
            </w:r>
            <w:r>
              <w:rPr>
                <w:sz w:val="18"/>
                <w:szCs w:val="18"/>
              </w:rPr>
              <w:t>–</w:t>
            </w:r>
            <w:r w:rsidRPr="00D257B2">
              <w:rPr>
                <w:sz w:val="18"/>
                <w:szCs w:val="18"/>
              </w:rPr>
              <w:t>03 to 2006</w:t>
            </w:r>
            <w:r>
              <w:rPr>
                <w:sz w:val="18"/>
                <w:szCs w:val="18"/>
              </w:rPr>
              <w:t>–</w:t>
            </w:r>
            <w:r w:rsidRPr="00D257B2">
              <w:rPr>
                <w:sz w:val="18"/>
                <w:szCs w:val="18"/>
              </w:rPr>
              <w:t>07</w:t>
            </w:r>
          </w:p>
        </w:tc>
        <w:tc>
          <w:tcPr>
            <w:tcW w:w="1375"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5BE22244" w14:textId="77777777" w:rsidR="00375729" w:rsidRPr="00D257B2" w:rsidRDefault="00375729" w:rsidP="007A5BBF">
            <w:pPr>
              <w:pStyle w:val="Tablecellheading"/>
              <w:rPr>
                <w:sz w:val="18"/>
                <w:szCs w:val="18"/>
              </w:rPr>
            </w:pPr>
            <w:r w:rsidRPr="00D257B2">
              <w:rPr>
                <w:sz w:val="18"/>
                <w:szCs w:val="18"/>
              </w:rPr>
              <w:t>2006</w:t>
            </w:r>
            <w:r>
              <w:rPr>
                <w:sz w:val="18"/>
                <w:szCs w:val="18"/>
              </w:rPr>
              <w:t>–</w:t>
            </w:r>
            <w:r w:rsidRPr="00D257B2">
              <w:rPr>
                <w:sz w:val="18"/>
                <w:szCs w:val="18"/>
              </w:rPr>
              <w:t>07 to 2012</w:t>
            </w:r>
            <w:r>
              <w:rPr>
                <w:sz w:val="18"/>
                <w:szCs w:val="18"/>
              </w:rPr>
              <w:t>–</w:t>
            </w:r>
            <w:r w:rsidRPr="00D257B2">
              <w:rPr>
                <w:sz w:val="18"/>
                <w:szCs w:val="18"/>
              </w:rPr>
              <w:t>13</w:t>
            </w:r>
          </w:p>
        </w:tc>
      </w:tr>
      <w:tr w:rsidR="00375729" w:rsidRPr="00D257B2" w14:paraId="43138CDB" w14:textId="77777777" w:rsidTr="00301886">
        <w:trPr>
          <w:trHeight w:val="330"/>
        </w:trPr>
        <w:tc>
          <w:tcPr>
            <w:tcW w:w="3397" w:type="dxa"/>
            <w:tcBorders>
              <w:top w:val="single" w:sz="4" w:space="0" w:color="auto"/>
              <w:left w:val="single" w:sz="4" w:space="0" w:color="auto"/>
              <w:bottom w:val="nil"/>
              <w:right w:val="single" w:sz="4" w:space="0" w:color="auto"/>
            </w:tcBorders>
            <w:shd w:val="clear" w:color="auto" w:fill="auto"/>
            <w:noWrap/>
            <w:vAlign w:val="center"/>
            <w:hideMark/>
          </w:tcPr>
          <w:p w14:paraId="5882820A" w14:textId="77777777" w:rsidR="00375729" w:rsidRPr="00CF3D6E" w:rsidRDefault="00375729" w:rsidP="007A5BBF">
            <w:pPr>
              <w:pStyle w:val="Tablecellsub-heading"/>
            </w:pPr>
            <w:r w:rsidRPr="00CF3D6E">
              <w:t>Capital deepening (pp)</w:t>
            </w:r>
          </w:p>
        </w:tc>
        <w:tc>
          <w:tcPr>
            <w:tcW w:w="1374"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21C3A18F" w14:textId="77777777" w:rsidR="00375729" w:rsidRPr="00CF3D6E" w:rsidRDefault="00375729" w:rsidP="007A5BBF">
            <w:pPr>
              <w:pStyle w:val="Tabletext"/>
            </w:pPr>
            <w:r w:rsidRPr="00CF3D6E">
              <w:t>-0.4</w:t>
            </w:r>
          </w:p>
        </w:tc>
        <w:tc>
          <w:tcPr>
            <w:tcW w:w="137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6919C250" w14:textId="77777777" w:rsidR="00375729" w:rsidRPr="00CF3D6E" w:rsidRDefault="00375729" w:rsidP="007A5BBF">
            <w:pPr>
              <w:pStyle w:val="Tabletext"/>
            </w:pPr>
            <w:r w:rsidRPr="00CF3D6E">
              <w:t>0.8 (28)</w:t>
            </w:r>
          </w:p>
        </w:tc>
        <w:tc>
          <w:tcPr>
            <w:tcW w:w="137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1C406F53" w14:textId="77777777" w:rsidR="00375729" w:rsidRPr="00CF3D6E" w:rsidRDefault="00375729" w:rsidP="007A5BBF">
            <w:pPr>
              <w:pStyle w:val="Tabletext"/>
            </w:pPr>
            <w:r w:rsidRPr="00CF3D6E">
              <w:t>1.3 (64)</w:t>
            </w:r>
          </w:p>
        </w:tc>
        <w:tc>
          <w:tcPr>
            <w:tcW w:w="1375"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6EFB8B15" w14:textId="77777777" w:rsidR="00375729" w:rsidRPr="00CF3D6E" w:rsidRDefault="00375729" w:rsidP="007A5BBF">
            <w:pPr>
              <w:pStyle w:val="Tabletext"/>
            </w:pPr>
            <w:r w:rsidRPr="00CF3D6E">
              <w:t>1.3</w:t>
            </w:r>
          </w:p>
        </w:tc>
      </w:tr>
      <w:tr w:rsidR="00375729" w:rsidRPr="00D257B2" w14:paraId="7BCA4287"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600F7A82" w14:textId="77777777" w:rsidR="00375729" w:rsidRPr="00D257B2" w:rsidRDefault="00375729" w:rsidP="007A5BBF">
            <w:pPr>
              <w:pStyle w:val="Tablecellsub-heading"/>
            </w:pPr>
            <w:r>
              <w:t>IT</w:t>
            </w:r>
            <w:r w:rsidRPr="00D257B2">
              <w:t xml:space="preserve"> capital deepening</w:t>
            </w:r>
            <w:r>
              <w:t xml:space="preserve"> (pp)</w:t>
            </w:r>
          </w:p>
        </w:tc>
        <w:tc>
          <w:tcPr>
            <w:tcW w:w="1374" w:type="dxa"/>
            <w:tcBorders>
              <w:top w:val="nil"/>
              <w:left w:val="single" w:sz="4" w:space="0" w:color="auto"/>
              <w:bottom w:val="nil"/>
              <w:right w:val="single" w:sz="4" w:space="0" w:color="BFBFBF" w:themeColor="background1" w:themeShade="BF"/>
            </w:tcBorders>
            <w:shd w:val="clear" w:color="auto" w:fill="auto"/>
            <w:noWrap/>
            <w:vAlign w:val="center"/>
            <w:hideMark/>
          </w:tcPr>
          <w:p w14:paraId="4CDBBBF8" w14:textId="77777777" w:rsidR="00375729" w:rsidRPr="00451B36" w:rsidRDefault="00375729" w:rsidP="007A5BBF">
            <w:pPr>
              <w:pStyle w:val="Tabletext"/>
            </w:pPr>
            <w:r w:rsidRPr="00451B36">
              <w:t>-0.2</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24C704C5" w14:textId="77777777" w:rsidR="00375729" w:rsidRPr="00451B36" w:rsidRDefault="00375729" w:rsidP="007A5BBF">
            <w:pPr>
              <w:pStyle w:val="Tabletext"/>
            </w:pPr>
            <w:r w:rsidRPr="00451B36">
              <w:t xml:space="preserve">0.2 </w:t>
            </w:r>
            <w:r w:rsidRPr="00CF3D6E">
              <w:t>(6)</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20EADB8" w14:textId="77777777" w:rsidR="00375729" w:rsidRPr="00451B36" w:rsidRDefault="00375729" w:rsidP="007A5BBF">
            <w:pPr>
              <w:pStyle w:val="Tabletext"/>
            </w:pPr>
            <w:r w:rsidRPr="00451B36">
              <w:t xml:space="preserve">0.0 </w:t>
            </w:r>
            <w:r w:rsidRPr="00CF3D6E">
              <w:t>(0)</w:t>
            </w:r>
          </w:p>
        </w:tc>
        <w:tc>
          <w:tcPr>
            <w:tcW w:w="1375" w:type="dxa"/>
            <w:tcBorders>
              <w:top w:val="nil"/>
              <w:left w:val="single" w:sz="4" w:space="0" w:color="BFBFBF" w:themeColor="background1" w:themeShade="BF"/>
              <w:bottom w:val="nil"/>
              <w:right w:val="single" w:sz="4" w:space="0" w:color="auto"/>
            </w:tcBorders>
            <w:shd w:val="clear" w:color="auto" w:fill="auto"/>
            <w:noWrap/>
            <w:vAlign w:val="center"/>
            <w:hideMark/>
          </w:tcPr>
          <w:p w14:paraId="082B2F82" w14:textId="77777777" w:rsidR="00375729" w:rsidRPr="00451B36" w:rsidRDefault="00375729" w:rsidP="007A5BBF">
            <w:pPr>
              <w:pStyle w:val="Tabletext"/>
            </w:pPr>
            <w:r w:rsidRPr="00451B36">
              <w:t>-0.1</w:t>
            </w:r>
          </w:p>
        </w:tc>
      </w:tr>
      <w:tr w:rsidR="00375729" w:rsidRPr="00D257B2" w14:paraId="08B8C66A"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19671DA3" w14:textId="77777777" w:rsidR="00375729" w:rsidRPr="00CF3D6E" w:rsidRDefault="0058764D" w:rsidP="007A5BBF">
            <w:pPr>
              <w:pStyle w:val="Tablecellsub-heading"/>
              <w:rPr>
                <w:i/>
              </w:rPr>
            </w:pPr>
            <w:r>
              <w:rPr>
                <w:i/>
              </w:rPr>
              <w:t>H</w:t>
            </w:r>
            <w:r w:rsidR="00375729" w:rsidRPr="00CF3D6E">
              <w:rPr>
                <w:i/>
              </w:rPr>
              <w:t>ardware (pp)</w:t>
            </w:r>
          </w:p>
        </w:tc>
        <w:tc>
          <w:tcPr>
            <w:tcW w:w="1374" w:type="dxa"/>
            <w:tcBorders>
              <w:top w:val="nil"/>
              <w:left w:val="single" w:sz="4" w:space="0" w:color="auto"/>
              <w:bottom w:val="nil"/>
              <w:right w:val="single" w:sz="4" w:space="0" w:color="BFBFBF" w:themeColor="background1" w:themeShade="BF"/>
            </w:tcBorders>
            <w:shd w:val="clear" w:color="auto" w:fill="auto"/>
            <w:noWrap/>
            <w:vAlign w:val="bottom"/>
            <w:hideMark/>
          </w:tcPr>
          <w:p w14:paraId="23E8B070" w14:textId="77777777" w:rsidR="00375729" w:rsidRPr="00CF3D6E" w:rsidRDefault="00375729" w:rsidP="007A5BBF">
            <w:pPr>
              <w:pStyle w:val="Tabletext"/>
              <w:rPr>
                <w:i/>
              </w:rPr>
            </w:pPr>
            <w:r w:rsidRPr="00CF3D6E">
              <w:rPr>
                <w:i/>
              </w:rPr>
              <w:t>-0.3</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30C57156" w14:textId="77777777" w:rsidR="00375729" w:rsidRPr="00CF3D6E" w:rsidRDefault="00375729" w:rsidP="007A5BBF">
            <w:pPr>
              <w:pStyle w:val="Tabletext"/>
              <w:rPr>
                <w:i/>
              </w:rPr>
            </w:pPr>
            <w:r w:rsidRPr="00CF3D6E">
              <w:rPr>
                <w:i/>
              </w:rPr>
              <w:t>0.1</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199B002" w14:textId="77777777" w:rsidR="00375729" w:rsidRPr="00CF3D6E" w:rsidRDefault="00375729" w:rsidP="007A5BBF">
            <w:pPr>
              <w:pStyle w:val="Tabletext"/>
              <w:rPr>
                <w:i/>
              </w:rPr>
            </w:pPr>
            <w:r w:rsidRPr="00CF3D6E">
              <w:rPr>
                <w:i/>
              </w:rPr>
              <w:t>0.1</w:t>
            </w:r>
          </w:p>
        </w:tc>
        <w:tc>
          <w:tcPr>
            <w:tcW w:w="1375" w:type="dxa"/>
            <w:tcBorders>
              <w:top w:val="nil"/>
              <w:left w:val="single" w:sz="4" w:space="0" w:color="BFBFBF" w:themeColor="background1" w:themeShade="BF"/>
              <w:bottom w:val="nil"/>
              <w:right w:val="single" w:sz="4" w:space="0" w:color="auto"/>
            </w:tcBorders>
            <w:shd w:val="clear" w:color="auto" w:fill="auto"/>
            <w:noWrap/>
            <w:vAlign w:val="bottom"/>
            <w:hideMark/>
          </w:tcPr>
          <w:p w14:paraId="2002064F" w14:textId="77777777" w:rsidR="00375729" w:rsidRPr="00CF3D6E" w:rsidRDefault="00375729" w:rsidP="007A5BBF">
            <w:pPr>
              <w:pStyle w:val="Tabletext"/>
              <w:rPr>
                <w:i/>
              </w:rPr>
            </w:pPr>
            <w:r w:rsidRPr="00CF3D6E">
              <w:rPr>
                <w:i/>
              </w:rPr>
              <w:t>-0.1</w:t>
            </w:r>
          </w:p>
        </w:tc>
      </w:tr>
      <w:tr w:rsidR="00375729" w:rsidRPr="00D257B2" w14:paraId="004931FE"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33A08F73" w14:textId="77777777" w:rsidR="00375729" w:rsidRPr="00CF3D6E" w:rsidRDefault="0058764D" w:rsidP="007A5BBF">
            <w:pPr>
              <w:pStyle w:val="Tablecellsub-heading"/>
              <w:rPr>
                <w:i/>
              </w:rPr>
            </w:pPr>
            <w:r>
              <w:rPr>
                <w:i/>
              </w:rPr>
              <w:t>S</w:t>
            </w:r>
            <w:r w:rsidR="00375729" w:rsidRPr="00CF3D6E">
              <w:rPr>
                <w:i/>
              </w:rPr>
              <w:t>oftware (pp)</w:t>
            </w:r>
          </w:p>
        </w:tc>
        <w:tc>
          <w:tcPr>
            <w:tcW w:w="1374" w:type="dxa"/>
            <w:tcBorders>
              <w:top w:val="nil"/>
              <w:left w:val="single" w:sz="4" w:space="0" w:color="auto"/>
              <w:bottom w:val="nil"/>
              <w:right w:val="single" w:sz="4" w:space="0" w:color="BFBFBF" w:themeColor="background1" w:themeShade="BF"/>
            </w:tcBorders>
            <w:shd w:val="clear" w:color="auto" w:fill="auto"/>
            <w:noWrap/>
            <w:vAlign w:val="bottom"/>
            <w:hideMark/>
          </w:tcPr>
          <w:p w14:paraId="31ABF86F" w14:textId="77777777" w:rsidR="00375729" w:rsidRPr="00CF3D6E" w:rsidRDefault="00375729" w:rsidP="007A5BBF">
            <w:pPr>
              <w:pStyle w:val="Tabletext"/>
              <w:rPr>
                <w:i/>
              </w:rPr>
            </w:pPr>
            <w:r w:rsidRPr="00CF3D6E">
              <w:rPr>
                <w:i/>
              </w:rPr>
              <w:t>0.0</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2D668302" w14:textId="77777777" w:rsidR="00375729" w:rsidRPr="00CF3D6E" w:rsidRDefault="00375729" w:rsidP="007A5BBF">
            <w:pPr>
              <w:pStyle w:val="Tabletext"/>
              <w:rPr>
                <w:i/>
              </w:rPr>
            </w:pPr>
            <w:r w:rsidRPr="00CF3D6E">
              <w:rPr>
                <w:i/>
              </w:rPr>
              <w:t>0.1</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50BC9E8B" w14:textId="77777777" w:rsidR="00375729" w:rsidRPr="00CF3D6E" w:rsidRDefault="00375729" w:rsidP="007A5BBF">
            <w:pPr>
              <w:pStyle w:val="Tabletext"/>
              <w:rPr>
                <w:i/>
              </w:rPr>
            </w:pPr>
            <w:r w:rsidRPr="00CF3D6E">
              <w:rPr>
                <w:i/>
              </w:rPr>
              <w:t>-0.1</w:t>
            </w:r>
          </w:p>
        </w:tc>
        <w:tc>
          <w:tcPr>
            <w:tcW w:w="1375" w:type="dxa"/>
            <w:tcBorders>
              <w:top w:val="nil"/>
              <w:left w:val="single" w:sz="4" w:space="0" w:color="BFBFBF" w:themeColor="background1" w:themeShade="BF"/>
              <w:bottom w:val="nil"/>
              <w:right w:val="single" w:sz="4" w:space="0" w:color="auto"/>
            </w:tcBorders>
            <w:shd w:val="clear" w:color="auto" w:fill="auto"/>
            <w:noWrap/>
            <w:vAlign w:val="bottom"/>
            <w:hideMark/>
          </w:tcPr>
          <w:p w14:paraId="6F1B2AE3" w14:textId="77777777" w:rsidR="00375729" w:rsidRPr="00CF3D6E" w:rsidRDefault="00375729" w:rsidP="007A5BBF">
            <w:pPr>
              <w:pStyle w:val="Tabletext"/>
              <w:rPr>
                <w:i/>
              </w:rPr>
            </w:pPr>
            <w:r w:rsidRPr="00CF3D6E">
              <w:rPr>
                <w:i/>
              </w:rPr>
              <w:t>0.0</w:t>
            </w:r>
          </w:p>
        </w:tc>
      </w:tr>
      <w:tr w:rsidR="00375729" w:rsidRPr="00D257B2" w14:paraId="413EA493"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130F8391" w14:textId="77777777" w:rsidR="00375729" w:rsidRPr="00D257B2" w:rsidRDefault="00375729" w:rsidP="007A5BBF">
            <w:pPr>
              <w:pStyle w:val="Tablecellsub-heading"/>
            </w:pPr>
            <w:r w:rsidRPr="00D257B2">
              <w:t>Non-</w:t>
            </w:r>
            <w:r>
              <w:t>IT</w:t>
            </w:r>
            <w:r w:rsidRPr="00D257B2">
              <w:t xml:space="preserve"> capital deepening</w:t>
            </w:r>
            <w:r>
              <w:t xml:space="preserve"> (pp)</w:t>
            </w:r>
          </w:p>
        </w:tc>
        <w:tc>
          <w:tcPr>
            <w:tcW w:w="1374" w:type="dxa"/>
            <w:tcBorders>
              <w:top w:val="nil"/>
              <w:left w:val="single" w:sz="4" w:space="0" w:color="auto"/>
              <w:bottom w:val="nil"/>
              <w:right w:val="single" w:sz="4" w:space="0" w:color="BFBFBF" w:themeColor="background1" w:themeShade="BF"/>
            </w:tcBorders>
            <w:shd w:val="clear" w:color="auto" w:fill="auto"/>
            <w:noWrap/>
            <w:vAlign w:val="center"/>
            <w:hideMark/>
          </w:tcPr>
          <w:p w14:paraId="5536FE2F" w14:textId="77777777" w:rsidR="00375729" w:rsidRPr="00451B36" w:rsidRDefault="00375729" w:rsidP="007A5BBF">
            <w:pPr>
              <w:pStyle w:val="Tabletext"/>
            </w:pPr>
            <w:r w:rsidRPr="00451B36">
              <w:t>-0.1</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39C2353C" w14:textId="77777777" w:rsidR="00375729" w:rsidRPr="00451B36" w:rsidRDefault="00375729" w:rsidP="007A5BBF">
            <w:pPr>
              <w:pStyle w:val="Tabletext"/>
            </w:pPr>
            <w:r w:rsidRPr="00451B36">
              <w:t xml:space="preserve">0.6 </w:t>
            </w:r>
            <w:r w:rsidRPr="00CF3D6E">
              <w:t>(22)</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6A811AE2" w14:textId="77777777" w:rsidR="00375729" w:rsidRPr="00451B36" w:rsidRDefault="00375729" w:rsidP="007A5BBF">
            <w:pPr>
              <w:pStyle w:val="Tabletext"/>
            </w:pPr>
            <w:r w:rsidRPr="00451B36">
              <w:t xml:space="preserve">1.3 </w:t>
            </w:r>
            <w:r w:rsidRPr="00CF3D6E">
              <w:t>(64)</w:t>
            </w:r>
          </w:p>
        </w:tc>
        <w:tc>
          <w:tcPr>
            <w:tcW w:w="1375" w:type="dxa"/>
            <w:tcBorders>
              <w:top w:val="nil"/>
              <w:left w:val="single" w:sz="4" w:space="0" w:color="BFBFBF" w:themeColor="background1" w:themeShade="BF"/>
              <w:bottom w:val="nil"/>
              <w:right w:val="single" w:sz="4" w:space="0" w:color="auto"/>
            </w:tcBorders>
            <w:shd w:val="clear" w:color="auto" w:fill="auto"/>
            <w:noWrap/>
            <w:vAlign w:val="center"/>
            <w:hideMark/>
          </w:tcPr>
          <w:p w14:paraId="75F13301" w14:textId="77777777" w:rsidR="00375729" w:rsidRPr="00451B36" w:rsidRDefault="00375729" w:rsidP="007A5BBF">
            <w:pPr>
              <w:pStyle w:val="Tabletext"/>
            </w:pPr>
            <w:r w:rsidRPr="00451B36">
              <w:t>1.4</w:t>
            </w:r>
          </w:p>
        </w:tc>
      </w:tr>
      <w:tr w:rsidR="00375729" w:rsidRPr="00D257B2" w14:paraId="353F65AB"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1B3C74F2" w14:textId="77777777" w:rsidR="00375729" w:rsidRPr="00CF3D6E" w:rsidRDefault="00375729" w:rsidP="007A5BBF">
            <w:pPr>
              <w:pStyle w:val="Tablecellsub-heading"/>
            </w:pPr>
            <w:r w:rsidRPr="00CF3D6E">
              <w:t>MFP growth (pp)</w:t>
            </w:r>
          </w:p>
        </w:tc>
        <w:tc>
          <w:tcPr>
            <w:tcW w:w="1374" w:type="dxa"/>
            <w:tcBorders>
              <w:top w:val="nil"/>
              <w:left w:val="single" w:sz="4" w:space="0" w:color="auto"/>
              <w:bottom w:val="nil"/>
              <w:right w:val="single" w:sz="4" w:space="0" w:color="BFBFBF" w:themeColor="background1" w:themeShade="BF"/>
            </w:tcBorders>
            <w:shd w:val="clear" w:color="auto" w:fill="auto"/>
            <w:noWrap/>
            <w:vAlign w:val="center"/>
            <w:hideMark/>
          </w:tcPr>
          <w:p w14:paraId="795F1DB6" w14:textId="77777777" w:rsidR="00375729" w:rsidRPr="00CF3D6E" w:rsidRDefault="00375729" w:rsidP="007A5BBF">
            <w:pPr>
              <w:pStyle w:val="Tabletext"/>
            </w:pPr>
            <w:r w:rsidRPr="00CF3D6E">
              <w:t>3.0</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103B8FD" w14:textId="77777777" w:rsidR="00375729" w:rsidRPr="00CF3D6E" w:rsidRDefault="00375729" w:rsidP="007A5BBF">
            <w:pPr>
              <w:pStyle w:val="Tabletext"/>
            </w:pPr>
            <w:r w:rsidRPr="00CF3D6E">
              <w:t>2.1 (72)</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16DCB514" w14:textId="77777777" w:rsidR="00375729" w:rsidRPr="00CF3D6E" w:rsidRDefault="00375729" w:rsidP="007A5BBF">
            <w:pPr>
              <w:pStyle w:val="Tabletext"/>
            </w:pPr>
            <w:r w:rsidRPr="00CF3D6E">
              <w:t>0.8 (36)</w:t>
            </w:r>
          </w:p>
        </w:tc>
        <w:tc>
          <w:tcPr>
            <w:tcW w:w="1375" w:type="dxa"/>
            <w:tcBorders>
              <w:top w:val="nil"/>
              <w:left w:val="single" w:sz="4" w:space="0" w:color="BFBFBF" w:themeColor="background1" w:themeShade="BF"/>
              <w:bottom w:val="nil"/>
              <w:right w:val="single" w:sz="4" w:space="0" w:color="auto"/>
            </w:tcBorders>
            <w:shd w:val="clear" w:color="auto" w:fill="auto"/>
            <w:noWrap/>
            <w:vAlign w:val="center"/>
            <w:hideMark/>
          </w:tcPr>
          <w:p w14:paraId="2C1B7AB6" w14:textId="77777777" w:rsidR="00375729" w:rsidRPr="00CF3D6E" w:rsidRDefault="00375729" w:rsidP="007A5BBF">
            <w:pPr>
              <w:pStyle w:val="Tabletext"/>
            </w:pPr>
            <w:r w:rsidRPr="00CF3D6E">
              <w:t>-0.1</w:t>
            </w:r>
          </w:p>
        </w:tc>
      </w:tr>
      <w:tr w:rsidR="00375729" w:rsidRPr="00D257B2" w14:paraId="029A1FD8" w14:textId="77777777" w:rsidTr="00301886">
        <w:trPr>
          <w:trHeight w:val="33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C2C2AE2" w14:textId="77777777" w:rsidR="00375729" w:rsidRPr="00CF3D6E" w:rsidRDefault="00375729" w:rsidP="007A5BBF">
            <w:pPr>
              <w:pStyle w:val="Tablecellsub-heading"/>
            </w:pPr>
            <w:r w:rsidRPr="00CF3D6E">
              <w:t>Labour productivity growth (%pa)</w:t>
            </w:r>
          </w:p>
        </w:tc>
        <w:tc>
          <w:tcPr>
            <w:tcW w:w="1374"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2576112C" w14:textId="77777777" w:rsidR="00375729" w:rsidRPr="00CF3D6E" w:rsidRDefault="00375729" w:rsidP="007A5BBF">
            <w:pPr>
              <w:pStyle w:val="Tabletext"/>
            </w:pPr>
            <w:r w:rsidRPr="00CF3D6E">
              <w:t>2.6</w:t>
            </w:r>
          </w:p>
        </w:tc>
        <w:tc>
          <w:tcPr>
            <w:tcW w:w="137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3D7D7C22" w14:textId="77777777" w:rsidR="00375729" w:rsidRPr="00CF3D6E" w:rsidRDefault="00375729" w:rsidP="007A5BBF">
            <w:pPr>
              <w:pStyle w:val="Tabletext"/>
            </w:pPr>
            <w:r w:rsidRPr="00CF3D6E">
              <w:t>2.9 (100)</w:t>
            </w:r>
          </w:p>
        </w:tc>
        <w:tc>
          <w:tcPr>
            <w:tcW w:w="137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120FF235" w14:textId="77777777" w:rsidR="00375729" w:rsidRPr="00CF3D6E" w:rsidRDefault="00375729" w:rsidP="007A5BBF">
            <w:pPr>
              <w:pStyle w:val="Tabletext"/>
            </w:pPr>
            <w:r w:rsidRPr="00CF3D6E">
              <w:t>2.1 (100)</w:t>
            </w:r>
          </w:p>
        </w:tc>
        <w:tc>
          <w:tcPr>
            <w:tcW w:w="1375"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08CB842B" w14:textId="77777777" w:rsidR="00375729" w:rsidRPr="00CF3D6E" w:rsidRDefault="00375729" w:rsidP="007A5BBF">
            <w:pPr>
              <w:pStyle w:val="Tabletext"/>
            </w:pPr>
            <w:r w:rsidRPr="00CF3D6E">
              <w:t>1.2</w:t>
            </w:r>
          </w:p>
        </w:tc>
      </w:tr>
    </w:tbl>
    <w:p w14:paraId="644A94C0" w14:textId="77777777" w:rsidR="007A5BBF" w:rsidRDefault="00375729" w:rsidP="00012248">
      <w:pPr>
        <w:pStyle w:val="SourceNotes"/>
      </w:pPr>
      <w:r>
        <w:fldChar w:fldCharType="end"/>
      </w:r>
      <w:r>
        <w:t>Note: a. Figures in brackets refer to percentages of labour productivity growth</w:t>
      </w:r>
      <w:r w:rsidR="008E1F28">
        <w:t>. N</w:t>
      </w:r>
      <w:r w:rsidR="008E1F28" w:rsidRPr="00CF3D6E">
        <w:t>umbers may not add up due to rounding</w:t>
      </w:r>
    </w:p>
    <w:p w14:paraId="6DC45A1D" w14:textId="1C398875" w:rsidR="00375729" w:rsidRDefault="00375729" w:rsidP="00012248">
      <w:pPr>
        <w:pStyle w:val="SourceNotes"/>
      </w:pPr>
      <w:r>
        <w:t xml:space="preserve">Source: </w:t>
      </w:r>
      <w:r w:rsidRPr="00F07285">
        <w:t>Author estimates</w:t>
      </w:r>
    </w:p>
    <w:p w14:paraId="20C1F0AB" w14:textId="77777777" w:rsidR="00375729" w:rsidRDefault="00375729" w:rsidP="00375729">
      <w:pPr>
        <w:pStyle w:val="BodyTextNoIndent"/>
      </w:pPr>
      <w:r>
        <w:t xml:space="preserve">The contribution of IT capital deepening is small, and even negative, in this sector. </w:t>
      </w:r>
    </w:p>
    <w:p w14:paraId="4B3A8A57" w14:textId="77777777" w:rsidR="00375729" w:rsidRDefault="00B736A7" w:rsidP="00F37FA2">
      <w:pPr>
        <w:pStyle w:val="BCRAppendicesSubSubheading"/>
      </w:pPr>
      <w:r>
        <w:t>E.2</w:t>
      </w:r>
      <w:r w:rsidR="00375729">
        <w:t>.2 IT use and skills</w:t>
      </w:r>
    </w:p>
    <w:p w14:paraId="1FDA0A9E" w14:textId="77777777" w:rsidR="00375729" w:rsidRPr="009E436A" w:rsidRDefault="00375729" w:rsidP="00375729">
      <w:pPr>
        <w:pStyle w:val="BodyTextNoIndent"/>
      </w:pPr>
      <w:r w:rsidRPr="009E436A">
        <w:t xml:space="preserve">The average skill level increased by 8 per cent between 1989–90 and 2013–14. Even though the stock of IT </w:t>
      </w:r>
      <w:r w:rsidRPr="00855EC7">
        <w:t xml:space="preserve">capital increased </w:t>
      </w:r>
      <w:r w:rsidR="0012427B" w:rsidRPr="00855EC7">
        <w:t>a lot</w:t>
      </w:r>
      <w:r w:rsidR="0012427B">
        <w:t xml:space="preserve"> </w:t>
      </w:r>
      <w:r w:rsidRPr="009E436A">
        <w:t>more, there was a high degree of correlation between the two. The correlation coefficient between IT capital and the index of skill composition is 0.93.</w:t>
      </w:r>
    </w:p>
    <w:p w14:paraId="0AD60F2A" w14:textId="77777777" w:rsidR="00375729" w:rsidRPr="009B02C8" w:rsidRDefault="00B736A7" w:rsidP="00F37FA2">
      <w:pPr>
        <w:pStyle w:val="BCRAppendicesSubheading"/>
      </w:pPr>
      <w:r>
        <w:t xml:space="preserve">E.3 </w:t>
      </w:r>
      <w:r w:rsidR="00375729">
        <w:t>IT, asset use and capital productivity</w:t>
      </w:r>
    </w:p>
    <w:p w14:paraId="511087D6" w14:textId="77777777" w:rsidR="00375729" w:rsidRPr="009E436A" w:rsidRDefault="00375729" w:rsidP="00375729">
      <w:r w:rsidRPr="009E436A">
        <w:t xml:space="preserve">The productivity of total capital and of non-IT capital is shown </w:t>
      </w:r>
      <w:r w:rsidR="00401868">
        <w:t>Figure E7</w:t>
      </w:r>
      <w:r w:rsidRPr="009E436A">
        <w:t xml:space="preserve">. </w:t>
      </w:r>
    </w:p>
    <w:p w14:paraId="023804D2" w14:textId="77777777" w:rsidR="00375729" w:rsidRPr="009E436A" w:rsidRDefault="00375729" w:rsidP="00375729">
      <w:r w:rsidRPr="009E436A">
        <w:t>Non-IT capital productivity can be divided into two contrasting periods. It grew by 8 per cent overall, with 25 percentage points of growth before 2002–03 offset by 17 percentage points of decline after this. IT growth was correlated with non-IT productivity in the earlier period to produce a coefficient of 0.92, but not in the later period.</w:t>
      </w:r>
    </w:p>
    <w:p w14:paraId="3A1DAB3B" w14:textId="77777777" w:rsidR="00375729" w:rsidRDefault="00375729" w:rsidP="007A5BBF">
      <w:pPr>
        <w:pStyle w:val="Figurecaption"/>
      </w:pPr>
      <w:r>
        <w:t xml:space="preserve">Figure </w:t>
      </w:r>
      <w:r w:rsidR="00401868">
        <w:t>E7</w:t>
      </w:r>
      <w:r>
        <w:t>: Capital productivity of all assets and non-IT assets in TPW (index, 2012–13</w:t>
      </w:r>
      <w:r w:rsidR="006A530A">
        <w:t xml:space="preserve"> = </w:t>
      </w:r>
      <w:r>
        <w:t>100)</w:t>
      </w:r>
    </w:p>
    <w:p w14:paraId="1F3EC018" w14:textId="0BB39F3E" w:rsidR="00375729" w:rsidRDefault="007A5BBF" w:rsidP="00375729">
      <w:pPr>
        <w:spacing w:after="60"/>
        <w:rPr>
          <w:noProof/>
          <w:lang w:eastAsia="en-AU"/>
        </w:rPr>
      </w:pPr>
      <w:r>
        <w:rPr>
          <w:noProof/>
          <w:lang w:eastAsia="en-AU"/>
        </w:rPr>
        <w:drawing>
          <wp:inline distT="0" distB="0" distL="0" distR="0" wp14:anchorId="3BBDDA13" wp14:editId="109DAAF1">
            <wp:extent cx="5358765" cy="2773680"/>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58765" cy="2773680"/>
                    </a:xfrm>
                    <a:prstGeom prst="rect">
                      <a:avLst/>
                    </a:prstGeom>
                    <a:noFill/>
                  </pic:spPr>
                </pic:pic>
              </a:graphicData>
            </a:graphic>
          </wp:inline>
        </w:drawing>
      </w:r>
    </w:p>
    <w:p w14:paraId="455C120A" w14:textId="77777777" w:rsidR="00375729" w:rsidRPr="001F6DA2" w:rsidRDefault="00375729" w:rsidP="00012248">
      <w:pPr>
        <w:pStyle w:val="SourceNotes"/>
      </w:pPr>
      <w:r>
        <w:t xml:space="preserve">Source: </w:t>
      </w:r>
      <w:r w:rsidRPr="00323930">
        <w:t>Author estimates</w:t>
      </w:r>
    </w:p>
    <w:p w14:paraId="782CE1BF" w14:textId="77777777" w:rsidR="00375729" w:rsidRDefault="00375729" w:rsidP="00375729">
      <w:pPr>
        <w:pStyle w:val="BodyTextNoIndent"/>
      </w:pPr>
      <w:r>
        <w:t>The major non-IT assets in TPW are: construction (50 per cent of capital income)</w:t>
      </w:r>
      <w:r w:rsidR="009A2198">
        <w:rPr>
          <w:rStyle w:val="EndnoteReference"/>
        </w:rPr>
        <w:endnoteReference w:id="28"/>
      </w:r>
      <w:r>
        <w:t>, other transport equipment (15 per cent), road vehicles (8 per cent) and land (7 per cent). Construction is such a large proportion of capital use because it includes the transport infrastructure of roads and rail.</w:t>
      </w:r>
    </w:p>
    <w:p w14:paraId="00F6F879" w14:textId="77777777" w:rsidR="00375729" w:rsidRPr="009E436A" w:rsidRDefault="00375729" w:rsidP="00375729">
      <w:pPr>
        <w:pStyle w:val="BodyTextNoIndent"/>
      </w:pPr>
      <w:r w:rsidRPr="009E436A">
        <w:t>The productivity of these major assets improved over at least part of the period (</w:t>
      </w:r>
      <w:r w:rsidR="00401868">
        <w:t>Figure E8</w:t>
      </w:r>
      <w:r w:rsidRPr="009E436A">
        <w:t xml:space="preserve">): </w:t>
      </w:r>
    </w:p>
    <w:p w14:paraId="1DA6E03F" w14:textId="77777777" w:rsidR="00375729" w:rsidRPr="009E436A" w:rsidRDefault="00375729" w:rsidP="007A5BBF">
      <w:pPr>
        <w:pStyle w:val="Bodybullet-Level1"/>
      </w:pPr>
      <w:r w:rsidRPr="009E436A">
        <w:t>construction: 2.0 per cent a year 1992–93 to 2007–08</w:t>
      </w:r>
    </w:p>
    <w:p w14:paraId="25F5A3C3" w14:textId="77777777" w:rsidR="00375729" w:rsidRPr="009E436A" w:rsidRDefault="00375729" w:rsidP="007A5BBF">
      <w:pPr>
        <w:pStyle w:val="Bodybullet-Level1"/>
      </w:pPr>
      <w:r w:rsidRPr="009E436A">
        <w:t>other transport equipment: 3.5 per cent a year 1990–91 to 2002–03</w:t>
      </w:r>
    </w:p>
    <w:p w14:paraId="5B982AC5" w14:textId="77777777" w:rsidR="00375729" w:rsidRPr="009E436A" w:rsidRDefault="00375729" w:rsidP="007A5BBF">
      <w:pPr>
        <w:pStyle w:val="Bodybullet-Level1"/>
      </w:pPr>
      <w:r w:rsidRPr="009E436A">
        <w:t>road vehicles: 3.5 per cent a year 1990–91 to 1998–99</w:t>
      </w:r>
      <w:r w:rsidR="004F5EBC">
        <w:t>, and</w:t>
      </w:r>
    </w:p>
    <w:p w14:paraId="77ADAF3A" w14:textId="77777777" w:rsidR="00375729" w:rsidRPr="009E436A" w:rsidRDefault="00375729" w:rsidP="007A5BBF">
      <w:pPr>
        <w:pStyle w:val="Bodybullet-Level1"/>
      </w:pPr>
      <w:r w:rsidRPr="009E436A">
        <w:t>land: 3.4 per cent a year 1992–93 to 2007–08.</w:t>
      </w:r>
    </w:p>
    <w:p w14:paraId="5D283C8E" w14:textId="77777777" w:rsidR="00375729" w:rsidRPr="009E436A" w:rsidRDefault="00375729" w:rsidP="00375729">
      <w:pPr>
        <w:pStyle w:val="BodyTextNoIndent"/>
      </w:pPr>
      <w:r w:rsidRPr="009E436A">
        <w:t>The correlation with IT use over the identified periods was high. Correlation coefficients are respectively: 0.87, 0.97, 1.00 and 0.95.</w:t>
      </w:r>
    </w:p>
    <w:p w14:paraId="6BA7F06B" w14:textId="77777777" w:rsidR="00375729" w:rsidRDefault="00375729" w:rsidP="007A5BBF">
      <w:pPr>
        <w:pStyle w:val="Figurecaption"/>
      </w:pPr>
      <w:r>
        <w:t xml:space="preserve">Figure </w:t>
      </w:r>
      <w:r w:rsidR="00401868">
        <w:t>E8</w:t>
      </w:r>
      <w:r>
        <w:t>: Asset productivity--the ratio of value added to use of selected assets in TPW</w:t>
      </w:r>
    </w:p>
    <w:p w14:paraId="24BF3B19" w14:textId="37111B81" w:rsidR="00375729" w:rsidRDefault="007A5BBF" w:rsidP="00375729">
      <w:pPr>
        <w:spacing w:after="60"/>
        <w:rPr>
          <w:noProof/>
          <w:lang w:eastAsia="en-AU"/>
        </w:rPr>
      </w:pPr>
      <w:r>
        <w:rPr>
          <w:noProof/>
          <w:lang w:eastAsia="en-AU"/>
        </w:rPr>
        <w:drawing>
          <wp:inline distT="0" distB="0" distL="0" distR="0" wp14:anchorId="4DD33B85" wp14:editId="67DD7CFE">
            <wp:extent cx="5480685" cy="2755900"/>
            <wp:effectExtent l="0" t="0" r="5715"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0685" cy="2755900"/>
                    </a:xfrm>
                    <a:prstGeom prst="rect">
                      <a:avLst/>
                    </a:prstGeom>
                    <a:noFill/>
                  </pic:spPr>
                </pic:pic>
              </a:graphicData>
            </a:graphic>
          </wp:inline>
        </w:drawing>
      </w:r>
    </w:p>
    <w:p w14:paraId="574AFC3B" w14:textId="77777777" w:rsidR="00375729" w:rsidRDefault="00375729" w:rsidP="00012248">
      <w:pPr>
        <w:pStyle w:val="SourceNotes"/>
      </w:pPr>
      <w:r>
        <w:t xml:space="preserve">Source: </w:t>
      </w:r>
      <w:r w:rsidRPr="00323930">
        <w:t>Author estimates</w:t>
      </w:r>
    </w:p>
    <w:p w14:paraId="72BB4E94" w14:textId="77777777" w:rsidR="00375729" w:rsidRDefault="00B736A7" w:rsidP="00F37FA2">
      <w:pPr>
        <w:pStyle w:val="BCRAppendicesSubheading"/>
      </w:pPr>
      <w:r>
        <w:t xml:space="preserve">E.4 </w:t>
      </w:r>
      <w:r w:rsidR="00375729">
        <w:t>Use of intermediates</w:t>
      </w:r>
    </w:p>
    <w:p w14:paraId="16C27A3B" w14:textId="77777777" w:rsidR="00375729" w:rsidRPr="009E436A" w:rsidRDefault="00375729" w:rsidP="00375729">
      <w:pPr>
        <w:pStyle w:val="BodyTextNoIndent"/>
      </w:pPr>
      <w:r w:rsidRPr="009E436A">
        <w:t>In the case of intermediate input use, which refers to inputs of materials, energy and services to production, productivity is determined with reference to the gross output rather than the value added measure of output.</w:t>
      </w:r>
    </w:p>
    <w:p w14:paraId="3DD7E3A7" w14:textId="77777777" w:rsidR="00375729" w:rsidRPr="009E436A" w:rsidRDefault="00375729" w:rsidP="00375729">
      <w:pPr>
        <w:pStyle w:val="BodyTextNoIndent"/>
      </w:pPr>
      <w:r w:rsidRPr="009E436A">
        <w:t>The productivity of intermediates use increased by 9 per cent over the entire period (</w:t>
      </w:r>
      <w:r w:rsidR="00401868">
        <w:t>Figure E9</w:t>
      </w:r>
      <w:r w:rsidRPr="009E436A">
        <w:t>). This improvement took place between 1989–90 and 2002–03, after which intermediates productivity was flat.</w:t>
      </w:r>
    </w:p>
    <w:p w14:paraId="1E455CAE" w14:textId="77777777" w:rsidR="00375729" w:rsidRDefault="00375729" w:rsidP="007A5BBF">
      <w:pPr>
        <w:pStyle w:val="Figurecaption"/>
      </w:pPr>
      <w:r>
        <w:t xml:space="preserve">Figure </w:t>
      </w:r>
      <w:r w:rsidR="00401868">
        <w:t>E9</w:t>
      </w:r>
      <w:r>
        <w:t>: Gross output, Intermediate input use and intermediate input productivity in TPW</w:t>
      </w:r>
    </w:p>
    <w:p w14:paraId="66013EF9" w14:textId="463585D4" w:rsidR="00375729" w:rsidRDefault="007A5BBF" w:rsidP="00375729">
      <w:pPr>
        <w:spacing w:after="60"/>
        <w:rPr>
          <w:noProof/>
          <w:lang w:eastAsia="en-AU"/>
        </w:rPr>
      </w:pPr>
      <w:r>
        <w:rPr>
          <w:noProof/>
          <w:lang w:eastAsia="en-AU"/>
        </w:rPr>
        <w:drawing>
          <wp:inline distT="0" distB="0" distL="0" distR="0" wp14:anchorId="4EC7951B" wp14:editId="112EA9D2">
            <wp:extent cx="5480685" cy="2755900"/>
            <wp:effectExtent l="0" t="0" r="5715" b="63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0685" cy="2755900"/>
                    </a:xfrm>
                    <a:prstGeom prst="rect">
                      <a:avLst/>
                    </a:prstGeom>
                    <a:noFill/>
                  </pic:spPr>
                </pic:pic>
              </a:graphicData>
            </a:graphic>
          </wp:inline>
        </w:drawing>
      </w:r>
    </w:p>
    <w:p w14:paraId="58D9C666" w14:textId="77777777" w:rsidR="00375729" w:rsidRDefault="00375729" w:rsidP="00012248">
      <w:pPr>
        <w:pStyle w:val="SourceNotes"/>
      </w:pPr>
      <w:r>
        <w:t xml:space="preserve">Source: </w:t>
      </w:r>
      <w:r w:rsidRPr="00323930">
        <w:t>Author estimates</w:t>
      </w:r>
    </w:p>
    <w:p w14:paraId="359D1F22" w14:textId="77777777" w:rsidR="00375729" w:rsidRDefault="00B736A7" w:rsidP="00F37FA2">
      <w:pPr>
        <w:pStyle w:val="BCRAppendicesSubheading"/>
      </w:pPr>
      <w:r>
        <w:t xml:space="preserve">E.5 </w:t>
      </w:r>
      <w:r w:rsidR="00375729">
        <w:t>MFP growth</w:t>
      </w:r>
    </w:p>
    <w:p w14:paraId="67C01A4A" w14:textId="77777777" w:rsidR="00375729" w:rsidRPr="009E436A" w:rsidRDefault="00375729" w:rsidP="00375729">
      <w:pPr>
        <w:pStyle w:val="BodyTextNoIndent"/>
      </w:pPr>
      <w:r w:rsidRPr="009E436A">
        <w:t>The association between IT and MFP was examined in the context of MFP cycles (</w:t>
      </w:r>
      <w:r w:rsidR="00BB4354">
        <w:t>Figure E10</w:t>
      </w:r>
      <w:r w:rsidRPr="009E436A">
        <w:t>). The peak in 2006–07 does not strictly satisfy the criteria for a peak and was imposed. The MFP and LP peaks coincide, except for the initial one—1992–93 for LP and 1989–90 for MFP.</w:t>
      </w:r>
    </w:p>
    <w:p w14:paraId="4FBD78E6" w14:textId="77777777" w:rsidR="00375729" w:rsidRDefault="00375729" w:rsidP="007A5BBF">
      <w:pPr>
        <w:pStyle w:val="Figurecaption"/>
      </w:pPr>
      <w:r>
        <w:t xml:space="preserve">Figure </w:t>
      </w:r>
      <w:r w:rsidR="00BB4354">
        <w:t>E10</w:t>
      </w:r>
      <w:r>
        <w:t>: Actual and trend MFP in TPW</w:t>
      </w:r>
      <w:r>
        <w:rPr>
          <w:vertAlign w:val="superscript"/>
        </w:rPr>
        <w:t>a</w:t>
      </w:r>
      <w:r>
        <w:t xml:space="preserve"> (index, actual 2012–13</w:t>
      </w:r>
      <w:r w:rsidR="006A530A">
        <w:t xml:space="preserve"> = </w:t>
      </w:r>
      <w:r>
        <w:t>100)</w:t>
      </w:r>
    </w:p>
    <w:p w14:paraId="32D3FE99" w14:textId="0EB2A36E" w:rsidR="00375729" w:rsidRDefault="007A5BBF" w:rsidP="00375729">
      <w:pPr>
        <w:spacing w:after="60"/>
      </w:pPr>
      <w:r>
        <w:rPr>
          <w:noProof/>
          <w:lang w:eastAsia="en-AU"/>
        </w:rPr>
        <w:drawing>
          <wp:inline distT="0" distB="0" distL="0" distR="0" wp14:anchorId="57810AD5" wp14:editId="1C9B5904">
            <wp:extent cx="5414010" cy="27432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4010" cy="2743200"/>
                    </a:xfrm>
                    <a:prstGeom prst="rect">
                      <a:avLst/>
                    </a:prstGeom>
                    <a:noFill/>
                  </pic:spPr>
                </pic:pic>
              </a:graphicData>
            </a:graphic>
          </wp:inline>
        </w:drawing>
      </w:r>
    </w:p>
    <w:p w14:paraId="09DB14C5" w14:textId="77777777" w:rsidR="00375729" w:rsidRPr="00323930"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p>
    <w:p w14:paraId="34B86D3C" w14:textId="77777777" w:rsidR="00375729" w:rsidRDefault="00375729" w:rsidP="00012248">
      <w:pPr>
        <w:pStyle w:val="SourceNotes"/>
      </w:pPr>
      <w:r>
        <w:t xml:space="preserve">Source: </w:t>
      </w:r>
      <w:r w:rsidRPr="00323930">
        <w:t>ABS Cat. No. 5260.0.55.002 and author estimates</w:t>
      </w:r>
    </w:p>
    <w:p w14:paraId="22435BF5" w14:textId="77777777" w:rsidR="00375729" w:rsidRPr="009E436A" w:rsidRDefault="00375729" w:rsidP="00375729">
      <w:pPr>
        <w:pStyle w:val="BodyTextNoIndent"/>
      </w:pPr>
      <w:r w:rsidRPr="009E436A">
        <w:t xml:space="preserve">The MFP growth accounting is presented in </w:t>
      </w:r>
      <w:r w:rsidR="00BB7189" w:rsidRPr="009E436A">
        <w:fldChar w:fldCharType="begin"/>
      </w:r>
      <w:r w:rsidR="00BB7189" w:rsidRPr="009E436A">
        <w:instrText xml:space="preserve"> REF _Ref424050010 \h </w:instrText>
      </w:r>
      <w:r w:rsidR="00BB7189">
        <w:instrText xml:space="preserve"> \* MERGEFORMAT </w:instrText>
      </w:r>
      <w:r w:rsidR="00BB7189" w:rsidRPr="009E436A">
        <w:fldChar w:fldCharType="end"/>
      </w:r>
      <w:r w:rsidR="00BB4354">
        <w:t>Table E2</w:t>
      </w:r>
      <w:r w:rsidRPr="009E436A">
        <w:t>. The labour productivity growth contribution plus the capital productivity contribution equals the MFP growth presented in the bottom row.</w:t>
      </w:r>
    </w:p>
    <w:p w14:paraId="0D2B9296" w14:textId="77777777" w:rsidR="00375729" w:rsidRPr="009E436A" w:rsidRDefault="00375729" w:rsidP="00375729">
      <w:pPr>
        <w:pStyle w:val="BodyTextNoIndent"/>
      </w:pPr>
      <w:r w:rsidRPr="009E436A">
        <w:t>The IT contribution through IT capital deepening and LP growth was minor. There may have been some link between IT use and improvements in productivity of some assets and perhaps in particular, land and transport equipment</w:t>
      </w:r>
      <w:r>
        <w:t>.</w:t>
      </w:r>
      <w:r w:rsidRPr="00816D54">
        <w:rPr>
          <w:rFonts w:asciiTheme="minorHAnsi" w:hAnsiTheme="minorHAnsi"/>
          <w:i/>
          <w:sz w:val="18"/>
          <w:szCs w:val="18"/>
        </w:rPr>
        <w:fldChar w:fldCharType="begin"/>
      </w:r>
      <w:r w:rsidRPr="0056262C">
        <w:rPr>
          <w:i/>
          <w:sz w:val="18"/>
          <w:szCs w:val="18"/>
        </w:rPr>
        <w:instrText xml:space="preserve"> LINK </w:instrText>
      </w:r>
      <w:r>
        <w:rPr>
          <w:i/>
          <w:sz w:val="18"/>
          <w:szCs w:val="18"/>
        </w:rPr>
        <w:instrText xml:space="preserve">Excel.Sheet.12 "\\\\dept.gov.au\\DFS\\Home\\DParham\\Desktop\\Docs\\1. GA project\\Retail trade\\Retail workbook 150709.xlsx" MFP!R134C28:R144C33 </w:instrText>
      </w:r>
      <w:r w:rsidRPr="0056262C">
        <w:rPr>
          <w:i/>
          <w:sz w:val="18"/>
          <w:szCs w:val="18"/>
        </w:rPr>
        <w:instrText xml:space="preserve">\a \f 4 \h  \* MERGEFORMAT </w:instrText>
      </w:r>
      <w:r w:rsidRPr="00816D54">
        <w:rPr>
          <w:rFonts w:asciiTheme="minorHAnsi" w:hAnsiTheme="minorHAnsi"/>
          <w:i/>
          <w:sz w:val="18"/>
          <w:szCs w:val="18"/>
        </w:rPr>
        <w:fldChar w:fldCharType="separate"/>
      </w:r>
    </w:p>
    <w:p w14:paraId="5BA32A08" w14:textId="77777777" w:rsidR="00375729" w:rsidRDefault="00375729" w:rsidP="007A5BBF">
      <w:pPr>
        <w:pStyle w:val="Tablecaption"/>
      </w:pPr>
      <w:r w:rsidRPr="00816D54">
        <w:t xml:space="preserve">Table </w:t>
      </w:r>
      <w:r w:rsidR="00BB4354">
        <w:t>E2</w:t>
      </w:r>
      <w:r w:rsidRPr="00816D54">
        <w:t>: Multifactor productivity growth accounting over MFP cycles in TPW</w:t>
      </w:r>
      <w:r w:rsidRPr="00816D54">
        <w:fldChar w:fldCharType="end"/>
      </w:r>
      <w:r>
        <w:rPr>
          <w:iCs/>
        </w:rPr>
        <w:fldChar w:fldCharType="begin"/>
      </w:r>
      <w:r>
        <w:instrText xml:space="preserve"> LINK Excel.Sheet.12 "\\\\dept.gov.au\\DFS\\Home\\dparham\\Desktop\\Docs\\1. GA project\\Industry studies\\Transport\\Transport workbook 150917.xlsx" "MFP!R129C28:R139C32" \a \f 4 \h  \* MERGEFORMAT </w:instrText>
      </w:r>
      <w:r>
        <w:rPr>
          <w:iCs/>
        </w:rPr>
        <w:fldChar w:fldCharType="separate"/>
      </w:r>
    </w:p>
    <w:tbl>
      <w:tblPr>
        <w:tblW w:w="909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4"/>
        <w:gridCol w:w="1276"/>
        <w:gridCol w:w="1276"/>
        <w:gridCol w:w="1121"/>
        <w:gridCol w:w="1461"/>
      </w:tblGrid>
      <w:tr w:rsidR="00375729" w:rsidRPr="00354AFE" w14:paraId="03017065" w14:textId="77777777" w:rsidTr="00CF3D6E">
        <w:trPr>
          <w:trHeight w:val="495"/>
        </w:trPr>
        <w:tc>
          <w:tcPr>
            <w:tcW w:w="3964" w:type="dxa"/>
            <w:tcBorders>
              <w:top w:val="single" w:sz="4" w:space="0" w:color="auto"/>
              <w:bottom w:val="single" w:sz="4" w:space="0" w:color="auto"/>
              <w:right w:val="single" w:sz="4" w:space="0" w:color="auto"/>
            </w:tcBorders>
            <w:shd w:val="clear" w:color="auto" w:fill="auto"/>
            <w:noWrap/>
            <w:vAlign w:val="bottom"/>
            <w:hideMark/>
          </w:tcPr>
          <w:p w14:paraId="1D904ED3" w14:textId="77777777" w:rsidR="00375729" w:rsidRPr="00354AFE" w:rsidRDefault="00375729" w:rsidP="007A5BBF">
            <w:pPr>
              <w:pStyle w:val="Tablecellheading"/>
            </w:pPr>
            <w:r w:rsidRPr="00354AFE">
              <w:t> </w:t>
            </w:r>
          </w:p>
        </w:tc>
        <w:tc>
          <w:tcPr>
            <w:tcW w:w="127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442CA6EE" w14:textId="77777777" w:rsidR="00375729" w:rsidRPr="00354AFE" w:rsidRDefault="00375729" w:rsidP="007A5BBF">
            <w:pPr>
              <w:pStyle w:val="Tablecellheading"/>
              <w:rPr>
                <w:sz w:val="18"/>
                <w:szCs w:val="18"/>
              </w:rPr>
            </w:pPr>
            <w:r w:rsidRPr="00354AFE">
              <w:rPr>
                <w:sz w:val="18"/>
                <w:szCs w:val="18"/>
              </w:rPr>
              <w:t>1989</w:t>
            </w:r>
            <w:r>
              <w:rPr>
                <w:sz w:val="18"/>
                <w:szCs w:val="18"/>
              </w:rPr>
              <w:t>–</w:t>
            </w:r>
            <w:r w:rsidRPr="00354AFE">
              <w:rPr>
                <w:sz w:val="18"/>
                <w:szCs w:val="18"/>
              </w:rPr>
              <w:t>90 to 1996</w:t>
            </w:r>
            <w:r>
              <w:rPr>
                <w:sz w:val="18"/>
                <w:szCs w:val="18"/>
              </w:rPr>
              <w:t>–</w:t>
            </w:r>
            <w:r w:rsidRPr="00354AFE">
              <w:rPr>
                <w:sz w:val="18"/>
                <w:szCs w:val="18"/>
              </w:rPr>
              <w:t>97</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000CCDBC" w14:textId="77777777" w:rsidR="00375729" w:rsidRPr="00354AFE" w:rsidRDefault="00375729" w:rsidP="007A5BBF">
            <w:pPr>
              <w:pStyle w:val="Tablecellheading"/>
              <w:rPr>
                <w:sz w:val="18"/>
                <w:szCs w:val="18"/>
              </w:rPr>
            </w:pPr>
            <w:r w:rsidRPr="00354AFE">
              <w:rPr>
                <w:sz w:val="18"/>
                <w:szCs w:val="18"/>
              </w:rPr>
              <w:t>1996</w:t>
            </w:r>
            <w:r>
              <w:rPr>
                <w:sz w:val="18"/>
                <w:szCs w:val="18"/>
              </w:rPr>
              <w:t>–</w:t>
            </w:r>
            <w:r w:rsidRPr="00354AFE">
              <w:rPr>
                <w:sz w:val="18"/>
                <w:szCs w:val="18"/>
              </w:rPr>
              <w:t>97 to 2002</w:t>
            </w:r>
            <w:r>
              <w:rPr>
                <w:sz w:val="18"/>
                <w:szCs w:val="18"/>
              </w:rPr>
              <w:t>–</w:t>
            </w:r>
            <w:r w:rsidRPr="00354AFE">
              <w:rPr>
                <w:sz w:val="18"/>
                <w:szCs w:val="18"/>
              </w:rPr>
              <w:t>03</w:t>
            </w:r>
          </w:p>
        </w:tc>
        <w:tc>
          <w:tcPr>
            <w:tcW w:w="11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063D4D8A" w14:textId="77777777" w:rsidR="00375729" w:rsidRPr="00354AFE" w:rsidRDefault="00375729" w:rsidP="007A5BBF">
            <w:pPr>
              <w:pStyle w:val="Tablecellheading"/>
              <w:rPr>
                <w:sz w:val="18"/>
                <w:szCs w:val="18"/>
              </w:rPr>
            </w:pPr>
            <w:r w:rsidRPr="00354AFE">
              <w:rPr>
                <w:sz w:val="18"/>
                <w:szCs w:val="18"/>
              </w:rPr>
              <w:t>2002</w:t>
            </w:r>
            <w:r>
              <w:rPr>
                <w:sz w:val="18"/>
                <w:szCs w:val="18"/>
              </w:rPr>
              <w:t>–</w:t>
            </w:r>
            <w:r w:rsidRPr="00354AFE">
              <w:rPr>
                <w:sz w:val="18"/>
                <w:szCs w:val="18"/>
              </w:rPr>
              <w:t>03 to 2006</w:t>
            </w:r>
            <w:r>
              <w:rPr>
                <w:sz w:val="18"/>
                <w:szCs w:val="18"/>
              </w:rPr>
              <w:t>–</w:t>
            </w:r>
            <w:r w:rsidRPr="00354AFE">
              <w:rPr>
                <w:sz w:val="18"/>
                <w:szCs w:val="18"/>
              </w:rPr>
              <w:t>07</w:t>
            </w:r>
          </w:p>
        </w:tc>
        <w:tc>
          <w:tcPr>
            <w:tcW w:w="1461" w:type="dxa"/>
            <w:tcBorders>
              <w:top w:val="single" w:sz="4" w:space="0" w:color="auto"/>
              <w:left w:val="single" w:sz="4" w:space="0" w:color="BFBFBF" w:themeColor="background1" w:themeShade="BF"/>
              <w:bottom w:val="single" w:sz="4" w:space="0" w:color="auto"/>
            </w:tcBorders>
            <w:shd w:val="clear" w:color="auto" w:fill="auto"/>
            <w:vAlign w:val="bottom"/>
            <w:hideMark/>
          </w:tcPr>
          <w:p w14:paraId="78D44900" w14:textId="77777777" w:rsidR="00375729" w:rsidRPr="00354AFE" w:rsidRDefault="00375729" w:rsidP="007A5BBF">
            <w:pPr>
              <w:pStyle w:val="Tablecellheading"/>
              <w:rPr>
                <w:sz w:val="18"/>
                <w:szCs w:val="18"/>
              </w:rPr>
            </w:pPr>
            <w:r w:rsidRPr="00354AFE">
              <w:rPr>
                <w:sz w:val="18"/>
                <w:szCs w:val="18"/>
              </w:rPr>
              <w:t>2006</w:t>
            </w:r>
            <w:r>
              <w:rPr>
                <w:sz w:val="18"/>
                <w:szCs w:val="18"/>
              </w:rPr>
              <w:t>–</w:t>
            </w:r>
            <w:r w:rsidRPr="00354AFE">
              <w:rPr>
                <w:sz w:val="18"/>
                <w:szCs w:val="18"/>
              </w:rPr>
              <w:t>07 to 2012</w:t>
            </w:r>
            <w:r>
              <w:rPr>
                <w:sz w:val="18"/>
                <w:szCs w:val="18"/>
              </w:rPr>
              <w:t>–</w:t>
            </w:r>
            <w:r w:rsidRPr="00354AFE">
              <w:rPr>
                <w:sz w:val="18"/>
                <w:szCs w:val="18"/>
              </w:rPr>
              <w:t>13</w:t>
            </w:r>
          </w:p>
        </w:tc>
      </w:tr>
      <w:tr w:rsidR="00375729" w:rsidRPr="00354AFE" w14:paraId="00AAF2C3" w14:textId="77777777" w:rsidTr="00CF3D6E">
        <w:trPr>
          <w:trHeight w:val="300"/>
        </w:trPr>
        <w:tc>
          <w:tcPr>
            <w:tcW w:w="3964" w:type="dxa"/>
            <w:tcBorders>
              <w:top w:val="single" w:sz="4" w:space="0" w:color="auto"/>
              <w:bottom w:val="nil"/>
              <w:right w:val="single" w:sz="4" w:space="0" w:color="auto"/>
            </w:tcBorders>
            <w:shd w:val="clear" w:color="auto" w:fill="auto"/>
            <w:noWrap/>
            <w:vAlign w:val="center"/>
            <w:hideMark/>
          </w:tcPr>
          <w:p w14:paraId="6941899D" w14:textId="77777777" w:rsidR="00375729" w:rsidRPr="00CF3D6E" w:rsidRDefault="00375729" w:rsidP="00301886">
            <w:pPr>
              <w:pStyle w:val="BodyTextNoIndent"/>
              <w:rPr>
                <w:b/>
                <w:lang w:eastAsia="en-AU"/>
              </w:rPr>
            </w:pPr>
            <w:r w:rsidRPr="00CF3D6E">
              <w:rPr>
                <w:b/>
                <w:lang w:eastAsia="en-AU"/>
              </w:rPr>
              <w:t>LP growth contribution (pp)</w:t>
            </w:r>
          </w:p>
        </w:tc>
        <w:tc>
          <w:tcPr>
            <w:tcW w:w="1276" w:type="dxa"/>
            <w:tcBorders>
              <w:top w:val="single" w:sz="4" w:space="0" w:color="auto"/>
              <w:left w:val="single" w:sz="4" w:space="0" w:color="auto"/>
              <w:right w:val="single" w:sz="4" w:space="0" w:color="BFBFBF" w:themeColor="background1" w:themeShade="BF"/>
            </w:tcBorders>
            <w:shd w:val="clear" w:color="auto" w:fill="auto"/>
            <w:noWrap/>
            <w:vAlign w:val="center"/>
            <w:hideMark/>
          </w:tcPr>
          <w:p w14:paraId="12492B59" w14:textId="77777777" w:rsidR="00375729" w:rsidRPr="00CF3D6E" w:rsidRDefault="00375729" w:rsidP="00301886">
            <w:pPr>
              <w:pStyle w:val="BodyTextNoIndent"/>
              <w:rPr>
                <w:b/>
                <w:lang w:eastAsia="en-AU"/>
              </w:rPr>
            </w:pPr>
            <w:r w:rsidRPr="00CF3D6E">
              <w:rPr>
                <w:b/>
                <w:lang w:eastAsia="en-AU"/>
              </w:rPr>
              <w:t>1.9</w:t>
            </w:r>
          </w:p>
        </w:tc>
        <w:tc>
          <w:tcPr>
            <w:tcW w:w="1276"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1C10C19D" w14:textId="77777777" w:rsidR="00375729" w:rsidRPr="00CF3D6E" w:rsidRDefault="00375729" w:rsidP="00301886">
            <w:pPr>
              <w:pStyle w:val="BodyTextNoIndent"/>
              <w:rPr>
                <w:b/>
                <w:lang w:eastAsia="en-AU"/>
              </w:rPr>
            </w:pPr>
            <w:r w:rsidRPr="00CF3D6E">
              <w:rPr>
                <w:b/>
                <w:lang w:eastAsia="en-AU"/>
              </w:rPr>
              <w:t>1.9</w:t>
            </w:r>
          </w:p>
        </w:tc>
        <w:tc>
          <w:tcPr>
            <w:tcW w:w="1121"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49E05410" w14:textId="77777777" w:rsidR="00375729" w:rsidRPr="00CF3D6E" w:rsidRDefault="00375729" w:rsidP="00301886">
            <w:pPr>
              <w:pStyle w:val="BodyTextNoIndent"/>
              <w:rPr>
                <w:b/>
                <w:lang w:eastAsia="en-AU"/>
              </w:rPr>
            </w:pPr>
            <w:r w:rsidRPr="00CF3D6E">
              <w:rPr>
                <w:b/>
                <w:lang w:eastAsia="en-AU"/>
              </w:rPr>
              <w:t>1.3</w:t>
            </w:r>
          </w:p>
        </w:tc>
        <w:tc>
          <w:tcPr>
            <w:tcW w:w="1461" w:type="dxa"/>
            <w:tcBorders>
              <w:top w:val="single" w:sz="4" w:space="0" w:color="auto"/>
              <w:left w:val="single" w:sz="4" w:space="0" w:color="BFBFBF" w:themeColor="background1" w:themeShade="BF"/>
            </w:tcBorders>
            <w:shd w:val="clear" w:color="auto" w:fill="auto"/>
            <w:noWrap/>
            <w:vAlign w:val="center"/>
            <w:hideMark/>
          </w:tcPr>
          <w:p w14:paraId="3E05D436" w14:textId="77777777" w:rsidR="00375729" w:rsidRPr="00CF3D6E" w:rsidRDefault="00375729" w:rsidP="00301886">
            <w:pPr>
              <w:pStyle w:val="BodyTextNoIndent"/>
              <w:rPr>
                <w:b/>
                <w:lang w:eastAsia="en-AU"/>
              </w:rPr>
            </w:pPr>
            <w:r w:rsidRPr="00CF3D6E">
              <w:rPr>
                <w:b/>
                <w:lang w:eastAsia="en-AU"/>
              </w:rPr>
              <w:t>0.7</w:t>
            </w:r>
          </w:p>
        </w:tc>
      </w:tr>
      <w:tr w:rsidR="007A5BBF" w:rsidRPr="00354AFE" w14:paraId="7DB46405" w14:textId="77777777" w:rsidTr="007A5BBF">
        <w:trPr>
          <w:trHeight w:val="300"/>
        </w:trPr>
        <w:tc>
          <w:tcPr>
            <w:tcW w:w="3964" w:type="dxa"/>
            <w:tcBorders>
              <w:top w:val="nil"/>
              <w:bottom w:val="nil"/>
              <w:right w:val="single" w:sz="4" w:space="0" w:color="auto"/>
            </w:tcBorders>
            <w:shd w:val="clear" w:color="auto" w:fill="auto"/>
            <w:noWrap/>
            <w:vAlign w:val="center"/>
            <w:hideMark/>
          </w:tcPr>
          <w:p w14:paraId="392FDFD5" w14:textId="7C5A44E4" w:rsidR="007A5BBF" w:rsidRPr="00CF3D6E" w:rsidRDefault="007A5BBF" w:rsidP="00301886">
            <w:pPr>
              <w:pStyle w:val="BodyTextNoIndent"/>
              <w:rPr>
                <w:b/>
                <w:lang w:eastAsia="en-AU"/>
              </w:rPr>
            </w:pPr>
            <w:r w:rsidRPr="00CF3D6E">
              <w:rPr>
                <w:b/>
                <w:lang w:eastAsia="en-AU"/>
              </w:rPr>
              <w:t>of which</w:t>
            </w:r>
          </w:p>
        </w:tc>
        <w:tc>
          <w:tcPr>
            <w:tcW w:w="5134" w:type="dxa"/>
            <w:gridSpan w:val="4"/>
            <w:tcBorders>
              <w:left w:val="single" w:sz="4" w:space="0" w:color="auto"/>
            </w:tcBorders>
            <w:shd w:val="clear" w:color="auto" w:fill="auto"/>
            <w:noWrap/>
            <w:vAlign w:val="bottom"/>
            <w:hideMark/>
          </w:tcPr>
          <w:p w14:paraId="4C1FDED5" w14:textId="77777777" w:rsidR="007A5BBF" w:rsidRPr="00354AFE" w:rsidRDefault="007A5BBF" w:rsidP="00301886">
            <w:pPr>
              <w:pStyle w:val="BodyTextNoIndent"/>
              <w:rPr>
                <w:rFonts w:ascii="Times New Roman" w:hAnsi="Times New Roman"/>
                <w:sz w:val="20"/>
                <w:szCs w:val="20"/>
                <w:lang w:eastAsia="en-AU"/>
              </w:rPr>
            </w:pPr>
          </w:p>
        </w:tc>
      </w:tr>
      <w:tr w:rsidR="00375729" w:rsidRPr="00354AFE" w14:paraId="1FAD7FF2"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0C6E216F" w14:textId="09D88B99" w:rsidR="00375729" w:rsidRPr="00354AFE" w:rsidRDefault="00375729" w:rsidP="007A5BBF">
            <w:pPr>
              <w:pStyle w:val="Tablebullet-Level1"/>
            </w:pPr>
            <w:r>
              <w:t>IT</w:t>
            </w:r>
            <w:r w:rsidRPr="00354AFE">
              <w:t xml:space="preserve"> capital deepening </w:t>
            </w:r>
            <w:r>
              <w:t>(pp)</w:t>
            </w:r>
          </w:p>
        </w:tc>
        <w:tc>
          <w:tcPr>
            <w:tcW w:w="1276" w:type="dxa"/>
            <w:tcBorders>
              <w:left w:val="single" w:sz="4" w:space="0" w:color="auto"/>
              <w:right w:val="single" w:sz="4" w:space="0" w:color="BFBFBF" w:themeColor="background1" w:themeShade="BF"/>
            </w:tcBorders>
            <w:shd w:val="clear" w:color="auto" w:fill="auto"/>
            <w:noWrap/>
            <w:vAlign w:val="center"/>
            <w:hideMark/>
          </w:tcPr>
          <w:p w14:paraId="78055E7C" w14:textId="77777777" w:rsidR="00375729" w:rsidRPr="00354AFE" w:rsidRDefault="00375729" w:rsidP="00301886">
            <w:pPr>
              <w:pStyle w:val="BodyTextNoIndent"/>
              <w:rPr>
                <w:lang w:eastAsia="en-AU"/>
              </w:rPr>
            </w:pPr>
            <w:r w:rsidRPr="00354AFE">
              <w:rPr>
                <w:lang w:eastAsia="en-AU"/>
              </w:rPr>
              <w:t>0.1</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0106BFF9" w14:textId="77777777" w:rsidR="00375729" w:rsidRPr="00354AFE" w:rsidRDefault="00375729" w:rsidP="00301886">
            <w:pPr>
              <w:pStyle w:val="BodyTextNoIndent"/>
              <w:rPr>
                <w:lang w:eastAsia="en-AU"/>
              </w:rPr>
            </w:pPr>
            <w:r w:rsidRPr="00354AFE">
              <w:rPr>
                <w:lang w:eastAsia="en-AU"/>
              </w:rPr>
              <w:t>0.1</w:t>
            </w:r>
          </w:p>
        </w:tc>
        <w:tc>
          <w:tcPr>
            <w:tcW w:w="1121"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7AFF6FEC" w14:textId="77777777" w:rsidR="00375729" w:rsidRPr="00354AFE" w:rsidRDefault="00375729" w:rsidP="00301886">
            <w:pPr>
              <w:pStyle w:val="BodyTextNoIndent"/>
              <w:rPr>
                <w:lang w:eastAsia="en-AU"/>
              </w:rPr>
            </w:pPr>
            <w:r w:rsidRPr="00354AFE">
              <w:rPr>
                <w:lang w:eastAsia="en-AU"/>
              </w:rPr>
              <w:t>0.0</w:t>
            </w:r>
          </w:p>
        </w:tc>
        <w:tc>
          <w:tcPr>
            <w:tcW w:w="1461" w:type="dxa"/>
            <w:tcBorders>
              <w:left w:val="single" w:sz="4" w:space="0" w:color="BFBFBF" w:themeColor="background1" w:themeShade="BF"/>
            </w:tcBorders>
            <w:shd w:val="clear" w:color="auto" w:fill="auto"/>
            <w:noWrap/>
            <w:vAlign w:val="center"/>
            <w:hideMark/>
          </w:tcPr>
          <w:p w14:paraId="3475A0FB" w14:textId="77777777" w:rsidR="00375729" w:rsidRPr="00354AFE" w:rsidRDefault="00375729" w:rsidP="00301886">
            <w:pPr>
              <w:pStyle w:val="BodyTextNoIndent"/>
              <w:rPr>
                <w:lang w:eastAsia="en-AU"/>
              </w:rPr>
            </w:pPr>
            <w:r w:rsidRPr="00354AFE">
              <w:rPr>
                <w:lang w:eastAsia="en-AU"/>
              </w:rPr>
              <w:t>0.0</w:t>
            </w:r>
          </w:p>
        </w:tc>
      </w:tr>
      <w:tr w:rsidR="00375729" w:rsidRPr="00354AFE" w14:paraId="58F7778C"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2EEC5E95" w14:textId="77777777" w:rsidR="00375729" w:rsidRPr="00CF3D6E" w:rsidRDefault="00375729" w:rsidP="00301886">
            <w:pPr>
              <w:pStyle w:val="BodyTextNoIndent"/>
              <w:rPr>
                <w:b/>
                <w:lang w:eastAsia="en-AU"/>
              </w:rPr>
            </w:pPr>
            <w:r w:rsidRPr="00CF3D6E">
              <w:rPr>
                <w:b/>
                <w:lang w:eastAsia="en-AU"/>
              </w:rPr>
              <w:t>KP growth contribution (pp)</w:t>
            </w:r>
          </w:p>
        </w:tc>
        <w:tc>
          <w:tcPr>
            <w:tcW w:w="1276" w:type="dxa"/>
            <w:tcBorders>
              <w:left w:val="single" w:sz="4" w:space="0" w:color="auto"/>
              <w:right w:val="single" w:sz="4" w:space="0" w:color="BFBFBF" w:themeColor="background1" w:themeShade="BF"/>
            </w:tcBorders>
            <w:shd w:val="clear" w:color="auto" w:fill="auto"/>
            <w:noWrap/>
            <w:vAlign w:val="center"/>
            <w:hideMark/>
          </w:tcPr>
          <w:p w14:paraId="3CF55578" w14:textId="77777777" w:rsidR="00375729" w:rsidRPr="00CF3D6E" w:rsidRDefault="00375729" w:rsidP="00301886">
            <w:pPr>
              <w:pStyle w:val="BodyTextNoIndent"/>
              <w:rPr>
                <w:b/>
                <w:lang w:eastAsia="en-AU"/>
              </w:rPr>
            </w:pPr>
            <w:r w:rsidRPr="00CF3D6E">
              <w:rPr>
                <w:b/>
                <w:lang w:eastAsia="en-AU"/>
              </w:rPr>
              <w:t>0.6</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ADCA02E" w14:textId="77777777" w:rsidR="00375729" w:rsidRPr="00CF3D6E" w:rsidRDefault="00375729" w:rsidP="00301886">
            <w:pPr>
              <w:pStyle w:val="BodyTextNoIndent"/>
              <w:rPr>
                <w:b/>
                <w:lang w:eastAsia="en-AU"/>
              </w:rPr>
            </w:pPr>
            <w:r w:rsidRPr="00CF3D6E">
              <w:rPr>
                <w:b/>
                <w:lang w:eastAsia="en-AU"/>
              </w:rPr>
              <w:t>0.2</w:t>
            </w:r>
          </w:p>
        </w:tc>
        <w:tc>
          <w:tcPr>
            <w:tcW w:w="1121"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6CF9D867" w14:textId="77777777" w:rsidR="00375729" w:rsidRPr="00CF3D6E" w:rsidRDefault="00375729" w:rsidP="00301886">
            <w:pPr>
              <w:pStyle w:val="BodyTextNoIndent"/>
              <w:rPr>
                <w:b/>
                <w:lang w:eastAsia="en-AU"/>
              </w:rPr>
            </w:pPr>
            <w:r w:rsidRPr="00CF3D6E">
              <w:rPr>
                <w:b/>
                <w:lang w:eastAsia="en-AU"/>
              </w:rPr>
              <w:t>-0.6</w:t>
            </w:r>
          </w:p>
        </w:tc>
        <w:tc>
          <w:tcPr>
            <w:tcW w:w="1461" w:type="dxa"/>
            <w:tcBorders>
              <w:left w:val="single" w:sz="4" w:space="0" w:color="BFBFBF" w:themeColor="background1" w:themeShade="BF"/>
            </w:tcBorders>
            <w:shd w:val="clear" w:color="auto" w:fill="auto"/>
            <w:noWrap/>
            <w:vAlign w:val="center"/>
            <w:hideMark/>
          </w:tcPr>
          <w:p w14:paraId="47EFE380" w14:textId="77777777" w:rsidR="00375729" w:rsidRPr="00CF3D6E" w:rsidRDefault="00375729" w:rsidP="00301886">
            <w:pPr>
              <w:pStyle w:val="BodyTextNoIndent"/>
              <w:rPr>
                <w:b/>
                <w:lang w:eastAsia="en-AU"/>
              </w:rPr>
            </w:pPr>
            <w:r w:rsidRPr="00CF3D6E">
              <w:rPr>
                <w:b/>
                <w:lang w:eastAsia="en-AU"/>
              </w:rPr>
              <w:t>-0.9</w:t>
            </w:r>
          </w:p>
        </w:tc>
      </w:tr>
      <w:tr w:rsidR="007A5BBF" w:rsidRPr="00354AFE" w14:paraId="6F3A17AD" w14:textId="77777777" w:rsidTr="007A5BBF">
        <w:trPr>
          <w:trHeight w:val="300"/>
        </w:trPr>
        <w:tc>
          <w:tcPr>
            <w:tcW w:w="3964" w:type="dxa"/>
            <w:tcBorders>
              <w:top w:val="nil"/>
              <w:bottom w:val="nil"/>
              <w:right w:val="single" w:sz="4" w:space="0" w:color="auto"/>
            </w:tcBorders>
            <w:shd w:val="clear" w:color="auto" w:fill="auto"/>
            <w:noWrap/>
            <w:vAlign w:val="center"/>
            <w:hideMark/>
          </w:tcPr>
          <w:p w14:paraId="28B20BBB" w14:textId="17D5848F" w:rsidR="007A5BBF" w:rsidRPr="00354AFE" w:rsidRDefault="007A5BBF" w:rsidP="00301886">
            <w:pPr>
              <w:pStyle w:val="BodyTextNoIndent"/>
              <w:rPr>
                <w:lang w:eastAsia="en-AU"/>
              </w:rPr>
            </w:pPr>
            <w:r w:rsidRPr="00354AFE">
              <w:rPr>
                <w:lang w:eastAsia="en-AU"/>
              </w:rPr>
              <w:t>of which</w:t>
            </w:r>
          </w:p>
        </w:tc>
        <w:tc>
          <w:tcPr>
            <w:tcW w:w="5134" w:type="dxa"/>
            <w:gridSpan w:val="4"/>
            <w:tcBorders>
              <w:left w:val="single" w:sz="4" w:space="0" w:color="auto"/>
            </w:tcBorders>
            <w:shd w:val="clear" w:color="auto" w:fill="auto"/>
            <w:noWrap/>
            <w:vAlign w:val="bottom"/>
            <w:hideMark/>
          </w:tcPr>
          <w:p w14:paraId="36978E47" w14:textId="77777777" w:rsidR="007A5BBF" w:rsidRPr="00354AFE" w:rsidRDefault="007A5BBF" w:rsidP="00301886">
            <w:pPr>
              <w:pStyle w:val="BodyTextNoIndent"/>
              <w:rPr>
                <w:rFonts w:ascii="Times New Roman" w:hAnsi="Times New Roman"/>
                <w:sz w:val="20"/>
                <w:szCs w:val="20"/>
                <w:lang w:eastAsia="en-AU"/>
              </w:rPr>
            </w:pPr>
          </w:p>
        </w:tc>
      </w:tr>
      <w:tr w:rsidR="00375729" w:rsidRPr="00354AFE" w14:paraId="79FD1B67"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22AB388B" w14:textId="5C721719" w:rsidR="00375729" w:rsidRPr="00354AFE" w:rsidRDefault="00375729" w:rsidP="007A5BBF">
            <w:pPr>
              <w:pStyle w:val="Tablebullet-Level1"/>
            </w:pPr>
            <w:r>
              <w:t>IT</w:t>
            </w:r>
            <w:r w:rsidRPr="00354AFE">
              <w:t xml:space="preserve"> capital productivity</w:t>
            </w:r>
            <w:r>
              <w:t xml:space="preserve"> (pp)</w:t>
            </w:r>
          </w:p>
        </w:tc>
        <w:tc>
          <w:tcPr>
            <w:tcW w:w="1276" w:type="dxa"/>
            <w:tcBorders>
              <w:left w:val="single" w:sz="4" w:space="0" w:color="auto"/>
              <w:right w:val="single" w:sz="4" w:space="0" w:color="BFBFBF" w:themeColor="background1" w:themeShade="BF"/>
            </w:tcBorders>
            <w:shd w:val="clear" w:color="auto" w:fill="auto"/>
            <w:noWrap/>
            <w:vAlign w:val="center"/>
            <w:hideMark/>
          </w:tcPr>
          <w:p w14:paraId="1DA4E72B" w14:textId="77777777" w:rsidR="00375729" w:rsidRPr="00354AFE" w:rsidRDefault="00375729" w:rsidP="00301886">
            <w:pPr>
              <w:pStyle w:val="BodyTextNoIndent"/>
              <w:rPr>
                <w:lang w:eastAsia="en-AU"/>
              </w:rPr>
            </w:pPr>
            <w:r w:rsidRPr="00354AFE">
              <w:rPr>
                <w:lang w:eastAsia="en-AU"/>
              </w:rPr>
              <w:t>0.28</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5A4518B6" w14:textId="77777777" w:rsidR="00375729" w:rsidRPr="00354AFE" w:rsidRDefault="00375729" w:rsidP="00301886">
            <w:pPr>
              <w:pStyle w:val="BodyTextNoIndent"/>
              <w:rPr>
                <w:lang w:eastAsia="en-AU"/>
              </w:rPr>
            </w:pPr>
            <w:r w:rsidRPr="00354AFE">
              <w:rPr>
                <w:lang w:eastAsia="en-AU"/>
              </w:rPr>
              <w:t>0.31</w:t>
            </w:r>
          </w:p>
        </w:tc>
        <w:tc>
          <w:tcPr>
            <w:tcW w:w="1121"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7D1F1E2" w14:textId="77777777" w:rsidR="00375729" w:rsidRPr="00354AFE" w:rsidRDefault="00375729" w:rsidP="00301886">
            <w:pPr>
              <w:pStyle w:val="BodyTextNoIndent"/>
              <w:rPr>
                <w:lang w:eastAsia="en-AU"/>
              </w:rPr>
            </w:pPr>
            <w:r w:rsidRPr="00354AFE">
              <w:rPr>
                <w:lang w:eastAsia="en-AU"/>
              </w:rPr>
              <w:t>0.39</w:t>
            </w:r>
          </w:p>
        </w:tc>
        <w:tc>
          <w:tcPr>
            <w:tcW w:w="1461" w:type="dxa"/>
            <w:tcBorders>
              <w:left w:val="single" w:sz="4" w:space="0" w:color="BFBFBF" w:themeColor="background1" w:themeShade="BF"/>
            </w:tcBorders>
            <w:shd w:val="clear" w:color="auto" w:fill="auto"/>
            <w:noWrap/>
            <w:vAlign w:val="center"/>
            <w:hideMark/>
          </w:tcPr>
          <w:p w14:paraId="3C3936EE" w14:textId="77777777" w:rsidR="00375729" w:rsidRPr="00354AFE" w:rsidRDefault="00375729" w:rsidP="00301886">
            <w:pPr>
              <w:pStyle w:val="BodyTextNoIndent"/>
              <w:rPr>
                <w:lang w:eastAsia="en-AU"/>
              </w:rPr>
            </w:pPr>
            <w:r w:rsidRPr="00354AFE">
              <w:rPr>
                <w:lang w:eastAsia="en-AU"/>
              </w:rPr>
              <w:t>0.30</w:t>
            </w:r>
          </w:p>
        </w:tc>
      </w:tr>
      <w:tr w:rsidR="00375729" w:rsidRPr="00354AFE" w14:paraId="32CA4C63" w14:textId="77777777" w:rsidTr="00CF3D6E">
        <w:trPr>
          <w:trHeight w:val="300"/>
        </w:trPr>
        <w:tc>
          <w:tcPr>
            <w:tcW w:w="3964" w:type="dxa"/>
            <w:tcBorders>
              <w:top w:val="nil"/>
              <w:bottom w:val="nil"/>
              <w:right w:val="single" w:sz="4" w:space="0" w:color="auto"/>
            </w:tcBorders>
            <w:shd w:val="clear" w:color="auto" w:fill="auto"/>
            <w:noWrap/>
            <w:vAlign w:val="center"/>
            <w:hideMark/>
          </w:tcPr>
          <w:p w14:paraId="7E11418A" w14:textId="0DF2837D" w:rsidR="00375729" w:rsidRPr="00354AFE" w:rsidRDefault="00375729" w:rsidP="007A5BBF">
            <w:pPr>
              <w:pStyle w:val="Tablebullet-Level1"/>
            </w:pPr>
            <w:r w:rsidRPr="00354AFE">
              <w:t>Non-</w:t>
            </w:r>
            <w:r>
              <w:t>IT</w:t>
            </w:r>
            <w:r w:rsidRPr="00354AFE">
              <w:t xml:space="preserve"> capital productivity</w:t>
            </w:r>
            <w:r>
              <w:t xml:space="preserve"> (pp)</w:t>
            </w:r>
          </w:p>
        </w:tc>
        <w:tc>
          <w:tcPr>
            <w:tcW w:w="1276" w:type="dxa"/>
            <w:tcBorders>
              <w:left w:val="single" w:sz="4" w:space="0" w:color="auto"/>
              <w:right w:val="single" w:sz="4" w:space="0" w:color="BFBFBF" w:themeColor="background1" w:themeShade="BF"/>
            </w:tcBorders>
            <w:shd w:val="clear" w:color="auto" w:fill="auto"/>
            <w:noWrap/>
            <w:vAlign w:val="center"/>
            <w:hideMark/>
          </w:tcPr>
          <w:p w14:paraId="770C4689" w14:textId="77777777" w:rsidR="00375729" w:rsidRPr="00354AFE" w:rsidRDefault="00375729" w:rsidP="00301886">
            <w:pPr>
              <w:pStyle w:val="BodyTextNoIndent"/>
              <w:rPr>
                <w:lang w:eastAsia="en-AU"/>
              </w:rPr>
            </w:pPr>
            <w:r w:rsidRPr="00354AFE">
              <w:rPr>
                <w:lang w:eastAsia="en-AU"/>
              </w:rPr>
              <w:t>0.31</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CFAFC44" w14:textId="77777777" w:rsidR="00375729" w:rsidRPr="00354AFE" w:rsidRDefault="00375729" w:rsidP="00301886">
            <w:pPr>
              <w:pStyle w:val="BodyTextNoIndent"/>
              <w:rPr>
                <w:lang w:eastAsia="en-AU"/>
              </w:rPr>
            </w:pPr>
            <w:r w:rsidRPr="00354AFE">
              <w:rPr>
                <w:lang w:eastAsia="en-AU"/>
              </w:rPr>
              <w:t>-0.13</w:t>
            </w:r>
          </w:p>
        </w:tc>
        <w:tc>
          <w:tcPr>
            <w:tcW w:w="1121"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33AC9857" w14:textId="77777777" w:rsidR="00375729" w:rsidRPr="00354AFE" w:rsidRDefault="00375729" w:rsidP="00301886">
            <w:pPr>
              <w:pStyle w:val="BodyTextNoIndent"/>
              <w:rPr>
                <w:lang w:eastAsia="en-AU"/>
              </w:rPr>
            </w:pPr>
            <w:r w:rsidRPr="00354AFE">
              <w:rPr>
                <w:lang w:eastAsia="en-AU"/>
              </w:rPr>
              <w:t>-0.95</w:t>
            </w:r>
          </w:p>
        </w:tc>
        <w:tc>
          <w:tcPr>
            <w:tcW w:w="1461" w:type="dxa"/>
            <w:tcBorders>
              <w:left w:val="single" w:sz="4" w:space="0" w:color="BFBFBF" w:themeColor="background1" w:themeShade="BF"/>
            </w:tcBorders>
            <w:shd w:val="clear" w:color="auto" w:fill="auto"/>
            <w:noWrap/>
            <w:vAlign w:val="center"/>
            <w:hideMark/>
          </w:tcPr>
          <w:p w14:paraId="7F5D2110" w14:textId="77777777" w:rsidR="00375729" w:rsidRPr="00354AFE" w:rsidRDefault="00375729" w:rsidP="00301886">
            <w:pPr>
              <w:pStyle w:val="BodyTextNoIndent"/>
              <w:rPr>
                <w:lang w:eastAsia="en-AU"/>
              </w:rPr>
            </w:pPr>
            <w:r w:rsidRPr="00354AFE">
              <w:rPr>
                <w:lang w:eastAsia="en-AU"/>
              </w:rPr>
              <w:t>-1.15</w:t>
            </w:r>
          </w:p>
        </w:tc>
      </w:tr>
      <w:tr w:rsidR="00375729" w:rsidRPr="00354AFE" w14:paraId="05EFF83F" w14:textId="77777777" w:rsidTr="00CF3D6E">
        <w:trPr>
          <w:trHeight w:val="300"/>
        </w:trPr>
        <w:tc>
          <w:tcPr>
            <w:tcW w:w="3964" w:type="dxa"/>
            <w:tcBorders>
              <w:top w:val="nil"/>
              <w:bottom w:val="single" w:sz="4" w:space="0" w:color="auto"/>
              <w:right w:val="single" w:sz="4" w:space="0" w:color="auto"/>
            </w:tcBorders>
            <w:shd w:val="clear" w:color="auto" w:fill="auto"/>
            <w:noWrap/>
            <w:vAlign w:val="center"/>
            <w:hideMark/>
          </w:tcPr>
          <w:p w14:paraId="11015A22" w14:textId="77777777" w:rsidR="00375729" w:rsidRPr="00CF3D6E" w:rsidRDefault="00375729" w:rsidP="00301886">
            <w:pPr>
              <w:pStyle w:val="BodyTextNoIndent"/>
              <w:rPr>
                <w:b/>
                <w:lang w:eastAsia="en-AU"/>
              </w:rPr>
            </w:pPr>
            <w:r w:rsidRPr="00CF3D6E">
              <w:rPr>
                <w:b/>
                <w:lang w:eastAsia="en-AU"/>
              </w:rPr>
              <w:t>MFP growth (% pa)</w:t>
            </w:r>
          </w:p>
        </w:tc>
        <w:tc>
          <w:tcPr>
            <w:tcW w:w="1276" w:type="dxa"/>
            <w:tcBorders>
              <w:left w:val="single" w:sz="4" w:space="0" w:color="auto"/>
              <w:right w:val="single" w:sz="4" w:space="0" w:color="BFBFBF" w:themeColor="background1" w:themeShade="BF"/>
            </w:tcBorders>
            <w:shd w:val="clear" w:color="auto" w:fill="auto"/>
            <w:noWrap/>
            <w:vAlign w:val="center"/>
            <w:hideMark/>
          </w:tcPr>
          <w:p w14:paraId="7BEB8AF0" w14:textId="77777777" w:rsidR="00375729" w:rsidRPr="00CF3D6E" w:rsidRDefault="00375729" w:rsidP="00301886">
            <w:pPr>
              <w:pStyle w:val="BodyTextNoIndent"/>
              <w:rPr>
                <w:b/>
                <w:lang w:eastAsia="en-AU"/>
              </w:rPr>
            </w:pPr>
            <w:r w:rsidRPr="00CF3D6E">
              <w:rPr>
                <w:b/>
                <w:lang w:eastAsia="en-AU"/>
              </w:rPr>
              <w:t>2.5</w:t>
            </w:r>
          </w:p>
        </w:tc>
        <w:tc>
          <w:tcPr>
            <w:tcW w:w="1276"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163E090F" w14:textId="77777777" w:rsidR="00375729" w:rsidRPr="00CF3D6E" w:rsidRDefault="00375729" w:rsidP="00301886">
            <w:pPr>
              <w:pStyle w:val="BodyTextNoIndent"/>
              <w:rPr>
                <w:b/>
                <w:lang w:eastAsia="en-AU"/>
              </w:rPr>
            </w:pPr>
            <w:r w:rsidRPr="00CF3D6E">
              <w:rPr>
                <w:b/>
                <w:lang w:eastAsia="en-AU"/>
              </w:rPr>
              <w:t>2.1</w:t>
            </w:r>
          </w:p>
        </w:tc>
        <w:tc>
          <w:tcPr>
            <w:tcW w:w="1121"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64EE3F44" w14:textId="77777777" w:rsidR="00375729" w:rsidRPr="00CF3D6E" w:rsidRDefault="00375729" w:rsidP="00301886">
            <w:pPr>
              <w:pStyle w:val="BodyTextNoIndent"/>
              <w:rPr>
                <w:b/>
                <w:lang w:eastAsia="en-AU"/>
              </w:rPr>
            </w:pPr>
            <w:r w:rsidRPr="00CF3D6E">
              <w:rPr>
                <w:b/>
                <w:lang w:eastAsia="en-AU"/>
              </w:rPr>
              <w:t>0.8</w:t>
            </w:r>
          </w:p>
        </w:tc>
        <w:tc>
          <w:tcPr>
            <w:tcW w:w="1461" w:type="dxa"/>
            <w:tcBorders>
              <w:left w:val="single" w:sz="4" w:space="0" w:color="BFBFBF" w:themeColor="background1" w:themeShade="BF"/>
            </w:tcBorders>
            <w:shd w:val="clear" w:color="auto" w:fill="auto"/>
            <w:noWrap/>
            <w:vAlign w:val="center"/>
            <w:hideMark/>
          </w:tcPr>
          <w:p w14:paraId="22FE0419" w14:textId="77777777" w:rsidR="00375729" w:rsidRPr="00CF3D6E" w:rsidRDefault="00375729" w:rsidP="00301886">
            <w:pPr>
              <w:pStyle w:val="BodyTextNoIndent"/>
              <w:rPr>
                <w:b/>
                <w:lang w:eastAsia="en-AU"/>
              </w:rPr>
            </w:pPr>
            <w:r w:rsidRPr="00CF3D6E">
              <w:rPr>
                <w:b/>
                <w:lang w:eastAsia="en-AU"/>
              </w:rPr>
              <w:t>-0.1</w:t>
            </w:r>
          </w:p>
        </w:tc>
      </w:tr>
    </w:tbl>
    <w:p w14:paraId="62132F19" w14:textId="77777777" w:rsidR="00375729" w:rsidRPr="00816D54" w:rsidRDefault="00375729" w:rsidP="00012248">
      <w:pPr>
        <w:pStyle w:val="SourceNotes"/>
        <w:rPr>
          <w:rStyle w:val="PageNumber"/>
          <w:color w:val="auto"/>
        </w:rPr>
      </w:pPr>
      <w:r>
        <w:fldChar w:fldCharType="end"/>
      </w:r>
      <w:r>
        <w:t xml:space="preserve">Source: </w:t>
      </w:r>
      <w:r w:rsidRPr="00323930">
        <w:t>Author estimates</w:t>
      </w:r>
      <w:r w:rsidR="00F01C70">
        <w:t>. N</w:t>
      </w:r>
      <w:r w:rsidR="00F01C70" w:rsidRPr="00CF3D6E">
        <w:t>umbers may not add up due to rounding</w:t>
      </w:r>
      <w:r w:rsidR="00F01C70">
        <w:t>.</w:t>
      </w:r>
    </w:p>
    <w:p w14:paraId="1502C45A" w14:textId="77777777" w:rsidR="00375729" w:rsidRDefault="00375729" w:rsidP="00375729">
      <w:pPr>
        <w:spacing w:after="120"/>
        <w:ind w:left="1021" w:hanging="1021"/>
      </w:pPr>
      <w:r>
        <w:br w:type="page"/>
      </w:r>
    </w:p>
    <w:p w14:paraId="2633643F" w14:textId="77777777" w:rsidR="00375729" w:rsidRDefault="00375729" w:rsidP="00CF3D6E">
      <w:pPr>
        <w:pStyle w:val="BCRAppendicesHeading"/>
      </w:pPr>
      <w:bookmarkStart w:id="115" w:name="_Toc442448194"/>
      <w:r>
        <w:t>Information, media and telecommunications (IMT)</w:t>
      </w:r>
      <w:bookmarkEnd w:id="115"/>
    </w:p>
    <w:p w14:paraId="1C999D88" w14:textId="77777777" w:rsidR="00375729" w:rsidRDefault="00375729" w:rsidP="00012248">
      <w:pPr>
        <w:pStyle w:val="Boxheading"/>
      </w:pPr>
      <w:r>
        <w:t>Key points</w:t>
      </w:r>
    </w:p>
    <w:p w14:paraId="4C3D1950" w14:textId="77777777" w:rsidR="00375729" w:rsidRPr="00FF62F8" w:rsidRDefault="00375729" w:rsidP="00012248">
      <w:pPr>
        <w:pStyle w:val="Boxtext"/>
      </w:pPr>
      <w:r>
        <w:t xml:space="preserve">The use of Information Technology (IT) in information, media and telecommunications (IMT) services has </w:t>
      </w:r>
      <w:r w:rsidRPr="00FF62F8">
        <w:t xml:space="preserve">grown </w:t>
      </w:r>
      <w:r>
        <w:t xml:space="preserve">rapidly </w:t>
      </w:r>
      <w:r w:rsidRPr="00FF62F8">
        <w:t xml:space="preserve">since the early 1990s, with the annual rate of growth </w:t>
      </w:r>
      <w:r>
        <w:t>in stocks</w:t>
      </w:r>
      <w:r w:rsidR="001645D4">
        <w:t xml:space="preserve"> of IT</w:t>
      </w:r>
      <w:r>
        <w:t xml:space="preserve"> </w:t>
      </w:r>
      <w:r w:rsidRPr="00FF62F8">
        <w:t>averaging 16.5 per cent. The</w:t>
      </w:r>
      <w:r>
        <w:t xml:space="preserve"> rate</w:t>
      </w:r>
      <w:r w:rsidRPr="00FF62F8">
        <w:t xml:space="preserve"> </w:t>
      </w:r>
      <w:r>
        <w:t>was higher after</w:t>
      </w:r>
      <w:r w:rsidRPr="00FF62F8">
        <w:t xml:space="preserve"> 2011</w:t>
      </w:r>
      <w:r>
        <w:t>–</w:t>
      </w:r>
      <w:r w:rsidRPr="00FF62F8">
        <w:t>12</w:t>
      </w:r>
      <w:r>
        <w:t>.</w:t>
      </w:r>
    </w:p>
    <w:p w14:paraId="5F00E0A9" w14:textId="77777777" w:rsidR="00375729" w:rsidRPr="00FF62F8" w:rsidRDefault="00375729" w:rsidP="00012248">
      <w:pPr>
        <w:pStyle w:val="Boxtext"/>
      </w:pPr>
      <w:r>
        <w:t>The industry</w:t>
      </w:r>
      <w:r w:rsidRPr="00FF62F8">
        <w:t xml:space="preserve"> </w:t>
      </w:r>
      <w:r>
        <w:t xml:space="preserve">was </w:t>
      </w:r>
      <w:r w:rsidRPr="00FF62F8">
        <w:t xml:space="preserve">more software-intensive during the 1990s and 2000s. </w:t>
      </w:r>
    </w:p>
    <w:p w14:paraId="3FB7A1FD" w14:textId="77777777" w:rsidR="00375729" w:rsidRPr="00FF62F8" w:rsidRDefault="00375729" w:rsidP="00012248">
      <w:pPr>
        <w:pStyle w:val="Boxtext"/>
      </w:pPr>
      <w:r w:rsidRPr="00FF62F8">
        <w:t>There has been very strong labour productivity growth of 20</w:t>
      </w:r>
      <w:r>
        <w:t>0</w:t>
      </w:r>
      <w:r w:rsidRPr="00FF62F8">
        <w:t xml:space="preserve"> per cent over the 1990s and 2000s, largely due to the strong substitution of capital for labour (capital deepening). </w:t>
      </w:r>
    </w:p>
    <w:p w14:paraId="02CE44A6" w14:textId="77777777" w:rsidR="00375729" w:rsidRDefault="00375729" w:rsidP="00012248">
      <w:pPr>
        <w:pStyle w:val="Boxtext"/>
      </w:pPr>
      <w:r w:rsidRPr="00FF62F8">
        <w:t xml:space="preserve">IT capital deepening has </w:t>
      </w:r>
      <w:r>
        <w:t>been strong to very strong:</w:t>
      </w:r>
    </w:p>
    <w:p w14:paraId="3E2C50B3" w14:textId="77777777" w:rsidR="00375729" w:rsidRDefault="00375729" w:rsidP="00F37FA2">
      <w:pPr>
        <w:pStyle w:val="Boxbullet"/>
      </w:pPr>
      <w:r>
        <w:t>It accounted for around 1.4 percentage points of annual labour productivity growth in the 1990s.</w:t>
      </w:r>
    </w:p>
    <w:p w14:paraId="4520A5F1" w14:textId="77777777" w:rsidR="00375729" w:rsidRDefault="00375729" w:rsidP="00F37FA2">
      <w:pPr>
        <w:pStyle w:val="Boxbullet"/>
      </w:pPr>
      <w:r>
        <w:t xml:space="preserve">It contributed half </w:t>
      </w:r>
      <w:r w:rsidR="008C62B3">
        <w:t xml:space="preserve">of </w:t>
      </w:r>
      <w:r>
        <w:t>that in the 2000s.</w:t>
      </w:r>
    </w:p>
    <w:p w14:paraId="108AE0E6" w14:textId="77777777" w:rsidR="00375729" w:rsidRDefault="00375729" w:rsidP="00F37FA2">
      <w:pPr>
        <w:pStyle w:val="Boxbullet"/>
      </w:pPr>
      <w:r>
        <w:t>These contributions represented between 10–20 per cent of the very strong growth in labour productivity.</w:t>
      </w:r>
    </w:p>
    <w:p w14:paraId="3AE2A2EF" w14:textId="77777777" w:rsidR="00375729" w:rsidRDefault="00375729" w:rsidP="00012248">
      <w:pPr>
        <w:pStyle w:val="Boxtext"/>
      </w:pPr>
      <w:r>
        <w:t>Average skills increased 12 per cent with very</w:t>
      </w:r>
      <w:r w:rsidRPr="00FF62F8">
        <w:t xml:space="preserve"> strong correlation </w:t>
      </w:r>
      <w:r>
        <w:t xml:space="preserve">with </w:t>
      </w:r>
      <w:r w:rsidRPr="00FF62F8">
        <w:t>IT</w:t>
      </w:r>
      <w:r>
        <w:t xml:space="preserve"> stocks.</w:t>
      </w:r>
    </w:p>
    <w:p w14:paraId="23917A53" w14:textId="77777777" w:rsidR="00375729" w:rsidRDefault="00375729" w:rsidP="00012248">
      <w:pPr>
        <w:pStyle w:val="Boxtext"/>
      </w:pPr>
      <w:r>
        <w:t>It does not appear IT has contributed to growth in the productivity of non-IT assets as a group. Nevertheless, there are some positive associations for individual assets.</w:t>
      </w:r>
    </w:p>
    <w:p w14:paraId="1F0E9147" w14:textId="77777777" w:rsidR="00375729" w:rsidRDefault="00375729" w:rsidP="00F37FA2">
      <w:pPr>
        <w:pStyle w:val="Boxbullet"/>
      </w:pPr>
      <w:r>
        <w:t>The strongest growth and associations are in regard to other transport equipment, industrial plant and equipment, and land. There was also some positive growth in the productivity of construction assets in the 1990s.</w:t>
      </w:r>
    </w:p>
    <w:p w14:paraId="0CE82371" w14:textId="77777777" w:rsidR="00375729" w:rsidRDefault="00375729" w:rsidP="00012248">
      <w:pPr>
        <w:pStyle w:val="Boxtext"/>
      </w:pPr>
      <w:r>
        <w:t>The IT capital deepening effects made strong contributions to multifactor productivity growth through the labour productivity channel. However, the significance of possible capital productivity effects was diminished by the low importance of the affected assets in IMT capital stocks.</w:t>
      </w:r>
    </w:p>
    <w:p w14:paraId="40A466F0" w14:textId="77777777" w:rsidR="00375729" w:rsidRDefault="00375729" w:rsidP="00375729">
      <w:pPr>
        <w:spacing w:before="120"/>
      </w:pPr>
      <w:r>
        <w:t>Information, media and telecommunications (IMT) services are</w:t>
      </w:r>
      <w:r w:rsidRPr="00FF62F8">
        <w:t xml:space="preserve"> engaged in creating, enhancing and storing information that allows for its dissemination</w:t>
      </w:r>
      <w:r>
        <w:t xml:space="preserve"> and </w:t>
      </w:r>
      <w:r w:rsidRPr="00FF62F8">
        <w:t>transmission</w:t>
      </w:r>
      <w:r>
        <w:t>,</w:t>
      </w:r>
      <w:r w:rsidRPr="00FF62F8">
        <w:t xml:space="preserve"> using analogue and digital signals, providing transmission services</w:t>
      </w:r>
      <w:r>
        <w:t>,</w:t>
      </w:r>
      <w:r w:rsidRPr="00FF62F8">
        <w:t xml:space="preserve"> and operating the infrastructure to </w:t>
      </w:r>
      <w:r>
        <w:t>allow</w:t>
      </w:r>
      <w:r w:rsidRPr="00FF62F8">
        <w:t xml:space="preserve"> the transmission and storage of information. </w:t>
      </w:r>
    </w:p>
    <w:p w14:paraId="7E0DEA90" w14:textId="77777777" w:rsidR="00375729" w:rsidRDefault="00375729" w:rsidP="00375729">
      <w:r>
        <w:t>The ABS identifies the following subdivisions of IMT:</w:t>
      </w:r>
    </w:p>
    <w:p w14:paraId="76EC8D4C" w14:textId="77777777" w:rsidR="00375729" w:rsidRPr="00C1071D" w:rsidRDefault="00375729" w:rsidP="007A5BBF">
      <w:pPr>
        <w:pStyle w:val="Bodybullet-Level1"/>
      </w:pPr>
      <w:r>
        <w:t>publishing (except internet and music)</w:t>
      </w:r>
    </w:p>
    <w:p w14:paraId="6BF58788" w14:textId="77777777" w:rsidR="00375729" w:rsidRPr="00C1071D" w:rsidRDefault="00375729" w:rsidP="007A5BBF">
      <w:pPr>
        <w:pStyle w:val="Bodybullet-Level1"/>
      </w:pPr>
      <w:r>
        <w:t>motion picture and sound recording activities</w:t>
      </w:r>
    </w:p>
    <w:p w14:paraId="455D4E0A" w14:textId="77777777" w:rsidR="00375729" w:rsidRDefault="00375729" w:rsidP="007A5BBF">
      <w:pPr>
        <w:pStyle w:val="Bodybullet-Level1"/>
      </w:pPr>
      <w:r>
        <w:t>broadcasting (except internet)</w:t>
      </w:r>
    </w:p>
    <w:p w14:paraId="2787A32F" w14:textId="77777777" w:rsidR="00375729" w:rsidRPr="00FF62F8" w:rsidRDefault="00375729" w:rsidP="007A5BBF">
      <w:pPr>
        <w:pStyle w:val="Bodybullet-Level1"/>
      </w:pPr>
      <w:r>
        <w:t>i</w:t>
      </w:r>
      <w:r w:rsidRPr="00FF62F8">
        <w:t xml:space="preserve">nternet </w:t>
      </w:r>
      <w:r>
        <w:t>p</w:t>
      </w:r>
      <w:r w:rsidRPr="00FF62F8">
        <w:t xml:space="preserve">ublishing and </w:t>
      </w:r>
      <w:r>
        <w:t>b</w:t>
      </w:r>
      <w:r w:rsidRPr="00FF62F8">
        <w:t xml:space="preserve">roadcasting </w:t>
      </w:r>
    </w:p>
    <w:p w14:paraId="198C1BD7" w14:textId="77777777" w:rsidR="00375729" w:rsidRPr="00FF62F8" w:rsidRDefault="00375729" w:rsidP="007A5BBF">
      <w:pPr>
        <w:pStyle w:val="Bodybullet-Level1"/>
      </w:pPr>
      <w:r>
        <w:t>t</w:t>
      </w:r>
      <w:r w:rsidRPr="00FF62F8">
        <w:t xml:space="preserve">elecommunications </w:t>
      </w:r>
      <w:r>
        <w:t>s</w:t>
      </w:r>
      <w:r w:rsidRPr="00FF62F8">
        <w:t xml:space="preserve">ervices </w:t>
      </w:r>
    </w:p>
    <w:p w14:paraId="2F14D1CF" w14:textId="77777777" w:rsidR="00375729" w:rsidRPr="00FF62F8" w:rsidRDefault="00375729" w:rsidP="007A5BBF">
      <w:pPr>
        <w:pStyle w:val="Bodybullet-Level1"/>
      </w:pPr>
      <w:r>
        <w:t>i</w:t>
      </w:r>
      <w:r w:rsidRPr="00FF62F8">
        <w:t xml:space="preserve">nternet </w:t>
      </w:r>
      <w:r>
        <w:t>s</w:t>
      </w:r>
      <w:r w:rsidRPr="00FF62F8">
        <w:t xml:space="preserve">ervice </w:t>
      </w:r>
      <w:r>
        <w:t>p</w:t>
      </w:r>
      <w:r w:rsidRPr="00FF62F8">
        <w:t xml:space="preserve">roviders, </w:t>
      </w:r>
      <w:r>
        <w:t>w</w:t>
      </w:r>
      <w:r w:rsidRPr="00FF62F8">
        <w:t xml:space="preserve">eb </w:t>
      </w:r>
      <w:r>
        <w:t>s</w:t>
      </w:r>
      <w:r w:rsidRPr="00FF62F8">
        <w:t xml:space="preserve">earch </w:t>
      </w:r>
      <w:r>
        <w:t>p</w:t>
      </w:r>
      <w:r w:rsidRPr="00FF62F8">
        <w:t xml:space="preserve">ortals and </w:t>
      </w:r>
      <w:r>
        <w:t>d</w:t>
      </w:r>
      <w:r w:rsidRPr="00FF62F8">
        <w:t xml:space="preserve">ata </w:t>
      </w:r>
      <w:r>
        <w:t>p</w:t>
      </w:r>
      <w:r w:rsidRPr="00FF62F8">
        <w:t xml:space="preserve">rocessing </w:t>
      </w:r>
      <w:r>
        <w:t>s</w:t>
      </w:r>
      <w:r w:rsidRPr="00FF62F8">
        <w:t>ervices</w:t>
      </w:r>
      <w:r w:rsidR="008C62B3">
        <w:t>, and</w:t>
      </w:r>
    </w:p>
    <w:p w14:paraId="4CC1CFB6" w14:textId="77777777" w:rsidR="00375729" w:rsidRPr="00C1071D" w:rsidRDefault="00375729" w:rsidP="007A5BBF">
      <w:pPr>
        <w:pStyle w:val="Bodybullet-Level1"/>
      </w:pPr>
      <w:r>
        <w:t>l</w:t>
      </w:r>
      <w:r w:rsidRPr="00FF62F8">
        <w:t xml:space="preserve">ibrary and </w:t>
      </w:r>
      <w:r>
        <w:t>o</w:t>
      </w:r>
      <w:r w:rsidRPr="00FF62F8">
        <w:t xml:space="preserve">ther </w:t>
      </w:r>
      <w:r>
        <w:t>i</w:t>
      </w:r>
      <w:r w:rsidRPr="00FF62F8">
        <w:t xml:space="preserve">nformation </w:t>
      </w:r>
      <w:r>
        <w:t>s</w:t>
      </w:r>
      <w:r w:rsidRPr="00FF62F8">
        <w:t>ervices</w:t>
      </w:r>
      <w:r>
        <w:t>.</w:t>
      </w:r>
      <w:r w:rsidRPr="00FF62F8">
        <w:t xml:space="preserve"> </w:t>
      </w:r>
    </w:p>
    <w:p w14:paraId="424A46F8" w14:textId="77777777" w:rsidR="00375729" w:rsidRDefault="00375729" w:rsidP="00375729">
      <w:r w:rsidRPr="00FF62F8">
        <w:t>The sector</w:t>
      </w:r>
      <w:r>
        <w:t xml:space="preserve">’s value added </w:t>
      </w:r>
      <w:r w:rsidRPr="00FF62F8">
        <w:t xml:space="preserve">expanded </w:t>
      </w:r>
      <w:r>
        <w:t>rapidly</w:t>
      </w:r>
      <w:r w:rsidRPr="00FF62F8">
        <w:t xml:space="preserve"> up until 2007</w:t>
      </w:r>
      <w:r>
        <w:t>–</w:t>
      </w:r>
      <w:r w:rsidRPr="00FF62F8">
        <w:t>08</w:t>
      </w:r>
      <w:r>
        <w:t xml:space="preserve"> (</w:t>
      </w:r>
      <w:r w:rsidR="00BB4354">
        <w:t>Figure F1</w:t>
      </w:r>
      <w:r w:rsidRPr="00FF62F8">
        <w:t xml:space="preserve">). </w:t>
      </w:r>
      <w:r>
        <w:t xml:space="preserve">Growth from 1989–90 to 2013–14 averaged 5.1 per cent a year. At basic prices, the sector slipped from </w:t>
      </w:r>
      <w:r w:rsidRPr="00FF62F8">
        <w:t xml:space="preserve">3.4 per cent </w:t>
      </w:r>
      <w:r>
        <w:t xml:space="preserve">of GDP </w:t>
      </w:r>
      <w:r w:rsidRPr="00FF62F8">
        <w:t>in 1989</w:t>
      </w:r>
      <w:r>
        <w:t>–</w:t>
      </w:r>
      <w:r w:rsidRPr="00FF62F8">
        <w:t>90</w:t>
      </w:r>
      <w:r>
        <w:t xml:space="preserve"> to 3 per cent in 2013–14.</w:t>
      </w:r>
      <w:r w:rsidRPr="00713B9E">
        <w:rPr>
          <w:rStyle w:val="FootnoteReference"/>
        </w:rPr>
        <w:t xml:space="preserve"> </w:t>
      </w:r>
      <w:r>
        <w:rPr>
          <w:rStyle w:val="FootnoteReference"/>
        </w:rPr>
        <w:footnoteReference w:id="16"/>
      </w:r>
      <w:r w:rsidRPr="00FF62F8">
        <w:t xml:space="preserve"> </w:t>
      </w:r>
    </w:p>
    <w:p w14:paraId="3691675E" w14:textId="77777777" w:rsidR="00375729" w:rsidRDefault="00375729" w:rsidP="007A5BBF">
      <w:pPr>
        <w:pStyle w:val="Figurecaption"/>
      </w:pPr>
      <w:r>
        <w:t xml:space="preserve">Figure </w:t>
      </w:r>
      <w:r w:rsidR="00BB4354">
        <w:t>F1</w:t>
      </w:r>
      <w:r>
        <w:t>: Capital, labour and output in information, media and telecommunications (index, 2012–13</w:t>
      </w:r>
      <w:r w:rsidR="006A530A">
        <w:t xml:space="preserve"> = </w:t>
      </w:r>
      <w:r>
        <w:t>100)</w:t>
      </w:r>
    </w:p>
    <w:p w14:paraId="033761BC" w14:textId="5B9C04FA" w:rsidR="00375729" w:rsidRDefault="007A5BBF" w:rsidP="00375729">
      <w:pPr>
        <w:rPr>
          <w:color w:val="FF0000"/>
        </w:rPr>
      </w:pPr>
      <w:r>
        <w:rPr>
          <w:noProof/>
          <w:color w:val="FF0000"/>
          <w:lang w:eastAsia="en-AU"/>
        </w:rPr>
        <w:drawing>
          <wp:inline distT="0" distB="0" distL="0" distR="0" wp14:anchorId="3078CC46" wp14:editId="174560B7">
            <wp:extent cx="4584700" cy="2755900"/>
            <wp:effectExtent l="0" t="0" r="635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AD21F0" w14:textId="77777777" w:rsidR="00375729" w:rsidRDefault="00375729" w:rsidP="00012248">
      <w:pPr>
        <w:pStyle w:val="SourceNotes"/>
      </w:pPr>
      <w:r>
        <w:t xml:space="preserve">Source: </w:t>
      </w:r>
      <w:r w:rsidRPr="00323930">
        <w:t>ABS Cat. No. 52</w:t>
      </w:r>
      <w:r>
        <w:t>60.0.55.002</w:t>
      </w:r>
    </w:p>
    <w:p w14:paraId="52FC00AE" w14:textId="77777777" w:rsidR="00375729" w:rsidRPr="008A5232" w:rsidRDefault="00375729" w:rsidP="00375729">
      <w:r>
        <w:t>Growth in capital was strong and steady at 6.3 per cent a year on average. Labour was somewhat volatile but trended upward until 2007–08, before falling back. Average growth over the whole period was just 0.3 per cent a year.</w:t>
      </w:r>
    </w:p>
    <w:p w14:paraId="28B2F3CC" w14:textId="77777777" w:rsidR="00375729" w:rsidRDefault="00376131" w:rsidP="00F37FA2">
      <w:pPr>
        <w:pStyle w:val="BCRAppendicesSubheading"/>
      </w:pPr>
      <w:r>
        <w:t xml:space="preserve">F.1 </w:t>
      </w:r>
      <w:r w:rsidR="00375729">
        <w:t>Growth in IT capital</w:t>
      </w:r>
    </w:p>
    <w:p w14:paraId="743F91C1" w14:textId="77777777" w:rsidR="00375729" w:rsidRDefault="00375729" w:rsidP="00375729">
      <w:r w:rsidRPr="00FF62F8">
        <w:t xml:space="preserve">The rapid rate of growth in </w:t>
      </w:r>
      <w:r>
        <w:t>Information Technology (</w:t>
      </w:r>
      <w:r w:rsidRPr="00FF62F8">
        <w:t>IT</w:t>
      </w:r>
      <w:r>
        <w:t>)</w:t>
      </w:r>
      <w:r w:rsidRPr="00FF62F8">
        <w:t xml:space="preserve"> capital </w:t>
      </w:r>
      <w:r>
        <w:t xml:space="preserve">in this sector over the period reviewed, 1989–90 to 2013–14, </w:t>
      </w:r>
      <w:r w:rsidRPr="00FF62F8">
        <w:t xml:space="preserve">is evident in </w:t>
      </w:r>
      <w:r w:rsidR="00BB4354">
        <w:t>Figure F2</w:t>
      </w:r>
      <w:r w:rsidRPr="00FF62F8">
        <w:t xml:space="preserve">. </w:t>
      </w:r>
      <w:r>
        <w:t>It has grown at an annual av</w:t>
      </w:r>
      <w:r w:rsidRPr="00FF62F8">
        <w:t>erage</w:t>
      </w:r>
      <w:r>
        <w:t xml:space="preserve"> of</w:t>
      </w:r>
      <w:r w:rsidRPr="00FF62F8">
        <w:t xml:space="preserve"> 16.5 per cent since 1989</w:t>
      </w:r>
      <w:r>
        <w:t>–</w:t>
      </w:r>
      <w:r w:rsidRPr="00FF62F8">
        <w:t>90. Annual rates of growth have slowed in the 2000s, although the</w:t>
      </w:r>
      <w:r>
        <w:t xml:space="preserve"> rate has picked up again </w:t>
      </w:r>
      <w:r w:rsidRPr="00FF62F8">
        <w:t>since 2011</w:t>
      </w:r>
      <w:r>
        <w:t>–</w:t>
      </w:r>
      <w:r w:rsidRPr="00FF62F8">
        <w:t>12 (</w:t>
      </w:r>
      <w:r w:rsidR="00BB4354">
        <w:t>Figure F3</w:t>
      </w:r>
      <w:r w:rsidRPr="00FF62F8">
        <w:t xml:space="preserve">). </w:t>
      </w:r>
    </w:p>
    <w:p w14:paraId="45C77F3E" w14:textId="77777777" w:rsidR="00375729" w:rsidRDefault="00375729" w:rsidP="00375729">
      <w:r>
        <w:t xml:space="preserve">The importance of </w:t>
      </w:r>
      <w:r w:rsidRPr="00FF62F8">
        <w:t xml:space="preserve">IT </w:t>
      </w:r>
      <w:r>
        <w:t xml:space="preserve">in total assets has varied in a fairly wide range at an average of 12.4 per cent </w:t>
      </w:r>
      <w:r w:rsidRPr="00FF62F8">
        <w:t>(</w:t>
      </w:r>
      <w:r w:rsidR="00BB4354">
        <w:t>Figure F3</w:t>
      </w:r>
      <w:r w:rsidRPr="00FF62F8">
        <w:t xml:space="preserve">). </w:t>
      </w:r>
    </w:p>
    <w:p w14:paraId="1169372E" w14:textId="77777777" w:rsidR="00375729" w:rsidRDefault="00375729" w:rsidP="007A5BBF">
      <w:pPr>
        <w:pStyle w:val="Figurecaption"/>
      </w:pPr>
      <w:r>
        <w:t xml:space="preserve">Figure </w:t>
      </w:r>
      <w:r w:rsidR="00BB4354">
        <w:t>F2</w:t>
      </w:r>
      <w:r>
        <w:t>: Capital, IT capital and non-IT capital (index, 2012–13</w:t>
      </w:r>
      <w:r w:rsidR="006A530A">
        <w:t xml:space="preserve"> = </w:t>
      </w:r>
      <w:r>
        <w:t>100)</w:t>
      </w:r>
    </w:p>
    <w:p w14:paraId="0C76A865" w14:textId="68E4B5A6" w:rsidR="00375729" w:rsidRDefault="007A5BBF" w:rsidP="00375729">
      <w:pPr>
        <w:rPr>
          <w:noProof/>
          <w:lang w:eastAsia="en-AU"/>
        </w:rPr>
      </w:pPr>
      <w:r>
        <w:rPr>
          <w:noProof/>
          <w:lang w:eastAsia="en-AU"/>
        </w:rPr>
        <w:drawing>
          <wp:inline distT="0" distB="0" distL="0" distR="0" wp14:anchorId="61D606CE" wp14:editId="6F213B16">
            <wp:extent cx="5535930" cy="2755900"/>
            <wp:effectExtent l="0" t="0" r="762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35930" cy="2755900"/>
                    </a:xfrm>
                    <a:prstGeom prst="rect">
                      <a:avLst/>
                    </a:prstGeom>
                    <a:noFill/>
                  </pic:spPr>
                </pic:pic>
              </a:graphicData>
            </a:graphic>
          </wp:inline>
        </w:drawing>
      </w:r>
    </w:p>
    <w:p w14:paraId="3F26E583" w14:textId="77777777" w:rsidR="00375729" w:rsidRDefault="00375729" w:rsidP="00012248">
      <w:pPr>
        <w:pStyle w:val="SourceNotes"/>
      </w:pPr>
      <w:r>
        <w:t xml:space="preserve">Source: </w:t>
      </w:r>
      <w:r w:rsidRPr="00323930">
        <w:t>ABS Cat. No. 5260.0.55.002 and author estimates</w:t>
      </w:r>
    </w:p>
    <w:p w14:paraId="523F9C9E" w14:textId="77777777" w:rsidR="00375729" w:rsidRDefault="00375729" w:rsidP="007A5BBF">
      <w:pPr>
        <w:pStyle w:val="Figurecaption"/>
      </w:pPr>
      <w:r>
        <w:t xml:space="preserve">Figure </w:t>
      </w:r>
      <w:r w:rsidR="00BB4354">
        <w:t>F3</w:t>
      </w:r>
      <w:r>
        <w:t>: Annual growth in IT and non-IT capital (% per year) and the IT share of capital income (%)</w:t>
      </w:r>
    </w:p>
    <w:p w14:paraId="6D6844EB" w14:textId="46362D55" w:rsidR="00375729" w:rsidRPr="002F6763" w:rsidRDefault="007A5BBF" w:rsidP="00375729">
      <w:pPr>
        <w:spacing w:after="60"/>
      </w:pPr>
      <w:r>
        <w:rPr>
          <w:noProof/>
          <w:lang w:eastAsia="en-AU"/>
        </w:rPr>
        <w:drawing>
          <wp:inline distT="0" distB="0" distL="0" distR="0" wp14:anchorId="5E6E3C9B" wp14:editId="66EA511A">
            <wp:extent cx="5487035" cy="2755900"/>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7035" cy="2755900"/>
                    </a:xfrm>
                    <a:prstGeom prst="rect">
                      <a:avLst/>
                    </a:prstGeom>
                    <a:noFill/>
                  </pic:spPr>
                </pic:pic>
              </a:graphicData>
            </a:graphic>
          </wp:inline>
        </w:drawing>
      </w:r>
    </w:p>
    <w:p w14:paraId="5428DE4F" w14:textId="77777777" w:rsidR="00375729" w:rsidRDefault="00375729" w:rsidP="00012248">
      <w:pPr>
        <w:pStyle w:val="SourceNotes"/>
      </w:pPr>
      <w:r>
        <w:t xml:space="preserve">Source: </w:t>
      </w:r>
      <w:r w:rsidRPr="00323930">
        <w:t>Author estimates</w:t>
      </w:r>
    </w:p>
    <w:p w14:paraId="3EE56F1D" w14:textId="77777777" w:rsidR="00375729" w:rsidRPr="00A87217" w:rsidRDefault="00375729" w:rsidP="00375729">
      <w:r w:rsidRPr="00A87217">
        <w:t xml:space="preserve">The growth in hardware and software components of IT capital is shown in </w:t>
      </w:r>
      <w:r w:rsidR="005D24F7">
        <w:t>Figure F4</w:t>
      </w:r>
      <w:r w:rsidRPr="00A87217">
        <w:t xml:space="preserve">. The figure also shows the share of hardware in IT capital income, which indicates the </w:t>
      </w:r>
      <w:r>
        <w:t xml:space="preserve">extent to which the industry is </w:t>
      </w:r>
      <w:r w:rsidRPr="00A87217">
        <w:t xml:space="preserve">hardware </w:t>
      </w:r>
      <w:r>
        <w:t>(as opposed to software) intensive</w:t>
      </w:r>
      <w:r w:rsidRPr="00A87217">
        <w:t xml:space="preserve">. </w:t>
      </w:r>
    </w:p>
    <w:p w14:paraId="02E49364" w14:textId="77777777" w:rsidR="00375729" w:rsidRDefault="00375729" w:rsidP="00375729">
      <w:r w:rsidRPr="00A87217">
        <w:t xml:space="preserve">IMT </w:t>
      </w:r>
      <w:r>
        <w:t xml:space="preserve">services </w:t>
      </w:r>
      <w:r w:rsidRPr="00A87217">
        <w:t>ha</w:t>
      </w:r>
      <w:r>
        <w:t>ve</w:t>
      </w:r>
      <w:r w:rsidRPr="00A87217">
        <w:t xml:space="preserve"> generally been divided about two-thirds software and one-third hardware. There has been fluctuation in both software and hardware growth</w:t>
      </w:r>
      <w:r>
        <w:t xml:space="preserve">; there was </w:t>
      </w:r>
      <w:r w:rsidRPr="00A87217">
        <w:t xml:space="preserve">strong growth in </w:t>
      </w:r>
      <w:r>
        <w:t xml:space="preserve">both </w:t>
      </w:r>
      <w:r w:rsidRPr="00A87217">
        <w:t>software and hardware in the 1990s</w:t>
      </w:r>
      <w:r>
        <w:t xml:space="preserve"> and in</w:t>
      </w:r>
      <w:r w:rsidRPr="00A87217">
        <w:t xml:space="preserve"> hardware from 2004</w:t>
      </w:r>
      <w:r>
        <w:t>–05.</w:t>
      </w:r>
    </w:p>
    <w:p w14:paraId="15F70D5E" w14:textId="77777777" w:rsidR="00375729" w:rsidRDefault="00375729" w:rsidP="007A5BBF">
      <w:pPr>
        <w:pStyle w:val="Figurecaption"/>
      </w:pPr>
      <w:r>
        <w:t xml:space="preserve">Figure </w:t>
      </w:r>
      <w:r w:rsidR="00BB4354">
        <w:t>F4</w:t>
      </w:r>
      <w:r>
        <w:t>: Annual growth in software and hardware (% per year) and hardware share of IT capital income (%)</w:t>
      </w:r>
    </w:p>
    <w:p w14:paraId="41C87ECE" w14:textId="564A7C4F" w:rsidR="00375729" w:rsidRDefault="007A5BBF" w:rsidP="00375729">
      <w:pPr>
        <w:spacing w:after="60"/>
        <w:rPr>
          <w:noProof/>
          <w:lang w:eastAsia="en-AU"/>
        </w:rPr>
      </w:pPr>
      <w:r>
        <w:rPr>
          <w:noProof/>
          <w:lang w:eastAsia="en-AU"/>
        </w:rPr>
        <w:drawing>
          <wp:inline distT="0" distB="0" distL="0" distR="0" wp14:anchorId="7EE11399" wp14:editId="4D266DAE">
            <wp:extent cx="5292090" cy="2573020"/>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92090" cy="2573020"/>
                    </a:xfrm>
                    <a:prstGeom prst="rect">
                      <a:avLst/>
                    </a:prstGeom>
                    <a:noFill/>
                  </pic:spPr>
                </pic:pic>
              </a:graphicData>
            </a:graphic>
          </wp:inline>
        </w:drawing>
      </w:r>
    </w:p>
    <w:p w14:paraId="43B58365" w14:textId="77777777" w:rsidR="00375729" w:rsidRDefault="00375729" w:rsidP="00012248">
      <w:pPr>
        <w:pStyle w:val="SourceNotes"/>
      </w:pPr>
      <w:r>
        <w:t xml:space="preserve">Source: </w:t>
      </w:r>
      <w:r w:rsidRPr="00323930">
        <w:t>Author estimates</w:t>
      </w:r>
    </w:p>
    <w:p w14:paraId="257E9C60" w14:textId="77777777" w:rsidR="00375729" w:rsidRDefault="00376131" w:rsidP="00F37FA2">
      <w:pPr>
        <w:pStyle w:val="BCRAppendicesSubheading"/>
      </w:pPr>
      <w:r>
        <w:t>F.</w:t>
      </w:r>
      <w:r w:rsidRPr="00876A86">
        <w:t xml:space="preserve">2 </w:t>
      </w:r>
      <w:r w:rsidR="00375729">
        <w:t>IT</w:t>
      </w:r>
      <w:r w:rsidR="00375729" w:rsidRPr="00876A86">
        <w:t>, labour use</w:t>
      </w:r>
      <w:r w:rsidR="005D24F7">
        <w:t>,</w:t>
      </w:r>
      <w:r w:rsidR="00375729" w:rsidRPr="00876A86">
        <w:t xml:space="preserve"> and labour productivity</w:t>
      </w:r>
      <w:r w:rsidR="00375729">
        <w:t xml:space="preserve"> </w:t>
      </w:r>
    </w:p>
    <w:p w14:paraId="0541CAD2" w14:textId="77777777" w:rsidR="00375729" w:rsidRPr="005E2CC0" w:rsidRDefault="00375729" w:rsidP="00375729">
      <w:r w:rsidRPr="005E2CC0">
        <w:t xml:space="preserve">Labour productivity </w:t>
      </w:r>
      <w:r>
        <w:t xml:space="preserve">(LP) </w:t>
      </w:r>
      <w:r w:rsidRPr="005E2CC0">
        <w:t xml:space="preserve">growth in IMT has been very strong. </w:t>
      </w:r>
      <w:r>
        <w:t>Labour productivity</w:t>
      </w:r>
      <w:r w:rsidRPr="005E2CC0">
        <w:t xml:space="preserve"> increased 208</w:t>
      </w:r>
      <w:r w:rsidR="00870078">
        <w:t> </w:t>
      </w:r>
      <w:r w:rsidRPr="005E2CC0">
        <w:t>per</w:t>
      </w:r>
      <w:r w:rsidR="00870078">
        <w:t> </w:t>
      </w:r>
      <w:r w:rsidRPr="005E2CC0">
        <w:t>cent between 1989</w:t>
      </w:r>
      <w:r>
        <w:t>–</w:t>
      </w:r>
      <w:r w:rsidRPr="005E2CC0">
        <w:t>90 and 2013</w:t>
      </w:r>
      <w:r>
        <w:t>–</w:t>
      </w:r>
      <w:r w:rsidRPr="005E2CC0">
        <w:t>14</w:t>
      </w:r>
      <w:r w:rsidR="00865175">
        <w:t xml:space="preserve"> (Figure F5)</w:t>
      </w:r>
      <w:r>
        <w:t>.</w:t>
      </w:r>
      <w:r w:rsidR="00865175">
        <w:t xml:space="preserve"> </w:t>
      </w:r>
      <w:r>
        <w:t>T</w:t>
      </w:r>
      <w:r w:rsidRPr="005E2CC0">
        <w:t>he average an</w:t>
      </w:r>
      <w:r>
        <w:t xml:space="preserve">nual rate of growth in trend LP was </w:t>
      </w:r>
      <w:r w:rsidRPr="005E2CC0">
        <w:t>4.5</w:t>
      </w:r>
      <w:r w:rsidR="00870078">
        <w:t> </w:t>
      </w:r>
      <w:r w:rsidRPr="005E2CC0">
        <w:t>per</w:t>
      </w:r>
      <w:r w:rsidR="00870078">
        <w:t> </w:t>
      </w:r>
      <w:r w:rsidRPr="005E2CC0">
        <w:t xml:space="preserve">cent. </w:t>
      </w:r>
    </w:p>
    <w:p w14:paraId="480E99C1" w14:textId="77777777" w:rsidR="00375729" w:rsidRDefault="00375729" w:rsidP="00375729">
      <w:r w:rsidRPr="005E2CC0">
        <w:t xml:space="preserve">Peaks in LP cycles </w:t>
      </w:r>
      <w:r>
        <w:t>took place in</w:t>
      </w:r>
      <w:r w:rsidRPr="005E2CC0">
        <w:t xml:space="preserve"> 1992</w:t>
      </w:r>
      <w:r>
        <w:t>–</w:t>
      </w:r>
      <w:r w:rsidRPr="005E2CC0">
        <w:t>93, 1998</w:t>
      </w:r>
      <w:r>
        <w:t>–</w:t>
      </w:r>
      <w:r w:rsidRPr="005E2CC0">
        <w:t xml:space="preserve">99, </w:t>
      </w:r>
      <w:r>
        <w:t xml:space="preserve">2001–02, </w:t>
      </w:r>
      <w:r w:rsidRPr="005E2CC0">
        <w:t>2003</w:t>
      </w:r>
      <w:r>
        <w:t>–</w:t>
      </w:r>
      <w:r w:rsidRPr="005E2CC0">
        <w:t xml:space="preserve">04, </w:t>
      </w:r>
      <w:r>
        <w:t xml:space="preserve">and </w:t>
      </w:r>
      <w:r w:rsidRPr="005E2CC0">
        <w:t>2009</w:t>
      </w:r>
      <w:r>
        <w:t>–</w:t>
      </w:r>
      <w:r w:rsidRPr="005E2CC0">
        <w:t xml:space="preserve">10 according to the method set out in </w:t>
      </w:r>
      <w:r>
        <w:t>s</w:t>
      </w:r>
      <w:r w:rsidRPr="005E2CC0">
        <w:t xml:space="preserve">ection 5.3. </w:t>
      </w:r>
      <w:r>
        <w:t>The</w:t>
      </w:r>
      <w:r w:rsidRPr="005E2CC0">
        <w:t xml:space="preserve"> peak at 2001</w:t>
      </w:r>
      <w:r>
        <w:t>–</w:t>
      </w:r>
      <w:r w:rsidRPr="005E2CC0">
        <w:t>02 was not used</w:t>
      </w:r>
      <w:r>
        <w:t xml:space="preserve"> as </w:t>
      </w:r>
      <w:r w:rsidRPr="005E2CC0">
        <w:t xml:space="preserve">it </w:t>
      </w:r>
      <w:r>
        <w:t>wa</w:t>
      </w:r>
      <w:r w:rsidRPr="005E2CC0">
        <w:t>s close to a very high peak in 1998</w:t>
      </w:r>
      <w:r>
        <w:t>–</w:t>
      </w:r>
      <w:r w:rsidRPr="005E2CC0">
        <w:t>99</w:t>
      </w:r>
      <w:r>
        <w:t xml:space="preserve"> </w:t>
      </w:r>
      <w:r w:rsidRPr="005E2CC0">
        <w:t>and would</w:t>
      </w:r>
      <w:r>
        <w:t xml:space="preserve"> have </w:t>
      </w:r>
      <w:r w:rsidRPr="005E2CC0">
        <w:t>exaggerate</w:t>
      </w:r>
      <w:r>
        <w:t>d</w:t>
      </w:r>
      <w:r w:rsidRPr="005E2CC0">
        <w:t xml:space="preserve"> the fall in productivity growth. </w:t>
      </w:r>
    </w:p>
    <w:p w14:paraId="732D552E" w14:textId="77777777" w:rsidR="00375729" w:rsidRPr="005E2CC0" w:rsidRDefault="00375729" w:rsidP="00375729">
      <w:r>
        <w:t>The year 2013–14 has been added</w:t>
      </w:r>
      <w:r w:rsidRPr="005E2CC0">
        <w:t>, even though it escapes the formal decision rules</w:t>
      </w:r>
      <w:r>
        <w:t>, in order to investigate the most recent experience</w:t>
      </w:r>
      <w:r w:rsidRPr="005E2CC0">
        <w:t>.</w:t>
      </w:r>
    </w:p>
    <w:p w14:paraId="2D29BE46" w14:textId="77777777" w:rsidR="00375729" w:rsidRPr="00B940B1" w:rsidRDefault="00375729" w:rsidP="007A5BBF">
      <w:pPr>
        <w:pStyle w:val="Figurecaption"/>
        <w:rPr>
          <w:sz w:val="22"/>
          <w:szCs w:val="22"/>
          <w:vertAlign w:val="superscript"/>
        </w:rPr>
      </w:pPr>
      <w:r>
        <w:t xml:space="preserve">Figure </w:t>
      </w:r>
      <w:r w:rsidR="005D24F7">
        <w:t>F5</w:t>
      </w:r>
      <w:r>
        <w:t xml:space="preserve">: Actual and trend labour productivity in information, media and </w:t>
      </w:r>
      <w:r w:rsidR="005D24F7">
        <w:t>telecommunications</w:t>
      </w:r>
      <w:r w:rsidR="005D24F7">
        <w:rPr>
          <w:sz w:val="22"/>
          <w:szCs w:val="22"/>
          <w:vertAlign w:val="superscript"/>
        </w:rPr>
        <w:t xml:space="preserve">a </w:t>
      </w:r>
      <w:r>
        <w:t>(index, actual 2012–13</w:t>
      </w:r>
      <w:r w:rsidR="006A530A">
        <w:t xml:space="preserve"> = </w:t>
      </w:r>
      <w:r>
        <w:t>100)</w:t>
      </w:r>
    </w:p>
    <w:p w14:paraId="357540F2" w14:textId="3AA4E077" w:rsidR="00375729" w:rsidRDefault="007A5BBF" w:rsidP="00375729">
      <w:r>
        <w:rPr>
          <w:noProof/>
          <w:lang w:eastAsia="en-AU"/>
        </w:rPr>
        <w:drawing>
          <wp:inline distT="0" distB="0" distL="0" distR="0" wp14:anchorId="114EBC70" wp14:editId="75E05835">
            <wp:extent cx="5602605" cy="306070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2605" cy="3060700"/>
                    </a:xfrm>
                    <a:prstGeom prst="rect">
                      <a:avLst/>
                    </a:prstGeom>
                    <a:noFill/>
                  </pic:spPr>
                </pic:pic>
              </a:graphicData>
            </a:graphic>
          </wp:inline>
        </w:drawing>
      </w:r>
    </w:p>
    <w:p w14:paraId="6E49629F" w14:textId="77777777" w:rsidR="00375729" w:rsidRPr="007204B7" w:rsidRDefault="00375729" w:rsidP="00012248">
      <w:pPr>
        <w:pStyle w:val="SourceNotes"/>
      </w:pPr>
      <w:r>
        <w:t xml:space="preserve">Note: a. </w:t>
      </w:r>
      <w:r w:rsidRPr="007204B7">
        <w:t>Trend series formed with a Hodrick-Prescott filter λ</w:t>
      </w:r>
      <w:r w:rsidR="006A530A">
        <w:t xml:space="preserve"> = </w:t>
      </w:r>
      <w:r w:rsidRPr="007204B7">
        <w:t>100</w:t>
      </w:r>
      <w:r w:rsidRPr="007204B7">
        <w:tab/>
      </w:r>
    </w:p>
    <w:p w14:paraId="10595E62" w14:textId="77777777" w:rsidR="00375729" w:rsidRPr="007204B7" w:rsidRDefault="00375729" w:rsidP="00012248">
      <w:pPr>
        <w:pStyle w:val="SourceNotes"/>
      </w:pPr>
      <w:r>
        <w:t xml:space="preserve">Source: </w:t>
      </w:r>
      <w:r w:rsidRPr="007204B7">
        <w:t>ABS Cat. No. 5260.0.55.002 and author estimates</w:t>
      </w:r>
    </w:p>
    <w:p w14:paraId="4F868960" w14:textId="77777777" w:rsidR="00375729" w:rsidRPr="005E2CC0" w:rsidRDefault="00375729" w:rsidP="00375729">
      <w:r w:rsidRPr="005E2CC0">
        <w:t xml:space="preserve">Average growth rates in actual LP over cycles </w:t>
      </w:r>
      <w:r>
        <w:t>were:</w:t>
      </w:r>
      <w:r w:rsidR="009A2198">
        <w:rPr>
          <w:rStyle w:val="EndnoteReference"/>
        </w:rPr>
        <w:endnoteReference w:id="29"/>
      </w:r>
    </w:p>
    <w:p w14:paraId="7751156B" w14:textId="77777777" w:rsidR="00375729" w:rsidRPr="004031A6" w:rsidRDefault="00375729" w:rsidP="007A5BBF">
      <w:pPr>
        <w:pStyle w:val="Bodybullet-Level1"/>
      </w:pPr>
      <w:r w:rsidRPr="004031A6">
        <w:t>1992–93 to 1998–99: 7.2 per cent a year</w:t>
      </w:r>
    </w:p>
    <w:p w14:paraId="7CAF9923" w14:textId="77777777" w:rsidR="00375729" w:rsidRPr="004031A6" w:rsidRDefault="00375729" w:rsidP="007A5BBF">
      <w:pPr>
        <w:pStyle w:val="Bodybullet-Level1"/>
      </w:pPr>
      <w:r w:rsidRPr="004031A6">
        <w:t>1998–99 to 2003–04: 0.8 per cent a year</w:t>
      </w:r>
    </w:p>
    <w:p w14:paraId="7792C9E0" w14:textId="77777777" w:rsidR="00375729" w:rsidRPr="004031A6" w:rsidRDefault="00375729" w:rsidP="007A5BBF">
      <w:pPr>
        <w:pStyle w:val="Bodybullet-Level1"/>
      </w:pPr>
      <w:r w:rsidRPr="004031A6">
        <w:t>2003–04 to 2009–10</w:t>
      </w:r>
      <w:r w:rsidR="009A2198" w:rsidRPr="004031A6">
        <w:t xml:space="preserve">: </w:t>
      </w:r>
      <w:r w:rsidRPr="004031A6">
        <w:t>4.2 per cent a year</w:t>
      </w:r>
      <w:r w:rsidR="00870078">
        <w:t>, and</w:t>
      </w:r>
    </w:p>
    <w:p w14:paraId="55578172" w14:textId="77777777" w:rsidR="00375729" w:rsidRPr="004031A6" w:rsidRDefault="00375729" w:rsidP="007A5BBF">
      <w:pPr>
        <w:pStyle w:val="Bodybullet-Level1"/>
      </w:pPr>
      <w:r w:rsidRPr="004031A6">
        <w:t>2009–10 to 2013–</w:t>
      </w:r>
      <w:r>
        <w:t>14: 3.1 per cent a year.</w:t>
      </w:r>
    </w:p>
    <w:p w14:paraId="190DE1FC" w14:textId="77777777" w:rsidR="00375729" w:rsidRPr="005E2CC0" w:rsidRDefault="00375729" w:rsidP="00375729">
      <w:r>
        <w:t>Note that t</w:t>
      </w:r>
      <w:r w:rsidRPr="005E2CC0">
        <w:t>he high peak in 1998</w:t>
      </w:r>
      <w:r>
        <w:t>–</w:t>
      </w:r>
      <w:r w:rsidRPr="005E2CC0">
        <w:t>99 exaggerate</w:t>
      </w:r>
      <w:r>
        <w:t>s</w:t>
      </w:r>
      <w:r w:rsidRPr="005E2CC0">
        <w:t xml:space="preserve"> the variation in productivity growth over the first two cycles. </w:t>
      </w:r>
    </w:p>
    <w:p w14:paraId="44A345C8" w14:textId="77777777" w:rsidR="00375729" w:rsidRDefault="00376131" w:rsidP="00F37FA2">
      <w:pPr>
        <w:pStyle w:val="BCRAppendicesSubSubheading"/>
      </w:pPr>
      <w:r>
        <w:t>F.2</w:t>
      </w:r>
      <w:r w:rsidR="00375729">
        <w:t>.1</w:t>
      </w:r>
      <w:r>
        <w:t xml:space="preserve"> </w:t>
      </w:r>
      <w:r w:rsidR="00375729">
        <w:t>IT capital deepening and LP growth</w:t>
      </w:r>
    </w:p>
    <w:p w14:paraId="46B8DD34" w14:textId="77777777" w:rsidR="00375729" w:rsidRDefault="00375729" w:rsidP="00375729">
      <w:r w:rsidRPr="005E2CC0">
        <w:t xml:space="preserve">The growth in </w:t>
      </w:r>
      <w:r>
        <w:t>LP</w:t>
      </w:r>
      <w:r w:rsidRPr="005E2CC0">
        <w:t xml:space="preserve"> can be decomposed into contributions from capital deepening and </w:t>
      </w:r>
      <w:r>
        <w:t>multifactor productivity (</w:t>
      </w:r>
      <w:r w:rsidRPr="005E2CC0">
        <w:t>MFP</w:t>
      </w:r>
      <w:r>
        <w:t>)</w:t>
      </w:r>
      <w:r w:rsidRPr="005E2CC0">
        <w:t xml:space="preserve"> growth</w:t>
      </w:r>
      <w:r>
        <w:t xml:space="preserve"> (section 4)</w:t>
      </w:r>
      <w:r w:rsidRPr="005E2CC0">
        <w:t xml:space="preserve">. Capital deepening is growth in the capital-labour ratio, multiplied by the share of total industry income attributed to capital. </w:t>
      </w:r>
    </w:p>
    <w:p w14:paraId="3D0ADBAC" w14:textId="77777777" w:rsidR="00375729" w:rsidRDefault="00375729" w:rsidP="00375729">
      <w:r>
        <w:t xml:space="preserve">LP, the capital-labour ratio and MFP are illustrated in </w:t>
      </w:r>
      <w:r w:rsidR="00865175">
        <w:t>Figure F6</w:t>
      </w:r>
      <w:r>
        <w:t>. Capital deepening contributed more than MFP to LP growth. The capital-labour ratio increased more than 300 per cent</w:t>
      </w:r>
      <w:r w:rsidR="00A4711D">
        <w:t>.</w:t>
      </w:r>
      <w:r w:rsidR="009A2198">
        <w:rPr>
          <w:rStyle w:val="EndnoteReference"/>
        </w:rPr>
        <w:endnoteReference w:id="30"/>
      </w:r>
      <w:r>
        <w:t xml:space="preserve"> MFP grew 33</w:t>
      </w:r>
      <w:r w:rsidR="00A4711D">
        <w:t> </w:t>
      </w:r>
      <w:r>
        <w:t>per</w:t>
      </w:r>
      <w:r w:rsidR="00A4711D">
        <w:t> </w:t>
      </w:r>
      <w:r>
        <w:t xml:space="preserve">cent. </w:t>
      </w:r>
    </w:p>
    <w:p w14:paraId="649A2FC5" w14:textId="77777777" w:rsidR="00375729" w:rsidRDefault="00375729" w:rsidP="007A5BBF">
      <w:pPr>
        <w:pStyle w:val="Figurecaption"/>
      </w:pPr>
      <w:r>
        <w:t xml:space="preserve">Figure </w:t>
      </w:r>
      <w:r w:rsidR="00865175">
        <w:t>F6</w:t>
      </w:r>
      <w:r>
        <w:t>: Labour productivity (LP), the capital-labour ratio (K/L) and multifactor productivity (MFP) in IMT (index, 2012–13</w:t>
      </w:r>
      <w:r w:rsidR="006A530A">
        <w:t xml:space="preserve"> = </w:t>
      </w:r>
      <w:r>
        <w:t>100)</w:t>
      </w:r>
    </w:p>
    <w:p w14:paraId="0A27940D" w14:textId="67DAE4C0" w:rsidR="00375729" w:rsidRDefault="007A5BBF" w:rsidP="00375729">
      <w:pPr>
        <w:spacing w:after="60"/>
      </w:pPr>
      <w:r>
        <w:rPr>
          <w:noProof/>
          <w:lang w:eastAsia="en-AU"/>
        </w:rPr>
        <w:drawing>
          <wp:inline distT="0" distB="0" distL="0" distR="0" wp14:anchorId="460B97C3" wp14:editId="56A3E026">
            <wp:extent cx="5444490" cy="2755900"/>
            <wp:effectExtent l="0" t="0" r="381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44490" cy="2755900"/>
                    </a:xfrm>
                    <a:prstGeom prst="rect">
                      <a:avLst/>
                    </a:prstGeom>
                    <a:noFill/>
                  </pic:spPr>
                </pic:pic>
              </a:graphicData>
            </a:graphic>
          </wp:inline>
        </w:drawing>
      </w:r>
    </w:p>
    <w:p w14:paraId="2B677763" w14:textId="77777777" w:rsidR="00375729" w:rsidRPr="00ED039F" w:rsidRDefault="00375729" w:rsidP="00012248">
      <w:pPr>
        <w:pStyle w:val="SourceNotes"/>
      </w:pPr>
      <w:r>
        <w:t xml:space="preserve">Source: </w:t>
      </w:r>
      <w:r w:rsidRPr="00323930">
        <w:t xml:space="preserve">ABS Cat. No. 5260.0.55.002 </w:t>
      </w:r>
    </w:p>
    <w:p w14:paraId="3B5BE170" w14:textId="77777777" w:rsidR="00375729" w:rsidRDefault="00375729" w:rsidP="00375729">
      <w:r w:rsidRPr="00AE0E3C">
        <w:t xml:space="preserve">The </w:t>
      </w:r>
      <w:r>
        <w:t xml:space="preserve">dominance of the </w:t>
      </w:r>
      <w:r w:rsidRPr="00AE0E3C">
        <w:t>capital deepening contribution to LP growth</w:t>
      </w:r>
      <w:r>
        <w:t>, especially after the first cycle,</w:t>
      </w:r>
      <w:r w:rsidRPr="00AE0E3C">
        <w:t xml:space="preserve"> </w:t>
      </w:r>
      <w:r>
        <w:t xml:space="preserve">is confirmed in the growth accounting in Table </w:t>
      </w:r>
      <w:r w:rsidR="005609CE">
        <w:t>F1</w:t>
      </w:r>
      <w:r>
        <w:t>. The IT capital contribution was a very strong 1.1</w:t>
      </w:r>
      <w:r w:rsidR="00A4711D">
        <w:noBreakHyphen/>
      </w:r>
      <w:r>
        <w:t>1.6</w:t>
      </w:r>
      <w:r w:rsidR="00A4711D">
        <w:t> </w:t>
      </w:r>
      <w:r>
        <w:t>percentage</w:t>
      </w:r>
      <w:r w:rsidR="00A4711D">
        <w:t> </w:t>
      </w:r>
      <w:r>
        <w:t>points in the first two cycles. After that it dropped to 0.7 of a percentage point.</w:t>
      </w:r>
    </w:p>
    <w:p w14:paraId="4EE462AC" w14:textId="77777777" w:rsidR="00375729" w:rsidRDefault="00375729" w:rsidP="00012248">
      <w:pPr>
        <w:pStyle w:val="BodyText"/>
        <w:rPr>
          <w:rFonts w:ascii="Cambria" w:eastAsiaTheme="majorEastAsia" w:hAnsi="Cambria" w:cstheme="majorBidi"/>
          <w:color w:val="900D10" w:themeColor="accent1" w:themeShade="80"/>
          <w:sz w:val="26"/>
          <w:szCs w:val="26"/>
        </w:rPr>
      </w:pPr>
      <w:r>
        <w:br w:type="page"/>
      </w:r>
    </w:p>
    <w:p w14:paraId="2AAA4A49" w14:textId="77777777" w:rsidR="00375729" w:rsidRDefault="00375729" w:rsidP="007A5BBF">
      <w:pPr>
        <w:pStyle w:val="Tablecaption"/>
        <w:rPr>
          <w:sz w:val="22"/>
          <w:szCs w:val="22"/>
          <w:vertAlign w:val="superscript"/>
        </w:rPr>
      </w:pPr>
      <w:r>
        <w:t xml:space="preserve">Table </w:t>
      </w:r>
      <w:r w:rsidR="005609CE">
        <w:t>F1</w:t>
      </w:r>
      <w:r>
        <w:t>: Labour productivity growth accounting in IMT services</w:t>
      </w:r>
      <w:r>
        <w:rPr>
          <w:sz w:val="22"/>
          <w:szCs w:val="22"/>
          <w:vertAlign w:val="superscript"/>
        </w:rPr>
        <w:t>a</w:t>
      </w:r>
    </w:p>
    <w:tbl>
      <w:tblPr>
        <w:tblW w:w="8896" w:type="dxa"/>
        <w:tblLayout w:type="fixed"/>
        <w:tblLook w:val="04A0" w:firstRow="1" w:lastRow="0" w:firstColumn="1" w:lastColumn="0" w:noHBand="0" w:noVBand="1"/>
      </w:tblPr>
      <w:tblGrid>
        <w:gridCol w:w="3397"/>
        <w:gridCol w:w="1374"/>
        <w:gridCol w:w="1375"/>
        <w:gridCol w:w="1375"/>
        <w:gridCol w:w="1375"/>
      </w:tblGrid>
      <w:tr w:rsidR="00375729" w:rsidRPr="00D257B2" w14:paraId="7F390B3F" w14:textId="77777777" w:rsidTr="00301886">
        <w:trPr>
          <w:trHeight w:val="51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9847" w14:textId="77777777" w:rsidR="00375729" w:rsidRPr="00D257B2" w:rsidRDefault="00375729" w:rsidP="007A5BBF">
            <w:pPr>
              <w:pStyle w:val="Tablecellheading"/>
            </w:pPr>
          </w:p>
        </w:tc>
        <w:tc>
          <w:tcPr>
            <w:tcW w:w="137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660EB9C0" w14:textId="77777777" w:rsidR="00375729" w:rsidRPr="00D257B2" w:rsidRDefault="00375729" w:rsidP="007A5BBF">
            <w:pPr>
              <w:pStyle w:val="Tablecellheading"/>
              <w:rPr>
                <w:sz w:val="18"/>
                <w:szCs w:val="18"/>
              </w:rPr>
            </w:pPr>
            <w:r w:rsidRPr="00D257B2">
              <w:rPr>
                <w:sz w:val="18"/>
                <w:szCs w:val="18"/>
              </w:rPr>
              <w:t>1992</w:t>
            </w:r>
            <w:r>
              <w:rPr>
                <w:sz w:val="18"/>
                <w:szCs w:val="18"/>
              </w:rPr>
              <w:t>–</w:t>
            </w:r>
            <w:r w:rsidRPr="00D257B2">
              <w:rPr>
                <w:sz w:val="18"/>
                <w:szCs w:val="18"/>
              </w:rPr>
              <w:t>93 to 199</w:t>
            </w:r>
            <w:r>
              <w:rPr>
                <w:sz w:val="18"/>
                <w:szCs w:val="18"/>
              </w:rPr>
              <w:t>8–99</w:t>
            </w:r>
          </w:p>
        </w:tc>
        <w:tc>
          <w:tcPr>
            <w:tcW w:w="13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5DF8F269" w14:textId="77777777" w:rsidR="00375729" w:rsidRPr="00D257B2" w:rsidRDefault="00375729" w:rsidP="007A5BBF">
            <w:pPr>
              <w:pStyle w:val="Tablecellheading"/>
              <w:rPr>
                <w:sz w:val="18"/>
                <w:szCs w:val="18"/>
              </w:rPr>
            </w:pPr>
            <w:r w:rsidRPr="00D257B2">
              <w:rPr>
                <w:sz w:val="18"/>
                <w:szCs w:val="18"/>
              </w:rPr>
              <w:t>199</w:t>
            </w:r>
            <w:r>
              <w:rPr>
                <w:sz w:val="18"/>
                <w:szCs w:val="18"/>
              </w:rPr>
              <w:t>8–99</w:t>
            </w:r>
            <w:r w:rsidRPr="00D257B2">
              <w:rPr>
                <w:sz w:val="18"/>
                <w:szCs w:val="18"/>
              </w:rPr>
              <w:t xml:space="preserve"> to 200</w:t>
            </w:r>
            <w:r>
              <w:rPr>
                <w:sz w:val="18"/>
                <w:szCs w:val="18"/>
              </w:rPr>
              <w:t>3–04</w:t>
            </w:r>
          </w:p>
        </w:tc>
        <w:tc>
          <w:tcPr>
            <w:tcW w:w="13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3278830F" w14:textId="77777777" w:rsidR="00375729" w:rsidRPr="00D257B2" w:rsidRDefault="00375729" w:rsidP="007A5BBF">
            <w:pPr>
              <w:pStyle w:val="Tablecellheading"/>
              <w:rPr>
                <w:sz w:val="18"/>
                <w:szCs w:val="18"/>
              </w:rPr>
            </w:pPr>
            <w:r w:rsidRPr="00D257B2">
              <w:rPr>
                <w:sz w:val="18"/>
                <w:szCs w:val="18"/>
              </w:rPr>
              <w:t>200</w:t>
            </w:r>
            <w:r>
              <w:rPr>
                <w:sz w:val="18"/>
                <w:szCs w:val="18"/>
              </w:rPr>
              <w:t>3–04</w:t>
            </w:r>
            <w:r w:rsidRPr="00D257B2">
              <w:rPr>
                <w:sz w:val="18"/>
                <w:szCs w:val="18"/>
              </w:rPr>
              <w:t xml:space="preserve"> to 200</w:t>
            </w:r>
            <w:r>
              <w:rPr>
                <w:sz w:val="18"/>
                <w:szCs w:val="18"/>
              </w:rPr>
              <w:t>9–10</w:t>
            </w:r>
          </w:p>
        </w:tc>
        <w:tc>
          <w:tcPr>
            <w:tcW w:w="1375"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544892EA" w14:textId="77777777" w:rsidR="00375729" w:rsidRPr="00D257B2" w:rsidRDefault="00375729" w:rsidP="007A5BBF">
            <w:pPr>
              <w:pStyle w:val="Tablecellheading"/>
              <w:rPr>
                <w:sz w:val="18"/>
                <w:szCs w:val="18"/>
              </w:rPr>
            </w:pPr>
            <w:r w:rsidRPr="00D257B2">
              <w:rPr>
                <w:sz w:val="18"/>
                <w:szCs w:val="18"/>
              </w:rPr>
              <w:t>200</w:t>
            </w:r>
            <w:r>
              <w:rPr>
                <w:sz w:val="18"/>
                <w:szCs w:val="18"/>
              </w:rPr>
              <w:t xml:space="preserve">9–10 </w:t>
            </w:r>
            <w:r w:rsidRPr="00D257B2">
              <w:rPr>
                <w:sz w:val="18"/>
                <w:szCs w:val="18"/>
              </w:rPr>
              <w:t>to 20</w:t>
            </w:r>
            <w:r>
              <w:rPr>
                <w:sz w:val="18"/>
                <w:szCs w:val="18"/>
              </w:rPr>
              <w:t>13–14</w:t>
            </w:r>
          </w:p>
        </w:tc>
      </w:tr>
      <w:tr w:rsidR="00375729" w:rsidRPr="00D257B2" w14:paraId="47ED8723" w14:textId="77777777" w:rsidTr="00301886">
        <w:trPr>
          <w:trHeight w:val="330"/>
        </w:trPr>
        <w:tc>
          <w:tcPr>
            <w:tcW w:w="3397" w:type="dxa"/>
            <w:tcBorders>
              <w:top w:val="single" w:sz="4" w:space="0" w:color="auto"/>
              <w:left w:val="single" w:sz="4" w:space="0" w:color="auto"/>
              <w:bottom w:val="nil"/>
              <w:right w:val="single" w:sz="4" w:space="0" w:color="auto"/>
            </w:tcBorders>
            <w:shd w:val="clear" w:color="auto" w:fill="auto"/>
            <w:noWrap/>
            <w:vAlign w:val="center"/>
            <w:hideMark/>
          </w:tcPr>
          <w:p w14:paraId="4A7173D6" w14:textId="77777777" w:rsidR="00375729" w:rsidRPr="00CF3D6E" w:rsidRDefault="00375729" w:rsidP="007A5BBF">
            <w:pPr>
              <w:pStyle w:val="Tablecellsub-heading"/>
            </w:pPr>
            <w:r w:rsidRPr="00CF3D6E">
              <w:t>Capital deepening (pp)</w:t>
            </w:r>
          </w:p>
        </w:tc>
        <w:tc>
          <w:tcPr>
            <w:tcW w:w="1374"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7D75ADA2" w14:textId="77777777" w:rsidR="00375729" w:rsidRPr="00CF3D6E" w:rsidRDefault="00375729" w:rsidP="007A5BBF">
            <w:pPr>
              <w:pStyle w:val="Tabletext"/>
            </w:pPr>
            <w:r w:rsidRPr="00CF3D6E">
              <w:t>3.7 (53)</w:t>
            </w:r>
          </w:p>
        </w:tc>
        <w:tc>
          <w:tcPr>
            <w:tcW w:w="137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26931857" w14:textId="77777777" w:rsidR="00375729" w:rsidRPr="00CF3D6E" w:rsidRDefault="00375729" w:rsidP="007A5BBF">
            <w:pPr>
              <w:pStyle w:val="Tabletext"/>
            </w:pPr>
            <w:r w:rsidRPr="00CF3D6E">
              <w:t xml:space="preserve">2.0  </w:t>
            </w:r>
          </w:p>
        </w:tc>
        <w:tc>
          <w:tcPr>
            <w:tcW w:w="137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4197813" w14:textId="77777777" w:rsidR="00375729" w:rsidRPr="00CF3D6E" w:rsidRDefault="00375729" w:rsidP="007A5BBF">
            <w:pPr>
              <w:pStyle w:val="Tabletext"/>
            </w:pPr>
            <w:r w:rsidRPr="00CF3D6E">
              <w:t>4.0   (96)</w:t>
            </w:r>
          </w:p>
        </w:tc>
        <w:tc>
          <w:tcPr>
            <w:tcW w:w="1375"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10207322" w14:textId="77777777" w:rsidR="00375729" w:rsidRPr="00CF3D6E" w:rsidRDefault="00375729" w:rsidP="007A5BBF">
            <w:pPr>
              <w:pStyle w:val="Tabletext"/>
            </w:pPr>
            <w:r w:rsidRPr="00CF3D6E">
              <w:t>3.6</w:t>
            </w:r>
          </w:p>
        </w:tc>
      </w:tr>
      <w:tr w:rsidR="00375729" w:rsidRPr="00D257B2" w14:paraId="741DD70E"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7E6634DC" w14:textId="77777777" w:rsidR="00375729" w:rsidRPr="00D257B2" w:rsidRDefault="00375729" w:rsidP="007A5BBF">
            <w:pPr>
              <w:pStyle w:val="Tablecellsub-heading"/>
            </w:pPr>
            <w:r>
              <w:t>IT</w:t>
            </w:r>
            <w:r w:rsidRPr="00D257B2">
              <w:t xml:space="preserve"> capital deepening</w:t>
            </w:r>
            <w:r>
              <w:t xml:space="preserve"> (pp)</w:t>
            </w:r>
          </w:p>
        </w:tc>
        <w:tc>
          <w:tcPr>
            <w:tcW w:w="1374" w:type="dxa"/>
            <w:tcBorders>
              <w:top w:val="nil"/>
              <w:left w:val="single" w:sz="4" w:space="0" w:color="auto"/>
              <w:bottom w:val="nil"/>
              <w:right w:val="single" w:sz="4" w:space="0" w:color="BFBFBF" w:themeColor="background1" w:themeShade="BF"/>
            </w:tcBorders>
            <w:shd w:val="clear" w:color="auto" w:fill="auto"/>
            <w:noWrap/>
            <w:vAlign w:val="center"/>
            <w:hideMark/>
          </w:tcPr>
          <w:p w14:paraId="3206D262" w14:textId="77777777" w:rsidR="00375729" w:rsidRPr="00A4711D" w:rsidRDefault="00375729" w:rsidP="007A5BBF">
            <w:pPr>
              <w:pStyle w:val="Tabletext"/>
            </w:pPr>
            <w:r w:rsidRPr="00A4711D">
              <w:t xml:space="preserve">1.6   </w:t>
            </w:r>
            <w:r w:rsidRPr="00CF3D6E">
              <w:t>(23)</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AC1DA2F" w14:textId="77777777" w:rsidR="00375729" w:rsidRPr="00A4711D" w:rsidRDefault="00375729" w:rsidP="007A5BBF">
            <w:pPr>
              <w:pStyle w:val="Tabletext"/>
            </w:pPr>
            <w:r w:rsidRPr="00A4711D">
              <w:t xml:space="preserve">1.1 </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9DC1C16" w14:textId="77777777" w:rsidR="00375729" w:rsidRPr="00A4711D" w:rsidRDefault="00375729" w:rsidP="007A5BBF">
            <w:pPr>
              <w:pStyle w:val="Tabletext"/>
            </w:pPr>
            <w:r w:rsidRPr="00A4711D">
              <w:t xml:space="preserve">0.7  </w:t>
            </w:r>
            <w:r w:rsidRPr="00CF3D6E">
              <w:t>(16)</w:t>
            </w:r>
          </w:p>
        </w:tc>
        <w:tc>
          <w:tcPr>
            <w:tcW w:w="1375" w:type="dxa"/>
            <w:tcBorders>
              <w:top w:val="nil"/>
              <w:left w:val="single" w:sz="4" w:space="0" w:color="BFBFBF" w:themeColor="background1" w:themeShade="BF"/>
              <w:bottom w:val="nil"/>
              <w:right w:val="single" w:sz="4" w:space="0" w:color="auto"/>
            </w:tcBorders>
            <w:shd w:val="clear" w:color="auto" w:fill="auto"/>
            <w:noWrap/>
            <w:vAlign w:val="center"/>
            <w:hideMark/>
          </w:tcPr>
          <w:p w14:paraId="5C2E37C1" w14:textId="77777777" w:rsidR="00375729" w:rsidRPr="00A4711D" w:rsidRDefault="00375729" w:rsidP="007A5BBF">
            <w:pPr>
              <w:pStyle w:val="Tabletext"/>
            </w:pPr>
            <w:r w:rsidRPr="00A4711D">
              <w:t>0.8</w:t>
            </w:r>
          </w:p>
        </w:tc>
      </w:tr>
      <w:tr w:rsidR="00375729" w:rsidRPr="00D257B2" w14:paraId="39CF6528"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37D01C2A" w14:textId="77777777" w:rsidR="00375729" w:rsidRPr="00CF3D6E" w:rsidRDefault="0058764D" w:rsidP="007A5BBF">
            <w:pPr>
              <w:pStyle w:val="Tablecellsub-heading"/>
              <w:rPr>
                <w:i/>
              </w:rPr>
            </w:pPr>
            <w:r>
              <w:rPr>
                <w:i/>
              </w:rPr>
              <w:t>H</w:t>
            </w:r>
            <w:r w:rsidR="00375729" w:rsidRPr="00CF3D6E">
              <w:rPr>
                <w:i/>
              </w:rPr>
              <w:t>ardware (pp)</w:t>
            </w:r>
          </w:p>
        </w:tc>
        <w:tc>
          <w:tcPr>
            <w:tcW w:w="1374" w:type="dxa"/>
            <w:tcBorders>
              <w:top w:val="nil"/>
              <w:left w:val="single" w:sz="4" w:space="0" w:color="auto"/>
              <w:bottom w:val="nil"/>
              <w:right w:val="single" w:sz="4" w:space="0" w:color="BFBFBF" w:themeColor="background1" w:themeShade="BF"/>
            </w:tcBorders>
            <w:shd w:val="clear" w:color="auto" w:fill="auto"/>
            <w:noWrap/>
            <w:vAlign w:val="bottom"/>
            <w:hideMark/>
          </w:tcPr>
          <w:p w14:paraId="45D53646" w14:textId="77777777" w:rsidR="00375729" w:rsidRPr="00CF3D6E" w:rsidRDefault="00375729" w:rsidP="007A5BBF">
            <w:pPr>
              <w:pStyle w:val="Tabletext"/>
              <w:rPr>
                <w:i/>
              </w:rPr>
            </w:pPr>
            <w:r w:rsidRPr="00CF3D6E">
              <w:rPr>
                <w:i/>
              </w:rPr>
              <w:t>0.7</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1F8FEC0E" w14:textId="77777777" w:rsidR="00375729" w:rsidRPr="00CF3D6E" w:rsidRDefault="00375729" w:rsidP="007A5BBF">
            <w:pPr>
              <w:pStyle w:val="Tabletext"/>
              <w:rPr>
                <w:i/>
              </w:rPr>
            </w:pPr>
            <w:r w:rsidRPr="00CF3D6E">
              <w:rPr>
                <w:i/>
              </w:rPr>
              <w:t>0.6</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6F5F99A5" w14:textId="77777777" w:rsidR="00375729" w:rsidRPr="00CF3D6E" w:rsidRDefault="00375729" w:rsidP="007A5BBF">
            <w:pPr>
              <w:pStyle w:val="Tabletext"/>
              <w:rPr>
                <w:i/>
              </w:rPr>
            </w:pPr>
            <w:r w:rsidRPr="00CF3D6E">
              <w:rPr>
                <w:i/>
              </w:rPr>
              <w:t>0.5</w:t>
            </w:r>
          </w:p>
        </w:tc>
        <w:tc>
          <w:tcPr>
            <w:tcW w:w="1375" w:type="dxa"/>
            <w:tcBorders>
              <w:top w:val="nil"/>
              <w:left w:val="single" w:sz="4" w:space="0" w:color="BFBFBF" w:themeColor="background1" w:themeShade="BF"/>
              <w:bottom w:val="nil"/>
              <w:right w:val="single" w:sz="4" w:space="0" w:color="auto"/>
            </w:tcBorders>
            <w:shd w:val="clear" w:color="auto" w:fill="auto"/>
            <w:noWrap/>
            <w:vAlign w:val="bottom"/>
            <w:hideMark/>
          </w:tcPr>
          <w:p w14:paraId="41963080" w14:textId="77777777" w:rsidR="00375729" w:rsidRPr="00CF3D6E" w:rsidRDefault="00375729" w:rsidP="007A5BBF">
            <w:pPr>
              <w:pStyle w:val="Tabletext"/>
              <w:rPr>
                <w:i/>
              </w:rPr>
            </w:pPr>
            <w:r w:rsidRPr="00CF3D6E">
              <w:rPr>
                <w:i/>
              </w:rPr>
              <w:t>0.4</w:t>
            </w:r>
          </w:p>
        </w:tc>
      </w:tr>
      <w:tr w:rsidR="00375729" w:rsidRPr="00D257B2" w14:paraId="274F5134"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64689462" w14:textId="77777777" w:rsidR="00375729" w:rsidRPr="00CF3D6E" w:rsidRDefault="0058764D" w:rsidP="007A5BBF">
            <w:pPr>
              <w:pStyle w:val="Tablecellsub-heading"/>
              <w:rPr>
                <w:i/>
              </w:rPr>
            </w:pPr>
            <w:r>
              <w:rPr>
                <w:i/>
              </w:rPr>
              <w:t>S</w:t>
            </w:r>
            <w:r w:rsidR="00375729" w:rsidRPr="00CF3D6E">
              <w:rPr>
                <w:i/>
              </w:rPr>
              <w:t>oftware (pp)</w:t>
            </w:r>
          </w:p>
        </w:tc>
        <w:tc>
          <w:tcPr>
            <w:tcW w:w="1374" w:type="dxa"/>
            <w:tcBorders>
              <w:top w:val="nil"/>
              <w:left w:val="single" w:sz="4" w:space="0" w:color="auto"/>
              <w:bottom w:val="nil"/>
              <w:right w:val="single" w:sz="4" w:space="0" w:color="BFBFBF" w:themeColor="background1" w:themeShade="BF"/>
            </w:tcBorders>
            <w:shd w:val="clear" w:color="auto" w:fill="auto"/>
            <w:noWrap/>
            <w:vAlign w:val="bottom"/>
            <w:hideMark/>
          </w:tcPr>
          <w:p w14:paraId="1B11602D" w14:textId="77777777" w:rsidR="00375729" w:rsidRPr="00CF3D6E" w:rsidRDefault="00375729" w:rsidP="007A5BBF">
            <w:pPr>
              <w:pStyle w:val="Tabletext"/>
              <w:rPr>
                <w:i/>
              </w:rPr>
            </w:pPr>
            <w:r w:rsidRPr="00CF3D6E">
              <w:rPr>
                <w:i/>
              </w:rPr>
              <w:t>1.0</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4A35965" w14:textId="77777777" w:rsidR="00375729" w:rsidRPr="00CF3D6E" w:rsidRDefault="00375729" w:rsidP="007A5BBF">
            <w:pPr>
              <w:pStyle w:val="Tabletext"/>
              <w:rPr>
                <w:i/>
              </w:rPr>
            </w:pPr>
            <w:r w:rsidRPr="00CF3D6E">
              <w:rPr>
                <w:i/>
              </w:rPr>
              <w:t>0.5</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bottom"/>
            <w:hideMark/>
          </w:tcPr>
          <w:p w14:paraId="09A93044" w14:textId="77777777" w:rsidR="00375729" w:rsidRPr="00CF3D6E" w:rsidRDefault="00375729" w:rsidP="007A5BBF">
            <w:pPr>
              <w:pStyle w:val="Tabletext"/>
              <w:rPr>
                <w:i/>
              </w:rPr>
            </w:pPr>
            <w:r w:rsidRPr="00CF3D6E">
              <w:rPr>
                <w:i/>
              </w:rPr>
              <w:t>0.2</w:t>
            </w:r>
          </w:p>
        </w:tc>
        <w:tc>
          <w:tcPr>
            <w:tcW w:w="1375" w:type="dxa"/>
            <w:tcBorders>
              <w:top w:val="nil"/>
              <w:left w:val="single" w:sz="4" w:space="0" w:color="BFBFBF" w:themeColor="background1" w:themeShade="BF"/>
              <w:bottom w:val="nil"/>
              <w:right w:val="single" w:sz="4" w:space="0" w:color="auto"/>
            </w:tcBorders>
            <w:shd w:val="clear" w:color="auto" w:fill="auto"/>
            <w:noWrap/>
            <w:vAlign w:val="bottom"/>
            <w:hideMark/>
          </w:tcPr>
          <w:p w14:paraId="3AAD5980" w14:textId="77777777" w:rsidR="00375729" w:rsidRPr="00CF3D6E" w:rsidRDefault="00375729" w:rsidP="007A5BBF">
            <w:pPr>
              <w:pStyle w:val="Tabletext"/>
              <w:rPr>
                <w:i/>
              </w:rPr>
            </w:pPr>
            <w:r w:rsidRPr="00CF3D6E">
              <w:rPr>
                <w:i/>
              </w:rPr>
              <w:t>0.4</w:t>
            </w:r>
          </w:p>
        </w:tc>
      </w:tr>
      <w:tr w:rsidR="00375729" w:rsidRPr="00D257B2" w14:paraId="6D7B3CB8"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28EAF93B" w14:textId="77777777" w:rsidR="00375729" w:rsidRPr="00D257B2" w:rsidRDefault="00375729" w:rsidP="007A5BBF">
            <w:pPr>
              <w:pStyle w:val="Tablecellsub-heading"/>
            </w:pPr>
            <w:r w:rsidRPr="00D257B2">
              <w:t>Non-</w:t>
            </w:r>
            <w:r>
              <w:t>IT</w:t>
            </w:r>
            <w:r w:rsidRPr="00D257B2">
              <w:t xml:space="preserve"> capital deepening</w:t>
            </w:r>
            <w:r>
              <w:t xml:space="preserve"> (pp)</w:t>
            </w:r>
          </w:p>
        </w:tc>
        <w:tc>
          <w:tcPr>
            <w:tcW w:w="1374" w:type="dxa"/>
            <w:tcBorders>
              <w:top w:val="nil"/>
              <w:left w:val="single" w:sz="4" w:space="0" w:color="auto"/>
              <w:bottom w:val="nil"/>
              <w:right w:val="single" w:sz="4" w:space="0" w:color="BFBFBF" w:themeColor="background1" w:themeShade="BF"/>
            </w:tcBorders>
            <w:shd w:val="clear" w:color="auto" w:fill="auto"/>
            <w:noWrap/>
            <w:vAlign w:val="center"/>
            <w:hideMark/>
          </w:tcPr>
          <w:p w14:paraId="59680EE5" w14:textId="77777777" w:rsidR="00375729" w:rsidRPr="00A4711D" w:rsidRDefault="00375729" w:rsidP="007A5BBF">
            <w:pPr>
              <w:pStyle w:val="Tabletext"/>
            </w:pPr>
            <w:r w:rsidRPr="00A4711D">
              <w:t xml:space="preserve">2.1  </w:t>
            </w:r>
            <w:r w:rsidRPr="00CF3D6E">
              <w:t>(30)</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8104574" w14:textId="77777777" w:rsidR="00375729" w:rsidRPr="00A4711D" w:rsidRDefault="00375729" w:rsidP="007A5BBF">
            <w:pPr>
              <w:pStyle w:val="Tabletext"/>
            </w:pPr>
            <w:r w:rsidRPr="00A4711D">
              <w:t>0.9</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34539F2" w14:textId="77777777" w:rsidR="00375729" w:rsidRPr="00A4711D" w:rsidRDefault="00375729" w:rsidP="007A5BBF">
            <w:pPr>
              <w:pStyle w:val="Tabletext"/>
            </w:pPr>
            <w:r w:rsidRPr="00A4711D">
              <w:t xml:space="preserve">3.3  </w:t>
            </w:r>
            <w:r w:rsidRPr="00CF3D6E">
              <w:t>(80)</w:t>
            </w:r>
          </w:p>
        </w:tc>
        <w:tc>
          <w:tcPr>
            <w:tcW w:w="1375" w:type="dxa"/>
            <w:tcBorders>
              <w:top w:val="nil"/>
              <w:left w:val="single" w:sz="4" w:space="0" w:color="BFBFBF" w:themeColor="background1" w:themeShade="BF"/>
              <w:bottom w:val="nil"/>
              <w:right w:val="single" w:sz="4" w:space="0" w:color="auto"/>
            </w:tcBorders>
            <w:shd w:val="clear" w:color="auto" w:fill="auto"/>
            <w:noWrap/>
            <w:vAlign w:val="center"/>
            <w:hideMark/>
          </w:tcPr>
          <w:p w14:paraId="41CCEBB4" w14:textId="77777777" w:rsidR="00375729" w:rsidRPr="00A4711D" w:rsidRDefault="00375729" w:rsidP="007A5BBF">
            <w:pPr>
              <w:pStyle w:val="Tabletext"/>
            </w:pPr>
            <w:r w:rsidRPr="00A4711D">
              <w:t>2.8</w:t>
            </w:r>
          </w:p>
        </w:tc>
      </w:tr>
      <w:tr w:rsidR="00375729" w:rsidRPr="00D257B2" w14:paraId="6EECA45E" w14:textId="77777777" w:rsidTr="00301886">
        <w:trPr>
          <w:trHeight w:val="330"/>
        </w:trPr>
        <w:tc>
          <w:tcPr>
            <w:tcW w:w="3397" w:type="dxa"/>
            <w:tcBorders>
              <w:top w:val="nil"/>
              <w:left w:val="single" w:sz="4" w:space="0" w:color="auto"/>
              <w:bottom w:val="nil"/>
              <w:right w:val="single" w:sz="4" w:space="0" w:color="auto"/>
            </w:tcBorders>
            <w:shd w:val="clear" w:color="auto" w:fill="auto"/>
            <w:noWrap/>
            <w:vAlign w:val="center"/>
            <w:hideMark/>
          </w:tcPr>
          <w:p w14:paraId="2BD54100" w14:textId="77777777" w:rsidR="00375729" w:rsidRPr="00CF3D6E" w:rsidRDefault="00375729" w:rsidP="007A5BBF">
            <w:pPr>
              <w:pStyle w:val="Tablecellsub-heading"/>
            </w:pPr>
            <w:r w:rsidRPr="00CF3D6E">
              <w:t>MFP growth (pp)</w:t>
            </w:r>
          </w:p>
        </w:tc>
        <w:tc>
          <w:tcPr>
            <w:tcW w:w="1374" w:type="dxa"/>
            <w:tcBorders>
              <w:top w:val="nil"/>
              <w:left w:val="single" w:sz="4" w:space="0" w:color="auto"/>
              <w:bottom w:val="nil"/>
              <w:right w:val="single" w:sz="4" w:space="0" w:color="BFBFBF" w:themeColor="background1" w:themeShade="BF"/>
            </w:tcBorders>
            <w:shd w:val="clear" w:color="auto" w:fill="auto"/>
            <w:noWrap/>
            <w:vAlign w:val="center"/>
            <w:hideMark/>
          </w:tcPr>
          <w:p w14:paraId="2F2B750B" w14:textId="77777777" w:rsidR="00375729" w:rsidRPr="00CF3D6E" w:rsidRDefault="00375729" w:rsidP="007A5BBF">
            <w:pPr>
              <w:pStyle w:val="Tabletext"/>
            </w:pPr>
            <w:r w:rsidRPr="00CF3D6E">
              <w:t>3.2   (47)</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3135EAE2" w14:textId="77777777" w:rsidR="00375729" w:rsidRPr="00CF3D6E" w:rsidRDefault="00375729" w:rsidP="007A5BBF">
            <w:pPr>
              <w:pStyle w:val="Tabletext"/>
            </w:pPr>
            <w:r w:rsidRPr="00CF3D6E">
              <w:t xml:space="preserve">-1.2 </w:t>
            </w:r>
          </w:p>
        </w:tc>
        <w:tc>
          <w:tcPr>
            <w:tcW w:w="13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C80A94E" w14:textId="77777777" w:rsidR="00375729" w:rsidRPr="00CF3D6E" w:rsidRDefault="00375729" w:rsidP="007A5BBF">
            <w:pPr>
              <w:pStyle w:val="Tabletext"/>
            </w:pPr>
            <w:r w:rsidRPr="00CF3D6E">
              <w:t>0.1   (4)</w:t>
            </w:r>
          </w:p>
        </w:tc>
        <w:tc>
          <w:tcPr>
            <w:tcW w:w="1375" w:type="dxa"/>
            <w:tcBorders>
              <w:top w:val="nil"/>
              <w:left w:val="single" w:sz="4" w:space="0" w:color="BFBFBF" w:themeColor="background1" w:themeShade="BF"/>
              <w:bottom w:val="nil"/>
              <w:right w:val="single" w:sz="4" w:space="0" w:color="auto"/>
            </w:tcBorders>
            <w:shd w:val="clear" w:color="auto" w:fill="auto"/>
            <w:noWrap/>
            <w:vAlign w:val="center"/>
            <w:hideMark/>
          </w:tcPr>
          <w:p w14:paraId="6EEC00EE" w14:textId="77777777" w:rsidR="00375729" w:rsidRPr="00CF3D6E" w:rsidRDefault="00375729" w:rsidP="007A5BBF">
            <w:pPr>
              <w:pStyle w:val="Tabletext"/>
            </w:pPr>
            <w:r w:rsidRPr="00CF3D6E">
              <w:t>-0.5</w:t>
            </w:r>
          </w:p>
        </w:tc>
      </w:tr>
      <w:tr w:rsidR="00375729" w:rsidRPr="00D257B2" w14:paraId="5A23E026" w14:textId="77777777" w:rsidTr="00301886">
        <w:trPr>
          <w:trHeight w:val="33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76A985F" w14:textId="77777777" w:rsidR="00375729" w:rsidRPr="00CF3D6E" w:rsidRDefault="00375729" w:rsidP="007A5BBF">
            <w:pPr>
              <w:pStyle w:val="Tablecellsub-heading"/>
            </w:pPr>
            <w:r w:rsidRPr="00CF3D6E">
              <w:t>Labour productivity growth (%pa)</w:t>
            </w:r>
          </w:p>
        </w:tc>
        <w:tc>
          <w:tcPr>
            <w:tcW w:w="1374"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1F642F7C" w14:textId="77777777" w:rsidR="00375729" w:rsidRPr="00CF3D6E" w:rsidRDefault="00375729" w:rsidP="007A5BBF">
            <w:pPr>
              <w:pStyle w:val="Tabletext"/>
            </w:pPr>
            <w:r w:rsidRPr="00CF3D6E">
              <w:t>6.9  (100)</w:t>
            </w:r>
          </w:p>
        </w:tc>
        <w:tc>
          <w:tcPr>
            <w:tcW w:w="137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617E59A6" w14:textId="77777777" w:rsidR="00375729" w:rsidRPr="00CF3D6E" w:rsidRDefault="00375729" w:rsidP="007A5BBF">
            <w:pPr>
              <w:pStyle w:val="Tabletext"/>
            </w:pPr>
            <w:r w:rsidRPr="00CF3D6E">
              <w:t xml:space="preserve">0.8 </w:t>
            </w:r>
          </w:p>
        </w:tc>
        <w:tc>
          <w:tcPr>
            <w:tcW w:w="137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47421896" w14:textId="77777777" w:rsidR="00375729" w:rsidRPr="00CF3D6E" w:rsidRDefault="00375729" w:rsidP="007A5BBF">
            <w:pPr>
              <w:pStyle w:val="Tabletext"/>
            </w:pPr>
            <w:r w:rsidRPr="00CF3D6E">
              <w:t>4.2  (100)</w:t>
            </w:r>
          </w:p>
        </w:tc>
        <w:tc>
          <w:tcPr>
            <w:tcW w:w="1375"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4DB5FFD1" w14:textId="77777777" w:rsidR="00375729" w:rsidRPr="00CF3D6E" w:rsidRDefault="00375729" w:rsidP="007A5BBF">
            <w:pPr>
              <w:pStyle w:val="Tabletext"/>
            </w:pPr>
            <w:r w:rsidRPr="00CF3D6E">
              <w:t>3.1</w:t>
            </w:r>
          </w:p>
        </w:tc>
      </w:tr>
    </w:tbl>
    <w:p w14:paraId="2D5AE8DF" w14:textId="77777777" w:rsidR="00375729" w:rsidRPr="00323930" w:rsidRDefault="00375729" w:rsidP="00012248">
      <w:pPr>
        <w:pStyle w:val="SourceNotes"/>
      </w:pPr>
      <w:r>
        <w:t>Note: a. Figures in brackets refer to percentages of labour productivity growth</w:t>
      </w:r>
      <w:r w:rsidR="00F01C70">
        <w:t xml:space="preserve">. </w:t>
      </w:r>
      <w:r w:rsidR="00F01C70" w:rsidRPr="00CF3D6E">
        <w:t>Numbers may not add up due to rounding</w:t>
      </w:r>
      <w:r w:rsidRPr="00323930">
        <w:tab/>
      </w:r>
    </w:p>
    <w:p w14:paraId="13A48F67" w14:textId="77777777" w:rsidR="00375729" w:rsidRDefault="00375729" w:rsidP="00012248">
      <w:pPr>
        <w:pStyle w:val="SourceNotes"/>
      </w:pPr>
      <w:r>
        <w:t xml:space="preserve">Source: </w:t>
      </w:r>
      <w:r w:rsidRPr="00F07285">
        <w:t>Author estimates</w:t>
      </w:r>
    </w:p>
    <w:p w14:paraId="2B1E1479" w14:textId="77777777" w:rsidR="00375729" w:rsidRDefault="00375729" w:rsidP="00375729">
      <w:r>
        <w:t>Software made the stronger contribution in the first cycle, but its contribution slowed more than software’s over following cycles</w:t>
      </w:r>
      <w:r w:rsidR="00855EC7">
        <w:t xml:space="preserve"> (Table F</w:t>
      </w:r>
      <w:r w:rsidR="00A4711D">
        <w:t>3)</w:t>
      </w:r>
      <w:r>
        <w:t xml:space="preserve">. </w:t>
      </w:r>
    </w:p>
    <w:p w14:paraId="3C042652" w14:textId="77777777" w:rsidR="00375729" w:rsidRDefault="00375729" w:rsidP="00375729">
      <w:r>
        <w:t>The pace of growth in non-IT capital deepening picked up in the last cycle, which may well have been due to investment in new telecommunications infrastructure.</w:t>
      </w:r>
    </w:p>
    <w:p w14:paraId="063EF2C2" w14:textId="77777777" w:rsidR="00375729" w:rsidRDefault="00376131" w:rsidP="00F37FA2">
      <w:pPr>
        <w:pStyle w:val="BCRAppendicesSubSubheading"/>
      </w:pPr>
      <w:r>
        <w:t>F.2</w:t>
      </w:r>
      <w:r w:rsidR="00375729">
        <w:t>.2 IT use and skills</w:t>
      </w:r>
    </w:p>
    <w:p w14:paraId="37F39D39" w14:textId="77777777" w:rsidR="00375729" w:rsidRDefault="00375729" w:rsidP="00375729">
      <w:r>
        <w:t>The average skill level increased 12 per cent between 1989–90 to 2013–14. Even though the stock of IT capital increased by much more, there was a high degree of correlation between the two. The correlation coefficient between IT capital and the index of skill composition is 0.98.</w:t>
      </w:r>
    </w:p>
    <w:p w14:paraId="17E355A6" w14:textId="77777777" w:rsidR="00375729" w:rsidRDefault="00376131" w:rsidP="00F37FA2">
      <w:pPr>
        <w:pStyle w:val="BCRAppendicesSubheading"/>
      </w:pPr>
      <w:r>
        <w:t xml:space="preserve">F.3 </w:t>
      </w:r>
      <w:r w:rsidR="00375729">
        <w:t>IT, asset use and capital productivity</w:t>
      </w:r>
    </w:p>
    <w:p w14:paraId="07596ECA" w14:textId="77777777" w:rsidR="00375729" w:rsidRPr="00F26795" w:rsidRDefault="00375729" w:rsidP="00375729">
      <w:r w:rsidRPr="00F26795">
        <w:t xml:space="preserve">IT can also enhance the productivity of other assets. For example, if IT enabled the industry to transform away from physical printing and publishing operations to publishing over the internet and digital channels, the unit requirements for various types of assets such as machinery and equipment may fall. That is, the productivity of non-IT assets may rise. </w:t>
      </w:r>
    </w:p>
    <w:p w14:paraId="0CFBF8AD" w14:textId="77777777" w:rsidR="00375729" w:rsidRDefault="00375729" w:rsidP="00375729">
      <w:r w:rsidRPr="00F26795">
        <w:t xml:space="preserve">The productivity of total capital and of non-IT capital </w:t>
      </w:r>
      <w:r>
        <w:t>is</w:t>
      </w:r>
      <w:r w:rsidRPr="00F26795">
        <w:t xml:space="preserve"> shown in </w:t>
      </w:r>
      <w:r w:rsidR="005609CE">
        <w:t>Figure F7</w:t>
      </w:r>
      <w:r w:rsidRPr="00F26795">
        <w:t xml:space="preserve">. The difference between the two is the productivity of IT capital. Because IT capital has grown much more rapidly than value added in IMT, IT capital productivity has fallen. </w:t>
      </w:r>
    </w:p>
    <w:p w14:paraId="397FCEA7" w14:textId="77777777" w:rsidR="00375729" w:rsidRDefault="00375729" w:rsidP="00375729">
      <w:r w:rsidRPr="00F26795">
        <w:t>The productivity of non-IT capital increased substantially—by 28.6 per cent—from the early to the late-1990s. However, nearly all of this increase has been lost in a steady decline since 1998</w:t>
      </w:r>
      <w:r>
        <w:t>–99.</w:t>
      </w:r>
    </w:p>
    <w:p w14:paraId="7727B348" w14:textId="77777777" w:rsidR="00375729" w:rsidRDefault="00375729" w:rsidP="007A5BBF">
      <w:pPr>
        <w:pStyle w:val="Figurecaption"/>
      </w:pPr>
      <w:r>
        <w:t xml:space="preserve">Figure </w:t>
      </w:r>
      <w:r w:rsidR="005609CE">
        <w:t>F7</w:t>
      </w:r>
      <w:r>
        <w:t>: Capital productivity of all assets and non-IT assets in IMT (index, 2012–13</w:t>
      </w:r>
      <w:r w:rsidR="006A530A">
        <w:t xml:space="preserve"> = </w:t>
      </w:r>
      <w:r>
        <w:t>100)</w:t>
      </w:r>
    </w:p>
    <w:p w14:paraId="4915D076" w14:textId="384E1593" w:rsidR="00375729" w:rsidRDefault="007A5BBF" w:rsidP="00375729">
      <w:pPr>
        <w:spacing w:after="60"/>
        <w:rPr>
          <w:noProof/>
          <w:lang w:eastAsia="en-AU"/>
        </w:rPr>
      </w:pPr>
      <w:r>
        <w:rPr>
          <w:noProof/>
          <w:lang w:eastAsia="en-AU"/>
        </w:rPr>
        <w:drawing>
          <wp:inline distT="0" distB="0" distL="0" distR="0" wp14:anchorId="224A28AD" wp14:editId="31CA488D">
            <wp:extent cx="5401310" cy="2773680"/>
            <wp:effectExtent l="0" t="0" r="8890" b="76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1310" cy="2773680"/>
                    </a:xfrm>
                    <a:prstGeom prst="rect">
                      <a:avLst/>
                    </a:prstGeom>
                    <a:noFill/>
                  </pic:spPr>
                </pic:pic>
              </a:graphicData>
            </a:graphic>
          </wp:inline>
        </w:drawing>
      </w:r>
    </w:p>
    <w:p w14:paraId="64EB09B8" w14:textId="77777777" w:rsidR="00375729" w:rsidRDefault="00375729" w:rsidP="00012248">
      <w:pPr>
        <w:pStyle w:val="SourceNotes"/>
      </w:pPr>
      <w:r w:rsidRPr="00323930">
        <w:t>Source:</w:t>
      </w:r>
      <w:r>
        <w:t xml:space="preserve"> </w:t>
      </w:r>
      <w:r w:rsidRPr="00323930">
        <w:t>Author estimates</w:t>
      </w:r>
    </w:p>
    <w:p w14:paraId="27E0C34B" w14:textId="77777777" w:rsidR="00375729" w:rsidRDefault="00375729" w:rsidP="00375729">
      <w:r w:rsidRPr="00F26795">
        <w:t>The productivity of individual assets was investigated. The major capital inputs in IMT are: non-dwelling construction (46 per cent of capital income), electrical and electronic equipment (15</w:t>
      </w:r>
      <w:r w:rsidR="00E35D88">
        <w:t> </w:t>
      </w:r>
      <w:r w:rsidRPr="00F26795">
        <w:t>per</w:t>
      </w:r>
      <w:r w:rsidR="00E35D88">
        <w:t> </w:t>
      </w:r>
      <w:r w:rsidRPr="00F26795">
        <w:t xml:space="preserve">cent), land (7 per cent) and film </w:t>
      </w:r>
      <w:r>
        <w:t>and</w:t>
      </w:r>
      <w:r w:rsidRPr="00F26795">
        <w:t xml:space="preserve"> TV (5 per cent). </w:t>
      </w:r>
    </w:p>
    <w:p w14:paraId="74B0D9DA" w14:textId="77777777" w:rsidR="00375729" w:rsidRPr="00F26795" w:rsidRDefault="00375729" w:rsidP="00375729">
      <w:r w:rsidRPr="00F26795">
        <w:t>Non-dwelling construction includes not only buildings but also communications infrastructure. While not major asset</w:t>
      </w:r>
      <w:r>
        <w:t>s</w:t>
      </w:r>
      <w:r w:rsidRPr="00F26795">
        <w:t xml:space="preserve"> at 2 per cent </w:t>
      </w:r>
      <w:r>
        <w:t xml:space="preserve">of capital income </w:t>
      </w:r>
      <w:r w:rsidRPr="00F26795">
        <w:t>each, other transport equipment</w:t>
      </w:r>
      <w:r>
        <w:t>,</w:t>
      </w:r>
      <w:r w:rsidRPr="00F26795">
        <w:t xml:space="preserve"> and industrial machinery </w:t>
      </w:r>
      <w:r>
        <w:t>and</w:t>
      </w:r>
      <w:r w:rsidRPr="00F26795">
        <w:t xml:space="preserve"> equipment were also included</w:t>
      </w:r>
      <w:r>
        <w:t>,</w:t>
      </w:r>
      <w:r w:rsidRPr="00F26795">
        <w:t xml:space="preserve"> as these assets had the highest average growth in </w:t>
      </w:r>
      <w:r>
        <w:t>capital productivity</w:t>
      </w:r>
      <w:r w:rsidRPr="00F26795">
        <w:t xml:space="preserve"> over the period. </w:t>
      </w:r>
    </w:p>
    <w:p w14:paraId="3FA27695" w14:textId="77777777" w:rsidR="00375729" w:rsidRPr="005C52E4" w:rsidRDefault="00375729" w:rsidP="00375729">
      <w:pPr>
        <w:rPr>
          <w:i/>
          <w:sz w:val="18"/>
          <w:szCs w:val="18"/>
        </w:rPr>
      </w:pPr>
      <w:r w:rsidRPr="00F26795">
        <w:t xml:space="preserve">The productivity of most of these assets increased over the entire period, apart from </w:t>
      </w:r>
      <w:r>
        <w:t>e</w:t>
      </w:r>
      <w:r w:rsidRPr="00F26795">
        <w:t xml:space="preserve">lectrical and </w:t>
      </w:r>
      <w:r>
        <w:t>e</w:t>
      </w:r>
      <w:r w:rsidRPr="00F26795">
        <w:t xml:space="preserve">lectronic </w:t>
      </w:r>
      <w:r>
        <w:t>e</w:t>
      </w:r>
      <w:r w:rsidRPr="00F26795">
        <w:t xml:space="preserve">quipment which decreased by 63 per cent and </w:t>
      </w:r>
      <w:r>
        <w:t>f</w:t>
      </w:r>
      <w:r w:rsidRPr="00F26795">
        <w:t xml:space="preserve">ilm </w:t>
      </w:r>
      <w:r w:rsidR="00012248">
        <w:t>and</w:t>
      </w:r>
      <w:r w:rsidRPr="00F26795">
        <w:t xml:space="preserve"> TV which decreased by 26 per cent (</w:t>
      </w:r>
      <w:r w:rsidR="005609CE">
        <w:t>Figure F8</w:t>
      </w:r>
      <w:r>
        <w:t>).</w:t>
      </w:r>
    </w:p>
    <w:p w14:paraId="56AC0BAB" w14:textId="77777777" w:rsidR="00375729" w:rsidRDefault="00375729" w:rsidP="007A5BBF">
      <w:pPr>
        <w:pStyle w:val="Figurecaption"/>
      </w:pPr>
      <w:r>
        <w:t xml:space="preserve">Figure </w:t>
      </w:r>
      <w:r w:rsidR="005609CE">
        <w:t>F8</w:t>
      </w:r>
      <w:r>
        <w:t>: Asset productivity–the ratio of value added to use of selected assets in IMT</w:t>
      </w:r>
    </w:p>
    <w:p w14:paraId="21487B49" w14:textId="31497D38" w:rsidR="00375729" w:rsidRDefault="007A5BBF" w:rsidP="00375729">
      <w:pPr>
        <w:spacing w:after="60"/>
        <w:rPr>
          <w:noProof/>
          <w:lang w:eastAsia="en-AU"/>
        </w:rPr>
      </w:pPr>
      <w:r>
        <w:rPr>
          <w:noProof/>
          <w:lang w:eastAsia="en-AU"/>
        </w:rPr>
        <w:drawing>
          <wp:inline distT="0" distB="0" distL="0" distR="0" wp14:anchorId="3FA845EF" wp14:editId="4E3A6535">
            <wp:extent cx="5596890" cy="2743200"/>
            <wp:effectExtent l="0" t="0" r="381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96890" cy="2743200"/>
                    </a:xfrm>
                    <a:prstGeom prst="rect">
                      <a:avLst/>
                    </a:prstGeom>
                    <a:noFill/>
                  </pic:spPr>
                </pic:pic>
              </a:graphicData>
            </a:graphic>
          </wp:inline>
        </w:drawing>
      </w:r>
    </w:p>
    <w:p w14:paraId="74AE6307" w14:textId="77777777" w:rsidR="00375729" w:rsidRDefault="00375729" w:rsidP="00012248">
      <w:pPr>
        <w:pStyle w:val="SourceNotes"/>
      </w:pPr>
      <w:r w:rsidRPr="00323930">
        <w:t>Source:</w:t>
      </w:r>
      <w:r>
        <w:t xml:space="preserve"> </w:t>
      </w:r>
      <w:r w:rsidRPr="00323930">
        <w:t>Author estimates</w:t>
      </w:r>
    </w:p>
    <w:p w14:paraId="6119F6A2" w14:textId="77777777" w:rsidR="00375729" w:rsidRPr="00C44A00" w:rsidRDefault="00375729" w:rsidP="007A5BBF">
      <w:pPr>
        <w:pStyle w:val="Bodybullet-Level1"/>
      </w:pPr>
      <w:r w:rsidRPr="00C44A00">
        <w:t xml:space="preserve">Industrial machinery and equipment showed strong and steady increase in capital productivity </w:t>
      </w:r>
      <w:r>
        <w:t>of more than 200</w:t>
      </w:r>
      <w:r w:rsidRPr="00C44A00">
        <w:t xml:space="preserve"> per cent for the whole period. (Correlation coefficient with IT use </w:t>
      </w:r>
      <w:r w:rsidR="006A530A">
        <w:t xml:space="preserve">= </w:t>
      </w:r>
      <w:r w:rsidRPr="00C44A00">
        <w:t>0.93</w:t>
      </w:r>
      <w:r>
        <w:t>.</w:t>
      </w:r>
      <w:r w:rsidRPr="00C44A00">
        <w:t xml:space="preserve">) </w:t>
      </w:r>
    </w:p>
    <w:p w14:paraId="3C177EB1" w14:textId="77777777" w:rsidR="00375729" w:rsidRPr="00C44A00" w:rsidRDefault="00375729" w:rsidP="007A5BBF">
      <w:pPr>
        <w:pStyle w:val="Bodybullet-Level1"/>
      </w:pPr>
      <w:r w:rsidRPr="00C44A00">
        <w:t>Non-dwelling construction showed a</w:t>
      </w:r>
      <w:r>
        <w:t>n</w:t>
      </w:r>
      <w:r w:rsidRPr="00C44A00">
        <w:t xml:space="preserve"> increase of 31 per cent up until 1998</w:t>
      </w:r>
      <w:r>
        <w:t>–</w:t>
      </w:r>
      <w:r w:rsidRPr="00C44A00">
        <w:t>99 but then reversed most of that gain by 2013</w:t>
      </w:r>
      <w:r>
        <w:t>–</w:t>
      </w:r>
      <w:r w:rsidRPr="00C44A00">
        <w:t>14</w:t>
      </w:r>
      <w:r>
        <w:t>.</w:t>
      </w:r>
      <w:r w:rsidRPr="00C44A00">
        <w:t xml:space="preserve"> (Correlation coefficient with IT use =</w:t>
      </w:r>
      <w:r w:rsidR="006A530A">
        <w:t xml:space="preserve"> </w:t>
      </w:r>
      <w:r w:rsidRPr="00C44A00">
        <w:t>0.21</w:t>
      </w:r>
      <w:r>
        <w:t>.</w:t>
      </w:r>
      <w:r w:rsidRPr="00C44A00">
        <w:t xml:space="preserve">) </w:t>
      </w:r>
    </w:p>
    <w:p w14:paraId="6C641DF8" w14:textId="77777777" w:rsidR="00375729" w:rsidRPr="00C44A00" w:rsidRDefault="00375729" w:rsidP="007A5BBF">
      <w:pPr>
        <w:pStyle w:val="Bodybullet-Level1"/>
      </w:pPr>
      <w:r w:rsidRPr="00C44A00">
        <w:t>Land showed an increase of 52 per cent until 2010</w:t>
      </w:r>
      <w:r>
        <w:t>–</w:t>
      </w:r>
      <w:r w:rsidRPr="00C44A00">
        <w:t>11</w:t>
      </w:r>
      <w:r>
        <w:t>.</w:t>
      </w:r>
      <w:r w:rsidRPr="00C44A00">
        <w:t xml:space="preserve"> (Correlation coefficient with IT use = 0.86</w:t>
      </w:r>
      <w:r>
        <w:t>.</w:t>
      </w:r>
      <w:r w:rsidRPr="00C44A00">
        <w:t xml:space="preserve">) </w:t>
      </w:r>
    </w:p>
    <w:p w14:paraId="57DEB2D8" w14:textId="77777777" w:rsidR="00375729" w:rsidRPr="00C44A00" w:rsidRDefault="00375729" w:rsidP="007A5BBF">
      <w:pPr>
        <w:pStyle w:val="Bodybullet-Level1"/>
      </w:pPr>
      <w:r w:rsidRPr="00C44A00">
        <w:t>Other transport equipment showed a very large increase from a small base</w:t>
      </w:r>
      <w:r>
        <w:t>.</w:t>
      </w:r>
      <w:r w:rsidRPr="00C44A00">
        <w:t xml:space="preserve"> (Correlation coefficient with IT use = 0.97</w:t>
      </w:r>
      <w:r>
        <w:t>.</w:t>
      </w:r>
      <w:r w:rsidRPr="00C44A00">
        <w:t xml:space="preserve">) </w:t>
      </w:r>
    </w:p>
    <w:p w14:paraId="157FFD23" w14:textId="77777777" w:rsidR="00375729" w:rsidRDefault="00375729" w:rsidP="00375729">
      <w:r w:rsidRPr="00C44A00">
        <w:t>There were varying degrees of correlation between IT use and the different asset productivities, as the above figures in brackets indicate.</w:t>
      </w:r>
    </w:p>
    <w:p w14:paraId="6A1ED412" w14:textId="77777777" w:rsidR="00375729" w:rsidRDefault="00375729" w:rsidP="00375729">
      <w:r>
        <w:t xml:space="preserve">The decline in construction productivity needs to be interpreted with some care. This may reflect additional expenditure on communications infrastructure. To the extent that is true, it cannot be inferred from the decline in asset productivity in this industry that it is bad for national productivity or a poor investment. </w:t>
      </w:r>
    </w:p>
    <w:p w14:paraId="3BBAA4C2" w14:textId="77777777" w:rsidR="00375729" w:rsidRPr="00C44A00" w:rsidRDefault="00375729" w:rsidP="00375729">
      <w:r>
        <w:t>The communications infrastructure serves all industries, not just IMT, and may well provide productivity benefits over a range of them. These spill over benefits to other industries are not taken into account in the information presented here.</w:t>
      </w:r>
    </w:p>
    <w:p w14:paraId="024F87BD" w14:textId="77777777" w:rsidR="00375729" w:rsidRDefault="00376131" w:rsidP="00CF3D6E">
      <w:pPr>
        <w:pStyle w:val="BCRAppendicesSubheading"/>
      </w:pPr>
      <w:r>
        <w:t xml:space="preserve">F.4 </w:t>
      </w:r>
      <w:r w:rsidR="00375729">
        <w:t>Use of intermediates</w:t>
      </w:r>
    </w:p>
    <w:p w14:paraId="4017084B" w14:textId="77777777" w:rsidR="00375729" w:rsidRDefault="00375729" w:rsidP="00375729">
      <w:r>
        <w:t>In the case of intermediate input use (purchased inputs of materials energy and services), productivity is determined with reference to the gross output rather than the value added measure of output.</w:t>
      </w:r>
    </w:p>
    <w:p w14:paraId="4EA60CA6" w14:textId="77777777" w:rsidR="00375729" w:rsidRDefault="00375729" w:rsidP="00375729">
      <w:r>
        <w:t>The productivity of intermediates use decreased 6 per cent over the entire period (</w:t>
      </w:r>
      <w:r w:rsidR="005609CE">
        <w:t>Figure F9</w:t>
      </w:r>
      <w:r>
        <w:t>). While g</w:t>
      </w:r>
      <w:r w:rsidRPr="00C55FF1">
        <w:t xml:space="preserve">ross output and intermediate input use grew steadily, intermediate input use </w:t>
      </w:r>
      <w:r>
        <w:t xml:space="preserve">did </w:t>
      </w:r>
      <w:r w:rsidRPr="00C55FF1">
        <w:t>decline</w:t>
      </w:r>
      <w:r>
        <w:t xml:space="preserve"> after</w:t>
      </w:r>
      <w:r w:rsidRPr="00C55FF1">
        <w:t xml:space="preserve"> 2006</w:t>
      </w:r>
      <w:r>
        <w:t>–</w:t>
      </w:r>
      <w:r w:rsidRPr="00C55FF1">
        <w:t>07</w:t>
      </w:r>
      <w:r>
        <w:t>,</w:t>
      </w:r>
      <w:r w:rsidRPr="00C55FF1">
        <w:t xml:space="preserve"> before </w:t>
      </w:r>
      <w:r>
        <w:t xml:space="preserve">recovering to </w:t>
      </w:r>
      <w:r w:rsidRPr="00C55FF1">
        <w:t>grow 20 per cent to 2012</w:t>
      </w:r>
      <w:r>
        <w:t>–</w:t>
      </w:r>
      <w:r w:rsidRPr="00C55FF1">
        <w:t>13.</w:t>
      </w:r>
    </w:p>
    <w:p w14:paraId="53402042" w14:textId="77777777" w:rsidR="00375729" w:rsidRDefault="00375729" w:rsidP="007A5BBF">
      <w:pPr>
        <w:pStyle w:val="Figurecaption"/>
      </w:pPr>
      <w:r>
        <w:t xml:space="preserve">Figure </w:t>
      </w:r>
      <w:r w:rsidR="005609CE">
        <w:t>F9</w:t>
      </w:r>
      <w:r>
        <w:t>: Gross output, intermediate input use and intermediate input productivity in IMT</w:t>
      </w:r>
    </w:p>
    <w:p w14:paraId="5E2269A7" w14:textId="0B9E179E" w:rsidR="00375729" w:rsidRDefault="007A5BBF" w:rsidP="00375729">
      <w:pPr>
        <w:spacing w:after="60"/>
        <w:rPr>
          <w:noProof/>
          <w:lang w:eastAsia="en-AU"/>
        </w:rPr>
      </w:pPr>
      <w:r>
        <w:rPr>
          <w:noProof/>
          <w:lang w:eastAsia="en-AU"/>
        </w:rPr>
        <w:drawing>
          <wp:inline distT="0" distB="0" distL="0" distR="0" wp14:anchorId="13C66B0F" wp14:editId="79FD75D3">
            <wp:extent cx="5450205" cy="2755900"/>
            <wp:effectExtent l="0" t="0" r="0"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50205" cy="2755900"/>
                    </a:xfrm>
                    <a:prstGeom prst="rect">
                      <a:avLst/>
                    </a:prstGeom>
                    <a:noFill/>
                  </pic:spPr>
                </pic:pic>
              </a:graphicData>
            </a:graphic>
          </wp:inline>
        </w:drawing>
      </w:r>
    </w:p>
    <w:p w14:paraId="693C1829" w14:textId="77777777" w:rsidR="00375729" w:rsidRDefault="00375729" w:rsidP="00012248">
      <w:pPr>
        <w:pStyle w:val="SourceNotes"/>
      </w:pPr>
      <w:r>
        <w:t xml:space="preserve">Source: </w:t>
      </w:r>
      <w:r w:rsidRPr="00323930">
        <w:t>Author estimates</w:t>
      </w:r>
    </w:p>
    <w:p w14:paraId="4177DDB2" w14:textId="77777777" w:rsidR="00375729" w:rsidRDefault="00376131" w:rsidP="00F37FA2">
      <w:pPr>
        <w:pStyle w:val="BCRAppendicesSubheading"/>
      </w:pPr>
      <w:r>
        <w:t xml:space="preserve">F.5 </w:t>
      </w:r>
      <w:r w:rsidR="00375729">
        <w:t>MFP growth</w:t>
      </w:r>
    </w:p>
    <w:p w14:paraId="2E80D8B8" w14:textId="77777777" w:rsidR="00375729" w:rsidRPr="004139F0" w:rsidRDefault="00375729" w:rsidP="00375729">
      <w:r w:rsidRPr="004139F0">
        <w:t xml:space="preserve">The association between IT and MFP </w:t>
      </w:r>
      <w:r>
        <w:t>wa</w:t>
      </w:r>
      <w:r w:rsidRPr="004139F0">
        <w:t xml:space="preserve">s examined in the context of MFP cycles. According to the method set out in </w:t>
      </w:r>
      <w:r>
        <w:t>s</w:t>
      </w:r>
      <w:r w:rsidRPr="004139F0">
        <w:t xml:space="preserve">ection 5.3, MFP peaks in IMT </w:t>
      </w:r>
      <w:r>
        <w:t>took place</w:t>
      </w:r>
      <w:r w:rsidRPr="004139F0">
        <w:t xml:space="preserve"> in 1994</w:t>
      </w:r>
      <w:r>
        <w:t>–</w:t>
      </w:r>
      <w:r w:rsidRPr="004139F0">
        <w:t>95, 1998</w:t>
      </w:r>
      <w:r>
        <w:t>–</w:t>
      </w:r>
      <w:r w:rsidRPr="004139F0">
        <w:t>99, 2003</w:t>
      </w:r>
      <w:r>
        <w:t>–</w:t>
      </w:r>
      <w:r w:rsidRPr="004139F0">
        <w:t>04 and 2010</w:t>
      </w:r>
      <w:r>
        <w:t>–</w:t>
      </w:r>
      <w:r w:rsidRPr="004139F0">
        <w:t>11 (</w:t>
      </w:r>
      <w:r w:rsidR="005609CE">
        <w:t>Figure F10</w:t>
      </w:r>
      <w:r w:rsidRPr="004139F0">
        <w:t xml:space="preserve">). Another peak </w:t>
      </w:r>
      <w:r>
        <w:t>wa</w:t>
      </w:r>
      <w:r w:rsidRPr="004139F0">
        <w:t>s imposed in 2013</w:t>
      </w:r>
      <w:r>
        <w:t>–</w:t>
      </w:r>
      <w:r w:rsidRPr="004139F0">
        <w:t xml:space="preserve">14 (a point meeting the trend and a year corresponding to an LP peak). </w:t>
      </w:r>
    </w:p>
    <w:p w14:paraId="2006E9A1" w14:textId="77777777" w:rsidR="00375729" w:rsidRDefault="00375729" w:rsidP="00375729">
      <w:r w:rsidRPr="004139F0">
        <w:t xml:space="preserve">The difference between LP and MFP cycles is that the 1990s peak in LP </w:t>
      </w:r>
      <w:r>
        <w:t>took place</w:t>
      </w:r>
      <w:r w:rsidRPr="004139F0">
        <w:t xml:space="preserve"> in 1992</w:t>
      </w:r>
      <w:r>
        <w:t>–</w:t>
      </w:r>
      <w:r w:rsidRPr="004139F0">
        <w:t>93 and the 2000s peak in 2009</w:t>
      </w:r>
      <w:r>
        <w:t>–</w:t>
      </w:r>
      <w:r w:rsidRPr="004139F0">
        <w:t>10</w:t>
      </w:r>
      <w:r>
        <w:t>,</w:t>
      </w:r>
      <w:r w:rsidRPr="004139F0">
        <w:t xml:space="preserve"> whereas the MFP peaks occurred in 1994</w:t>
      </w:r>
      <w:r>
        <w:t>–</w:t>
      </w:r>
      <w:r w:rsidRPr="004139F0">
        <w:t>95 and 2010</w:t>
      </w:r>
      <w:r>
        <w:t>–11.</w:t>
      </w:r>
    </w:p>
    <w:p w14:paraId="443D96B6" w14:textId="77777777" w:rsidR="00375729" w:rsidRDefault="00375729" w:rsidP="00375729">
      <w:pPr>
        <w:spacing w:after="120"/>
        <w:ind w:left="1021" w:hanging="1021"/>
      </w:pPr>
      <w:r>
        <w:br w:type="page"/>
      </w:r>
    </w:p>
    <w:p w14:paraId="09CB9A10" w14:textId="77777777" w:rsidR="00375729" w:rsidRDefault="00375729" w:rsidP="007A5BBF">
      <w:pPr>
        <w:pStyle w:val="Figurecaption"/>
      </w:pPr>
      <w:r>
        <w:t xml:space="preserve">Figure </w:t>
      </w:r>
      <w:r w:rsidR="005609CE">
        <w:t>F10</w:t>
      </w:r>
      <w:r>
        <w:t>: Actual and trend MFP in IMT</w:t>
      </w:r>
      <w:r>
        <w:rPr>
          <w:vertAlign w:val="superscript"/>
        </w:rPr>
        <w:t>a</w:t>
      </w:r>
      <w:r>
        <w:t xml:space="preserve"> (index, actual 2012–13</w:t>
      </w:r>
      <w:r w:rsidR="006A530A">
        <w:t xml:space="preserve"> = </w:t>
      </w:r>
      <w:r>
        <w:t>100)</w:t>
      </w:r>
    </w:p>
    <w:p w14:paraId="62E21866" w14:textId="5DC528FC" w:rsidR="00375729" w:rsidRDefault="007A5BBF" w:rsidP="00375729">
      <w:pPr>
        <w:spacing w:after="60"/>
      </w:pPr>
      <w:r>
        <w:rPr>
          <w:noProof/>
          <w:lang w:eastAsia="en-AU"/>
        </w:rPr>
        <w:drawing>
          <wp:inline distT="0" distB="0" distL="0" distR="0" wp14:anchorId="7100754B" wp14:editId="4C8D24AF">
            <wp:extent cx="5480685" cy="2743200"/>
            <wp:effectExtent l="0" t="0" r="571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80685" cy="2743200"/>
                    </a:xfrm>
                    <a:prstGeom prst="rect">
                      <a:avLst/>
                    </a:prstGeom>
                    <a:noFill/>
                  </pic:spPr>
                </pic:pic>
              </a:graphicData>
            </a:graphic>
          </wp:inline>
        </w:drawing>
      </w:r>
    </w:p>
    <w:p w14:paraId="16CEF0ED" w14:textId="77777777" w:rsidR="00375729" w:rsidRDefault="00375729" w:rsidP="00012248">
      <w:pPr>
        <w:pStyle w:val="SourceNotes"/>
      </w:pPr>
      <w:r w:rsidRPr="00323930">
        <w:t>Note:</w:t>
      </w:r>
      <w:r>
        <w:t xml:space="preserve"> </w:t>
      </w:r>
      <w:r w:rsidRPr="00323930">
        <w:t>a.</w:t>
      </w:r>
      <w:r>
        <w:t xml:space="preserve"> </w:t>
      </w:r>
      <w:r w:rsidRPr="00323930">
        <w:t>Trend series formed with a Hodrick-Prescott filter λ</w:t>
      </w:r>
      <w:r w:rsidR="006A530A">
        <w:t xml:space="preserve"> = </w:t>
      </w:r>
      <w:r w:rsidRPr="00323930">
        <w:t>100</w:t>
      </w:r>
    </w:p>
    <w:p w14:paraId="1BFD6ED8" w14:textId="77777777" w:rsidR="00375729" w:rsidRPr="00323930" w:rsidRDefault="00375729" w:rsidP="00012248">
      <w:pPr>
        <w:pStyle w:val="SourceNotes"/>
        <w:rPr>
          <w:i/>
          <w:sz w:val="18"/>
          <w:szCs w:val="18"/>
        </w:rPr>
      </w:pPr>
      <w:r w:rsidRPr="00323930">
        <w:t>Source:</w:t>
      </w:r>
      <w:r>
        <w:t xml:space="preserve"> </w:t>
      </w:r>
      <w:r w:rsidRPr="00323930">
        <w:t>ABS Cat. No. 5260.0.55.002 and author estimates</w:t>
      </w:r>
      <w:r w:rsidRPr="00323930">
        <w:rPr>
          <w:i/>
          <w:sz w:val="18"/>
          <w:szCs w:val="18"/>
        </w:rPr>
        <w:tab/>
      </w:r>
    </w:p>
    <w:p w14:paraId="64921787" w14:textId="77777777" w:rsidR="00375729" w:rsidRDefault="00375729" w:rsidP="00375729">
      <w:r>
        <w:t xml:space="preserve">Table </w:t>
      </w:r>
      <w:r w:rsidR="00745D2C">
        <w:t>F2</w:t>
      </w:r>
      <w:r w:rsidR="007452E2">
        <w:t xml:space="preserve"> </w:t>
      </w:r>
      <w:r>
        <w:t>shows the MFP growth accounting. The labour productivity growth contribution plus the capital productivity contribution equals the MFP growth presented in the bottom row.</w:t>
      </w:r>
    </w:p>
    <w:p w14:paraId="539D85AF" w14:textId="77777777" w:rsidR="00375729" w:rsidRPr="001F56DD" w:rsidRDefault="00375729" w:rsidP="00375729">
      <w:r w:rsidRPr="001F56DD">
        <w:t>Labour productivity growth accounts for all of the MFP growth in each cycle</w:t>
      </w:r>
      <w:r>
        <w:t>, while t</w:t>
      </w:r>
      <w:r w:rsidRPr="001F56DD">
        <w:t xml:space="preserve">he capital productivity contribution is negative in each cycle. </w:t>
      </w:r>
    </w:p>
    <w:p w14:paraId="5D1E7D23" w14:textId="77777777" w:rsidR="00375729" w:rsidRPr="001F56DD" w:rsidRDefault="00375729" w:rsidP="00375729">
      <w:r w:rsidRPr="001F56DD">
        <w:t xml:space="preserve">The IT capital deepening contribution is shown as part of the labour productivity contribution. Values </w:t>
      </w:r>
      <w:r>
        <w:t>in the range</w:t>
      </w:r>
      <w:r w:rsidRPr="001F56DD">
        <w:t xml:space="preserve"> 0.</w:t>
      </w:r>
      <w:r>
        <w:t>4–</w:t>
      </w:r>
      <w:r w:rsidRPr="001F56DD">
        <w:t xml:space="preserve">0.8 of a percentage point </w:t>
      </w:r>
      <w:r>
        <w:t>in the first two periods</w:t>
      </w:r>
      <w:r w:rsidRPr="001F56DD">
        <w:t xml:space="preserve"> </w:t>
      </w:r>
      <w:r>
        <w:t>were</w:t>
      </w:r>
      <w:r w:rsidRPr="001F56DD">
        <w:t xml:space="preserve"> quite strong, </w:t>
      </w:r>
      <w:r>
        <w:t xml:space="preserve">especially </w:t>
      </w:r>
      <w:r w:rsidRPr="001F56DD">
        <w:t xml:space="preserve">in the context of an average annual MFP growth rate over the whole period of 1.2 per cent. </w:t>
      </w:r>
    </w:p>
    <w:p w14:paraId="75B39D80" w14:textId="77777777" w:rsidR="00375729" w:rsidRDefault="00375729" w:rsidP="00375729">
      <w:r w:rsidRPr="001F56DD">
        <w:t xml:space="preserve">There is </w:t>
      </w:r>
      <w:r>
        <w:t>limited</w:t>
      </w:r>
      <w:r w:rsidRPr="001F56DD">
        <w:t xml:space="preserve"> evidence that </w:t>
      </w:r>
      <w:r>
        <w:t xml:space="preserve">increased </w:t>
      </w:r>
      <w:r w:rsidRPr="001F56DD">
        <w:t xml:space="preserve">IT use may have enabled </w:t>
      </w:r>
      <w:r>
        <w:t>MFP growth through the capital productivity channel.</w:t>
      </w:r>
      <w:r w:rsidRPr="001F56DD">
        <w:t xml:space="preserve"> </w:t>
      </w:r>
      <w:r>
        <w:t>The only positive growth in capital productivity contributions was from non-IT in the first cycle. However, as indicated above, there may have been some link between IT use and improvements in productivity of some individual assets.</w:t>
      </w:r>
    </w:p>
    <w:p w14:paraId="06AE2606" w14:textId="77777777" w:rsidR="00375729" w:rsidRDefault="00375729" w:rsidP="00F37FA2">
      <w:pPr>
        <w:pStyle w:val="Chartandfiguresheading"/>
      </w:pPr>
      <w:r>
        <w:t xml:space="preserve"> </w:t>
      </w:r>
      <w:r>
        <w:br w:type="page"/>
      </w:r>
    </w:p>
    <w:p w14:paraId="61F564A8" w14:textId="77777777" w:rsidR="00375729" w:rsidRPr="00323930" w:rsidRDefault="00375729" w:rsidP="007A5BBF">
      <w:pPr>
        <w:pStyle w:val="Tablecaption"/>
      </w:pPr>
      <w:r>
        <w:t xml:space="preserve">Table </w:t>
      </w:r>
      <w:r w:rsidR="005609CE">
        <w:t>F2</w:t>
      </w:r>
      <w:r>
        <w:t>: Multifactor productivity growth accounting over MFP cycles in IMT</w:t>
      </w:r>
    </w:p>
    <w:tbl>
      <w:tblPr>
        <w:tblW w:w="94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06"/>
        <w:gridCol w:w="1418"/>
        <w:gridCol w:w="1417"/>
        <w:gridCol w:w="1276"/>
        <w:gridCol w:w="1276"/>
      </w:tblGrid>
      <w:tr w:rsidR="00375729" w:rsidRPr="00354AFE" w14:paraId="200CA17A" w14:textId="77777777" w:rsidTr="00CF3D6E">
        <w:trPr>
          <w:trHeight w:val="495"/>
        </w:trPr>
        <w:tc>
          <w:tcPr>
            <w:tcW w:w="4106" w:type="dxa"/>
            <w:tcBorders>
              <w:top w:val="single" w:sz="4" w:space="0" w:color="auto"/>
              <w:bottom w:val="single" w:sz="4" w:space="0" w:color="auto"/>
              <w:right w:val="single" w:sz="4" w:space="0" w:color="auto"/>
            </w:tcBorders>
            <w:shd w:val="clear" w:color="auto" w:fill="auto"/>
            <w:noWrap/>
            <w:vAlign w:val="bottom"/>
            <w:hideMark/>
          </w:tcPr>
          <w:p w14:paraId="1E236EE1" w14:textId="77777777" w:rsidR="00375729" w:rsidRPr="00354AFE" w:rsidRDefault="00375729" w:rsidP="007A5BBF">
            <w:pPr>
              <w:pStyle w:val="Tablecellheading"/>
            </w:pPr>
            <w:r w:rsidRPr="00354AFE">
              <w:t> </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50616C27" w14:textId="77777777" w:rsidR="00375729" w:rsidRPr="00354AFE" w:rsidRDefault="00375729" w:rsidP="007A5BBF">
            <w:pPr>
              <w:pStyle w:val="Tablecellheading"/>
              <w:rPr>
                <w:sz w:val="18"/>
                <w:szCs w:val="18"/>
              </w:rPr>
            </w:pPr>
            <w:r>
              <w:rPr>
                <w:sz w:val="18"/>
                <w:szCs w:val="18"/>
              </w:rPr>
              <w:t>1994–95 to 1998–99</w:t>
            </w:r>
          </w:p>
        </w:tc>
        <w:tc>
          <w:tcPr>
            <w:tcW w:w="141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447EF9C5" w14:textId="77777777" w:rsidR="00375729" w:rsidRPr="00354AFE" w:rsidRDefault="00375729" w:rsidP="007A5BBF">
            <w:pPr>
              <w:pStyle w:val="Tablecellheading"/>
              <w:rPr>
                <w:sz w:val="18"/>
                <w:szCs w:val="18"/>
              </w:rPr>
            </w:pPr>
            <w:r>
              <w:rPr>
                <w:sz w:val="18"/>
                <w:szCs w:val="18"/>
              </w:rPr>
              <w:t>1998–99 to 2003–04</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bottom"/>
            <w:hideMark/>
          </w:tcPr>
          <w:p w14:paraId="5640E018" w14:textId="77777777" w:rsidR="00375729" w:rsidRPr="00354AFE" w:rsidRDefault="00375729" w:rsidP="007A5BBF">
            <w:pPr>
              <w:pStyle w:val="Tablecellheading"/>
              <w:rPr>
                <w:sz w:val="18"/>
                <w:szCs w:val="18"/>
              </w:rPr>
            </w:pPr>
            <w:r>
              <w:rPr>
                <w:sz w:val="18"/>
                <w:szCs w:val="18"/>
              </w:rPr>
              <w:t>2003–04 to 2010–11</w:t>
            </w:r>
          </w:p>
        </w:tc>
        <w:tc>
          <w:tcPr>
            <w:tcW w:w="1276" w:type="dxa"/>
            <w:tcBorders>
              <w:top w:val="single" w:sz="4" w:space="0" w:color="auto"/>
              <w:left w:val="single" w:sz="4" w:space="0" w:color="BFBFBF" w:themeColor="background1" w:themeShade="BF"/>
              <w:bottom w:val="single" w:sz="4" w:space="0" w:color="auto"/>
            </w:tcBorders>
            <w:shd w:val="clear" w:color="auto" w:fill="auto"/>
            <w:vAlign w:val="bottom"/>
            <w:hideMark/>
          </w:tcPr>
          <w:p w14:paraId="11E1D748" w14:textId="77777777" w:rsidR="00375729" w:rsidRPr="00354AFE" w:rsidRDefault="00375729" w:rsidP="007A5BBF">
            <w:pPr>
              <w:pStyle w:val="Tablecellheading"/>
              <w:rPr>
                <w:sz w:val="18"/>
                <w:szCs w:val="18"/>
              </w:rPr>
            </w:pPr>
            <w:r>
              <w:rPr>
                <w:sz w:val="18"/>
                <w:szCs w:val="18"/>
              </w:rPr>
              <w:t>2010–11 to 2013–14</w:t>
            </w:r>
          </w:p>
        </w:tc>
      </w:tr>
      <w:tr w:rsidR="00375729" w:rsidRPr="00354AFE" w14:paraId="28CC224B" w14:textId="77777777" w:rsidTr="00CF3D6E">
        <w:trPr>
          <w:trHeight w:val="300"/>
        </w:trPr>
        <w:tc>
          <w:tcPr>
            <w:tcW w:w="4106" w:type="dxa"/>
            <w:tcBorders>
              <w:top w:val="single" w:sz="4" w:space="0" w:color="auto"/>
              <w:bottom w:val="nil"/>
              <w:right w:val="single" w:sz="4" w:space="0" w:color="auto"/>
            </w:tcBorders>
            <w:shd w:val="clear" w:color="auto" w:fill="auto"/>
            <w:noWrap/>
            <w:vAlign w:val="center"/>
            <w:hideMark/>
          </w:tcPr>
          <w:p w14:paraId="1F9B8144" w14:textId="77777777" w:rsidR="00375729" w:rsidRPr="00CF3D6E" w:rsidRDefault="00375729" w:rsidP="007A5BBF">
            <w:pPr>
              <w:pStyle w:val="Tablecellsub-heading"/>
            </w:pPr>
            <w:r w:rsidRPr="00CF3D6E">
              <w:t>LP growth contribution (pp)</w:t>
            </w:r>
          </w:p>
        </w:tc>
        <w:tc>
          <w:tcPr>
            <w:tcW w:w="1418" w:type="dxa"/>
            <w:tcBorders>
              <w:top w:val="single" w:sz="4" w:space="0" w:color="auto"/>
              <w:left w:val="single" w:sz="4" w:space="0" w:color="auto"/>
              <w:right w:val="single" w:sz="4" w:space="0" w:color="BFBFBF" w:themeColor="background1" w:themeShade="BF"/>
            </w:tcBorders>
            <w:shd w:val="clear" w:color="auto" w:fill="auto"/>
            <w:noWrap/>
            <w:vAlign w:val="center"/>
            <w:hideMark/>
          </w:tcPr>
          <w:p w14:paraId="2BBACD2B"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3.2</w:t>
            </w:r>
          </w:p>
        </w:tc>
        <w:tc>
          <w:tcPr>
            <w:tcW w:w="1417"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385DBEB1"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0.2</w:t>
            </w:r>
          </w:p>
        </w:tc>
        <w:tc>
          <w:tcPr>
            <w:tcW w:w="1276"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7F695E7E"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1.5</w:t>
            </w:r>
          </w:p>
        </w:tc>
        <w:tc>
          <w:tcPr>
            <w:tcW w:w="1276" w:type="dxa"/>
            <w:tcBorders>
              <w:top w:val="single" w:sz="4" w:space="0" w:color="auto"/>
              <w:left w:val="single" w:sz="4" w:space="0" w:color="BFBFBF" w:themeColor="background1" w:themeShade="BF"/>
            </w:tcBorders>
            <w:shd w:val="clear" w:color="auto" w:fill="auto"/>
            <w:noWrap/>
            <w:vAlign w:val="center"/>
            <w:hideMark/>
          </w:tcPr>
          <w:p w14:paraId="085B11F2"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1.2</w:t>
            </w:r>
          </w:p>
        </w:tc>
      </w:tr>
      <w:tr w:rsidR="00375729" w:rsidRPr="00354AFE" w14:paraId="2705B1A2" w14:textId="77777777" w:rsidTr="00CF3D6E">
        <w:trPr>
          <w:trHeight w:val="300"/>
        </w:trPr>
        <w:tc>
          <w:tcPr>
            <w:tcW w:w="4106" w:type="dxa"/>
            <w:tcBorders>
              <w:top w:val="nil"/>
              <w:bottom w:val="nil"/>
              <w:right w:val="single" w:sz="4" w:space="0" w:color="auto"/>
            </w:tcBorders>
            <w:shd w:val="clear" w:color="auto" w:fill="auto"/>
            <w:noWrap/>
            <w:vAlign w:val="center"/>
            <w:hideMark/>
          </w:tcPr>
          <w:p w14:paraId="3A4C659F" w14:textId="37C57B30" w:rsidR="00375729" w:rsidRPr="00CF3D6E" w:rsidRDefault="00375729" w:rsidP="007A5BBF">
            <w:pPr>
              <w:pStyle w:val="Tablecellsub-heading"/>
            </w:pPr>
            <w:r w:rsidRPr="00CF3D6E">
              <w:t>of which</w:t>
            </w:r>
          </w:p>
        </w:tc>
        <w:tc>
          <w:tcPr>
            <w:tcW w:w="1418" w:type="dxa"/>
            <w:tcBorders>
              <w:left w:val="single" w:sz="4" w:space="0" w:color="auto"/>
              <w:right w:val="single" w:sz="4" w:space="0" w:color="BFBFBF" w:themeColor="background1" w:themeShade="BF"/>
            </w:tcBorders>
            <w:shd w:val="clear" w:color="auto" w:fill="auto"/>
            <w:noWrap/>
            <w:vAlign w:val="bottom"/>
            <w:hideMark/>
          </w:tcPr>
          <w:p w14:paraId="1FE35E74" w14:textId="77777777" w:rsidR="00375729" w:rsidRPr="00354AFE" w:rsidRDefault="00375729" w:rsidP="00301886">
            <w:pPr>
              <w:rPr>
                <w:rFonts w:eastAsia="Times New Roman" w:cs="Times New Roman"/>
                <w:color w:val="000000"/>
                <w:lang w:eastAsia="en-AU"/>
              </w:rPr>
            </w:pPr>
          </w:p>
        </w:tc>
        <w:tc>
          <w:tcPr>
            <w:tcW w:w="1417"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70AB4BE0" w14:textId="77777777" w:rsidR="00375729" w:rsidRPr="00354AFE" w:rsidRDefault="00375729" w:rsidP="00301886">
            <w:pPr>
              <w:rPr>
                <w:rFonts w:ascii="Times New Roman" w:eastAsia="Times New Roman" w:hAnsi="Times New Roman" w:cs="Times New Roman"/>
                <w:sz w:val="20"/>
                <w:szCs w:val="20"/>
                <w:lang w:eastAsia="en-AU"/>
              </w:rPr>
            </w:pP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768AB201" w14:textId="77777777" w:rsidR="00375729" w:rsidRPr="00354AFE" w:rsidRDefault="00375729" w:rsidP="00301886">
            <w:pPr>
              <w:rPr>
                <w:rFonts w:ascii="Times New Roman" w:eastAsia="Times New Roman" w:hAnsi="Times New Roman" w:cs="Times New Roman"/>
                <w:sz w:val="20"/>
                <w:szCs w:val="20"/>
                <w:lang w:eastAsia="en-AU"/>
              </w:rPr>
            </w:pPr>
          </w:p>
        </w:tc>
        <w:tc>
          <w:tcPr>
            <w:tcW w:w="1276" w:type="dxa"/>
            <w:tcBorders>
              <w:left w:val="single" w:sz="4" w:space="0" w:color="BFBFBF" w:themeColor="background1" w:themeShade="BF"/>
            </w:tcBorders>
            <w:shd w:val="clear" w:color="auto" w:fill="auto"/>
            <w:noWrap/>
            <w:vAlign w:val="bottom"/>
            <w:hideMark/>
          </w:tcPr>
          <w:p w14:paraId="41DBC447" w14:textId="77777777" w:rsidR="00375729" w:rsidRPr="00354AFE" w:rsidRDefault="00375729" w:rsidP="00301886">
            <w:pPr>
              <w:rPr>
                <w:rFonts w:ascii="Times New Roman" w:eastAsia="Times New Roman" w:hAnsi="Times New Roman" w:cs="Times New Roman"/>
                <w:sz w:val="20"/>
                <w:szCs w:val="20"/>
                <w:lang w:eastAsia="en-AU"/>
              </w:rPr>
            </w:pPr>
          </w:p>
        </w:tc>
      </w:tr>
      <w:tr w:rsidR="00375729" w:rsidRPr="00354AFE" w14:paraId="7CDF0136" w14:textId="77777777" w:rsidTr="00CF3D6E">
        <w:trPr>
          <w:trHeight w:val="300"/>
        </w:trPr>
        <w:tc>
          <w:tcPr>
            <w:tcW w:w="4106" w:type="dxa"/>
            <w:tcBorders>
              <w:top w:val="nil"/>
              <w:bottom w:val="nil"/>
              <w:right w:val="single" w:sz="4" w:space="0" w:color="auto"/>
            </w:tcBorders>
            <w:shd w:val="clear" w:color="auto" w:fill="auto"/>
            <w:noWrap/>
            <w:vAlign w:val="center"/>
            <w:hideMark/>
          </w:tcPr>
          <w:p w14:paraId="207C6587" w14:textId="1D751489" w:rsidR="00375729" w:rsidRPr="00354AFE" w:rsidRDefault="00375729" w:rsidP="007A5BBF">
            <w:pPr>
              <w:pStyle w:val="Tablebullet-Level1"/>
            </w:pPr>
            <w:r>
              <w:t>IT</w:t>
            </w:r>
            <w:r w:rsidRPr="00354AFE">
              <w:t xml:space="preserve"> capital deepening </w:t>
            </w:r>
            <w:r>
              <w:t>(pp)</w:t>
            </w:r>
          </w:p>
        </w:tc>
        <w:tc>
          <w:tcPr>
            <w:tcW w:w="1418" w:type="dxa"/>
            <w:tcBorders>
              <w:left w:val="single" w:sz="4" w:space="0" w:color="auto"/>
              <w:right w:val="single" w:sz="4" w:space="0" w:color="BFBFBF" w:themeColor="background1" w:themeShade="BF"/>
            </w:tcBorders>
            <w:shd w:val="clear" w:color="auto" w:fill="auto"/>
            <w:noWrap/>
            <w:vAlign w:val="center"/>
            <w:hideMark/>
          </w:tcPr>
          <w:p w14:paraId="5F4F9F11"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0.8</w:t>
            </w:r>
          </w:p>
        </w:tc>
        <w:tc>
          <w:tcPr>
            <w:tcW w:w="1417"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0C9643C5"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0.4</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7BB281F4" w14:textId="77777777" w:rsidR="00375729" w:rsidRPr="00354AFE" w:rsidRDefault="00375729" w:rsidP="00CF3D6E">
            <w:pPr>
              <w:rPr>
                <w:rFonts w:eastAsia="Times New Roman" w:cs="Times New Roman"/>
                <w:color w:val="000000"/>
                <w:lang w:eastAsia="en-AU"/>
              </w:rPr>
            </w:pPr>
            <w:r w:rsidRPr="00354AFE">
              <w:rPr>
                <w:rFonts w:eastAsia="Times New Roman" w:cs="Times New Roman"/>
                <w:color w:val="000000"/>
                <w:lang w:eastAsia="en-AU"/>
              </w:rPr>
              <w:t>0.</w:t>
            </w:r>
            <w:r>
              <w:rPr>
                <w:rFonts w:eastAsia="Times New Roman" w:cs="Times New Roman"/>
                <w:color w:val="000000"/>
                <w:lang w:eastAsia="en-AU"/>
              </w:rPr>
              <w:t>2</w:t>
            </w:r>
          </w:p>
        </w:tc>
        <w:tc>
          <w:tcPr>
            <w:tcW w:w="1276" w:type="dxa"/>
            <w:tcBorders>
              <w:left w:val="single" w:sz="4" w:space="0" w:color="BFBFBF" w:themeColor="background1" w:themeShade="BF"/>
            </w:tcBorders>
            <w:shd w:val="clear" w:color="auto" w:fill="auto"/>
            <w:noWrap/>
            <w:vAlign w:val="center"/>
            <w:hideMark/>
          </w:tcPr>
          <w:p w14:paraId="0A305FFC"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0.3</w:t>
            </w:r>
          </w:p>
        </w:tc>
      </w:tr>
      <w:tr w:rsidR="00375729" w:rsidRPr="00354AFE" w14:paraId="55F5F37C" w14:textId="77777777" w:rsidTr="00CF3D6E">
        <w:trPr>
          <w:trHeight w:val="300"/>
        </w:trPr>
        <w:tc>
          <w:tcPr>
            <w:tcW w:w="4106" w:type="dxa"/>
            <w:tcBorders>
              <w:top w:val="nil"/>
              <w:bottom w:val="nil"/>
              <w:right w:val="single" w:sz="4" w:space="0" w:color="auto"/>
            </w:tcBorders>
            <w:shd w:val="clear" w:color="auto" w:fill="auto"/>
            <w:noWrap/>
            <w:vAlign w:val="center"/>
            <w:hideMark/>
          </w:tcPr>
          <w:p w14:paraId="5583C4A2" w14:textId="77777777" w:rsidR="00375729" w:rsidRPr="00CF3D6E" w:rsidRDefault="00375729" w:rsidP="007A5BBF">
            <w:pPr>
              <w:pStyle w:val="Tablecellsub-heading"/>
            </w:pPr>
            <w:r w:rsidRPr="00CF3D6E">
              <w:t>KP growth contribution (pp)</w:t>
            </w:r>
          </w:p>
        </w:tc>
        <w:tc>
          <w:tcPr>
            <w:tcW w:w="1418" w:type="dxa"/>
            <w:tcBorders>
              <w:left w:val="single" w:sz="4" w:space="0" w:color="auto"/>
              <w:right w:val="single" w:sz="4" w:space="0" w:color="BFBFBF" w:themeColor="background1" w:themeShade="BF"/>
            </w:tcBorders>
            <w:shd w:val="clear" w:color="auto" w:fill="auto"/>
            <w:noWrap/>
            <w:vAlign w:val="center"/>
            <w:hideMark/>
          </w:tcPr>
          <w:p w14:paraId="3B1B5763"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-0.5</w:t>
            </w:r>
          </w:p>
        </w:tc>
        <w:tc>
          <w:tcPr>
            <w:tcW w:w="1417"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2F45752"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-1.4</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12C69CEA"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-1.2</w:t>
            </w:r>
          </w:p>
        </w:tc>
        <w:tc>
          <w:tcPr>
            <w:tcW w:w="1276" w:type="dxa"/>
            <w:tcBorders>
              <w:left w:val="single" w:sz="4" w:space="0" w:color="BFBFBF" w:themeColor="background1" w:themeShade="BF"/>
            </w:tcBorders>
            <w:shd w:val="clear" w:color="auto" w:fill="auto"/>
            <w:noWrap/>
            <w:vAlign w:val="center"/>
            <w:hideMark/>
          </w:tcPr>
          <w:p w14:paraId="687E725B"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-2.3</w:t>
            </w:r>
          </w:p>
        </w:tc>
      </w:tr>
      <w:tr w:rsidR="00375729" w:rsidRPr="00354AFE" w14:paraId="61455AF1" w14:textId="77777777" w:rsidTr="00CF3D6E">
        <w:trPr>
          <w:trHeight w:val="300"/>
        </w:trPr>
        <w:tc>
          <w:tcPr>
            <w:tcW w:w="4106" w:type="dxa"/>
            <w:tcBorders>
              <w:top w:val="nil"/>
              <w:bottom w:val="nil"/>
              <w:right w:val="single" w:sz="4" w:space="0" w:color="auto"/>
            </w:tcBorders>
            <w:shd w:val="clear" w:color="auto" w:fill="auto"/>
            <w:noWrap/>
            <w:vAlign w:val="center"/>
            <w:hideMark/>
          </w:tcPr>
          <w:p w14:paraId="578AC180" w14:textId="69344293" w:rsidR="00375729" w:rsidRPr="00CF3D6E" w:rsidRDefault="00375729" w:rsidP="007A5BBF">
            <w:pPr>
              <w:pStyle w:val="Tablecellsub-heading"/>
            </w:pPr>
            <w:r w:rsidRPr="00CF3D6E">
              <w:t>of which</w:t>
            </w:r>
          </w:p>
        </w:tc>
        <w:tc>
          <w:tcPr>
            <w:tcW w:w="1418" w:type="dxa"/>
            <w:tcBorders>
              <w:left w:val="single" w:sz="4" w:space="0" w:color="auto"/>
              <w:right w:val="single" w:sz="4" w:space="0" w:color="BFBFBF" w:themeColor="background1" w:themeShade="BF"/>
            </w:tcBorders>
            <w:shd w:val="clear" w:color="auto" w:fill="auto"/>
            <w:noWrap/>
            <w:vAlign w:val="bottom"/>
            <w:hideMark/>
          </w:tcPr>
          <w:p w14:paraId="012E2318" w14:textId="77777777" w:rsidR="00375729" w:rsidRPr="00CF3D6E" w:rsidRDefault="00375729" w:rsidP="00301886">
            <w:pPr>
              <w:rPr>
                <w:rFonts w:eastAsia="Times New Roman" w:cs="Times New Roman"/>
                <w:b/>
                <w:color w:val="000000"/>
                <w:lang w:eastAsia="en-AU"/>
              </w:rPr>
            </w:pPr>
          </w:p>
        </w:tc>
        <w:tc>
          <w:tcPr>
            <w:tcW w:w="1417"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62051028" w14:textId="77777777" w:rsidR="00375729" w:rsidRPr="00CF3D6E" w:rsidRDefault="00375729" w:rsidP="00301886">
            <w:pPr>
              <w:rPr>
                <w:rFonts w:ascii="Times New Roman" w:eastAsia="Times New Roman" w:hAnsi="Times New Roman" w:cs="Times New Roman"/>
                <w:b/>
                <w:sz w:val="20"/>
                <w:szCs w:val="20"/>
                <w:lang w:eastAsia="en-AU"/>
              </w:rPr>
            </w:pP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7749B076" w14:textId="77777777" w:rsidR="00375729" w:rsidRPr="00CF3D6E" w:rsidRDefault="00375729" w:rsidP="00301886">
            <w:pPr>
              <w:rPr>
                <w:rFonts w:ascii="Times New Roman" w:eastAsia="Times New Roman" w:hAnsi="Times New Roman" w:cs="Times New Roman"/>
                <w:b/>
                <w:sz w:val="20"/>
                <w:szCs w:val="20"/>
                <w:lang w:eastAsia="en-AU"/>
              </w:rPr>
            </w:pPr>
          </w:p>
        </w:tc>
        <w:tc>
          <w:tcPr>
            <w:tcW w:w="1276" w:type="dxa"/>
            <w:tcBorders>
              <w:left w:val="single" w:sz="4" w:space="0" w:color="BFBFBF" w:themeColor="background1" w:themeShade="BF"/>
            </w:tcBorders>
            <w:shd w:val="clear" w:color="auto" w:fill="auto"/>
            <w:noWrap/>
            <w:vAlign w:val="bottom"/>
            <w:hideMark/>
          </w:tcPr>
          <w:p w14:paraId="610393AE" w14:textId="77777777" w:rsidR="00375729" w:rsidRPr="00CF3D6E" w:rsidRDefault="00375729" w:rsidP="00301886">
            <w:pPr>
              <w:rPr>
                <w:rFonts w:ascii="Times New Roman" w:eastAsia="Times New Roman" w:hAnsi="Times New Roman" w:cs="Times New Roman"/>
                <w:b/>
                <w:sz w:val="20"/>
                <w:szCs w:val="20"/>
                <w:lang w:eastAsia="en-AU"/>
              </w:rPr>
            </w:pPr>
          </w:p>
        </w:tc>
      </w:tr>
      <w:tr w:rsidR="00375729" w:rsidRPr="00354AFE" w14:paraId="421BBB99" w14:textId="77777777" w:rsidTr="00CF3D6E">
        <w:trPr>
          <w:trHeight w:val="300"/>
        </w:trPr>
        <w:tc>
          <w:tcPr>
            <w:tcW w:w="4106" w:type="dxa"/>
            <w:tcBorders>
              <w:top w:val="nil"/>
              <w:bottom w:val="nil"/>
              <w:right w:val="single" w:sz="4" w:space="0" w:color="auto"/>
            </w:tcBorders>
            <w:shd w:val="clear" w:color="auto" w:fill="auto"/>
            <w:noWrap/>
            <w:vAlign w:val="center"/>
            <w:hideMark/>
          </w:tcPr>
          <w:p w14:paraId="3CBEBC7F" w14:textId="0EC0A06F" w:rsidR="00375729" w:rsidRPr="00354AFE" w:rsidRDefault="00375729" w:rsidP="007A5BBF">
            <w:pPr>
              <w:pStyle w:val="Tablebullet-Level1"/>
            </w:pPr>
            <w:r>
              <w:t>IT</w:t>
            </w:r>
            <w:r w:rsidRPr="00354AFE">
              <w:t xml:space="preserve"> capital productivity</w:t>
            </w:r>
            <w:r>
              <w:t xml:space="preserve"> (pp)</w:t>
            </w:r>
          </w:p>
        </w:tc>
        <w:tc>
          <w:tcPr>
            <w:tcW w:w="1418" w:type="dxa"/>
            <w:tcBorders>
              <w:left w:val="single" w:sz="4" w:space="0" w:color="auto"/>
              <w:right w:val="single" w:sz="4" w:space="0" w:color="BFBFBF" w:themeColor="background1" w:themeShade="BF"/>
            </w:tcBorders>
            <w:shd w:val="clear" w:color="auto" w:fill="auto"/>
            <w:noWrap/>
            <w:vAlign w:val="center"/>
            <w:hideMark/>
          </w:tcPr>
          <w:p w14:paraId="7C523205"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-1.13</w:t>
            </w:r>
          </w:p>
        </w:tc>
        <w:tc>
          <w:tcPr>
            <w:tcW w:w="1417"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7855DA81"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-0.97</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10AC8E43"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-0.35</w:t>
            </w:r>
          </w:p>
        </w:tc>
        <w:tc>
          <w:tcPr>
            <w:tcW w:w="1276" w:type="dxa"/>
            <w:tcBorders>
              <w:left w:val="single" w:sz="4" w:space="0" w:color="BFBFBF" w:themeColor="background1" w:themeShade="BF"/>
            </w:tcBorders>
            <w:shd w:val="clear" w:color="auto" w:fill="auto"/>
            <w:noWrap/>
            <w:vAlign w:val="center"/>
            <w:hideMark/>
          </w:tcPr>
          <w:p w14:paraId="46DA5C82"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-0.71</w:t>
            </w:r>
          </w:p>
        </w:tc>
      </w:tr>
      <w:tr w:rsidR="00375729" w:rsidRPr="00354AFE" w14:paraId="6E50E7A1" w14:textId="77777777" w:rsidTr="00CF3D6E">
        <w:trPr>
          <w:trHeight w:val="300"/>
        </w:trPr>
        <w:tc>
          <w:tcPr>
            <w:tcW w:w="4106" w:type="dxa"/>
            <w:tcBorders>
              <w:top w:val="nil"/>
              <w:bottom w:val="nil"/>
              <w:right w:val="single" w:sz="4" w:space="0" w:color="auto"/>
            </w:tcBorders>
            <w:shd w:val="clear" w:color="auto" w:fill="auto"/>
            <w:noWrap/>
            <w:vAlign w:val="center"/>
            <w:hideMark/>
          </w:tcPr>
          <w:p w14:paraId="3CF8A44A" w14:textId="4C4D182A" w:rsidR="00375729" w:rsidRPr="00354AFE" w:rsidRDefault="00375729" w:rsidP="007A5BBF">
            <w:pPr>
              <w:pStyle w:val="Tablebullet-Level1"/>
            </w:pPr>
            <w:r w:rsidRPr="00354AFE">
              <w:t>Non-</w:t>
            </w:r>
            <w:r>
              <w:t>IT</w:t>
            </w:r>
            <w:r w:rsidRPr="00354AFE">
              <w:t xml:space="preserve"> capital productivity</w:t>
            </w:r>
            <w:r>
              <w:t xml:space="preserve"> (pp)</w:t>
            </w:r>
          </w:p>
        </w:tc>
        <w:tc>
          <w:tcPr>
            <w:tcW w:w="1418" w:type="dxa"/>
            <w:tcBorders>
              <w:left w:val="single" w:sz="4" w:space="0" w:color="auto"/>
              <w:right w:val="single" w:sz="4" w:space="0" w:color="BFBFBF" w:themeColor="background1" w:themeShade="BF"/>
            </w:tcBorders>
            <w:shd w:val="clear" w:color="auto" w:fill="auto"/>
            <w:noWrap/>
            <w:vAlign w:val="center"/>
            <w:hideMark/>
          </w:tcPr>
          <w:p w14:paraId="29C37E34" w14:textId="77777777" w:rsidR="00375729" w:rsidRPr="00354AFE" w:rsidRDefault="00375729" w:rsidP="00CF3D6E">
            <w:pPr>
              <w:rPr>
                <w:rFonts w:eastAsia="Times New Roman" w:cs="Times New Roman"/>
                <w:color w:val="000000"/>
                <w:lang w:eastAsia="en-AU"/>
              </w:rPr>
            </w:pPr>
            <w:r w:rsidRPr="00354AFE">
              <w:rPr>
                <w:rFonts w:eastAsia="Times New Roman" w:cs="Times New Roman"/>
                <w:color w:val="000000"/>
                <w:lang w:eastAsia="en-AU"/>
              </w:rPr>
              <w:t>0.</w:t>
            </w:r>
            <w:r>
              <w:rPr>
                <w:rFonts w:eastAsia="Times New Roman" w:cs="Times New Roman"/>
                <w:color w:val="000000"/>
                <w:lang w:eastAsia="en-AU"/>
              </w:rPr>
              <w:t>62</w:t>
            </w:r>
          </w:p>
        </w:tc>
        <w:tc>
          <w:tcPr>
            <w:tcW w:w="1417"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4BCD6A21"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-0.46</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26D5AA4"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-0.85</w:t>
            </w:r>
          </w:p>
        </w:tc>
        <w:tc>
          <w:tcPr>
            <w:tcW w:w="1276" w:type="dxa"/>
            <w:tcBorders>
              <w:left w:val="single" w:sz="4" w:space="0" w:color="BFBFBF" w:themeColor="background1" w:themeShade="BF"/>
            </w:tcBorders>
            <w:shd w:val="clear" w:color="auto" w:fill="auto"/>
            <w:noWrap/>
            <w:vAlign w:val="center"/>
            <w:hideMark/>
          </w:tcPr>
          <w:p w14:paraId="583B1992" w14:textId="77777777" w:rsidR="00375729" w:rsidRPr="00354AFE" w:rsidRDefault="00375729" w:rsidP="00CF3D6E">
            <w:pPr>
              <w:rPr>
                <w:rFonts w:eastAsia="Times New Roman" w:cs="Times New Roman"/>
                <w:color w:val="000000"/>
                <w:lang w:eastAsia="en-AU"/>
              </w:rPr>
            </w:pPr>
            <w:r>
              <w:rPr>
                <w:rFonts w:eastAsia="Times New Roman" w:cs="Times New Roman"/>
                <w:color w:val="000000"/>
                <w:lang w:eastAsia="en-AU"/>
              </w:rPr>
              <w:t>-1.60</w:t>
            </w:r>
          </w:p>
        </w:tc>
      </w:tr>
      <w:tr w:rsidR="00375729" w:rsidRPr="00354AFE" w14:paraId="155E480E" w14:textId="77777777" w:rsidTr="00CF3D6E">
        <w:trPr>
          <w:trHeight w:val="300"/>
        </w:trPr>
        <w:tc>
          <w:tcPr>
            <w:tcW w:w="4106" w:type="dxa"/>
            <w:tcBorders>
              <w:top w:val="nil"/>
              <w:bottom w:val="single" w:sz="4" w:space="0" w:color="auto"/>
              <w:right w:val="single" w:sz="4" w:space="0" w:color="auto"/>
            </w:tcBorders>
            <w:shd w:val="clear" w:color="auto" w:fill="auto"/>
            <w:noWrap/>
            <w:vAlign w:val="center"/>
            <w:hideMark/>
          </w:tcPr>
          <w:p w14:paraId="0B070D79" w14:textId="77777777" w:rsidR="00375729" w:rsidRPr="00CF3D6E" w:rsidRDefault="00375729" w:rsidP="007A5BBF">
            <w:pPr>
              <w:pStyle w:val="Tablecellsub-heading"/>
            </w:pPr>
            <w:r w:rsidRPr="00CF3D6E">
              <w:t>MFP growth (% pa)</w:t>
            </w:r>
          </w:p>
        </w:tc>
        <w:tc>
          <w:tcPr>
            <w:tcW w:w="1418" w:type="dxa"/>
            <w:tcBorders>
              <w:left w:val="single" w:sz="4" w:space="0" w:color="auto"/>
              <w:right w:val="single" w:sz="4" w:space="0" w:color="BFBFBF" w:themeColor="background1" w:themeShade="BF"/>
            </w:tcBorders>
            <w:shd w:val="clear" w:color="auto" w:fill="auto"/>
            <w:noWrap/>
            <w:vAlign w:val="center"/>
            <w:hideMark/>
          </w:tcPr>
          <w:p w14:paraId="289C86DE"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2.7</w:t>
            </w:r>
          </w:p>
        </w:tc>
        <w:tc>
          <w:tcPr>
            <w:tcW w:w="1417"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17EEB710"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-1.2</w:t>
            </w:r>
          </w:p>
        </w:tc>
        <w:tc>
          <w:tcPr>
            <w:tcW w:w="1276"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3BF18E12"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0.3</w:t>
            </w:r>
          </w:p>
        </w:tc>
        <w:tc>
          <w:tcPr>
            <w:tcW w:w="1276" w:type="dxa"/>
            <w:tcBorders>
              <w:left w:val="single" w:sz="4" w:space="0" w:color="BFBFBF" w:themeColor="background1" w:themeShade="BF"/>
            </w:tcBorders>
            <w:shd w:val="clear" w:color="auto" w:fill="auto"/>
            <w:noWrap/>
            <w:vAlign w:val="center"/>
            <w:hideMark/>
          </w:tcPr>
          <w:p w14:paraId="3CE4174A" w14:textId="77777777" w:rsidR="00375729" w:rsidRPr="00CF3D6E" w:rsidRDefault="00375729" w:rsidP="00301886">
            <w:pPr>
              <w:rPr>
                <w:rFonts w:eastAsia="Times New Roman" w:cs="Times New Roman"/>
                <w:b/>
                <w:color w:val="000000"/>
                <w:lang w:eastAsia="en-AU"/>
              </w:rPr>
            </w:pPr>
            <w:r w:rsidRPr="00CF3D6E">
              <w:rPr>
                <w:rFonts w:eastAsia="Times New Roman" w:cs="Times New Roman"/>
                <w:b/>
                <w:color w:val="000000"/>
                <w:lang w:eastAsia="en-AU"/>
              </w:rPr>
              <w:t>-1.1</w:t>
            </w:r>
          </w:p>
        </w:tc>
      </w:tr>
    </w:tbl>
    <w:p w14:paraId="5CFEF037" w14:textId="77777777" w:rsidR="00E6193A" w:rsidRPr="00323930" w:rsidRDefault="00375729" w:rsidP="00012248">
      <w:pPr>
        <w:pStyle w:val="SourceNotes"/>
      </w:pPr>
      <w:r w:rsidRPr="00323930">
        <w:t>Source:</w:t>
      </w:r>
      <w:r>
        <w:t xml:space="preserve"> </w:t>
      </w:r>
      <w:r w:rsidRPr="00323930">
        <w:t>Author estimates</w:t>
      </w:r>
      <w:r w:rsidR="00E6193A">
        <w:t xml:space="preserve">. </w:t>
      </w:r>
      <w:r w:rsidR="00E6193A" w:rsidRPr="000E36A5">
        <w:t>Numbers may not add up due to rounding</w:t>
      </w:r>
      <w:r w:rsidR="00E6193A">
        <w:t xml:space="preserve">. </w:t>
      </w:r>
      <w:r w:rsidR="00E6193A" w:rsidRPr="00323930">
        <w:tab/>
      </w:r>
    </w:p>
    <w:p w14:paraId="3B52517C" w14:textId="77777777" w:rsidR="00375729" w:rsidRDefault="00375729" w:rsidP="00375729">
      <w:r>
        <w:t xml:space="preserve">Trends in asset productivities examined in </w:t>
      </w:r>
      <w:r w:rsidR="0012427B" w:rsidRPr="00745D2C">
        <w:t xml:space="preserve">section </w:t>
      </w:r>
      <w:r w:rsidR="00745D2C" w:rsidRPr="00745D2C">
        <w:t>F</w:t>
      </w:r>
      <w:r w:rsidR="00745D2C">
        <w:t>.3</w:t>
      </w:r>
      <w:r>
        <w:t xml:space="preserve"> are summarised for MFP cycles in Table </w:t>
      </w:r>
      <w:r w:rsidR="00745D2C">
        <w:t>F3</w:t>
      </w:r>
      <w:r>
        <w:t>. The growth in asset productivity over a cycle is shown first</w:t>
      </w:r>
      <w:r w:rsidR="00580189">
        <w:t xml:space="preserve"> (unweighted)</w:t>
      </w:r>
      <w:r>
        <w:t>, with another row showing asset productivity growth, weighted by the asset’s share in capital income. This provides an indication of the relative importance of the different asset productivities. However, these values should not be regarded as contributions that can be added.</w:t>
      </w:r>
    </w:p>
    <w:p w14:paraId="600CE447" w14:textId="77777777" w:rsidR="00375729" w:rsidRDefault="00375729" w:rsidP="00375729">
      <w:r>
        <w:t>The improvement in productivity of other transport equipment stands out. However, its significance is reduced by its small weighting. The improvement in construction productivity in the first cycle is of major significance, generating weighted growth of 0.8 of a percentage point per annum. (See section J3 on the interpretation of construction productivity.)</w:t>
      </w:r>
    </w:p>
    <w:p w14:paraId="699E56A6"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7A6F1CDB" w14:textId="77777777" w:rsidR="00375729" w:rsidRPr="0013225C" w:rsidRDefault="00375729" w:rsidP="00A4034F">
      <w:pPr>
        <w:pStyle w:val="Tablecaption"/>
      </w:pPr>
      <w:r w:rsidRPr="0013225C">
        <w:fldChar w:fldCharType="begin"/>
      </w:r>
      <w:r w:rsidRPr="0013225C">
        <w:instrText xml:space="preserve"> LINK Excel.Sheet.12 "\\\\dept.gov.au\\DFS\\Home\\DParham\\Desktop\\Docs\\1. GA project\\Retail trade\\Retail workbook 150709.xlsx" MFP!R147C28:R157C33 \a \f 4 \h  \* MERGEFORMAT </w:instrText>
      </w:r>
      <w:r w:rsidRPr="0013225C">
        <w:fldChar w:fldCharType="separate"/>
      </w:r>
      <w:r>
        <w:t xml:space="preserve">Table </w:t>
      </w:r>
      <w:r w:rsidR="00745D2C">
        <w:t>F3</w:t>
      </w:r>
      <w:r w:rsidRPr="0013225C">
        <w:t>: Capital productivity for selected assets over MFP cycles, unweighted and weighted</w:t>
      </w:r>
      <w:r w:rsidRPr="0013225C">
        <w:rPr>
          <w:vertAlign w:val="superscript"/>
        </w:rPr>
        <w:t>a</w:t>
      </w:r>
      <w:r w:rsidRPr="0013225C">
        <w:t xml:space="preserve"> </w:t>
      </w:r>
      <w:r w:rsidR="007452E2">
        <w:br/>
      </w:r>
      <w:r w:rsidRPr="0013225C">
        <w:t>(per cent per year)</w:t>
      </w:r>
      <w:r w:rsidRPr="0013225C">
        <w:fldChar w:fldCharType="end"/>
      </w:r>
    </w:p>
    <w:tbl>
      <w:tblPr>
        <w:tblW w:w="9280" w:type="dxa"/>
        <w:tblInd w:w="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34"/>
        <w:gridCol w:w="1536"/>
        <w:gridCol w:w="1537"/>
        <w:gridCol w:w="1536"/>
        <w:gridCol w:w="1537"/>
      </w:tblGrid>
      <w:tr w:rsidR="00375729" w:rsidRPr="0013225C" w14:paraId="473AFF7D" w14:textId="77777777" w:rsidTr="00301886">
        <w:trPr>
          <w:trHeight w:val="495"/>
        </w:trPr>
        <w:tc>
          <w:tcPr>
            <w:tcW w:w="3134" w:type="dxa"/>
            <w:tcBorders>
              <w:top w:val="single" w:sz="4" w:space="0" w:color="auto"/>
              <w:bottom w:val="single" w:sz="4" w:space="0" w:color="auto"/>
              <w:right w:val="single" w:sz="4" w:space="0" w:color="auto"/>
            </w:tcBorders>
            <w:shd w:val="clear" w:color="auto" w:fill="auto"/>
            <w:noWrap/>
            <w:vAlign w:val="bottom"/>
            <w:hideMark/>
          </w:tcPr>
          <w:p w14:paraId="13B2F5BF" w14:textId="77777777" w:rsidR="00375729" w:rsidRPr="0013225C" w:rsidRDefault="00375729" w:rsidP="00A4034F">
            <w:pPr>
              <w:pStyle w:val="Tablecellheading"/>
            </w:pPr>
            <w:r w:rsidRPr="0013225C">
              <w:t> </w:t>
            </w:r>
          </w:p>
        </w:tc>
        <w:tc>
          <w:tcPr>
            <w:tcW w:w="1536" w:type="dxa"/>
            <w:tcBorders>
              <w:top w:val="single" w:sz="4" w:space="0" w:color="auto"/>
              <w:left w:val="single" w:sz="4" w:space="0" w:color="auto"/>
              <w:bottom w:val="single" w:sz="4" w:space="0" w:color="auto"/>
              <w:right w:val="single" w:sz="4" w:space="0" w:color="D9D9D9" w:themeColor="background1" w:themeShade="D9"/>
            </w:tcBorders>
            <w:shd w:val="clear" w:color="auto" w:fill="auto"/>
            <w:vAlign w:val="bottom"/>
            <w:hideMark/>
          </w:tcPr>
          <w:p w14:paraId="538A6159" w14:textId="77777777" w:rsidR="00375729" w:rsidRPr="0013225C" w:rsidRDefault="00375729" w:rsidP="00A4034F">
            <w:pPr>
              <w:pStyle w:val="Tablecellheading"/>
              <w:rPr>
                <w:sz w:val="18"/>
                <w:szCs w:val="18"/>
              </w:rPr>
            </w:pPr>
            <w:r w:rsidRPr="0013225C">
              <w:rPr>
                <w:sz w:val="18"/>
                <w:szCs w:val="18"/>
              </w:rPr>
              <w:t>1994</w:t>
            </w:r>
            <w:r>
              <w:rPr>
                <w:sz w:val="18"/>
                <w:szCs w:val="18"/>
              </w:rPr>
              <w:t>–</w:t>
            </w:r>
            <w:r w:rsidRPr="0013225C">
              <w:rPr>
                <w:sz w:val="18"/>
                <w:szCs w:val="18"/>
              </w:rPr>
              <w:t xml:space="preserve">95 to </w:t>
            </w:r>
            <w:r>
              <w:rPr>
                <w:sz w:val="18"/>
                <w:szCs w:val="18"/>
              </w:rPr>
              <w:br/>
            </w:r>
            <w:r w:rsidRPr="0013225C">
              <w:rPr>
                <w:sz w:val="18"/>
                <w:szCs w:val="18"/>
              </w:rPr>
              <w:t>1998</w:t>
            </w:r>
            <w:r>
              <w:rPr>
                <w:sz w:val="18"/>
                <w:szCs w:val="18"/>
              </w:rPr>
              <w:t>–</w:t>
            </w:r>
            <w:r w:rsidRPr="0013225C">
              <w:rPr>
                <w:sz w:val="18"/>
                <w:szCs w:val="18"/>
              </w:rPr>
              <w:t>99</w:t>
            </w:r>
          </w:p>
        </w:tc>
        <w:tc>
          <w:tcPr>
            <w:tcW w:w="1537"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7EC57FAD" w14:textId="77777777" w:rsidR="00375729" w:rsidRPr="0013225C" w:rsidRDefault="00375729" w:rsidP="00A4034F">
            <w:pPr>
              <w:pStyle w:val="Tablecellheading"/>
              <w:rPr>
                <w:sz w:val="18"/>
                <w:szCs w:val="18"/>
              </w:rPr>
            </w:pPr>
            <w:r w:rsidRPr="0013225C">
              <w:rPr>
                <w:sz w:val="18"/>
                <w:szCs w:val="18"/>
              </w:rPr>
              <w:t>1998</w:t>
            </w:r>
            <w:r>
              <w:rPr>
                <w:sz w:val="18"/>
                <w:szCs w:val="18"/>
              </w:rPr>
              <w:t>–</w:t>
            </w:r>
            <w:r w:rsidRPr="0013225C">
              <w:rPr>
                <w:sz w:val="18"/>
                <w:szCs w:val="18"/>
              </w:rPr>
              <w:t xml:space="preserve">99 to </w:t>
            </w:r>
            <w:r>
              <w:rPr>
                <w:sz w:val="18"/>
                <w:szCs w:val="18"/>
              </w:rPr>
              <w:br/>
            </w:r>
            <w:r w:rsidRPr="0013225C">
              <w:rPr>
                <w:sz w:val="18"/>
                <w:szCs w:val="18"/>
              </w:rPr>
              <w:t>2003</w:t>
            </w:r>
            <w:r>
              <w:rPr>
                <w:sz w:val="18"/>
                <w:szCs w:val="18"/>
              </w:rPr>
              <w:t>–</w:t>
            </w:r>
            <w:r w:rsidRPr="0013225C">
              <w:rPr>
                <w:sz w:val="18"/>
                <w:szCs w:val="18"/>
              </w:rPr>
              <w:t>04</w:t>
            </w:r>
          </w:p>
        </w:tc>
        <w:tc>
          <w:tcPr>
            <w:tcW w:w="1536" w:type="dxa"/>
            <w:tcBorders>
              <w:top w:val="single" w:sz="4" w:space="0" w:color="auto"/>
              <w:left w:val="single" w:sz="4" w:space="0" w:color="D9D9D9" w:themeColor="background1" w:themeShade="D9"/>
              <w:bottom w:val="single" w:sz="4" w:space="0" w:color="auto"/>
              <w:right w:val="single" w:sz="4" w:space="0" w:color="D9D9D9" w:themeColor="background1" w:themeShade="D9"/>
            </w:tcBorders>
            <w:shd w:val="clear" w:color="auto" w:fill="auto"/>
            <w:vAlign w:val="bottom"/>
            <w:hideMark/>
          </w:tcPr>
          <w:p w14:paraId="79C002B6" w14:textId="77777777" w:rsidR="00375729" w:rsidRPr="0013225C" w:rsidRDefault="00375729" w:rsidP="00A4034F">
            <w:pPr>
              <w:pStyle w:val="Tablecellheading"/>
              <w:rPr>
                <w:sz w:val="18"/>
                <w:szCs w:val="18"/>
              </w:rPr>
            </w:pPr>
            <w:r w:rsidRPr="0013225C">
              <w:rPr>
                <w:sz w:val="18"/>
                <w:szCs w:val="18"/>
              </w:rPr>
              <w:t>2003</w:t>
            </w:r>
            <w:r>
              <w:rPr>
                <w:sz w:val="18"/>
                <w:szCs w:val="18"/>
              </w:rPr>
              <w:t>–</w:t>
            </w:r>
            <w:r w:rsidRPr="0013225C">
              <w:rPr>
                <w:sz w:val="18"/>
                <w:szCs w:val="18"/>
              </w:rPr>
              <w:t xml:space="preserve">04 to </w:t>
            </w:r>
            <w:r>
              <w:rPr>
                <w:sz w:val="18"/>
                <w:szCs w:val="18"/>
              </w:rPr>
              <w:br/>
            </w:r>
            <w:r w:rsidRPr="0013225C">
              <w:rPr>
                <w:sz w:val="18"/>
                <w:szCs w:val="18"/>
              </w:rPr>
              <w:t>2010</w:t>
            </w:r>
            <w:r>
              <w:rPr>
                <w:sz w:val="18"/>
                <w:szCs w:val="18"/>
              </w:rPr>
              <w:t>–</w:t>
            </w:r>
            <w:r w:rsidRPr="0013225C">
              <w:rPr>
                <w:sz w:val="18"/>
                <w:szCs w:val="18"/>
              </w:rPr>
              <w:t>11</w:t>
            </w:r>
          </w:p>
        </w:tc>
        <w:tc>
          <w:tcPr>
            <w:tcW w:w="1537" w:type="dxa"/>
            <w:tcBorders>
              <w:top w:val="single" w:sz="4" w:space="0" w:color="auto"/>
              <w:left w:val="single" w:sz="4" w:space="0" w:color="D9D9D9" w:themeColor="background1" w:themeShade="D9"/>
              <w:bottom w:val="single" w:sz="4" w:space="0" w:color="auto"/>
            </w:tcBorders>
            <w:shd w:val="clear" w:color="auto" w:fill="auto"/>
            <w:vAlign w:val="bottom"/>
            <w:hideMark/>
          </w:tcPr>
          <w:p w14:paraId="5634EB7D" w14:textId="77777777" w:rsidR="00375729" w:rsidRPr="0013225C" w:rsidRDefault="00375729" w:rsidP="00A4034F">
            <w:pPr>
              <w:pStyle w:val="Tablecellheading"/>
              <w:rPr>
                <w:sz w:val="18"/>
                <w:szCs w:val="18"/>
              </w:rPr>
            </w:pPr>
            <w:r w:rsidRPr="0013225C">
              <w:rPr>
                <w:sz w:val="18"/>
                <w:szCs w:val="18"/>
              </w:rPr>
              <w:t>2010</w:t>
            </w:r>
            <w:r>
              <w:rPr>
                <w:sz w:val="18"/>
                <w:szCs w:val="18"/>
              </w:rPr>
              <w:t>–</w:t>
            </w:r>
            <w:r w:rsidRPr="0013225C">
              <w:rPr>
                <w:sz w:val="18"/>
                <w:szCs w:val="18"/>
              </w:rPr>
              <w:t xml:space="preserve">11 to </w:t>
            </w:r>
            <w:r>
              <w:rPr>
                <w:sz w:val="18"/>
                <w:szCs w:val="18"/>
              </w:rPr>
              <w:br/>
            </w:r>
            <w:r w:rsidRPr="0013225C">
              <w:rPr>
                <w:sz w:val="18"/>
                <w:szCs w:val="18"/>
              </w:rPr>
              <w:t>2013</w:t>
            </w:r>
            <w:r>
              <w:rPr>
                <w:sz w:val="18"/>
                <w:szCs w:val="18"/>
              </w:rPr>
              <w:t>–</w:t>
            </w:r>
            <w:r w:rsidRPr="0013225C">
              <w:rPr>
                <w:sz w:val="18"/>
                <w:szCs w:val="18"/>
              </w:rPr>
              <w:t>14</w:t>
            </w:r>
          </w:p>
        </w:tc>
      </w:tr>
      <w:tr w:rsidR="00375729" w:rsidRPr="0013225C" w14:paraId="0A7179AB" w14:textId="77777777" w:rsidTr="00301886">
        <w:trPr>
          <w:trHeight w:val="300"/>
        </w:trPr>
        <w:tc>
          <w:tcPr>
            <w:tcW w:w="3134" w:type="dxa"/>
            <w:tcBorders>
              <w:top w:val="single" w:sz="4" w:space="0" w:color="auto"/>
              <w:right w:val="single" w:sz="4" w:space="0" w:color="auto"/>
            </w:tcBorders>
            <w:shd w:val="clear" w:color="auto" w:fill="auto"/>
            <w:noWrap/>
            <w:vAlign w:val="bottom"/>
            <w:hideMark/>
          </w:tcPr>
          <w:p w14:paraId="3D683986" w14:textId="77777777" w:rsidR="00375729" w:rsidRPr="00CF3D6E" w:rsidRDefault="00375729" w:rsidP="00A4034F">
            <w:pPr>
              <w:pStyle w:val="Tabletext"/>
            </w:pPr>
            <w:r w:rsidRPr="00CF3D6E">
              <w:t>Film and TV productivity</w:t>
            </w:r>
          </w:p>
        </w:tc>
        <w:tc>
          <w:tcPr>
            <w:tcW w:w="1536" w:type="dxa"/>
            <w:tcBorders>
              <w:top w:val="single" w:sz="4" w:space="0" w:color="auto"/>
              <w:left w:val="single" w:sz="4" w:space="0" w:color="auto"/>
              <w:right w:val="single" w:sz="4" w:space="0" w:color="D9D9D9" w:themeColor="background1" w:themeShade="D9"/>
            </w:tcBorders>
            <w:shd w:val="clear" w:color="auto" w:fill="auto"/>
            <w:noWrap/>
            <w:vAlign w:val="bottom"/>
            <w:hideMark/>
          </w:tcPr>
          <w:p w14:paraId="62739EB9" w14:textId="77777777" w:rsidR="00375729" w:rsidRPr="00CF3D6E" w:rsidRDefault="00375729" w:rsidP="00A4034F">
            <w:pPr>
              <w:pStyle w:val="Tabletext"/>
            </w:pPr>
            <w:r w:rsidRPr="00CF3D6E">
              <w:t>-9.4</w:t>
            </w:r>
          </w:p>
        </w:tc>
        <w:tc>
          <w:tcPr>
            <w:tcW w:w="1537" w:type="dxa"/>
            <w:tcBorders>
              <w:top w:val="single" w:sz="4" w:space="0" w:color="auto"/>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89CFF45" w14:textId="77777777" w:rsidR="00375729" w:rsidRPr="00CF3D6E" w:rsidRDefault="00375729" w:rsidP="00A4034F">
            <w:pPr>
              <w:pStyle w:val="Tabletext"/>
            </w:pPr>
            <w:r w:rsidRPr="00CF3D6E">
              <w:t>-1.0</w:t>
            </w:r>
          </w:p>
        </w:tc>
        <w:tc>
          <w:tcPr>
            <w:tcW w:w="1536" w:type="dxa"/>
            <w:tcBorders>
              <w:top w:val="single" w:sz="4" w:space="0" w:color="auto"/>
              <w:left w:val="single" w:sz="4" w:space="0" w:color="D9D9D9" w:themeColor="background1" w:themeShade="D9"/>
              <w:right w:val="single" w:sz="4" w:space="0" w:color="D9D9D9" w:themeColor="background1" w:themeShade="D9"/>
            </w:tcBorders>
            <w:shd w:val="clear" w:color="auto" w:fill="auto"/>
            <w:noWrap/>
            <w:vAlign w:val="bottom"/>
            <w:hideMark/>
          </w:tcPr>
          <w:p w14:paraId="09F9A84D" w14:textId="77777777" w:rsidR="00375729" w:rsidRPr="00CF3D6E" w:rsidRDefault="00375729" w:rsidP="00A4034F">
            <w:pPr>
              <w:pStyle w:val="Tabletext"/>
            </w:pPr>
            <w:r w:rsidRPr="00CF3D6E">
              <w:t>-6.9</w:t>
            </w:r>
          </w:p>
        </w:tc>
        <w:tc>
          <w:tcPr>
            <w:tcW w:w="1537" w:type="dxa"/>
            <w:tcBorders>
              <w:top w:val="single" w:sz="4" w:space="0" w:color="auto"/>
              <w:left w:val="single" w:sz="4" w:space="0" w:color="D9D9D9" w:themeColor="background1" w:themeShade="D9"/>
            </w:tcBorders>
            <w:shd w:val="clear" w:color="auto" w:fill="auto"/>
            <w:noWrap/>
            <w:vAlign w:val="bottom"/>
            <w:hideMark/>
          </w:tcPr>
          <w:p w14:paraId="49BA4838" w14:textId="77777777" w:rsidR="00375729" w:rsidRPr="00CF3D6E" w:rsidRDefault="00375729" w:rsidP="00A4034F">
            <w:pPr>
              <w:pStyle w:val="Tabletext"/>
            </w:pPr>
            <w:r w:rsidRPr="00CF3D6E">
              <w:t>-5.2</w:t>
            </w:r>
          </w:p>
        </w:tc>
      </w:tr>
      <w:tr w:rsidR="00375729" w:rsidRPr="0013225C" w14:paraId="5F6A5AFE" w14:textId="77777777" w:rsidTr="00301886">
        <w:trPr>
          <w:trHeight w:val="300"/>
        </w:trPr>
        <w:tc>
          <w:tcPr>
            <w:tcW w:w="3134" w:type="dxa"/>
            <w:tcBorders>
              <w:right w:val="single" w:sz="4" w:space="0" w:color="auto"/>
            </w:tcBorders>
            <w:shd w:val="clear" w:color="auto" w:fill="auto"/>
            <w:noWrap/>
            <w:vAlign w:val="bottom"/>
            <w:hideMark/>
          </w:tcPr>
          <w:p w14:paraId="3E55491F" w14:textId="77777777" w:rsidR="00375729" w:rsidRPr="0013225C" w:rsidRDefault="0058764D" w:rsidP="00A4034F">
            <w:pPr>
              <w:pStyle w:val="Tablebullet-Level1"/>
            </w:pPr>
            <w:r>
              <w:t>W</w:t>
            </w:r>
            <w:r w:rsidR="00375729" w:rsidRPr="0013225C">
              <w:t>eighted</w:t>
            </w:r>
          </w:p>
        </w:tc>
        <w:tc>
          <w:tcPr>
            <w:tcW w:w="1536" w:type="dxa"/>
            <w:tcBorders>
              <w:left w:val="single" w:sz="4" w:space="0" w:color="auto"/>
              <w:right w:val="single" w:sz="4" w:space="0" w:color="D9D9D9" w:themeColor="background1" w:themeShade="D9"/>
            </w:tcBorders>
            <w:shd w:val="clear" w:color="auto" w:fill="auto"/>
            <w:noWrap/>
            <w:vAlign w:val="bottom"/>
            <w:hideMark/>
          </w:tcPr>
          <w:p w14:paraId="68E30659" w14:textId="77777777" w:rsidR="00375729" w:rsidRPr="0013225C" w:rsidRDefault="00375729" w:rsidP="00A4034F">
            <w:pPr>
              <w:pStyle w:val="Tabletext"/>
            </w:pPr>
            <w:r w:rsidRPr="0013225C">
              <w:t>-0.2</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6877673C" w14:textId="77777777" w:rsidR="00375729" w:rsidRPr="0013225C" w:rsidRDefault="00375729" w:rsidP="00A4034F">
            <w:pPr>
              <w:pStyle w:val="Tabletext"/>
            </w:pPr>
            <w:r w:rsidRPr="0013225C">
              <w:t>-0.1</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47C06002" w14:textId="77777777" w:rsidR="00375729" w:rsidRPr="0013225C" w:rsidRDefault="00375729" w:rsidP="00A4034F">
            <w:pPr>
              <w:pStyle w:val="Tabletext"/>
            </w:pPr>
            <w:r w:rsidRPr="0013225C">
              <w:t>-0.5</w:t>
            </w:r>
          </w:p>
        </w:tc>
        <w:tc>
          <w:tcPr>
            <w:tcW w:w="1537" w:type="dxa"/>
            <w:tcBorders>
              <w:left w:val="single" w:sz="4" w:space="0" w:color="D9D9D9" w:themeColor="background1" w:themeShade="D9"/>
            </w:tcBorders>
            <w:shd w:val="clear" w:color="auto" w:fill="auto"/>
            <w:noWrap/>
            <w:vAlign w:val="bottom"/>
            <w:hideMark/>
          </w:tcPr>
          <w:p w14:paraId="3A300631" w14:textId="77777777" w:rsidR="00375729" w:rsidRPr="0013225C" w:rsidRDefault="00375729" w:rsidP="00A4034F">
            <w:pPr>
              <w:pStyle w:val="Tabletext"/>
            </w:pPr>
            <w:r w:rsidRPr="0013225C">
              <w:t>-0.5</w:t>
            </w:r>
          </w:p>
        </w:tc>
      </w:tr>
      <w:tr w:rsidR="00375729" w:rsidRPr="0013225C" w14:paraId="7C1915AE" w14:textId="77777777" w:rsidTr="00301886">
        <w:trPr>
          <w:trHeight w:val="300"/>
        </w:trPr>
        <w:tc>
          <w:tcPr>
            <w:tcW w:w="3134" w:type="dxa"/>
            <w:tcBorders>
              <w:right w:val="single" w:sz="4" w:space="0" w:color="auto"/>
            </w:tcBorders>
            <w:shd w:val="clear" w:color="auto" w:fill="auto"/>
            <w:noWrap/>
            <w:vAlign w:val="bottom"/>
            <w:hideMark/>
          </w:tcPr>
          <w:p w14:paraId="0E31B046" w14:textId="77777777" w:rsidR="00375729" w:rsidRPr="00CF3D6E" w:rsidRDefault="00375729" w:rsidP="00A4034F">
            <w:pPr>
              <w:pStyle w:val="Tabletext"/>
            </w:pPr>
            <w:r w:rsidRPr="00CF3D6E">
              <w:t>Land productivity</w:t>
            </w:r>
          </w:p>
        </w:tc>
        <w:tc>
          <w:tcPr>
            <w:tcW w:w="1536" w:type="dxa"/>
            <w:tcBorders>
              <w:left w:val="single" w:sz="4" w:space="0" w:color="auto"/>
              <w:right w:val="single" w:sz="4" w:space="0" w:color="D9D9D9" w:themeColor="background1" w:themeShade="D9"/>
            </w:tcBorders>
            <w:shd w:val="clear" w:color="auto" w:fill="auto"/>
            <w:noWrap/>
            <w:vAlign w:val="bottom"/>
            <w:hideMark/>
          </w:tcPr>
          <w:p w14:paraId="2344136C" w14:textId="77777777" w:rsidR="00375729" w:rsidRPr="00CF3D6E" w:rsidRDefault="00375729" w:rsidP="00A4034F">
            <w:pPr>
              <w:pStyle w:val="Tabletext"/>
            </w:pPr>
            <w:r w:rsidRPr="00CF3D6E">
              <w:t>4.2</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5A9CD3C" w14:textId="77777777" w:rsidR="00375729" w:rsidRPr="00CF3D6E" w:rsidRDefault="00375729" w:rsidP="00A4034F">
            <w:pPr>
              <w:pStyle w:val="Tabletext"/>
            </w:pPr>
            <w:r w:rsidRPr="00CF3D6E">
              <w:t>2.2</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5E3336B6" w14:textId="77777777" w:rsidR="00375729" w:rsidRPr="00CF3D6E" w:rsidRDefault="00375729" w:rsidP="00A4034F">
            <w:pPr>
              <w:pStyle w:val="Tabletext"/>
            </w:pPr>
            <w:r w:rsidRPr="00CF3D6E">
              <w:t>1.2</w:t>
            </w:r>
          </w:p>
        </w:tc>
        <w:tc>
          <w:tcPr>
            <w:tcW w:w="1537" w:type="dxa"/>
            <w:tcBorders>
              <w:left w:val="single" w:sz="4" w:space="0" w:color="D9D9D9" w:themeColor="background1" w:themeShade="D9"/>
            </w:tcBorders>
            <w:shd w:val="clear" w:color="auto" w:fill="auto"/>
            <w:noWrap/>
            <w:vAlign w:val="bottom"/>
            <w:hideMark/>
          </w:tcPr>
          <w:p w14:paraId="6DC6BBA2" w14:textId="77777777" w:rsidR="00375729" w:rsidRPr="00CF3D6E" w:rsidRDefault="00375729" w:rsidP="00A4034F">
            <w:pPr>
              <w:pStyle w:val="Tabletext"/>
            </w:pPr>
            <w:r w:rsidRPr="00CF3D6E">
              <w:t>-1.0</w:t>
            </w:r>
          </w:p>
        </w:tc>
      </w:tr>
      <w:tr w:rsidR="00375729" w:rsidRPr="0013225C" w14:paraId="1F7D872A" w14:textId="77777777" w:rsidTr="00301886">
        <w:trPr>
          <w:trHeight w:val="300"/>
        </w:trPr>
        <w:tc>
          <w:tcPr>
            <w:tcW w:w="3134" w:type="dxa"/>
            <w:tcBorders>
              <w:right w:val="single" w:sz="4" w:space="0" w:color="auto"/>
            </w:tcBorders>
            <w:shd w:val="clear" w:color="auto" w:fill="auto"/>
            <w:noWrap/>
            <w:vAlign w:val="bottom"/>
            <w:hideMark/>
          </w:tcPr>
          <w:p w14:paraId="6961C0B3" w14:textId="77777777" w:rsidR="00375729" w:rsidRPr="0013225C" w:rsidRDefault="0058764D" w:rsidP="00A4034F">
            <w:pPr>
              <w:pStyle w:val="Tablebullet-Level1"/>
            </w:pPr>
            <w:r>
              <w:t>W</w:t>
            </w:r>
            <w:r w:rsidR="00375729" w:rsidRPr="0013225C">
              <w:t>eighted</w:t>
            </w:r>
          </w:p>
        </w:tc>
        <w:tc>
          <w:tcPr>
            <w:tcW w:w="1536" w:type="dxa"/>
            <w:tcBorders>
              <w:left w:val="single" w:sz="4" w:space="0" w:color="auto"/>
              <w:right w:val="single" w:sz="4" w:space="0" w:color="D9D9D9" w:themeColor="background1" w:themeShade="D9"/>
            </w:tcBorders>
            <w:shd w:val="clear" w:color="auto" w:fill="auto"/>
            <w:noWrap/>
            <w:vAlign w:val="bottom"/>
            <w:hideMark/>
          </w:tcPr>
          <w:p w14:paraId="662A830B" w14:textId="77777777" w:rsidR="00375729" w:rsidRPr="0013225C" w:rsidRDefault="00375729" w:rsidP="00A4034F">
            <w:pPr>
              <w:pStyle w:val="Tabletext"/>
            </w:pPr>
            <w:r w:rsidRPr="0013225C">
              <w:t>0.2</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7F22C0B" w14:textId="77777777" w:rsidR="00375729" w:rsidRPr="0013225C" w:rsidRDefault="00375729" w:rsidP="00A4034F">
            <w:pPr>
              <w:pStyle w:val="Tabletext"/>
            </w:pPr>
            <w:r w:rsidRPr="0013225C">
              <w:t>0.2</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70905CD0" w14:textId="77777777" w:rsidR="00375729" w:rsidRPr="0013225C" w:rsidRDefault="00375729" w:rsidP="00A4034F">
            <w:pPr>
              <w:pStyle w:val="Tabletext"/>
            </w:pPr>
            <w:r w:rsidRPr="0013225C">
              <w:t>0.0</w:t>
            </w:r>
          </w:p>
        </w:tc>
        <w:tc>
          <w:tcPr>
            <w:tcW w:w="1537" w:type="dxa"/>
            <w:tcBorders>
              <w:left w:val="single" w:sz="4" w:space="0" w:color="D9D9D9" w:themeColor="background1" w:themeShade="D9"/>
            </w:tcBorders>
            <w:shd w:val="clear" w:color="auto" w:fill="auto"/>
            <w:noWrap/>
            <w:vAlign w:val="bottom"/>
            <w:hideMark/>
          </w:tcPr>
          <w:p w14:paraId="6D4587F4" w14:textId="77777777" w:rsidR="00375729" w:rsidRPr="0013225C" w:rsidRDefault="00375729" w:rsidP="00A4034F">
            <w:pPr>
              <w:pStyle w:val="Tabletext"/>
            </w:pPr>
            <w:r w:rsidRPr="0013225C">
              <w:t>0.0</w:t>
            </w:r>
          </w:p>
        </w:tc>
      </w:tr>
      <w:tr w:rsidR="00375729" w:rsidRPr="0013225C" w14:paraId="7AF5D89D" w14:textId="77777777" w:rsidTr="00301886">
        <w:trPr>
          <w:trHeight w:val="300"/>
        </w:trPr>
        <w:tc>
          <w:tcPr>
            <w:tcW w:w="3134" w:type="dxa"/>
            <w:tcBorders>
              <w:right w:val="single" w:sz="4" w:space="0" w:color="auto"/>
            </w:tcBorders>
            <w:shd w:val="clear" w:color="auto" w:fill="auto"/>
            <w:noWrap/>
            <w:vAlign w:val="bottom"/>
            <w:hideMark/>
          </w:tcPr>
          <w:p w14:paraId="2DB722E9" w14:textId="77777777" w:rsidR="00375729" w:rsidRPr="00CF3D6E" w:rsidRDefault="00375729" w:rsidP="00A4034F">
            <w:pPr>
              <w:pStyle w:val="Tabletext"/>
            </w:pPr>
            <w:r w:rsidRPr="00CF3D6E">
              <w:t>E &amp; E equip productivity</w:t>
            </w:r>
          </w:p>
        </w:tc>
        <w:tc>
          <w:tcPr>
            <w:tcW w:w="1536" w:type="dxa"/>
            <w:tcBorders>
              <w:left w:val="single" w:sz="4" w:space="0" w:color="auto"/>
              <w:right w:val="single" w:sz="4" w:space="0" w:color="D9D9D9" w:themeColor="background1" w:themeShade="D9"/>
            </w:tcBorders>
            <w:shd w:val="clear" w:color="auto" w:fill="auto"/>
            <w:noWrap/>
            <w:vAlign w:val="bottom"/>
            <w:hideMark/>
          </w:tcPr>
          <w:p w14:paraId="65C31783" w14:textId="77777777" w:rsidR="00375729" w:rsidRPr="00CF3D6E" w:rsidRDefault="00375729" w:rsidP="00A4034F">
            <w:pPr>
              <w:pStyle w:val="Tabletext"/>
            </w:pPr>
            <w:r w:rsidRPr="00CF3D6E">
              <w:t>-2.4</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0869F8C0" w14:textId="77777777" w:rsidR="00375729" w:rsidRPr="00CF3D6E" w:rsidRDefault="00375729" w:rsidP="00A4034F">
            <w:pPr>
              <w:pStyle w:val="Tabletext"/>
            </w:pPr>
            <w:r w:rsidRPr="00CF3D6E">
              <w:t>-7.5</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64789066" w14:textId="77777777" w:rsidR="00375729" w:rsidRPr="00CF3D6E" w:rsidRDefault="00375729" w:rsidP="00A4034F">
            <w:pPr>
              <w:pStyle w:val="Tabletext"/>
            </w:pPr>
            <w:r w:rsidRPr="00CF3D6E">
              <w:t>-4.3</w:t>
            </w:r>
          </w:p>
        </w:tc>
        <w:tc>
          <w:tcPr>
            <w:tcW w:w="1537" w:type="dxa"/>
            <w:tcBorders>
              <w:left w:val="single" w:sz="4" w:space="0" w:color="D9D9D9" w:themeColor="background1" w:themeShade="D9"/>
            </w:tcBorders>
            <w:shd w:val="clear" w:color="auto" w:fill="auto"/>
            <w:noWrap/>
            <w:vAlign w:val="bottom"/>
            <w:hideMark/>
          </w:tcPr>
          <w:p w14:paraId="0048912B" w14:textId="77777777" w:rsidR="00375729" w:rsidRPr="00CF3D6E" w:rsidRDefault="00375729" w:rsidP="00A4034F">
            <w:pPr>
              <w:pStyle w:val="Tabletext"/>
            </w:pPr>
            <w:r w:rsidRPr="00CF3D6E">
              <w:t>-1.8</w:t>
            </w:r>
          </w:p>
        </w:tc>
      </w:tr>
      <w:tr w:rsidR="00375729" w:rsidRPr="0013225C" w14:paraId="4ED5887D" w14:textId="77777777" w:rsidTr="00301886">
        <w:trPr>
          <w:trHeight w:val="300"/>
        </w:trPr>
        <w:tc>
          <w:tcPr>
            <w:tcW w:w="3134" w:type="dxa"/>
            <w:tcBorders>
              <w:right w:val="single" w:sz="4" w:space="0" w:color="auto"/>
            </w:tcBorders>
            <w:shd w:val="clear" w:color="auto" w:fill="auto"/>
            <w:noWrap/>
            <w:vAlign w:val="bottom"/>
            <w:hideMark/>
          </w:tcPr>
          <w:p w14:paraId="4483EF81" w14:textId="77777777" w:rsidR="00375729" w:rsidRPr="0013225C" w:rsidRDefault="0058764D" w:rsidP="00A4034F">
            <w:pPr>
              <w:pStyle w:val="Tablebullet-Level1"/>
            </w:pPr>
            <w:r>
              <w:t>W</w:t>
            </w:r>
            <w:r w:rsidR="00375729" w:rsidRPr="0013225C">
              <w:t>eighted</w:t>
            </w:r>
          </w:p>
        </w:tc>
        <w:tc>
          <w:tcPr>
            <w:tcW w:w="1536" w:type="dxa"/>
            <w:tcBorders>
              <w:left w:val="single" w:sz="4" w:space="0" w:color="auto"/>
              <w:right w:val="single" w:sz="4" w:space="0" w:color="D9D9D9" w:themeColor="background1" w:themeShade="D9"/>
            </w:tcBorders>
            <w:shd w:val="clear" w:color="auto" w:fill="auto"/>
            <w:noWrap/>
            <w:vAlign w:val="bottom"/>
            <w:hideMark/>
          </w:tcPr>
          <w:p w14:paraId="14880274" w14:textId="77777777" w:rsidR="00375729" w:rsidRPr="0013225C" w:rsidRDefault="00375729" w:rsidP="00A4034F">
            <w:pPr>
              <w:pStyle w:val="Tabletext"/>
            </w:pPr>
            <w:r w:rsidRPr="0013225C">
              <w:t>-0.5</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40D2E6C5" w14:textId="77777777" w:rsidR="00375729" w:rsidRPr="0013225C" w:rsidRDefault="00375729" w:rsidP="00A4034F">
            <w:pPr>
              <w:pStyle w:val="Tabletext"/>
            </w:pPr>
            <w:r w:rsidRPr="0013225C">
              <w:t>-1.2</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75EBEA1B" w14:textId="77777777" w:rsidR="00375729" w:rsidRPr="0013225C" w:rsidRDefault="00375729" w:rsidP="00A4034F">
            <w:pPr>
              <w:pStyle w:val="Tabletext"/>
            </w:pPr>
            <w:r w:rsidRPr="0013225C">
              <w:t>-0.7</w:t>
            </w:r>
          </w:p>
        </w:tc>
        <w:tc>
          <w:tcPr>
            <w:tcW w:w="1537" w:type="dxa"/>
            <w:tcBorders>
              <w:left w:val="single" w:sz="4" w:space="0" w:color="D9D9D9" w:themeColor="background1" w:themeShade="D9"/>
            </w:tcBorders>
            <w:shd w:val="clear" w:color="auto" w:fill="auto"/>
            <w:noWrap/>
            <w:vAlign w:val="bottom"/>
            <w:hideMark/>
          </w:tcPr>
          <w:p w14:paraId="76810624" w14:textId="77777777" w:rsidR="00375729" w:rsidRPr="0013225C" w:rsidRDefault="00375729" w:rsidP="00A4034F">
            <w:pPr>
              <w:pStyle w:val="Tabletext"/>
            </w:pPr>
            <w:r w:rsidRPr="0013225C">
              <w:t>-0.2</w:t>
            </w:r>
          </w:p>
        </w:tc>
      </w:tr>
      <w:tr w:rsidR="00375729" w:rsidRPr="0013225C" w14:paraId="5E13B759" w14:textId="77777777" w:rsidTr="00301886">
        <w:trPr>
          <w:trHeight w:val="300"/>
        </w:trPr>
        <w:tc>
          <w:tcPr>
            <w:tcW w:w="3134" w:type="dxa"/>
            <w:tcBorders>
              <w:right w:val="single" w:sz="4" w:space="0" w:color="auto"/>
            </w:tcBorders>
            <w:shd w:val="clear" w:color="auto" w:fill="auto"/>
            <w:noWrap/>
            <w:vAlign w:val="bottom"/>
            <w:hideMark/>
          </w:tcPr>
          <w:p w14:paraId="70E21586" w14:textId="77777777" w:rsidR="00375729" w:rsidRPr="00CF3D6E" w:rsidRDefault="00375729" w:rsidP="00A4034F">
            <w:pPr>
              <w:pStyle w:val="Tabletext"/>
            </w:pPr>
            <w:r w:rsidRPr="00CF3D6E">
              <w:t>Indust M &amp; E productivity</w:t>
            </w:r>
          </w:p>
        </w:tc>
        <w:tc>
          <w:tcPr>
            <w:tcW w:w="1536" w:type="dxa"/>
            <w:tcBorders>
              <w:left w:val="single" w:sz="4" w:space="0" w:color="auto"/>
              <w:right w:val="single" w:sz="4" w:space="0" w:color="D9D9D9" w:themeColor="background1" w:themeShade="D9"/>
            </w:tcBorders>
            <w:shd w:val="clear" w:color="auto" w:fill="auto"/>
            <w:noWrap/>
            <w:vAlign w:val="bottom"/>
            <w:hideMark/>
          </w:tcPr>
          <w:p w14:paraId="2C60A806" w14:textId="77777777" w:rsidR="00375729" w:rsidRPr="00CF3D6E" w:rsidRDefault="00375729" w:rsidP="00A4034F">
            <w:pPr>
              <w:pStyle w:val="Tabletext"/>
            </w:pPr>
            <w:r w:rsidRPr="00CF3D6E">
              <w:t>7.2</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131AA8DA" w14:textId="77777777" w:rsidR="00375729" w:rsidRPr="00CF3D6E" w:rsidRDefault="00375729" w:rsidP="00A4034F">
            <w:pPr>
              <w:pStyle w:val="Tabletext"/>
            </w:pPr>
            <w:r w:rsidRPr="00CF3D6E">
              <w:t>4.0</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00CC6F4B" w14:textId="77777777" w:rsidR="00375729" w:rsidRPr="00CF3D6E" w:rsidRDefault="00375729" w:rsidP="00A4034F">
            <w:pPr>
              <w:pStyle w:val="Tabletext"/>
            </w:pPr>
            <w:r w:rsidRPr="00CF3D6E">
              <w:t>3.0</w:t>
            </w:r>
          </w:p>
        </w:tc>
        <w:tc>
          <w:tcPr>
            <w:tcW w:w="1537" w:type="dxa"/>
            <w:tcBorders>
              <w:left w:val="single" w:sz="4" w:space="0" w:color="D9D9D9" w:themeColor="background1" w:themeShade="D9"/>
            </w:tcBorders>
            <w:shd w:val="clear" w:color="auto" w:fill="auto"/>
            <w:noWrap/>
            <w:vAlign w:val="bottom"/>
            <w:hideMark/>
          </w:tcPr>
          <w:p w14:paraId="3DD63749" w14:textId="77777777" w:rsidR="00375729" w:rsidRPr="00CF3D6E" w:rsidRDefault="00375729" w:rsidP="00A4034F">
            <w:pPr>
              <w:pStyle w:val="Tabletext"/>
            </w:pPr>
            <w:r w:rsidRPr="00CF3D6E">
              <w:t>0.9</w:t>
            </w:r>
          </w:p>
        </w:tc>
      </w:tr>
      <w:tr w:rsidR="00375729" w:rsidRPr="0013225C" w14:paraId="21DDAE09" w14:textId="77777777" w:rsidTr="00301886">
        <w:trPr>
          <w:trHeight w:val="300"/>
        </w:trPr>
        <w:tc>
          <w:tcPr>
            <w:tcW w:w="3134" w:type="dxa"/>
            <w:tcBorders>
              <w:right w:val="single" w:sz="4" w:space="0" w:color="auto"/>
            </w:tcBorders>
            <w:shd w:val="clear" w:color="auto" w:fill="auto"/>
            <w:noWrap/>
            <w:vAlign w:val="bottom"/>
            <w:hideMark/>
          </w:tcPr>
          <w:p w14:paraId="356DAFBE" w14:textId="77777777" w:rsidR="00375729" w:rsidRPr="0013225C" w:rsidRDefault="0058764D" w:rsidP="00A4034F">
            <w:pPr>
              <w:pStyle w:val="Tablebullet-Level1"/>
            </w:pPr>
            <w:r>
              <w:t>W</w:t>
            </w:r>
            <w:r w:rsidR="00375729" w:rsidRPr="0013225C">
              <w:t>eighted</w:t>
            </w:r>
          </w:p>
        </w:tc>
        <w:tc>
          <w:tcPr>
            <w:tcW w:w="1536" w:type="dxa"/>
            <w:tcBorders>
              <w:left w:val="single" w:sz="4" w:space="0" w:color="auto"/>
              <w:right w:val="single" w:sz="4" w:space="0" w:color="D9D9D9" w:themeColor="background1" w:themeShade="D9"/>
            </w:tcBorders>
            <w:shd w:val="clear" w:color="auto" w:fill="auto"/>
            <w:noWrap/>
            <w:vAlign w:val="bottom"/>
            <w:hideMark/>
          </w:tcPr>
          <w:p w14:paraId="4BFBE0C4" w14:textId="77777777" w:rsidR="00375729" w:rsidRPr="0013225C" w:rsidRDefault="00375729" w:rsidP="00A4034F">
            <w:pPr>
              <w:pStyle w:val="Tabletext"/>
            </w:pPr>
            <w:r w:rsidRPr="0013225C">
              <w:t>0.2</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18EAA9C1" w14:textId="77777777" w:rsidR="00375729" w:rsidRPr="0013225C" w:rsidRDefault="00375729" w:rsidP="00A4034F">
            <w:pPr>
              <w:pStyle w:val="Tabletext"/>
            </w:pPr>
            <w:r w:rsidRPr="0013225C">
              <w:t>0.1</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7D7F0FD3" w14:textId="77777777" w:rsidR="00375729" w:rsidRPr="0013225C" w:rsidRDefault="00375729" w:rsidP="00A4034F">
            <w:pPr>
              <w:pStyle w:val="Tabletext"/>
            </w:pPr>
            <w:r w:rsidRPr="0013225C">
              <w:t>0.1</w:t>
            </w:r>
          </w:p>
        </w:tc>
        <w:tc>
          <w:tcPr>
            <w:tcW w:w="1537" w:type="dxa"/>
            <w:tcBorders>
              <w:left w:val="single" w:sz="4" w:space="0" w:color="D9D9D9" w:themeColor="background1" w:themeShade="D9"/>
            </w:tcBorders>
            <w:shd w:val="clear" w:color="auto" w:fill="auto"/>
            <w:noWrap/>
            <w:vAlign w:val="bottom"/>
            <w:hideMark/>
          </w:tcPr>
          <w:p w14:paraId="0E8F1322" w14:textId="77777777" w:rsidR="00375729" w:rsidRPr="0013225C" w:rsidRDefault="00375729" w:rsidP="00A4034F">
            <w:pPr>
              <w:pStyle w:val="Tabletext"/>
            </w:pPr>
            <w:r w:rsidRPr="0013225C">
              <w:t>0.0</w:t>
            </w:r>
          </w:p>
        </w:tc>
      </w:tr>
      <w:tr w:rsidR="00375729" w:rsidRPr="0013225C" w14:paraId="2EB9B537" w14:textId="77777777" w:rsidTr="00301886">
        <w:trPr>
          <w:trHeight w:val="300"/>
        </w:trPr>
        <w:tc>
          <w:tcPr>
            <w:tcW w:w="3134" w:type="dxa"/>
            <w:tcBorders>
              <w:right w:val="single" w:sz="4" w:space="0" w:color="auto"/>
            </w:tcBorders>
            <w:shd w:val="clear" w:color="auto" w:fill="auto"/>
            <w:noWrap/>
            <w:vAlign w:val="bottom"/>
            <w:hideMark/>
          </w:tcPr>
          <w:p w14:paraId="506A48F7" w14:textId="77777777" w:rsidR="00375729" w:rsidRPr="00CF3D6E" w:rsidRDefault="00375729" w:rsidP="00A4034F">
            <w:pPr>
              <w:pStyle w:val="Tabletext"/>
            </w:pPr>
            <w:r w:rsidRPr="00CF3D6E">
              <w:t>Other transp equip prody</w:t>
            </w:r>
          </w:p>
        </w:tc>
        <w:tc>
          <w:tcPr>
            <w:tcW w:w="1536" w:type="dxa"/>
            <w:tcBorders>
              <w:left w:val="single" w:sz="4" w:space="0" w:color="auto"/>
              <w:right w:val="single" w:sz="4" w:space="0" w:color="D9D9D9" w:themeColor="background1" w:themeShade="D9"/>
            </w:tcBorders>
            <w:shd w:val="clear" w:color="auto" w:fill="auto"/>
            <w:noWrap/>
            <w:vAlign w:val="bottom"/>
            <w:hideMark/>
          </w:tcPr>
          <w:p w14:paraId="187E0054" w14:textId="77777777" w:rsidR="00375729" w:rsidRPr="00CF3D6E" w:rsidRDefault="00375729" w:rsidP="00A4034F">
            <w:pPr>
              <w:pStyle w:val="Tabletext"/>
            </w:pPr>
            <w:r w:rsidRPr="00CF3D6E">
              <w:t>19.4</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34DF4CC4" w14:textId="77777777" w:rsidR="00375729" w:rsidRPr="00CF3D6E" w:rsidRDefault="00375729" w:rsidP="00A4034F">
            <w:pPr>
              <w:pStyle w:val="Tabletext"/>
            </w:pPr>
            <w:r w:rsidRPr="00CF3D6E">
              <w:t>17.4</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7590C228" w14:textId="77777777" w:rsidR="00375729" w:rsidRPr="00CF3D6E" w:rsidRDefault="00375729" w:rsidP="00A4034F">
            <w:pPr>
              <w:pStyle w:val="Tabletext"/>
            </w:pPr>
            <w:r w:rsidRPr="00CF3D6E">
              <w:t>16.3</w:t>
            </w:r>
          </w:p>
        </w:tc>
        <w:tc>
          <w:tcPr>
            <w:tcW w:w="1537" w:type="dxa"/>
            <w:tcBorders>
              <w:left w:val="single" w:sz="4" w:space="0" w:color="D9D9D9" w:themeColor="background1" w:themeShade="D9"/>
            </w:tcBorders>
            <w:shd w:val="clear" w:color="auto" w:fill="auto"/>
            <w:noWrap/>
            <w:vAlign w:val="bottom"/>
            <w:hideMark/>
          </w:tcPr>
          <w:p w14:paraId="4D757942" w14:textId="77777777" w:rsidR="00375729" w:rsidRPr="00CF3D6E" w:rsidRDefault="00375729" w:rsidP="00A4034F">
            <w:pPr>
              <w:pStyle w:val="Tabletext"/>
            </w:pPr>
            <w:r w:rsidRPr="00CF3D6E">
              <w:t>13.1</w:t>
            </w:r>
          </w:p>
        </w:tc>
      </w:tr>
      <w:tr w:rsidR="00375729" w:rsidRPr="0013225C" w14:paraId="726F3377" w14:textId="77777777" w:rsidTr="00301886">
        <w:trPr>
          <w:trHeight w:val="300"/>
        </w:trPr>
        <w:tc>
          <w:tcPr>
            <w:tcW w:w="3134" w:type="dxa"/>
            <w:tcBorders>
              <w:right w:val="single" w:sz="4" w:space="0" w:color="auto"/>
            </w:tcBorders>
            <w:shd w:val="clear" w:color="auto" w:fill="auto"/>
            <w:noWrap/>
            <w:vAlign w:val="bottom"/>
            <w:hideMark/>
          </w:tcPr>
          <w:p w14:paraId="2569C976" w14:textId="77777777" w:rsidR="00375729" w:rsidRPr="0013225C" w:rsidRDefault="0058764D" w:rsidP="00A4034F">
            <w:pPr>
              <w:pStyle w:val="Tablebullet-Level1"/>
            </w:pPr>
            <w:r>
              <w:t>W</w:t>
            </w:r>
            <w:r w:rsidR="00375729" w:rsidRPr="0013225C">
              <w:t>eighted</w:t>
            </w:r>
          </w:p>
        </w:tc>
        <w:tc>
          <w:tcPr>
            <w:tcW w:w="1536" w:type="dxa"/>
            <w:tcBorders>
              <w:left w:val="single" w:sz="4" w:space="0" w:color="auto"/>
              <w:right w:val="single" w:sz="4" w:space="0" w:color="D9D9D9" w:themeColor="background1" w:themeShade="D9"/>
            </w:tcBorders>
            <w:shd w:val="clear" w:color="auto" w:fill="auto"/>
            <w:noWrap/>
            <w:vAlign w:val="bottom"/>
            <w:hideMark/>
          </w:tcPr>
          <w:p w14:paraId="66627C78" w14:textId="77777777" w:rsidR="00375729" w:rsidRPr="0013225C" w:rsidRDefault="00375729" w:rsidP="00A4034F">
            <w:pPr>
              <w:pStyle w:val="Tabletext"/>
            </w:pPr>
            <w:r w:rsidRPr="0013225C">
              <w:t>0.5</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6B4E082B" w14:textId="77777777" w:rsidR="00375729" w:rsidRPr="0013225C" w:rsidRDefault="00375729" w:rsidP="00A4034F">
            <w:pPr>
              <w:pStyle w:val="Tabletext"/>
            </w:pPr>
            <w:r w:rsidRPr="0013225C">
              <w:t>0.2</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2B9C4E23" w14:textId="77777777" w:rsidR="00375729" w:rsidRPr="0013225C" w:rsidRDefault="00375729" w:rsidP="00A4034F">
            <w:pPr>
              <w:pStyle w:val="Tabletext"/>
            </w:pPr>
            <w:r w:rsidRPr="0013225C">
              <w:t>0.1</w:t>
            </w:r>
          </w:p>
        </w:tc>
        <w:tc>
          <w:tcPr>
            <w:tcW w:w="1537" w:type="dxa"/>
            <w:tcBorders>
              <w:left w:val="single" w:sz="4" w:space="0" w:color="D9D9D9" w:themeColor="background1" w:themeShade="D9"/>
            </w:tcBorders>
            <w:shd w:val="clear" w:color="auto" w:fill="auto"/>
            <w:noWrap/>
            <w:vAlign w:val="bottom"/>
            <w:hideMark/>
          </w:tcPr>
          <w:p w14:paraId="266E5993" w14:textId="77777777" w:rsidR="00375729" w:rsidRPr="0013225C" w:rsidRDefault="00375729" w:rsidP="00A4034F">
            <w:pPr>
              <w:pStyle w:val="Tabletext"/>
            </w:pPr>
            <w:r w:rsidRPr="0013225C">
              <w:t>0.0</w:t>
            </w:r>
          </w:p>
        </w:tc>
      </w:tr>
      <w:tr w:rsidR="00375729" w:rsidRPr="0013225C" w14:paraId="0798C61C" w14:textId="77777777" w:rsidTr="00301886">
        <w:trPr>
          <w:trHeight w:val="300"/>
        </w:trPr>
        <w:tc>
          <w:tcPr>
            <w:tcW w:w="3134" w:type="dxa"/>
            <w:tcBorders>
              <w:right w:val="single" w:sz="4" w:space="0" w:color="auto"/>
            </w:tcBorders>
            <w:shd w:val="clear" w:color="auto" w:fill="auto"/>
            <w:noWrap/>
            <w:vAlign w:val="bottom"/>
            <w:hideMark/>
          </w:tcPr>
          <w:p w14:paraId="2F165EFB" w14:textId="77777777" w:rsidR="00375729" w:rsidRPr="00CF3D6E" w:rsidRDefault="00375729" w:rsidP="00A4034F">
            <w:pPr>
              <w:pStyle w:val="Tabletext"/>
            </w:pPr>
            <w:r w:rsidRPr="00CF3D6E">
              <w:t>Construction productivity</w:t>
            </w:r>
          </w:p>
        </w:tc>
        <w:tc>
          <w:tcPr>
            <w:tcW w:w="1536" w:type="dxa"/>
            <w:tcBorders>
              <w:left w:val="single" w:sz="4" w:space="0" w:color="auto"/>
              <w:right w:val="single" w:sz="4" w:space="0" w:color="D9D9D9" w:themeColor="background1" w:themeShade="D9"/>
            </w:tcBorders>
            <w:shd w:val="clear" w:color="auto" w:fill="auto"/>
            <w:noWrap/>
            <w:vAlign w:val="bottom"/>
            <w:hideMark/>
          </w:tcPr>
          <w:p w14:paraId="08469BAD" w14:textId="77777777" w:rsidR="00375729" w:rsidRPr="00CF3D6E" w:rsidRDefault="00375729" w:rsidP="00A4034F">
            <w:pPr>
              <w:pStyle w:val="Tabletext"/>
            </w:pPr>
            <w:r w:rsidRPr="00CF3D6E">
              <w:t>1.6</w:t>
            </w:r>
          </w:p>
        </w:tc>
        <w:tc>
          <w:tcPr>
            <w:tcW w:w="1537" w:type="dxa"/>
            <w:tcBorders>
              <w:top w:val="nil"/>
              <w:left w:val="single" w:sz="4" w:space="0" w:color="D9D9D9" w:themeColor="background1" w:themeShade="D9"/>
              <w:bottom w:val="nil"/>
              <w:right w:val="single" w:sz="4" w:space="0" w:color="D9D9D9" w:themeColor="background1" w:themeShade="D9"/>
            </w:tcBorders>
            <w:shd w:val="clear" w:color="auto" w:fill="auto"/>
            <w:noWrap/>
            <w:vAlign w:val="bottom"/>
            <w:hideMark/>
          </w:tcPr>
          <w:p w14:paraId="17CF032F" w14:textId="77777777" w:rsidR="00375729" w:rsidRPr="00CF3D6E" w:rsidRDefault="00375729" w:rsidP="00A4034F">
            <w:pPr>
              <w:pStyle w:val="Tabletext"/>
            </w:pPr>
            <w:r w:rsidRPr="00CF3D6E">
              <w:t>0.3</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7BB9D28D" w14:textId="77777777" w:rsidR="00375729" w:rsidRPr="00CF3D6E" w:rsidRDefault="00375729" w:rsidP="00A4034F">
            <w:pPr>
              <w:pStyle w:val="Tabletext"/>
            </w:pPr>
            <w:r w:rsidRPr="00CF3D6E">
              <w:t>-1.2</w:t>
            </w:r>
          </w:p>
        </w:tc>
        <w:tc>
          <w:tcPr>
            <w:tcW w:w="1537" w:type="dxa"/>
            <w:tcBorders>
              <w:left w:val="single" w:sz="4" w:space="0" w:color="D9D9D9" w:themeColor="background1" w:themeShade="D9"/>
            </w:tcBorders>
            <w:shd w:val="clear" w:color="auto" w:fill="auto"/>
            <w:noWrap/>
            <w:vAlign w:val="bottom"/>
            <w:hideMark/>
          </w:tcPr>
          <w:p w14:paraId="22CF5912" w14:textId="77777777" w:rsidR="00375729" w:rsidRPr="00CF3D6E" w:rsidRDefault="00375729" w:rsidP="00A4034F">
            <w:pPr>
              <w:pStyle w:val="Tabletext"/>
            </w:pPr>
            <w:r w:rsidRPr="00CF3D6E">
              <w:t>-3.0</w:t>
            </w:r>
          </w:p>
        </w:tc>
      </w:tr>
      <w:tr w:rsidR="00375729" w:rsidRPr="0013225C" w14:paraId="02C3A280" w14:textId="77777777" w:rsidTr="00301886">
        <w:trPr>
          <w:trHeight w:val="300"/>
        </w:trPr>
        <w:tc>
          <w:tcPr>
            <w:tcW w:w="3134" w:type="dxa"/>
            <w:tcBorders>
              <w:bottom w:val="single" w:sz="4" w:space="0" w:color="auto"/>
              <w:right w:val="single" w:sz="4" w:space="0" w:color="auto"/>
            </w:tcBorders>
            <w:shd w:val="clear" w:color="auto" w:fill="auto"/>
            <w:noWrap/>
            <w:vAlign w:val="bottom"/>
            <w:hideMark/>
          </w:tcPr>
          <w:p w14:paraId="0AF4C6FD" w14:textId="77777777" w:rsidR="00375729" w:rsidRPr="0013225C" w:rsidRDefault="0058764D" w:rsidP="00A4034F">
            <w:pPr>
              <w:pStyle w:val="Tablebullet-Level1"/>
            </w:pPr>
            <w:r>
              <w:t>W</w:t>
            </w:r>
            <w:r w:rsidR="00375729" w:rsidRPr="0013225C">
              <w:t>eighted</w:t>
            </w:r>
          </w:p>
        </w:tc>
        <w:tc>
          <w:tcPr>
            <w:tcW w:w="1536" w:type="dxa"/>
            <w:tcBorders>
              <w:left w:val="single" w:sz="4" w:space="0" w:color="auto"/>
              <w:right w:val="single" w:sz="4" w:space="0" w:color="D9D9D9" w:themeColor="background1" w:themeShade="D9"/>
            </w:tcBorders>
            <w:shd w:val="clear" w:color="auto" w:fill="auto"/>
            <w:noWrap/>
            <w:vAlign w:val="bottom"/>
            <w:hideMark/>
          </w:tcPr>
          <w:p w14:paraId="6B828ED5" w14:textId="77777777" w:rsidR="00375729" w:rsidRPr="0013225C" w:rsidRDefault="00375729" w:rsidP="00301886">
            <w:pPr>
              <w:pStyle w:val="BodyTextNoIndent"/>
              <w:rPr>
                <w:lang w:eastAsia="en-AU"/>
              </w:rPr>
            </w:pPr>
            <w:r w:rsidRPr="0013225C">
              <w:rPr>
                <w:lang w:eastAsia="en-AU"/>
              </w:rPr>
              <w:t>0.8</w:t>
            </w:r>
          </w:p>
        </w:tc>
        <w:tc>
          <w:tcPr>
            <w:tcW w:w="1537" w:type="dxa"/>
            <w:tcBorders>
              <w:top w:val="nil"/>
              <w:left w:val="single" w:sz="4" w:space="0" w:color="D9D9D9" w:themeColor="background1" w:themeShade="D9"/>
              <w:bottom w:val="single" w:sz="4" w:space="0" w:color="auto"/>
              <w:right w:val="single" w:sz="4" w:space="0" w:color="D9D9D9" w:themeColor="background1" w:themeShade="D9"/>
            </w:tcBorders>
            <w:shd w:val="clear" w:color="auto" w:fill="auto"/>
            <w:noWrap/>
            <w:vAlign w:val="bottom"/>
            <w:hideMark/>
          </w:tcPr>
          <w:p w14:paraId="0AAE60B1" w14:textId="77777777" w:rsidR="00375729" w:rsidRPr="0013225C" w:rsidRDefault="00375729" w:rsidP="00301886">
            <w:pPr>
              <w:pStyle w:val="BodyTextNoIndent"/>
              <w:rPr>
                <w:lang w:eastAsia="en-AU"/>
              </w:rPr>
            </w:pPr>
            <w:r w:rsidRPr="0013225C">
              <w:rPr>
                <w:lang w:eastAsia="en-AU"/>
              </w:rPr>
              <w:t>0.1</w:t>
            </w:r>
          </w:p>
        </w:tc>
        <w:tc>
          <w:tcPr>
            <w:tcW w:w="1536" w:type="dxa"/>
            <w:tcBorders>
              <w:left w:val="single" w:sz="4" w:space="0" w:color="D9D9D9" w:themeColor="background1" w:themeShade="D9"/>
              <w:right w:val="single" w:sz="4" w:space="0" w:color="D9D9D9" w:themeColor="background1" w:themeShade="D9"/>
            </w:tcBorders>
            <w:shd w:val="clear" w:color="auto" w:fill="auto"/>
            <w:noWrap/>
            <w:vAlign w:val="bottom"/>
            <w:hideMark/>
          </w:tcPr>
          <w:p w14:paraId="5EC01B93" w14:textId="77777777" w:rsidR="00375729" w:rsidRPr="0013225C" w:rsidRDefault="00375729" w:rsidP="00301886">
            <w:pPr>
              <w:pStyle w:val="BodyTextNoIndent"/>
              <w:rPr>
                <w:lang w:eastAsia="en-AU"/>
              </w:rPr>
            </w:pPr>
            <w:r w:rsidRPr="0013225C">
              <w:rPr>
                <w:lang w:eastAsia="en-AU"/>
              </w:rPr>
              <w:t>-0.5</w:t>
            </w:r>
          </w:p>
        </w:tc>
        <w:tc>
          <w:tcPr>
            <w:tcW w:w="1537" w:type="dxa"/>
            <w:tcBorders>
              <w:left w:val="single" w:sz="4" w:space="0" w:color="D9D9D9" w:themeColor="background1" w:themeShade="D9"/>
              <w:bottom w:val="single" w:sz="4" w:space="0" w:color="auto"/>
            </w:tcBorders>
            <w:shd w:val="clear" w:color="auto" w:fill="auto"/>
            <w:noWrap/>
            <w:vAlign w:val="bottom"/>
            <w:hideMark/>
          </w:tcPr>
          <w:p w14:paraId="0AEEB5DD" w14:textId="77777777" w:rsidR="00375729" w:rsidRPr="0013225C" w:rsidRDefault="00375729" w:rsidP="00301886">
            <w:pPr>
              <w:pStyle w:val="BodyTextNoIndent"/>
              <w:rPr>
                <w:lang w:eastAsia="en-AU"/>
              </w:rPr>
            </w:pPr>
            <w:r w:rsidRPr="0013225C">
              <w:rPr>
                <w:lang w:eastAsia="en-AU"/>
              </w:rPr>
              <w:t>-1.5</w:t>
            </w:r>
          </w:p>
        </w:tc>
      </w:tr>
    </w:tbl>
    <w:p w14:paraId="263DB95B" w14:textId="77777777" w:rsidR="00375729" w:rsidRDefault="00375729" w:rsidP="00012248">
      <w:pPr>
        <w:pStyle w:val="SourceNotes"/>
      </w:pPr>
      <w:r w:rsidRPr="00323930">
        <w:t>Source:</w:t>
      </w:r>
      <w:r>
        <w:t xml:space="preserve"> </w:t>
      </w:r>
      <w:r w:rsidRPr="00323930">
        <w:t>Author estimates</w:t>
      </w:r>
    </w:p>
    <w:p w14:paraId="28FC9C06" w14:textId="77777777" w:rsidR="00375729" w:rsidRDefault="00375729" w:rsidP="00375729">
      <w:pPr>
        <w:spacing w:after="120"/>
        <w:ind w:left="1021" w:hanging="1021"/>
      </w:pPr>
      <w:r>
        <w:br w:type="page"/>
      </w:r>
    </w:p>
    <w:p w14:paraId="7DFA52FD" w14:textId="77777777" w:rsidR="00375729" w:rsidRDefault="00375729" w:rsidP="00CF3D6E">
      <w:pPr>
        <w:pStyle w:val="BCRAppendicesHeading"/>
      </w:pPr>
      <w:bookmarkStart w:id="116" w:name="_Toc442448195"/>
      <w:r>
        <w:t>Financial and insurance services</w:t>
      </w:r>
      <w:bookmarkEnd w:id="116"/>
    </w:p>
    <w:p w14:paraId="074EB8B0" w14:textId="77777777" w:rsidR="00375729" w:rsidRDefault="00375729" w:rsidP="00012248">
      <w:pPr>
        <w:pStyle w:val="Boxheading"/>
      </w:pPr>
      <w:r>
        <w:t>Key points</w:t>
      </w:r>
    </w:p>
    <w:p w14:paraId="720FE651" w14:textId="77777777" w:rsidR="00375729" w:rsidRDefault="00375729" w:rsidP="00012248">
      <w:pPr>
        <w:pStyle w:val="Boxtext"/>
      </w:pPr>
      <w:r>
        <w:t>Information Technology (IT) stock grew very rapidly in financial and insurance services (FIS) in the 1990s and up until 2007–08, with annual growth rates typically 20–25 per cent. Growth in hardware, in particular, dropped off after 2007–08.</w:t>
      </w:r>
    </w:p>
    <w:p w14:paraId="67039BF9" w14:textId="77777777" w:rsidR="00375729" w:rsidRDefault="00375729" w:rsidP="00012248">
      <w:pPr>
        <w:pStyle w:val="Boxtext"/>
      </w:pPr>
      <w:r>
        <w:t>The increased use of IT in financial and insurance services had large effects on labour productivity and, most likely, on non-IT capital productivity.</w:t>
      </w:r>
    </w:p>
    <w:p w14:paraId="108384B0" w14:textId="77777777" w:rsidR="00375729" w:rsidRDefault="00375729" w:rsidP="00012248">
      <w:pPr>
        <w:pStyle w:val="Boxtext"/>
      </w:pPr>
      <w:r>
        <w:t>Labour productivity growth was strong over the period reviewed (1989–90 to 2013–14). It slowed from being very strong in the early 1990s to strong through to 2007–08, after which it was moderate.</w:t>
      </w:r>
    </w:p>
    <w:p w14:paraId="208616A0" w14:textId="77777777" w:rsidR="00375729" w:rsidRDefault="00375729" w:rsidP="00012248">
      <w:pPr>
        <w:pStyle w:val="Boxtext"/>
      </w:pPr>
      <w:r>
        <w:t>Multifactor productivity (MFP) growth followed a similar pattern and was more important than capital deepening as a source of labour productivity growth.</w:t>
      </w:r>
    </w:p>
    <w:p w14:paraId="531EC4ED" w14:textId="77777777" w:rsidR="00375729" w:rsidRDefault="00375729" w:rsidP="00012248">
      <w:pPr>
        <w:pStyle w:val="Boxtext"/>
      </w:pPr>
      <w:r>
        <w:t>The IT capital deepening contribution to labour productivity growth was very strong at 1.3 to 1.9 of a percentage point up to 2007–08, and 0.8 of a percentage point after that. Aside from the early 1990s when MFP growth was especially strong, IT capital deepening has accounted for 40–50 per cent of labour productivity growth.</w:t>
      </w:r>
    </w:p>
    <w:p w14:paraId="5E7598E7" w14:textId="77777777" w:rsidR="00375729" w:rsidRDefault="00375729" w:rsidP="00012248">
      <w:pPr>
        <w:pStyle w:val="Boxtext"/>
      </w:pPr>
      <w:r>
        <w:t>Non-IT capital deepening contributed little to labour productivity growth after the early 1990s, which is probably associated with the growth in productivity of non-IT assets, meaning fewer of them are required.</w:t>
      </w:r>
    </w:p>
    <w:p w14:paraId="6077C9D5" w14:textId="77777777" w:rsidR="00375729" w:rsidRDefault="00375729" w:rsidP="00012248">
      <w:pPr>
        <w:pStyle w:val="Boxtext"/>
      </w:pPr>
      <w:r>
        <w:t>The average skill level in FIS has increased by 22 per cent since the late 1980s and the increase has been highly correlated with IT use.</w:t>
      </w:r>
    </w:p>
    <w:p w14:paraId="6E86CA24" w14:textId="77777777" w:rsidR="00375729" w:rsidRDefault="00375729" w:rsidP="00012248">
      <w:pPr>
        <w:pStyle w:val="Boxtext"/>
      </w:pPr>
      <w:r>
        <w:t>Areas of substantial improvement in capital productivity, which is likely associated with increased IT use include:</w:t>
      </w:r>
    </w:p>
    <w:p w14:paraId="4405B825" w14:textId="77777777" w:rsidR="00375729" w:rsidRDefault="00375729" w:rsidP="00F37FA2">
      <w:pPr>
        <w:pStyle w:val="Boxbullet"/>
      </w:pPr>
      <w:r>
        <w:t>land productivity increased 200 per cent</w:t>
      </w:r>
    </w:p>
    <w:p w14:paraId="2A764107" w14:textId="77777777" w:rsidR="00375729" w:rsidRDefault="00375729" w:rsidP="00F37FA2">
      <w:pPr>
        <w:pStyle w:val="Boxbullet"/>
      </w:pPr>
      <w:r>
        <w:t>vehicles productivity by over 40 per cent</w:t>
      </w:r>
      <w:r w:rsidR="006347A1">
        <w:t>, and</w:t>
      </w:r>
    </w:p>
    <w:p w14:paraId="15A97E5D" w14:textId="77777777" w:rsidR="00375729" w:rsidRDefault="00375729" w:rsidP="00F37FA2">
      <w:pPr>
        <w:pStyle w:val="Boxbullet"/>
      </w:pPr>
      <w:r>
        <w:t>buildings productivity by 160 per cent.</w:t>
      </w:r>
    </w:p>
    <w:p w14:paraId="226180F1" w14:textId="77777777" w:rsidR="00375729" w:rsidRDefault="00375729" w:rsidP="00012248">
      <w:pPr>
        <w:pStyle w:val="Boxtext"/>
      </w:pPr>
      <w:r>
        <w:t>Because of the importance of buildings in capital costs, the improvement in buildings productivity is the most significant development for this sector. It contributed about 2 percentage points to annual growth in capital productivity.</w:t>
      </w:r>
    </w:p>
    <w:p w14:paraId="119C5826" w14:textId="77777777" w:rsidR="00375729" w:rsidRDefault="00375729" w:rsidP="00375729">
      <w:pPr>
        <w:spacing w:before="120"/>
      </w:pPr>
      <w:r>
        <w:t>Financial and insurance services (FIS) covers financial intermediation, insurance and superannuation. The Australian Bureau of Statistics (ABS) identifies the following subdivisions within this sector:</w:t>
      </w:r>
    </w:p>
    <w:p w14:paraId="35EE5EEE" w14:textId="77777777" w:rsidR="00375729" w:rsidRPr="00C1071D" w:rsidRDefault="00375729" w:rsidP="00A4034F">
      <w:pPr>
        <w:pStyle w:val="Bodybullet-Level1"/>
      </w:pPr>
      <w:r w:rsidRPr="007A0413">
        <w:t>finance</w:t>
      </w:r>
    </w:p>
    <w:p w14:paraId="14BCA1FC" w14:textId="77777777" w:rsidR="00375729" w:rsidRPr="00C1071D" w:rsidRDefault="00375729" w:rsidP="00A4034F">
      <w:pPr>
        <w:pStyle w:val="Bodybullet-Level1"/>
      </w:pPr>
      <w:r w:rsidRPr="007A0413">
        <w:t>insurance and superannuation funds</w:t>
      </w:r>
      <w:r w:rsidR="006347A1">
        <w:t>, and</w:t>
      </w:r>
    </w:p>
    <w:p w14:paraId="239F0C00" w14:textId="77777777" w:rsidR="00375729" w:rsidRPr="00D93BC3" w:rsidRDefault="00375729" w:rsidP="00A4034F">
      <w:pPr>
        <w:pStyle w:val="Bodybullet-Level1"/>
      </w:pPr>
      <w:r w:rsidRPr="007A0413">
        <w:t>auxiliary insurance and superannuation services.</w:t>
      </w:r>
    </w:p>
    <w:p w14:paraId="279C3278" w14:textId="77777777" w:rsidR="00375729" w:rsidRDefault="00375729" w:rsidP="00375729">
      <w:r>
        <w:t>Output and capital grew rapidly and in conjunction from 1989–90 to 2007–08, after which there was a slowdown in growth, especially in output (</w:t>
      </w:r>
      <w:r w:rsidR="001F1CAC">
        <w:t>Figure G1</w:t>
      </w:r>
      <w:r>
        <w:t>). Use of labour also grew until 2007–08, after which there was some labour shedding.</w:t>
      </w:r>
    </w:p>
    <w:p w14:paraId="2E48F099" w14:textId="77777777" w:rsidR="00375729" w:rsidRDefault="00375729" w:rsidP="00A4034F">
      <w:pPr>
        <w:pStyle w:val="Figurecaption"/>
      </w:pPr>
      <w:r>
        <w:t xml:space="preserve">Figure </w:t>
      </w:r>
      <w:r w:rsidR="001F1CAC">
        <w:t>G</w:t>
      </w:r>
      <w:r w:rsidR="006347A1">
        <w:t>1</w:t>
      </w:r>
      <w:r>
        <w:t>: Capital, labour and output in financial and insurance services (index, 2012–13</w:t>
      </w:r>
      <w:r w:rsidR="006A530A">
        <w:t xml:space="preserve"> = </w:t>
      </w:r>
      <w:r>
        <w:t>100)</w:t>
      </w:r>
    </w:p>
    <w:p w14:paraId="3F42F09A" w14:textId="79FD07AB" w:rsidR="00375729" w:rsidRDefault="00A4034F" w:rsidP="00375729">
      <w:r>
        <w:rPr>
          <w:noProof/>
          <w:lang w:eastAsia="en-AU"/>
        </w:rPr>
        <w:drawing>
          <wp:inline distT="0" distB="0" distL="0" distR="0" wp14:anchorId="2A6865C9" wp14:editId="210C9000">
            <wp:extent cx="5511165" cy="2755900"/>
            <wp:effectExtent l="0" t="0" r="0" b="635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pic:spPr>
                </pic:pic>
              </a:graphicData>
            </a:graphic>
          </wp:inline>
        </w:drawing>
      </w:r>
    </w:p>
    <w:p w14:paraId="061527AE" w14:textId="77777777" w:rsidR="00375729" w:rsidRDefault="00375729" w:rsidP="00375729">
      <w:r>
        <w:t xml:space="preserve">Source: </w:t>
      </w:r>
      <w:r w:rsidRPr="00323930">
        <w:t xml:space="preserve">ABS Cat. No. 5260.0.55.002 </w:t>
      </w:r>
    </w:p>
    <w:p w14:paraId="749FE89E" w14:textId="77777777" w:rsidR="00375729" w:rsidRPr="007F7A9C" w:rsidRDefault="00375729" w:rsidP="00375729">
      <w:r>
        <w:t>With its rapid growth, financial and insurance services has increased from 5.8 per cent of GDP in 1989–90 to 9.0 per cent in 2013–14. The annual rate of growth in output has averaged 4.7 per cent over that period. Growth in capital and labour have averaged 3.9 and 0.5 per cent a year respectively.</w:t>
      </w:r>
    </w:p>
    <w:p w14:paraId="35ABEE42" w14:textId="77777777" w:rsidR="00375729" w:rsidRDefault="00752334" w:rsidP="00F37FA2">
      <w:pPr>
        <w:pStyle w:val="BCRAppendicesSubheading"/>
      </w:pPr>
      <w:r>
        <w:t xml:space="preserve">G.1 </w:t>
      </w:r>
      <w:r w:rsidR="00375729">
        <w:t>Growth in Information Technology capital</w:t>
      </w:r>
    </w:p>
    <w:p w14:paraId="1FE0335E" w14:textId="311AE828" w:rsidR="00A4034F" w:rsidRDefault="00375729" w:rsidP="00A4034F">
      <w:pPr>
        <w:pStyle w:val="BodyTextNoIndent"/>
      </w:pPr>
      <w:r>
        <w:t>The FIS industry began investing more in Information Technology (IT) in the 1980s.</w:t>
      </w:r>
      <w:r>
        <w:rPr>
          <w:rStyle w:val="FootnoteReference"/>
        </w:rPr>
        <w:footnoteReference w:id="17"/>
      </w:r>
      <w:r>
        <w:t xml:space="preserve"> Even with that early start, the growth through the 1990s and the 2000s was rapid</w:t>
      </w:r>
      <w:r w:rsidR="00622248">
        <w:t xml:space="preserve">. </w:t>
      </w:r>
    </w:p>
    <w:p w14:paraId="0B670DA2" w14:textId="7B1C29BF" w:rsidR="001D0181" w:rsidRDefault="001D0181" w:rsidP="00CF3D6E">
      <w:pPr>
        <w:pStyle w:val="BodyTextNoIndent"/>
      </w:pPr>
    </w:p>
    <w:p w14:paraId="0B82A58B" w14:textId="77777777" w:rsidR="00375729" w:rsidRDefault="00375729" w:rsidP="00CF3D6E">
      <w:pPr>
        <w:pStyle w:val="BodyTextNoIndent"/>
      </w:pPr>
      <w:r>
        <w:t>Annual rates of growth in IT capital were in the region of 20–25 per cent from the mid-1990s to the mid-2000s. As with other industries, there was a drop off in growth after 2007–08 (</w:t>
      </w:r>
      <w:r w:rsidR="00AE62DB">
        <w:t>Figure G3</w:t>
      </w:r>
      <w:r>
        <w:t>).</w:t>
      </w:r>
    </w:p>
    <w:p w14:paraId="2E1586FC" w14:textId="77777777" w:rsidR="00375729" w:rsidRPr="008F3EB8" w:rsidRDefault="00375729" w:rsidP="00375729">
      <w:r>
        <w:t>IT has been an important part of total capital in the sector. It has accounted for between 15</w:t>
      </w:r>
      <w:r w:rsidR="001D0181">
        <w:noBreakHyphen/>
      </w:r>
      <w:r>
        <w:t>25</w:t>
      </w:r>
      <w:r w:rsidR="001D0181">
        <w:t> </w:t>
      </w:r>
      <w:r>
        <w:t>per</w:t>
      </w:r>
      <w:r w:rsidR="001D0181">
        <w:t> </w:t>
      </w:r>
      <w:r>
        <w:t>cent of capital income for most of the period reviewed (</w:t>
      </w:r>
      <w:r>
        <w:fldChar w:fldCharType="begin"/>
      </w:r>
      <w:r>
        <w:instrText xml:space="preserve"> REF _Ref423884120 \h </w:instrText>
      </w:r>
      <w:r>
        <w:fldChar w:fldCharType="separate"/>
      </w:r>
      <w:r w:rsidR="003A6270">
        <w:t>Figure A3</w:t>
      </w:r>
      <w:r>
        <w:fldChar w:fldCharType="end"/>
      </w:r>
      <w:r>
        <w:t>). The overall average was 19 per cent, with software accounting for 11 percentage points and hardware 8</w:t>
      </w:r>
      <w:r w:rsidR="001D0181">
        <w:t xml:space="preserve"> percentage points</w:t>
      </w:r>
      <w:r>
        <w:t>.</w:t>
      </w:r>
    </w:p>
    <w:p w14:paraId="0AE841F3" w14:textId="77777777" w:rsidR="00375729" w:rsidRDefault="00375729" w:rsidP="00A4034F">
      <w:pPr>
        <w:pStyle w:val="Figurecaption"/>
      </w:pPr>
      <w:r>
        <w:t xml:space="preserve">Figure </w:t>
      </w:r>
      <w:r w:rsidR="001F1CAC">
        <w:t>G2</w:t>
      </w:r>
      <w:r>
        <w:t>: Capital, ICT capital and non-IT capital in financial and insurance services (index, 2012–13</w:t>
      </w:r>
      <w:r w:rsidR="006A530A">
        <w:t xml:space="preserve"> = </w:t>
      </w:r>
      <w:r>
        <w:t>100)</w:t>
      </w:r>
    </w:p>
    <w:p w14:paraId="0B36B6EF" w14:textId="216524CB" w:rsidR="00375729" w:rsidRDefault="00A4034F" w:rsidP="00375729">
      <w:pPr>
        <w:spacing w:after="60"/>
      </w:pPr>
      <w:r>
        <w:rPr>
          <w:noProof/>
          <w:lang w:eastAsia="en-AU"/>
        </w:rPr>
        <w:drawing>
          <wp:inline distT="0" distB="0" distL="0" distR="0" wp14:anchorId="16173F29" wp14:editId="1AA4051F">
            <wp:extent cx="5669915" cy="2755900"/>
            <wp:effectExtent l="0" t="0" r="6985"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9915" cy="2755900"/>
                    </a:xfrm>
                    <a:prstGeom prst="rect">
                      <a:avLst/>
                    </a:prstGeom>
                    <a:noFill/>
                  </pic:spPr>
                </pic:pic>
              </a:graphicData>
            </a:graphic>
          </wp:inline>
        </w:drawing>
      </w:r>
    </w:p>
    <w:p w14:paraId="4D14B661" w14:textId="77777777" w:rsidR="00375729" w:rsidRDefault="00375729" w:rsidP="00012248">
      <w:pPr>
        <w:pStyle w:val="SourceNotes"/>
      </w:pPr>
      <w:r w:rsidRPr="00323930">
        <w:t>Source:</w:t>
      </w:r>
      <w:r w:rsidRPr="00323930">
        <w:tab/>
        <w:t>ABS Cat. No. 5260.0.55.002 and author estimates</w:t>
      </w:r>
    </w:p>
    <w:p w14:paraId="2EA592FD" w14:textId="77777777" w:rsidR="00375729" w:rsidRDefault="00375729" w:rsidP="00A4034F">
      <w:pPr>
        <w:pStyle w:val="Figurecaption"/>
      </w:pPr>
      <w:r>
        <w:t xml:space="preserve">Figure </w:t>
      </w:r>
      <w:r w:rsidR="00AE62DB">
        <w:t>G3</w:t>
      </w:r>
      <w:r>
        <w:t>: Annual growth in IT and non-IT capital (% per year) and the IT share of capital income (%) in FIS</w:t>
      </w:r>
    </w:p>
    <w:p w14:paraId="2104AF08" w14:textId="2C9ABA8B" w:rsidR="00375729" w:rsidRDefault="00A4034F" w:rsidP="00375729">
      <w:pPr>
        <w:spacing w:after="60"/>
      </w:pPr>
      <w:r>
        <w:rPr>
          <w:noProof/>
          <w:lang w:eastAsia="en-AU"/>
        </w:rPr>
        <w:drawing>
          <wp:inline distT="0" distB="0" distL="0" distR="0" wp14:anchorId="4120771A" wp14:editId="6862AD2E">
            <wp:extent cx="5572125" cy="2505710"/>
            <wp:effectExtent l="0" t="0" r="9525" b="889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2125" cy="2505710"/>
                    </a:xfrm>
                    <a:prstGeom prst="rect">
                      <a:avLst/>
                    </a:prstGeom>
                    <a:noFill/>
                  </pic:spPr>
                </pic:pic>
              </a:graphicData>
            </a:graphic>
          </wp:inline>
        </w:drawing>
      </w:r>
    </w:p>
    <w:p w14:paraId="4BBB8572" w14:textId="77777777" w:rsidR="00375729" w:rsidRDefault="00375729" w:rsidP="00012248">
      <w:pPr>
        <w:pStyle w:val="SourceNotes"/>
      </w:pPr>
      <w:r>
        <w:t xml:space="preserve">Source: </w:t>
      </w:r>
      <w:r w:rsidRPr="00323930">
        <w:t>Author estimates</w:t>
      </w:r>
    </w:p>
    <w:p w14:paraId="73FB4173" w14:textId="77777777" w:rsidR="00375729" w:rsidRDefault="00375729" w:rsidP="00375729">
      <w:r>
        <w:t>The growth in IT between the mid-1990s and mid-2000s was mainly in hardware (</w:t>
      </w:r>
      <w:r w:rsidR="00AE62DB">
        <w:t>Figure G4</w:t>
      </w:r>
      <w:r>
        <w:t>). Despite this growth, the sector has become more software intensive over time, as indicated by the declining share of IT income attributed to hardware (</w:t>
      </w:r>
      <w:r w:rsidR="00AE62DB">
        <w:t>Figure G4</w:t>
      </w:r>
      <w:r>
        <w:t>).</w:t>
      </w:r>
    </w:p>
    <w:p w14:paraId="090ACD38" w14:textId="77777777" w:rsidR="00375729" w:rsidRDefault="00375729" w:rsidP="00375729">
      <w:r>
        <w:t>Growth in hardware dropped heavily after 2007–08.</w:t>
      </w:r>
    </w:p>
    <w:p w14:paraId="7E6F9B4E" w14:textId="77777777" w:rsidR="00375729" w:rsidRDefault="00375729" w:rsidP="00A4034F">
      <w:pPr>
        <w:pStyle w:val="Figurecaption"/>
      </w:pPr>
      <w:r>
        <w:t xml:space="preserve">Figure </w:t>
      </w:r>
      <w:r w:rsidR="00AE62DB">
        <w:t>G4</w:t>
      </w:r>
      <w:r>
        <w:t>: Annual growth in software and hardware (% per year) and hardware share of IT capital income (%) in FIS</w:t>
      </w:r>
    </w:p>
    <w:p w14:paraId="1AA607DC" w14:textId="52516C30" w:rsidR="00375729" w:rsidRDefault="00A4034F" w:rsidP="00375729">
      <w:pPr>
        <w:spacing w:after="60"/>
      </w:pPr>
      <w:r>
        <w:rPr>
          <w:noProof/>
          <w:lang w:eastAsia="en-AU"/>
        </w:rPr>
        <w:drawing>
          <wp:inline distT="0" distB="0" distL="0" distR="0" wp14:anchorId="51B964DE" wp14:editId="30BCB3FB">
            <wp:extent cx="5547995" cy="2585085"/>
            <wp:effectExtent l="0" t="0" r="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47995" cy="2585085"/>
                    </a:xfrm>
                    <a:prstGeom prst="rect">
                      <a:avLst/>
                    </a:prstGeom>
                    <a:noFill/>
                  </pic:spPr>
                </pic:pic>
              </a:graphicData>
            </a:graphic>
          </wp:inline>
        </w:drawing>
      </w:r>
    </w:p>
    <w:p w14:paraId="6E883499" w14:textId="77777777" w:rsidR="00375729" w:rsidRDefault="00375729" w:rsidP="00012248">
      <w:pPr>
        <w:pStyle w:val="SourceNotes"/>
      </w:pPr>
      <w:r>
        <w:t xml:space="preserve">Source: </w:t>
      </w:r>
      <w:r w:rsidRPr="00323930">
        <w:t>Author estimates</w:t>
      </w:r>
    </w:p>
    <w:p w14:paraId="7A56BBD4" w14:textId="77777777" w:rsidR="00375729" w:rsidRDefault="00B06961" w:rsidP="00F37FA2">
      <w:pPr>
        <w:pStyle w:val="BCRAppendicesSubheading"/>
      </w:pPr>
      <w:r>
        <w:t xml:space="preserve">G.2 </w:t>
      </w:r>
      <w:r w:rsidR="00375729" w:rsidRPr="007D319D">
        <w:t>Labour productivity growth</w:t>
      </w:r>
    </w:p>
    <w:p w14:paraId="6C70A3BB" w14:textId="77777777" w:rsidR="00375729" w:rsidRDefault="00375729" w:rsidP="00375729">
      <w:r>
        <w:t>Labour productivity (LP) growth in FIS was strong for the period reviewed. The level of labour productivity increased 160 per cent between 1989–90 and 2013–14. The average annual rate of growth in trend LP was 4.1 </w:t>
      </w:r>
      <w:r w:rsidRPr="00C716B1">
        <w:t>per cent</w:t>
      </w:r>
      <w:r>
        <w:t>.</w:t>
      </w:r>
    </w:p>
    <w:p w14:paraId="3846368B" w14:textId="77777777" w:rsidR="00375729" w:rsidRDefault="00375729" w:rsidP="00375729">
      <w:r>
        <w:t xml:space="preserve">Peaks in LP cycles took place in </w:t>
      </w:r>
      <w:r w:rsidRPr="00C716B1">
        <w:t>1989</w:t>
      </w:r>
      <w:r>
        <w:t>–</w:t>
      </w:r>
      <w:r w:rsidRPr="00C716B1">
        <w:t>90, 19</w:t>
      </w:r>
      <w:r>
        <w:t>93–94, 1998–99</w:t>
      </w:r>
      <w:r w:rsidRPr="00C716B1">
        <w:t>, 200</w:t>
      </w:r>
      <w:r>
        <w:t>7–08</w:t>
      </w:r>
      <w:r w:rsidRPr="00C716B1">
        <w:t xml:space="preserve"> and 201</w:t>
      </w:r>
      <w:r>
        <w:t>3–14 according to the method set out in section 5.3 (</w:t>
      </w:r>
      <w:r>
        <w:fldChar w:fldCharType="begin"/>
      </w:r>
      <w:r>
        <w:instrText xml:space="preserve"> REF _Ref423783671 \h </w:instrText>
      </w:r>
      <w:r>
        <w:fldChar w:fldCharType="separate"/>
      </w:r>
      <w:r w:rsidR="00DE5FE7">
        <w:t xml:space="preserve">Figure </w:t>
      </w:r>
      <w:r w:rsidR="00AE62DB">
        <w:t>G</w:t>
      </w:r>
      <w:r w:rsidR="00DE5FE7">
        <w:t>5</w:t>
      </w:r>
      <w:r>
        <w:fldChar w:fldCharType="end"/>
      </w:r>
      <w:r>
        <w:t>).</w:t>
      </w:r>
    </w:p>
    <w:p w14:paraId="78A744D7" w14:textId="77777777" w:rsidR="00375729" w:rsidRDefault="00375729" w:rsidP="00375729">
      <w:pPr>
        <w:spacing w:before="120" w:after="60"/>
      </w:pPr>
      <w:r>
        <w:t>Productivity growth over the LP cycles slowed considerably between 1989–90 and 2013–14. Average growth rates in actual LP over cycles were:</w:t>
      </w:r>
    </w:p>
    <w:p w14:paraId="4408DDD9" w14:textId="77777777" w:rsidR="00375729" w:rsidRDefault="00375729" w:rsidP="00A4034F">
      <w:pPr>
        <w:pStyle w:val="Bodybullet-Level1"/>
      </w:pPr>
      <w:r w:rsidRPr="00C61C0A">
        <w:t>1989</w:t>
      </w:r>
      <w:r>
        <w:t>–</w:t>
      </w:r>
      <w:r w:rsidRPr="00C61C0A">
        <w:t xml:space="preserve">90 to </w:t>
      </w:r>
      <w:r>
        <w:t>1993–94</w:t>
      </w:r>
      <w:r w:rsidRPr="00C61C0A">
        <w:t>:</w:t>
      </w:r>
      <w:r>
        <w:t xml:space="preserve"> 8.3 per cent a year</w:t>
      </w:r>
    </w:p>
    <w:p w14:paraId="23339D7C" w14:textId="77777777" w:rsidR="00375729" w:rsidRDefault="00375729" w:rsidP="00A4034F">
      <w:pPr>
        <w:pStyle w:val="Bodybullet-Level1"/>
      </w:pPr>
      <w:r>
        <w:t>1993–94 to 1998–99: 4.4 per cent a year</w:t>
      </w:r>
    </w:p>
    <w:p w14:paraId="0E2D54BF" w14:textId="77777777" w:rsidR="00375729" w:rsidRDefault="00375729" w:rsidP="00A4034F">
      <w:pPr>
        <w:pStyle w:val="Bodybullet-Level1"/>
      </w:pPr>
      <w:r>
        <w:t>1998–99 to 2007–08</w:t>
      </w:r>
      <w:r w:rsidRPr="00C61C0A">
        <w:t>:</w:t>
      </w:r>
      <w:r>
        <w:t xml:space="preserve"> 3.6 per cent a year</w:t>
      </w:r>
      <w:r w:rsidR="0052231E">
        <w:t>, and</w:t>
      </w:r>
    </w:p>
    <w:p w14:paraId="7C18EDCA" w14:textId="77777777" w:rsidR="00375729" w:rsidRDefault="00375729" w:rsidP="00A4034F">
      <w:pPr>
        <w:pStyle w:val="Bodybullet-Level1"/>
      </w:pPr>
      <w:r>
        <w:t>2007–08 to 2013–14: 1.8 per cent a year.</w:t>
      </w:r>
      <w:r w:rsidR="009A2198">
        <w:rPr>
          <w:rStyle w:val="EndnoteReference"/>
        </w:rPr>
        <w:endnoteReference w:id="31"/>
      </w:r>
    </w:p>
    <w:p w14:paraId="63674662" w14:textId="77777777" w:rsidR="00375729" w:rsidRPr="00A90AE3" w:rsidRDefault="00375729" w:rsidP="00A4034F">
      <w:pPr>
        <w:pStyle w:val="Figurecaption"/>
      </w:pPr>
      <w:r>
        <w:t xml:space="preserve">Figure </w:t>
      </w:r>
      <w:r w:rsidR="00AE62DB">
        <w:t>G5</w:t>
      </w:r>
      <w:r>
        <w:t>: Actual and trend labour productivity in finance and insurance services</w:t>
      </w:r>
      <w:r>
        <w:rPr>
          <w:sz w:val="22"/>
          <w:szCs w:val="22"/>
          <w:vertAlign w:val="superscript"/>
        </w:rPr>
        <w:t xml:space="preserve">a </w:t>
      </w:r>
      <w:r>
        <w:t>(index, actual 2012–13</w:t>
      </w:r>
      <w:r w:rsidR="006A530A">
        <w:t xml:space="preserve"> = </w:t>
      </w:r>
      <w:r>
        <w:t>100)</w:t>
      </w:r>
    </w:p>
    <w:p w14:paraId="0C03FBF1" w14:textId="0E3CFE99" w:rsidR="00375729" w:rsidRDefault="00A4034F" w:rsidP="00375729">
      <w:pPr>
        <w:spacing w:after="60"/>
      </w:pPr>
      <w:r>
        <w:rPr>
          <w:noProof/>
          <w:lang w:eastAsia="en-AU"/>
        </w:rPr>
        <w:drawing>
          <wp:inline distT="0" distB="0" distL="0" distR="0" wp14:anchorId="1D86EB0E" wp14:editId="3CE3E7B6">
            <wp:extent cx="5596890" cy="2621280"/>
            <wp:effectExtent l="0" t="0" r="3810" b="762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96890" cy="2621280"/>
                    </a:xfrm>
                    <a:prstGeom prst="rect">
                      <a:avLst/>
                    </a:prstGeom>
                    <a:noFill/>
                  </pic:spPr>
                </pic:pic>
              </a:graphicData>
            </a:graphic>
          </wp:inline>
        </w:drawing>
      </w:r>
    </w:p>
    <w:p w14:paraId="0FE4F3F7" w14:textId="77777777" w:rsidR="00375729" w:rsidRPr="00323930"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p>
    <w:p w14:paraId="5D701309" w14:textId="77777777" w:rsidR="00375729" w:rsidRDefault="00375729" w:rsidP="00012248">
      <w:pPr>
        <w:pStyle w:val="SourceNotes"/>
      </w:pPr>
      <w:r>
        <w:t xml:space="preserve">Source: </w:t>
      </w:r>
      <w:r w:rsidRPr="00323930">
        <w:t>ABS Cat. No. 5260.0.55.002 and author estimates</w:t>
      </w:r>
    </w:p>
    <w:p w14:paraId="2F9724F9" w14:textId="77777777" w:rsidR="00375729" w:rsidRDefault="00B06961" w:rsidP="00F37FA2">
      <w:pPr>
        <w:pStyle w:val="BCRAppendicesSubSubheading"/>
      </w:pPr>
      <w:r>
        <w:t>G.2</w:t>
      </w:r>
      <w:r w:rsidR="00375729">
        <w:t>.1</w:t>
      </w:r>
      <w:r>
        <w:t xml:space="preserve"> </w:t>
      </w:r>
      <w:r w:rsidR="00375729">
        <w:t>IT capital deepening and LP growth</w:t>
      </w:r>
    </w:p>
    <w:p w14:paraId="54724317" w14:textId="77777777" w:rsidR="00375729" w:rsidRDefault="00375729" w:rsidP="00375729">
      <w:r>
        <w:t xml:space="preserve">The growth in labour productivity can be decomposed into contributions from capital deepening and multifactor productivity (MFP) growth. Capital deepening is growth in the capital-labour ratio, multiplied by the share of total industry income attributed to capital. </w:t>
      </w:r>
    </w:p>
    <w:p w14:paraId="3E84B301" w14:textId="77777777" w:rsidR="00375729" w:rsidRDefault="00375729" w:rsidP="00375729">
      <w:r>
        <w:t xml:space="preserve">The growth in LP, the capital-labour ratio and MFP are illustrated in </w:t>
      </w:r>
      <w:r w:rsidR="00930118">
        <w:t>Figure G6</w:t>
      </w:r>
      <w:r>
        <w:t xml:space="preserve">. MFP increased 72 per cent and the capital-labour ratio grew by more than 120 per cent. (The latter needs to be weighted by the capital share of total income, which averaged 0.57, to indicate its contribution.) </w:t>
      </w:r>
    </w:p>
    <w:p w14:paraId="03D40B8D" w14:textId="77777777" w:rsidR="00375729" w:rsidRDefault="00375729" w:rsidP="00A4034F">
      <w:pPr>
        <w:pStyle w:val="Figurecaption"/>
      </w:pPr>
      <w:r>
        <w:t xml:space="preserve">Figure </w:t>
      </w:r>
      <w:r w:rsidR="00930118">
        <w:t>G6</w:t>
      </w:r>
      <w:r>
        <w:t>: Labour productivity (LP), the capital-labour ratio (K/L) and multifactor productivity (MFP) in financial and insurance services (index, 2012–13</w:t>
      </w:r>
      <w:r w:rsidR="006A530A">
        <w:t xml:space="preserve"> = </w:t>
      </w:r>
      <w:r>
        <w:t>100)</w:t>
      </w:r>
    </w:p>
    <w:p w14:paraId="78CBE00F" w14:textId="3CDF262B" w:rsidR="00375729" w:rsidRDefault="00A4034F" w:rsidP="00375729">
      <w:pPr>
        <w:spacing w:after="60"/>
      </w:pPr>
      <w:r>
        <w:rPr>
          <w:noProof/>
          <w:lang w:eastAsia="en-AU"/>
        </w:rPr>
        <w:drawing>
          <wp:inline distT="0" distB="0" distL="0" distR="0" wp14:anchorId="7CDFF95D" wp14:editId="45BE9ECE">
            <wp:extent cx="5487035" cy="2755900"/>
            <wp:effectExtent l="0" t="0" r="0" b="63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7035" cy="2755900"/>
                    </a:xfrm>
                    <a:prstGeom prst="rect">
                      <a:avLst/>
                    </a:prstGeom>
                    <a:noFill/>
                  </pic:spPr>
                </pic:pic>
              </a:graphicData>
            </a:graphic>
          </wp:inline>
        </w:drawing>
      </w:r>
    </w:p>
    <w:p w14:paraId="405F965C" w14:textId="77777777" w:rsidR="00375729" w:rsidRPr="00ED039F" w:rsidRDefault="00375729" w:rsidP="00012248">
      <w:pPr>
        <w:pStyle w:val="SourceNotes"/>
      </w:pPr>
      <w:r>
        <w:t xml:space="preserve">Source: </w:t>
      </w:r>
      <w:r w:rsidRPr="00323930">
        <w:t xml:space="preserve">ABS Cat. No. 5260.0.55.002 </w:t>
      </w:r>
    </w:p>
    <w:p w14:paraId="2E182B74" w14:textId="77777777" w:rsidR="00375729" w:rsidRDefault="00375729" w:rsidP="00375729">
      <w:r>
        <w:t>MFP growth had greater influence in each cycle, accounting for between 52–61 per cent of LP growth (</w:t>
      </w:r>
      <w:r w:rsidR="00930118">
        <w:t>Table G1</w:t>
      </w:r>
      <w:r>
        <w:t>). MFP growth did, however, weaken in absolute value over time.</w:t>
      </w:r>
    </w:p>
    <w:p w14:paraId="7047C76C" w14:textId="77777777" w:rsidR="00375729" w:rsidRDefault="00375729" w:rsidP="00375729">
      <w:r>
        <w:t>The capital-deepening contribution also weakened in absolute value over time</w:t>
      </w:r>
      <w:r w:rsidR="00C638B0">
        <w:t xml:space="preserve"> (</w:t>
      </w:r>
      <w:r w:rsidR="00930118">
        <w:t>Table G1</w:t>
      </w:r>
      <w:r w:rsidR="00C638B0">
        <w:t>)</w:t>
      </w:r>
      <w:r>
        <w:t>. However, that weakening came mostly from non-IT capital deepening, which effectively disappeared in the 2000s.</w:t>
      </w:r>
    </w:p>
    <w:p w14:paraId="0CBA629D" w14:textId="77777777" w:rsidR="00375729" w:rsidRDefault="00375729" w:rsidP="00375729">
      <w:r>
        <w:t xml:space="preserve">The IT capital deepening contribution was very strong. It stayed in the 1.3–1.9 percentage point range up until 2007–08, after which it fell back to 0.8 of a percentage point in line with the low growth in IT investment previously noted. </w:t>
      </w:r>
    </w:p>
    <w:p w14:paraId="6565D58F" w14:textId="77777777" w:rsidR="00375729" w:rsidRDefault="00375729" w:rsidP="00375729">
      <w:r>
        <w:t>Apart from the very early 1990s, when MFP made a particularly strong contribution, IT capital deepening accounted for 40–50 per cent of LP growth in each cycle for the period reviewed.</w:t>
      </w:r>
    </w:p>
    <w:p w14:paraId="0EBEB574" w14:textId="77777777" w:rsidR="00375729" w:rsidRDefault="00375729" w:rsidP="00375729">
      <w:r>
        <w:t>In summary, substitution of IT capital for labour had strong and fairly steady effects on LP growth.</w:t>
      </w:r>
    </w:p>
    <w:p w14:paraId="4543E933" w14:textId="77777777" w:rsidR="00375729" w:rsidRDefault="00375729" w:rsidP="00012248">
      <w:pPr>
        <w:pStyle w:val="BodyText"/>
        <w:rPr>
          <w:rFonts w:ascii="Cambria" w:eastAsiaTheme="majorEastAsia" w:hAnsi="Cambria" w:cstheme="majorBidi"/>
          <w:color w:val="900D10" w:themeColor="accent1" w:themeShade="80"/>
          <w:sz w:val="26"/>
          <w:szCs w:val="26"/>
        </w:rPr>
      </w:pPr>
      <w:r>
        <w:br w:type="page"/>
      </w:r>
    </w:p>
    <w:p w14:paraId="59561CFF" w14:textId="77777777" w:rsidR="00375729" w:rsidRDefault="00375729" w:rsidP="00A4034F">
      <w:pPr>
        <w:pStyle w:val="Tablecaption"/>
      </w:pPr>
      <w:r>
        <w:t xml:space="preserve">Table </w:t>
      </w:r>
      <w:r w:rsidR="00930118">
        <w:t>G1</w:t>
      </w:r>
      <w:r>
        <w:t>: Labour productivity growth accounting in FIS (per cent per annum and percentage points)</w:t>
      </w:r>
      <w:r>
        <w:rPr>
          <w:sz w:val="22"/>
          <w:szCs w:val="22"/>
          <w:vertAlign w:val="superscript"/>
        </w:rPr>
        <w:t>a</w:t>
      </w:r>
    </w:p>
    <w:tbl>
      <w:tblPr>
        <w:tblW w:w="9351" w:type="dxa"/>
        <w:tblLook w:val="04A0" w:firstRow="1" w:lastRow="0" w:firstColumn="1" w:lastColumn="0" w:noHBand="0" w:noVBand="1"/>
      </w:tblPr>
      <w:tblGrid>
        <w:gridCol w:w="3964"/>
        <w:gridCol w:w="1418"/>
        <w:gridCol w:w="1276"/>
        <w:gridCol w:w="1275"/>
        <w:gridCol w:w="1418"/>
      </w:tblGrid>
      <w:tr w:rsidR="00375729" w:rsidRPr="00CB6EEB" w14:paraId="4BEB0F5F" w14:textId="77777777" w:rsidTr="00CF3D6E">
        <w:trPr>
          <w:trHeight w:val="567"/>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49D0" w14:textId="77777777" w:rsidR="00375729" w:rsidRPr="00CB6EEB" w:rsidRDefault="00375729" w:rsidP="00A4034F">
            <w:pPr>
              <w:pStyle w:val="Tablecellheading"/>
            </w:pPr>
            <w:r w:rsidRPr="00CB6EEB">
              <w:t> </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2E538EF9" w14:textId="77777777" w:rsidR="00375729" w:rsidRPr="00CB6EEB" w:rsidRDefault="00375729" w:rsidP="00A4034F">
            <w:pPr>
              <w:pStyle w:val="Tablecellheading"/>
              <w:rPr>
                <w:sz w:val="18"/>
                <w:szCs w:val="18"/>
              </w:rPr>
            </w:pPr>
            <w:r w:rsidRPr="00CB6EEB">
              <w:rPr>
                <w:sz w:val="18"/>
                <w:szCs w:val="18"/>
              </w:rPr>
              <w:t>1989</w:t>
            </w:r>
            <w:r>
              <w:rPr>
                <w:sz w:val="18"/>
                <w:szCs w:val="18"/>
              </w:rPr>
              <w:t>–</w:t>
            </w:r>
            <w:r w:rsidRPr="00CB6EEB">
              <w:rPr>
                <w:sz w:val="18"/>
                <w:szCs w:val="18"/>
              </w:rPr>
              <w:t>90 to 1993</w:t>
            </w:r>
            <w:r>
              <w:rPr>
                <w:sz w:val="18"/>
                <w:szCs w:val="18"/>
              </w:rPr>
              <w:t>–</w:t>
            </w:r>
            <w:r w:rsidRPr="00CB6EEB">
              <w:rPr>
                <w:sz w:val="18"/>
                <w:szCs w:val="18"/>
              </w:rPr>
              <w:t>94</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56A0BB33" w14:textId="77777777" w:rsidR="00375729" w:rsidRPr="00CB6EEB" w:rsidRDefault="00375729" w:rsidP="00A4034F">
            <w:pPr>
              <w:pStyle w:val="Tablecellheading"/>
              <w:rPr>
                <w:sz w:val="18"/>
                <w:szCs w:val="18"/>
              </w:rPr>
            </w:pPr>
            <w:r w:rsidRPr="00CB6EEB">
              <w:rPr>
                <w:sz w:val="18"/>
                <w:szCs w:val="18"/>
              </w:rPr>
              <w:t>1993</w:t>
            </w:r>
            <w:r>
              <w:rPr>
                <w:sz w:val="18"/>
                <w:szCs w:val="18"/>
              </w:rPr>
              <w:t>–</w:t>
            </w:r>
            <w:r w:rsidRPr="00CB6EEB">
              <w:rPr>
                <w:sz w:val="18"/>
                <w:szCs w:val="18"/>
              </w:rPr>
              <w:t>94 to 1998</w:t>
            </w:r>
            <w:r>
              <w:rPr>
                <w:sz w:val="18"/>
                <w:szCs w:val="18"/>
              </w:rPr>
              <w:t>–</w:t>
            </w:r>
            <w:r w:rsidRPr="00CB6EEB">
              <w:rPr>
                <w:sz w:val="18"/>
                <w:szCs w:val="18"/>
              </w:rPr>
              <w:t>99</w:t>
            </w:r>
          </w:p>
        </w:tc>
        <w:tc>
          <w:tcPr>
            <w:tcW w:w="12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6F3A7E13" w14:textId="77777777" w:rsidR="00375729" w:rsidRPr="00CB6EEB" w:rsidRDefault="00375729" w:rsidP="00A4034F">
            <w:pPr>
              <w:pStyle w:val="Tablecellheading"/>
              <w:rPr>
                <w:sz w:val="18"/>
                <w:szCs w:val="18"/>
              </w:rPr>
            </w:pPr>
            <w:r w:rsidRPr="00CB6EEB">
              <w:rPr>
                <w:sz w:val="18"/>
                <w:szCs w:val="18"/>
              </w:rPr>
              <w:t>1998</w:t>
            </w:r>
            <w:r>
              <w:rPr>
                <w:sz w:val="18"/>
                <w:szCs w:val="18"/>
              </w:rPr>
              <w:t>–</w:t>
            </w:r>
            <w:r w:rsidRPr="00CB6EEB">
              <w:rPr>
                <w:sz w:val="18"/>
                <w:szCs w:val="18"/>
              </w:rPr>
              <w:t>99 to 2007</w:t>
            </w:r>
            <w:r>
              <w:rPr>
                <w:sz w:val="18"/>
                <w:szCs w:val="18"/>
              </w:rPr>
              <w:t>–</w:t>
            </w:r>
            <w:r w:rsidRPr="00CB6EEB">
              <w:rPr>
                <w:sz w:val="18"/>
                <w:szCs w:val="18"/>
              </w:rPr>
              <w:t>08</w:t>
            </w:r>
          </w:p>
        </w:tc>
        <w:tc>
          <w:tcPr>
            <w:tcW w:w="1418"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320383FB" w14:textId="77777777" w:rsidR="00375729" w:rsidRPr="00CB6EEB" w:rsidRDefault="00375729" w:rsidP="00A4034F">
            <w:pPr>
              <w:pStyle w:val="Tablecellheading"/>
              <w:rPr>
                <w:sz w:val="18"/>
                <w:szCs w:val="18"/>
              </w:rPr>
            </w:pPr>
            <w:r>
              <w:rPr>
                <w:sz w:val="18"/>
                <w:szCs w:val="18"/>
              </w:rPr>
              <w:t xml:space="preserve">2007–08 </w:t>
            </w:r>
            <w:r w:rsidRPr="00CB6EEB">
              <w:rPr>
                <w:sz w:val="18"/>
                <w:szCs w:val="18"/>
              </w:rPr>
              <w:t>to 20</w:t>
            </w:r>
            <w:r>
              <w:rPr>
                <w:sz w:val="18"/>
                <w:szCs w:val="18"/>
              </w:rPr>
              <w:t>13–14</w:t>
            </w:r>
          </w:p>
        </w:tc>
      </w:tr>
      <w:tr w:rsidR="00375729" w:rsidRPr="00CB6EEB" w14:paraId="49BFC99D" w14:textId="77777777" w:rsidTr="00CF3D6E">
        <w:trPr>
          <w:trHeight w:val="397"/>
        </w:trPr>
        <w:tc>
          <w:tcPr>
            <w:tcW w:w="3964" w:type="dxa"/>
            <w:tcBorders>
              <w:top w:val="single" w:sz="4" w:space="0" w:color="auto"/>
              <w:left w:val="single" w:sz="4" w:space="0" w:color="auto"/>
              <w:bottom w:val="nil"/>
              <w:right w:val="single" w:sz="4" w:space="0" w:color="auto"/>
            </w:tcBorders>
            <w:shd w:val="clear" w:color="auto" w:fill="auto"/>
            <w:noWrap/>
            <w:vAlign w:val="center"/>
            <w:hideMark/>
          </w:tcPr>
          <w:p w14:paraId="13B98B87" w14:textId="77777777" w:rsidR="00375729" w:rsidRPr="00CF3D6E" w:rsidRDefault="00375729" w:rsidP="00A4034F">
            <w:pPr>
              <w:pStyle w:val="Tabletext"/>
            </w:pPr>
            <w:r w:rsidRPr="00CF3D6E">
              <w:t>Capital deepening</w:t>
            </w:r>
          </w:p>
        </w:tc>
        <w:tc>
          <w:tcPr>
            <w:tcW w:w="1418"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502A6F9E" w14:textId="77777777" w:rsidR="00375729" w:rsidRPr="00CF3D6E" w:rsidRDefault="00375729" w:rsidP="00A4034F">
            <w:pPr>
              <w:pStyle w:val="Tabletext"/>
            </w:pPr>
            <w:r w:rsidRPr="00CF3D6E">
              <w:t>3.4  (43)</w:t>
            </w:r>
          </w:p>
        </w:tc>
        <w:tc>
          <w:tcPr>
            <w:tcW w:w="1276"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708D55F" w14:textId="77777777" w:rsidR="00375729" w:rsidRPr="00CF3D6E" w:rsidRDefault="00375729" w:rsidP="00A4034F">
            <w:pPr>
              <w:pStyle w:val="Tabletext"/>
            </w:pPr>
            <w:r w:rsidRPr="00CF3D6E">
              <w:t>2.1 (48)</w:t>
            </w:r>
          </w:p>
        </w:tc>
        <w:tc>
          <w:tcPr>
            <w:tcW w:w="1275"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8EE503C" w14:textId="77777777" w:rsidR="00375729" w:rsidRPr="00CF3D6E" w:rsidRDefault="00375729" w:rsidP="00A4034F">
            <w:pPr>
              <w:pStyle w:val="Tabletext"/>
            </w:pPr>
            <w:r w:rsidRPr="00CF3D6E">
              <w:t>1.5  (42)</w:t>
            </w:r>
          </w:p>
        </w:tc>
        <w:tc>
          <w:tcPr>
            <w:tcW w:w="1418"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69890CDF" w14:textId="77777777" w:rsidR="00375729" w:rsidRPr="00CF3D6E" w:rsidRDefault="00375729" w:rsidP="00A4034F">
            <w:pPr>
              <w:pStyle w:val="Tabletext"/>
            </w:pPr>
            <w:r w:rsidRPr="00CF3D6E">
              <w:t>0.7  (39)</w:t>
            </w:r>
          </w:p>
        </w:tc>
      </w:tr>
      <w:tr w:rsidR="00375729" w:rsidRPr="00CB6EEB" w14:paraId="679531B5" w14:textId="77777777" w:rsidTr="00CF3D6E">
        <w:trPr>
          <w:trHeight w:val="397"/>
        </w:trPr>
        <w:tc>
          <w:tcPr>
            <w:tcW w:w="3964" w:type="dxa"/>
            <w:tcBorders>
              <w:top w:val="nil"/>
              <w:left w:val="single" w:sz="4" w:space="0" w:color="auto"/>
              <w:bottom w:val="nil"/>
              <w:right w:val="single" w:sz="4" w:space="0" w:color="auto"/>
            </w:tcBorders>
            <w:shd w:val="clear" w:color="auto" w:fill="auto"/>
            <w:noWrap/>
            <w:vAlign w:val="center"/>
            <w:hideMark/>
          </w:tcPr>
          <w:p w14:paraId="5DA65683" w14:textId="77777777" w:rsidR="00375729" w:rsidRPr="00CB6EEB" w:rsidRDefault="00375729" w:rsidP="00A4034F">
            <w:pPr>
              <w:pStyle w:val="Tabletext"/>
            </w:pPr>
            <w:r>
              <w:t>IT</w:t>
            </w:r>
            <w:r w:rsidRPr="00CB6EEB">
              <w:t xml:space="preserve"> capital deepening</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5151CE8F" w14:textId="77777777" w:rsidR="00375729" w:rsidRPr="0020457A" w:rsidRDefault="00375729" w:rsidP="00A4034F">
            <w:pPr>
              <w:pStyle w:val="Tabletext"/>
            </w:pPr>
            <w:r w:rsidRPr="0020457A">
              <w:t xml:space="preserve">1.3   </w:t>
            </w:r>
            <w:r w:rsidRPr="00CF3D6E">
              <w:t>(17)</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A6E1E2A" w14:textId="77777777" w:rsidR="00375729" w:rsidRPr="0020457A" w:rsidRDefault="00375729" w:rsidP="00A4034F">
            <w:pPr>
              <w:pStyle w:val="Tabletext"/>
            </w:pPr>
            <w:r w:rsidRPr="0020457A">
              <w:t xml:space="preserve">1.9 </w:t>
            </w:r>
            <w:r w:rsidRPr="00CF3D6E">
              <w:t>(43)</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7D87FF68" w14:textId="77777777" w:rsidR="00375729" w:rsidRPr="0020457A" w:rsidRDefault="00375729" w:rsidP="00A4034F">
            <w:pPr>
              <w:pStyle w:val="Tabletext"/>
            </w:pPr>
            <w:r w:rsidRPr="0020457A">
              <w:t xml:space="preserve">1.9   </w:t>
            </w:r>
            <w:r w:rsidRPr="00CF3D6E">
              <w:t>(54)</w:t>
            </w:r>
            <w:r w:rsidRPr="0020457A">
              <w:t xml:space="preserve"> </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hideMark/>
          </w:tcPr>
          <w:p w14:paraId="655E23ED" w14:textId="77777777" w:rsidR="00375729" w:rsidRPr="0020457A" w:rsidRDefault="00375729" w:rsidP="00A4034F">
            <w:pPr>
              <w:pStyle w:val="Tabletext"/>
            </w:pPr>
            <w:r w:rsidRPr="0020457A">
              <w:t xml:space="preserve">0.8  </w:t>
            </w:r>
            <w:r w:rsidRPr="00CF3D6E">
              <w:t xml:space="preserve">(44) </w:t>
            </w:r>
          </w:p>
        </w:tc>
      </w:tr>
      <w:tr w:rsidR="00375729" w:rsidRPr="00CB6EEB" w14:paraId="2A354EFF" w14:textId="77777777" w:rsidTr="00CF3D6E">
        <w:trPr>
          <w:trHeight w:val="397"/>
        </w:trPr>
        <w:tc>
          <w:tcPr>
            <w:tcW w:w="3964" w:type="dxa"/>
            <w:tcBorders>
              <w:top w:val="nil"/>
              <w:left w:val="single" w:sz="4" w:space="0" w:color="auto"/>
              <w:bottom w:val="nil"/>
              <w:right w:val="single" w:sz="4" w:space="0" w:color="auto"/>
            </w:tcBorders>
            <w:shd w:val="clear" w:color="auto" w:fill="auto"/>
            <w:noWrap/>
            <w:vAlign w:val="center"/>
          </w:tcPr>
          <w:p w14:paraId="61A0DB32" w14:textId="77777777" w:rsidR="00375729" w:rsidRPr="00CF3D6E" w:rsidRDefault="00375729" w:rsidP="00A4034F">
            <w:pPr>
              <w:pStyle w:val="Tabletext"/>
              <w:rPr>
                <w:i/>
              </w:rPr>
            </w:pPr>
            <w:r w:rsidRPr="00CF3D6E">
              <w:rPr>
                <w:i/>
              </w:rPr>
              <w:t>Hardware</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tcPr>
          <w:p w14:paraId="73060353" w14:textId="77777777" w:rsidR="00375729" w:rsidRPr="00CF3D6E" w:rsidRDefault="00375729" w:rsidP="00A4034F">
            <w:pPr>
              <w:pStyle w:val="Tabletext"/>
              <w:rPr>
                <w:i/>
              </w:rPr>
            </w:pPr>
            <w:r w:rsidRPr="00CF3D6E">
              <w:rPr>
                <w:i/>
              </w:rPr>
              <w:t>0.6</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48BA7226" w14:textId="77777777" w:rsidR="00375729" w:rsidRPr="00CF3D6E" w:rsidRDefault="00375729" w:rsidP="00A4034F">
            <w:pPr>
              <w:pStyle w:val="Tabletext"/>
              <w:rPr>
                <w:i/>
              </w:rPr>
            </w:pPr>
            <w:r w:rsidRPr="00CF3D6E">
              <w:rPr>
                <w:i/>
              </w:rPr>
              <w:t>0.9</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33BA0455" w14:textId="77777777" w:rsidR="00375729" w:rsidRPr="00CF3D6E" w:rsidRDefault="00375729" w:rsidP="00A4034F">
            <w:pPr>
              <w:pStyle w:val="Tabletext"/>
              <w:rPr>
                <w:i/>
              </w:rPr>
            </w:pPr>
            <w:r w:rsidRPr="00CF3D6E">
              <w:rPr>
                <w:i/>
              </w:rPr>
              <w:t>1.0</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tcPr>
          <w:p w14:paraId="0244F345" w14:textId="77777777" w:rsidR="00375729" w:rsidRPr="00CF3D6E" w:rsidRDefault="00375729" w:rsidP="00A4034F">
            <w:pPr>
              <w:pStyle w:val="Tabletext"/>
              <w:rPr>
                <w:i/>
              </w:rPr>
            </w:pPr>
            <w:r w:rsidRPr="00CF3D6E">
              <w:rPr>
                <w:i/>
              </w:rPr>
              <w:t>0.3</w:t>
            </w:r>
          </w:p>
        </w:tc>
      </w:tr>
      <w:tr w:rsidR="00375729" w:rsidRPr="00CB6EEB" w14:paraId="58A0AFD9" w14:textId="77777777" w:rsidTr="00CF3D6E">
        <w:trPr>
          <w:trHeight w:val="397"/>
        </w:trPr>
        <w:tc>
          <w:tcPr>
            <w:tcW w:w="3964" w:type="dxa"/>
            <w:tcBorders>
              <w:top w:val="nil"/>
              <w:left w:val="single" w:sz="4" w:space="0" w:color="auto"/>
              <w:bottom w:val="nil"/>
              <w:right w:val="single" w:sz="4" w:space="0" w:color="auto"/>
            </w:tcBorders>
            <w:shd w:val="clear" w:color="auto" w:fill="auto"/>
            <w:noWrap/>
            <w:vAlign w:val="center"/>
          </w:tcPr>
          <w:p w14:paraId="5A245791" w14:textId="77777777" w:rsidR="00375729" w:rsidRPr="00CF3D6E" w:rsidRDefault="00375729" w:rsidP="00A4034F">
            <w:pPr>
              <w:pStyle w:val="Tabletext"/>
              <w:rPr>
                <w:i/>
              </w:rPr>
            </w:pPr>
            <w:r w:rsidRPr="00CF3D6E">
              <w:rPr>
                <w:i/>
              </w:rPr>
              <w:t>Software</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tcPr>
          <w:p w14:paraId="3F4038BB" w14:textId="77777777" w:rsidR="00375729" w:rsidRPr="00CF3D6E" w:rsidRDefault="00375729" w:rsidP="00A4034F">
            <w:pPr>
              <w:pStyle w:val="Tabletext"/>
              <w:rPr>
                <w:i/>
              </w:rPr>
            </w:pPr>
            <w:r w:rsidRPr="00CF3D6E">
              <w:rPr>
                <w:i/>
              </w:rPr>
              <w:t>0.7</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1DCD3CB8" w14:textId="77777777" w:rsidR="00375729" w:rsidRPr="00CF3D6E" w:rsidRDefault="00375729" w:rsidP="00A4034F">
            <w:pPr>
              <w:pStyle w:val="Tabletext"/>
              <w:rPr>
                <w:i/>
              </w:rPr>
            </w:pPr>
            <w:r w:rsidRPr="00CF3D6E">
              <w:rPr>
                <w:i/>
              </w:rPr>
              <w:t>1.0</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tcPr>
          <w:p w14:paraId="659F3010" w14:textId="77777777" w:rsidR="00375729" w:rsidRPr="00CF3D6E" w:rsidRDefault="00375729" w:rsidP="00A4034F">
            <w:pPr>
              <w:pStyle w:val="Tabletext"/>
              <w:rPr>
                <w:i/>
              </w:rPr>
            </w:pPr>
            <w:r w:rsidRPr="00CF3D6E">
              <w:rPr>
                <w:i/>
              </w:rPr>
              <w:t>0.9</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tcPr>
          <w:p w14:paraId="2703D21F" w14:textId="77777777" w:rsidR="00375729" w:rsidRPr="00CF3D6E" w:rsidRDefault="00375729" w:rsidP="00A4034F">
            <w:pPr>
              <w:pStyle w:val="Tabletext"/>
              <w:rPr>
                <w:i/>
              </w:rPr>
            </w:pPr>
            <w:r w:rsidRPr="00CF3D6E">
              <w:rPr>
                <w:i/>
              </w:rPr>
              <w:t>0.5</w:t>
            </w:r>
          </w:p>
        </w:tc>
      </w:tr>
      <w:tr w:rsidR="00375729" w:rsidRPr="00CB6EEB" w14:paraId="268F5008" w14:textId="77777777" w:rsidTr="00CF3D6E">
        <w:trPr>
          <w:trHeight w:val="397"/>
        </w:trPr>
        <w:tc>
          <w:tcPr>
            <w:tcW w:w="3964" w:type="dxa"/>
            <w:tcBorders>
              <w:top w:val="nil"/>
              <w:left w:val="single" w:sz="4" w:space="0" w:color="auto"/>
              <w:bottom w:val="nil"/>
              <w:right w:val="single" w:sz="4" w:space="0" w:color="auto"/>
            </w:tcBorders>
            <w:shd w:val="clear" w:color="auto" w:fill="auto"/>
            <w:noWrap/>
            <w:vAlign w:val="center"/>
            <w:hideMark/>
          </w:tcPr>
          <w:p w14:paraId="278707B4" w14:textId="77777777" w:rsidR="00375729" w:rsidRPr="00CB6EEB" w:rsidRDefault="00375729" w:rsidP="00A4034F">
            <w:pPr>
              <w:pStyle w:val="Tabletext"/>
            </w:pPr>
            <w:r w:rsidRPr="00CB6EEB">
              <w:t>Non-</w:t>
            </w:r>
            <w:r>
              <w:t>IT</w:t>
            </w:r>
            <w:r w:rsidRPr="00CB6EEB">
              <w:t xml:space="preserve"> capital deepening</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023F3F23" w14:textId="77777777" w:rsidR="00375729" w:rsidRPr="0020457A" w:rsidRDefault="00375729" w:rsidP="00A4034F">
            <w:pPr>
              <w:pStyle w:val="Tabletext"/>
            </w:pPr>
            <w:r w:rsidRPr="0020457A">
              <w:t xml:space="preserve">2.1   </w:t>
            </w:r>
            <w:r w:rsidRPr="00CF3D6E">
              <w:t>(27)</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4F65E4C6" w14:textId="77777777" w:rsidR="00375729" w:rsidRPr="0020457A" w:rsidRDefault="00375729" w:rsidP="00A4034F">
            <w:pPr>
              <w:pStyle w:val="Tabletext"/>
            </w:pPr>
            <w:r w:rsidRPr="0020457A">
              <w:t xml:space="preserve">0.2  </w:t>
            </w:r>
            <w:r w:rsidRPr="00CF3D6E">
              <w:t>(5)</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13066F94" w14:textId="77777777" w:rsidR="00375729" w:rsidRPr="0020457A" w:rsidRDefault="00375729" w:rsidP="00A4034F">
            <w:pPr>
              <w:pStyle w:val="Tabletext"/>
            </w:pPr>
            <w:r w:rsidRPr="0020457A">
              <w:t xml:space="preserve">-0.4 </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hideMark/>
          </w:tcPr>
          <w:p w14:paraId="78F33D9B" w14:textId="77777777" w:rsidR="00375729" w:rsidRPr="0020457A" w:rsidRDefault="00375729" w:rsidP="00A4034F">
            <w:pPr>
              <w:pStyle w:val="Tabletext"/>
            </w:pPr>
            <w:r w:rsidRPr="0020457A">
              <w:t>-0.1</w:t>
            </w:r>
          </w:p>
        </w:tc>
      </w:tr>
      <w:tr w:rsidR="00375729" w:rsidRPr="00CB6EEB" w14:paraId="4F104AC9" w14:textId="77777777" w:rsidTr="00CF3D6E">
        <w:trPr>
          <w:trHeight w:val="397"/>
        </w:trPr>
        <w:tc>
          <w:tcPr>
            <w:tcW w:w="3964" w:type="dxa"/>
            <w:tcBorders>
              <w:top w:val="nil"/>
              <w:left w:val="single" w:sz="4" w:space="0" w:color="auto"/>
              <w:bottom w:val="nil"/>
              <w:right w:val="single" w:sz="4" w:space="0" w:color="auto"/>
            </w:tcBorders>
            <w:shd w:val="clear" w:color="auto" w:fill="auto"/>
            <w:noWrap/>
            <w:vAlign w:val="center"/>
            <w:hideMark/>
          </w:tcPr>
          <w:p w14:paraId="62FE0BF6" w14:textId="77777777" w:rsidR="00375729" w:rsidRPr="00CF3D6E" w:rsidRDefault="00375729" w:rsidP="00A4034F">
            <w:pPr>
              <w:pStyle w:val="Tabletext"/>
            </w:pPr>
            <w:r w:rsidRPr="00CF3D6E">
              <w:t>MFP growth</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471DBA07" w14:textId="77777777" w:rsidR="00375729" w:rsidRPr="00CF3D6E" w:rsidRDefault="00375729" w:rsidP="00A4034F">
            <w:pPr>
              <w:pStyle w:val="Tabletext"/>
            </w:pPr>
            <w:r w:rsidRPr="00CF3D6E">
              <w:t>4.5  (57)</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5A767A54" w14:textId="77777777" w:rsidR="00375729" w:rsidRPr="00CF3D6E" w:rsidRDefault="00375729" w:rsidP="00A4034F">
            <w:pPr>
              <w:pStyle w:val="Tabletext"/>
            </w:pPr>
            <w:r w:rsidRPr="00CF3D6E">
              <w:t>2.3  (52)</w:t>
            </w:r>
          </w:p>
        </w:tc>
        <w:tc>
          <w:tcPr>
            <w:tcW w:w="1275" w:type="dxa"/>
            <w:tcBorders>
              <w:top w:val="nil"/>
              <w:left w:val="single" w:sz="4" w:space="0" w:color="BFBFBF" w:themeColor="background1" w:themeShade="BF"/>
              <w:bottom w:val="nil"/>
              <w:right w:val="single" w:sz="4" w:space="0" w:color="BFBFBF" w:themeColor="background1" w:themeShade="BF"/>
            </w:tcBorders>
            <w:shd w:val="clear" w:color="auto" w:fill="auto"/>
            <w:noWrap/>
            <w:vAlign w:val="center"/>
            <w:hideMark/>
          </w:tcPr>
          <w:p w14:paraId="0E3FD5EA" w14:textId="77777777" w:rsidR="00375729" w:rsidRPr="00CF3D6E" w:rsidRDefault="00375729" w:rsidP="00A4034F">
            <w:pPr>
              <w:pStyle w:val="Tabletext"/>
            </w:pPr>
            <w:r w:rsidRPr="00CF3D6E">
              <w:t>2.0 (58)</w:t>
            </w:r>
          </w:p>
        </w:tc>
        <w:tc>
          <w:tcPr>
            <w:tcW w:w="1418" w:type="dxa"/>
            <w:tcBorders>
              <w:top w:val="nil"/>
              <w:left w:val="single" w:sz="4" w:space="0" w:color="BFBFBF" w:themeColor="background1" w:themeShade="BF"/>
              <w:bottom w:val="nil"/>
              <w:right w:val="single" w:sz="4" w:space="0" w:color="auto"/>
            </w:tcBorders>
            <w:shd w:val="clear" w:color="auto" w:fill="auto"/>
            <w:noWrap/>
            <w:vAlign w:val="center"/>
            <w:hideMark/>
          </w:tcPr>
          <w:p w14:paraId="41FE2CFA" w14:textId="77777777" w:rsidR="00375729" w:rsidRPr="00CF3D6E" w:rsidRDefault="00375729" w:rsidP="00A4034F">
            <w:pPr>
              <w:pStyle w:val="Tabletext"/>
            </w:pPr>
            <w:r w:rsidRPr="00CF3D6E">
              <w:t>1.1  (61)</w:t>
            </w:r>
          </w:p>
        </w:tc>
      </w:tr>
      <w:tr w:rsidR="00375729" w:rsidRPr="00CB6EEB" w14:paraId="1D7A10E4" w14:textId="77777777" w:rsidTr="00CF3D6E">
        <w:trPr>
          <w:trHeight w:val="397"/>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F11E44D" w14:textId="77777777" w:rsidR="00375729" w:rsidRPr="00CF3D6E" w:rsidRDefault="00375729" w:rsidP="00A4034F">
            <w:pPr>
              <w:pStyle w:val="Tabletext"/>
            </w:pPr>
            <w:r w:rsidRPr="00CF3D6E">
              <w:t>Labour productivity growth</w:t>
            </w:r>
          </w:p>
        </w:tc>
        <w:tc>
          <w:tcPr>
            <w:tcW w:w="1418"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2C702B4D" w14:textId="77777777" w:rsidR="00375729" w:rsidRPr="00CF3D6E" w:rsidRDefault="00375729" w:rsidP="00A4034F">
            <w:pPr>
              <w:pStyle w:val="Tabletext"/>
            </w:pPr>
            <w:r w:rsidRPr="00CF3D6E">
              <w:t xml:space="preserve">7.9  </w:t>
            </w:r>
            <w:r w:rsidR="0056137E">
              <w:t>(</w:t>
            </w:r>
            <w:r w:rsidRPr="00CF3D6E">
              <w:t>100)</w:t>
            </w:r>
          </w:p>
        </w:tc>
        <w:tc>
          <w:tcPr>
            <w:tcW w:w="1276"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6639EDD4" w14:textId="77777777" w:rsidR="00375729" w:rsidRPr="00CF3D6E" w:rsidRDefault="00375729" w:rsidP="00A4034F">
            <w:pPr>
              <w:pStyle w:val="Tabletext"/>
            </w:pPr>
            <w:r w:rsidRPr="00CF3D6E">
              <w:t>4.4  (100)</w:t>
            </w:r>
          </w:p>
        </w:tc>
        <w:tc>
          <w:tcPr>
            <w:tcW w:w="1275"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5765DB72" w14:textId="77777777" w:rsidR="00375729" w:rsidRPr="00CF3D6E" w:rsidRDefault="00375729" w:rsidP="00A4034F">
            <w:pPr>
              <w:pStyle w:val="Tabletext"/>
            </w:pPr>
            <w:r w:rsidRPr="00CF3D6E">
              <w:t>3.5 (100)</w:t>
            </w:r>
          </w:p>
        </w:tc>
        <w:tc>
          <w:tcPr>
            <w:tcW w:w="1418"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79A080CC" w14:textId="77777777" w:rsidR="00375729" w:rsidRPr="00CF3D6E" w:rsidRDefault="00375729" w:rsidP="00A4034F">
            <w:pPr>
              <w:pStyle w:val="Tabletext"/>
            </w:pPr>
            <w:r w:rsidRPr="00CF3D6E">
              <w:t>1.8  (100)</w:t>
            </w:r>
          </w:p>
        </w:tc>
      </w:tr>
    </w:tbl>
    <w:p w14:paraId="6EE6BB30" w14:textId="77777777" w:rsidR="00375729" w:rsidRPr="00323930" w:rsidRDefault="00375729" w:rsidP="00012248">
      <w:pPr>
        <w:pStyle w:val="SourceNotes"/>
      </w:pPr>
      <w:r>
        <w:t>Note: a. Figures in brackets refer to percentages of labour productivity growth</w:t>
      </w:r>
      <w:r w:rsidRPr="00323930">
        <w:tab/>
      </w:r>
    </w:p>
    <w:p w14:paraId="24A821C4" w14:textId="77777777" w:rsidR="00375729" w:rsidRDefault="00375729" w:rsidP="00012248">
      <w:pPr>
        <w:pStyle w:val="SourceNotes"/>
      </w:pPr>
      <w:r>
        <w:t xml:space="preserve">Source: </w:t>
      </w:r>
      <w:r w:rsidRPr="00F07285">
        <w:t>Author estimates</w:t>
      </w:r>
    </w:p>
    <w:p w14:paraId="61242375" w14:textId="77777777" w:rsidR="00375729" w:rsidRDefault="00B06961" w:rsidP="00F37FA2">
      <w:pPr>
        <w:pStyle w:val="BCRAppendicesSubSubheading"/>
      </w:pPr>
      <w:r>
        <w:t>G.2</w:t>
      </w:r>
      <w:r w:rsidR="00375729">
        <w:t>.2</w:t>
      </w:r>
      <w:r>
        <w:t xml:space="preserve"> </w:t>
      </w:r>
      <w:r w:rsidR="00375729">
        <w:t>IT use and skills</w:t>
      </w:r>
    </w:p>
    <w:p w14:paraId="427135BE" w14:textId="77777777" w:rsidR="00375729" w:rsidRDefault="00375729" w:rsidP="00375729">
      <w:r>
        <w:t>Between 1989–90 and 2013–14, the average skill level in the industry increased steadily by 22</w:t>
      </w:r>
      <w:r w:rsidR="003C1EF9">
        <w:t> </w:t>
      </w:r>
      <w:r>
        <w:t>per</w:t>
      </w:r>
      <w:r w:rsidR="003C1EF9">
        <w:t> </w:t>
      </w:r>
      <w:r>
        <w:t>cent. Even though the stock of IT capital increased by much more, there was a high degree of correlation between the two. The correlation coefficient between IT capital and the index of skill composition is 0.94.</w:t>
      </w:r>
    </w:p>
    <w:p w14:paraId="0C2785A1" w14:textId="77777777" w:rsidR="00375729" w:rsidRPr="009B02C8" w:rsidRDefault="00B06961" w:rsidP="00F37FA2">
      <w:pPr>
        <w:pStyle w:val="BCRAppendicesSubheading"/>
      </w:pPr>
      <w:r>
        <w:t xml:space="preserve">G.3 </w:t>
      </w:r>
      <w:r w:rsidR="00375729">
        <w:t>IT, asset use and capital productivity</w:t>
      </w:r>
    </w:p>
    <w:p w14:paraId="633E2F87" w14:textId="77777777" w:rsidR="00375729" w:rsidRDefault="00375729" w:rsidP="00375729">
      <w:r>
        <w:t xml:space="preserve">The use of IT can enhance the productivity of other assets—the productivity of total capital and of non-IT capital is shown Figure </w:t>
      </w:r>
      <w:r w:rsidR="00EF27A5">
        <w:t>G7</w:t>
      </w:r>
      <w:r>
        <w:t xml:space="preserve">. </w:t>
      </w:r>
    </w:p>
    <w:p w14:paraId="63B2372A" w14:textId="77777777" w:rsidR="00375729" w:rsidRDefault="00375729" w:rsidP="00375729">
      <w:r>
        <w:t xml:space="preserve">There was very strong growth in non-IT capital productivity that coincided with strong uptake of IT. Non-IT capital rose 80 per cent from 1993–94 to 2007–08 at an annual average rate of growth of 4.4 per cent. This rate of increase then slowed at the same time that growth in IT use slowed. </w:t>
      </w:r>
    </w:p>
    <w:p w14:paraId="46FB4064" w14:textId="77777777" w:rsidR="00375729" w:rsidRDefault="00375729" w:rsidP="00375729">
      <w:r>
        <w:t>The entire non-IT capital productivity and IT capital series have a correlation coefficient of 0.98.</w:t>
      </w:r>
    </w:p>
    <w:p w14:paraId="2FE21904" w14:textId="77777777" w:rsidR="00375729" w:rsidRDefault="00375729" w:rsidP="00375729">
      <w:r>
        <w:t>Total capital productivity grew positively but at a much slower rate than non-IT capital productivity. A sharp fall in IT capital productivity offset the rise in non-IT capital productivity, but not completely. IT capital productivity fell because IT capital grew much more rapidly than value added.</w:t>
      </w:r>
    </w:p>
    <w:p w14:paraId="0FE67C62" w14:textId="77777777" w:rsidR="00375729" w:rsidRDefault="00375729" w:rsidP="00A4034F">
      <w:pPr>
        <w:pStyle w:val="Figurecaption"/>
      </w:pPr>
      <w:r>
        <w:t xml:space="preserve">Figure </w:t>
      </w:r>
      <w:r w:rsidR="00930118">
        <w:t>G7</w:t>
      </w:r>
      <w:r>
        <w:t>: Capital productivity of all assets and non–IT assets in FIS (index, 2012–13</w:t>
      </w:r>
      <w:r w:rsidR="006A530A">
        <w:t xml:space="preserve"> = </w:t>
      </w:r>
      <w:r>
        <w:t>100)</w:t>
      </w:r>
    </w:p>
    <w:p w14:paraId="183E6B7C" w14:textId="44B8D380" w:rsidR="00375729" w:rsidRDefault="00A4034F" w:rsidP="00375729">
      <w:pPr>
        <w:spacing w:after="60"/>
        <w:rPr>
          <w:noProof/>
          <w:lang w:eastAsia="en-AU"/>
        </w:rPr>
      </w:pPr>
      <w:r>
        <w:rPr>
          <w:noProof/>
          <w:lang w:eastAsia="en-AU"/>
        </w:rPr>
        <w:drawing>
          <wp:inline distT="0" distB="0" distL="0" distR="0" wp14:anchorId="2346EFCD" wp14:editId="5C7D0F17">
            <wp:extent cx="5706110" cy="2566670"/>
            <wp:effectExtent l="0" t="0" r="8890" b="50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06110" cy="2566670"/>
                    </a:xfrm>
                    <a:prstGeom prst="rect">
                      <a:avLst/>
                    </a:prstGeom>
                    <a:noFill/>
                  </pic:spPr>
                </pic:pic>
              </a:graphicData>
            </a:graphic>
          </wp:inline>
        </w:drawing>
      </w:r>
    </w:p>
    <w:p w14:paraId="2DAE2A26" w14:textId="77777777" w:rsidR="00375729" w:rsidRDefault="00375729" w:rsidP="00012248">
      <w:pPr>
        <w:pStyle w:val="SourceNotes"/>
      </w:pPr>
      <w:r>
        <w:t xml:space="preserve">Source: </w:t>
      </w:r>
      <w:r w:rsidRPr="00323930">
        <w:t>Author estimates</w:t>
      </w:r>
    </w:p>
    <w:p w14:paraId="0D93ACD4" w14:textId="77777777" w:rsidR="00375729" w:rsidRDefault="00375729" w:rsidP="00375729">
      <w:r>
        <w:t>The productivity of individual assets was also investigated. The major non-IT capital inputs in FIS are: buildings (51 per cent of capital income)</w:t>
      </w:r>
      <w:r w:rsidR="009A2198">
        <w:rPr>
          <w:rStyle w:val="EndnoteReference"/>
        </w:rPr>
        <w:endnoteReference w:id="32"/>
      </w:r>
      <w:r>
        <w:t>, land (11 per cent) and road vehicles (7 per cent).</w:t>
      </w:r>
    </w:p>
    <w:p w14:paraId="7559FD41" w14:textId="77777777" w:rsidR="00375729" w:rsidRDefault="00375729" w:rsidP="00375729">
      <w:pPr>
        <w:spacing w:before="120"/>
      </w:pPr>
      <w:r>
        <w:t>The productivity of these assets increased over the period</w:t>
      </w:r>
      <w:r w:rsidRPr="00F56593">
        <w:t xml:space="preserve"> </w:t>
      </w:r>
      <w:r>
        <w:t xml:space="preserve">(Figure </w:t>
      </w:r>
      <w:r w:rsidR="00BF026D">
        <w:t>G8</w:t>
      </w:r>
      <w:r>
        <w:t>).There was strong to very strong correlation between IT use and the different asset productivities, as the figures in brackets below indicate. The increases in capital productivity were large:</w:t>
      </w:r>
    </w:p>
    <w:p w14:paraId="1855A851" w14:textId="77777777" w:rsidR="00375729" w:rsidRDefault="00375729" w:rsidP="00A4034F">
      <w:pPr>
        <w:pStyle w:val="Bodybullet-Level1"/>
      </w:pPr>
      <w:r>
        <w:t>Land showed the strongest increase at 200 per cent for the whole period. (Correlation coefficient with IT use =</w:t>
      </w:r>
      <w:r w:rsidR="006A530A">
        <w:t xml:space="preserve"> </w:t>
      </w:r>
      <w:r>
        <w:t>0.99.)</w:t>
      </w:r>
    </w:p>
    <w:p w14:paraId="2926EF16" w14:textId="77777777" w:rsidR="00375729" w:rsidRDefault="00375729" w:rsidP="00A4034F">
      <w:pPr>
        <w:pStyle w:val="Bodybullet-Level1"/>
      </w:pPr>
      <w:r>
        <w:t>Road vehicles productivity increased 60 per cent up to 2007–08 before falling back to an overall 43 per cent increase. (Correlation coefficient</w:t>
      </w:r>
      <w:r w:rsidR="003C1EF9">
        <w:t xml:space="preserve"> with IT use</w:t>
      </w:r>
      <w:r>
        <w:t xml:space="preserve"> =</w:t>
      </w:r>
      <w:r w:rsidR="006A530A">
        <w:t xml:space="preserve"> </w:t>
      </w:r>
      <w:r>
        <w:t>0.73.)</w:t>
      </w:r>
    </w:p>
    <w:p w14:paraId="55AEF9A8" w14:textId="77777777" w:rsidR="00375729" w:rsidRDefault="00375729" w:rsidP="00A4034F">
      <w:pPr>
        <w:pStyle w:val="Bodybullet-Level1"/>
      </w:pPr>
      <w:r>
        <w:t>Buildings productivity increased by 160 per cent over the whole period. (Correlation coefficient with IT use =</w:t>
      </w:r>
      <w:r w:rsidR="006A530A">
        <w:t xml:space="preserve"> </w:t>
      </w:r>
      <w:r>
        <w:t>0.99.)</w:t>
      </w:r>
    </w:p>
    <w:p w14:paraId="34AC73A1" w14:textId="77777777" w:rsidR="00375729" w:rsidRDefault="00375729" w:rsidP="00A4034F">
      <w:pPr>
        <w:pStyle w:val="Figurecaption"/>
      </w:pPr>
      <w:r>
        <w:t xml:space="preserve">Figure </w:t>
      </w:r>
      <w:r w:rsidR="00BF026D">
        <w:t>G8</w:t>
      </w:r>
      <w:r>
        <w:t>: Asset productivity—the ratio of value added to use of selected assets in FIS</w:t>
      </w:r>
    </w:p>
    <w:p w14:paraId="56DCB9E9" w14:textId="43FF944D" w:rsidR="00375729" w:rsidRDefault="00A4034F" w:rsidP="00375729">
      <w:pPr>
        <w:spacing w:after="60"/>
        <w:rPr>
          <w:noProof/>
          <w:lang w:eastAsia="en-AU"/>
        </w:rPr>
      </w:pPr>
      <w:r>
        <w:rPr>
          <w:noProof/>
          <w:lang w:eastAsia="en-AU"/>
        </w:rPr>
        <w:drawing>
          <wp:inline distT="0" distB="0" distL="0" distR="0" wp14:anchorId="55C045FE" wp14:editId="56A64706">
            <wp:extent cx="5834380" cy="2755900"/>
            <wp:effectExtent l="0" t="0" r="0"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34380" cy="2755900"/>
                    </a:xfrm>
                    <a:prstGeom prst="rect">
                      <a:avLst/>
                    </a:prstGeom>
                    <a:noFill/>
                  </pic:spPr>
                </pic:pic>
              </a:graphicData>
            </a:graphic>
          </wp:inline>
        </w:drawing>
      </w:r>
    </w:p>
    <w:p w14:paraId="6CD4F1FD" w14:textId="77777777" w:rsidR="00375729" w:rsidRDefault="00375729" w:rsidP="00012248">
      <w:pPr>
        <w:pStyle w:val="SourceNotes"/>
      </w:pPr>
      <w:r>
        <w:t xml:space="preserve">Source: </w:t>
      </w:r>
      <w:r w:rsidRPr="00323930">
        <w:t>Author estimates</w:t>
      </w:r>
    </w:p>
    <w:p w14:paraId="405468A7" w14:textId="77777777" w:rsidR="00375729" w:rsidRDefault="00B06961" w:rsidP="00F37FA2">
      <w:pPr>
        <w:pStyle w:val="BCRAppendicesSubheading"/>
      </w:pPr>
      <w:r>
        <w:t xml:space="preserve">G.4 </w:t>
      </w:r>
      <w:r w:rsidR="00375729">
        <w:t>Use of intermediates</w:t>
      </w:r>
    </w:p>
    <w:p w14:paraId="013F9E52" w14:textId="77777777" w:rsidR="00375729" w:rsidRDefault="00375729" w:rsidP="00375729">
      <w:r>
        <w:t>The possibility that IT could help improve the efficiency with which intermediate inputs (materials, energy and services) are used was also examined. In the case of intermediate input use, productivity is determined with reference to the gross output, rather than the value added, measure of output.</w:t>
      </w:r>
    </w:p>
    <w:p w14:paraId="00A9667E" w14:textId="77777777" w:rsidR="00375729" w:rsidRDefault="00375729" w:rsidP="00375729">
      <w:r>
        <w:t xml:space="preserve">The efficiency of intermediates use did not change much over the entire period, although a rise after 2005–06 offset a prior decline (Figure </w:t>
      </w:r>
      <w:r w:rsidR="00BF026D">
        <w:t>G9</w:t>
      </w:r>
      <w:r>
        <w:t>).</w:t>
      </w:r>
    </w:p>
    <w:p w14:paraId="7DCD93D0"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52AC8610" w14:textId="77777777" w:rsidR="00375729" w:rsidRDefault="00375729" w:rsidP="00A4034F">
      <w:pPr>
        <w:pStyle w:val="Figurecaption"/>
      </w:pPr>
      <w:r>
        <w:t xml:space="preserve">Figure </w:t>
      </w:r>
      <w:r w:rsidR="00BF026D">
        <w:t>G9</w:t>
      </w:r>
      <w:r>
        <w:t>: Gross output, intermediate input use and intermediate input productivity in FIS</w:t>
      </w:r>
    </w:p>
    <w:p w14:paraId="3F9FE9E8" w14:textId="033FD8FE" w:rsidR="00375729" w:rsidRDefault="00A4034F" w:rsidP="00375729">
      <w:pPr>
        <w:spacing w:after="60"/>
        <w:rPr>
          <w:noProof/>
          <w:lang w:eastAsia="en-AU"/>
        </w:rPr>
      </w:pPr>
      <w:r>
        <w:rPr>
          <w:noProof/>
          <w:lang w:eastAsia="en-AU"/>
        </w:rPr>
        <w:drawing>
          <wp:inline distT="0" distB="0" distL="0" distR="0" wp14:anchorId="6B7FF1F0" wp14:editId="6811859D">
            <wp:extent cx="5511165" cy="2548255"/>
            <wp:effectExtent l="0" t="0" r="0" b="444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11165" cy="2548255"/>
                    </a:xfrm>
                    <a:prstGeom prst="rect">
                      <a:avLst/>
                    </a:prstGeom>
                    <a:noFill/>
                  </pic:spPr>
                </pic:pic>
              </a:graphicData>
            </a:graphic>
          </wp:inline>
        </w:drawing>
      </w:r>
    </w:p>
    <w:p w14:paraId="74DD37CE" w14:textId="77777777" w:rsidR="00375729" w:rsidRDefault="00375729" w:rsidP="00012248">
      <w:pPr>
        <w:pStyle w:val="SourceNotes"/>
        <w:rPr>
          <w:rFonts w:asciiTheme="majorHAnsi" w:eastAsiaTheme="majorEastAsia" w:hAnsiTheme="majorHAnsi" w:cstheme="majorBidi"/>
          <w:color w:val="D81318" w:themeColor="accent1" w:themeShade="BF"/>
          <w:sz w:val="32"/>
          <w:szCs w:val="32"/>
        </w:rPr>
      </w:pPr>
      <w:r>
        <w:t xml:space="preserve">Source: </w:t>
      </w:r>
      <w:r w:rsidRPr="00323930">
        <w:t>Author estimates</w:t>
      </w:r>
    </w:p>
    <w:p w14:paraId="65B2C176" w14:textId="77777777" w:rsidR="00375729" w:rsidRDefault="00B06961" w:rsidP="00F37FA2">
      <w:pPr>
        <w:pStyle w:val="BCRAppendicesSubheading"/>
      </w:pPr>
      <w:r>
        <w:t xml:space="preserve">G.5 </w:t>
      </w:r>
      <w:r w:rsidR="00375729">
        <w:t>MFP growth</w:t>
      </w:r>
    </w:p>
    <w:p w14:paraId="15B4ADCD" w14:textId="77777777" w:rsidR="00375729" w:rsidRDefault="00375729" w:rsidP="00375729">
      <w:r>
        <w:t xml:space="preserve">The association between IT and MFP is examined in the context of MFP cycles (Figure </w:t>
      </w:r>
      <w:r w:rsidR="0099003C">
        <w:t>G10</w:t>
      </w:r>
      <w:r>
        <w:t>). The timing of MFP cycles and LP cycles coincide.</w:t>
      </w:r>
    </w:p>
    <w:p w14:paraId="4F7C5475" w14:textId="77777777" w:rsidR="00375729" w:rsidRDefault="00375729" w:rsidP="00A4034F">
      <w:pPr>
        <w:pStyle w:val="Figurecaption"/>
      </w:pPr>
      <w:r>
        <w:t xml:space="preserve">Figure </w:t>
      </w:r>
      <w:r w:rsidR="0099003C">
        <w:t>G10</w:t>
      </w:r>
      <w:r>
        <w:t>: Actual and trend MFP in FIS</w:t>
      </w:r>
      <w:r>
        <w:rPr>
          <w:vertAlign w:val="superscript"/>
        </w:rPr>
        <w:t>a</w:t>
      </w:r>
      <w:r>
        <w:t xml:space="preserve"> (index, actual 2012–13</w:t>
      </w:r>
      <w:r w:rsidR="006A530A">
        <w:t xml:space="preserve"> = </w:t>
      </w:r>
      <w:r>
        <w:t>100)</w:t>
      </w:r>
    </w:p>
    <w:p w14:paraId="6FC0F52D" w14:textId="0F568C20" w:rsidR="00375729" w:rsidRDefault="00A4034F" w:rsidP="00375729">
      <w:pPr>
        <w:spacing w:after="60"/>
      </w:pPr>
      <w:r>
        <w:rPr>
          <w:noProof/>
          <w:lang w:eastAsia="en-AU"/>
        </w:rPr>
        <w:drawing>
          <wp:inline distT="0" distB="0" distL="0" distR="0" wp14:anchorId="6CA61BCD" wp14:editId="649DA883">
            <wp:extent cx="5547995" cy="28778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47995" cy="2877820"/>
                    </a:xfrm>
                    <a:prstGeom prst="rect">
                      <a:avLst/>
                    </a:prstGeom>
                    <a:noFill/>
                  </pic:spPr>
                </pic:pic>
              </a:graphicData>
            </a:graphic>
          </wp:inline>
        </w:drawing>
      </w:r>
    </w:p>
    <w:p w14:paraId="588AB608" w14:textId="77777777" w:rsidR="00375729" w:rsidRPr="00323930"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p>
    <w:p w14:paraId="5C764651" w14:textId="77777777" w:rsidR="00375729" w:rsidRDefault="00375729" w:rsidP="00012248">
      <w:pPr>
        <w:pStyle w:val="SourceNotes"/>
      </w:pPr>
      <w:r>
        <w:t xml:space="preserve">Source: </w:t>
      </w:r>
      <w:r w:rsidRPr="00323930">
        <w:t>ABS Cat. No. 5260.0.55.002 and author estimates</w:t>
      </w:r>
    </w:p>
    <w:p w14:paraId="40748378" w14:textId="77777777" w:rsidR="00375729" w:rsidRDefault="00375729" w:rsidP="00375729">
      <w:r>
        <w:t>For the purposes</w:t>
      </w:r>
      <w:r w:rsidR="007E4240">
        <w:t xml:space="preserve"> of this paper</w:t>
      </w:r>
      <w:r>
        <w:t>, MFP growth was treated as a weighted average of LP growth and capital productivity growth, with the respective income shares as the weights. This allowed the influences of IT growth on MFP to be seen as a combination of substitution effects on labour and on capital.</w:t>
      </w:r>
    </w:p>
    <w:p w14:paraId="50E4579A" w14:textId="77777777" w:rsidR="00375729" w:rsidRDefault="00375729" w:rsidP="00375729">
      <w:r>
        <w:t xml:space="preserve">The MFP growth accounting is presented in </w:t>
      </w:r>
      <w:r w:rsidR="00EE622A">
        <w:t>Table G2</w:t>
      </w:r>
      <w:r>
        <w:t>. The labour productivity growth contribution plus the capital productivity contribution equals the MFP growth presented in the bottom row of the table.</w:t>
      </w:r>
    </w:p>
    <w:p w14:paraId="630193F2" w14:textId="77777777" w:rsidR="00375729" w:rsidRDefault="00375729" w:rsidP="00375729">
      <w:r>
        <w:t>Labour productivity growth accounts for most of the MFP growth in each cycle. This was as expected, given capital productivity tends to show relatively small movements over short periods.</w:t>
      </w:r>
    </w:p>
    <w:p w14:paraId="4E95A56C" w14:textId="77777777" w:rsidR="00375729" w:rsidRDefault="00375729" w:rsidP="00375729">
      <w:r>
        <w:t>The IT capital deepening contribution is shown as part of the labour productivity contribution.</w:t>
      </w:r>
      <w:r w:rsidR="009A2198">
        <w:rPr>
          <w:rStyle w:val="EndnoteReference"/>
        </w:rPr>
        <w:endnoteReference w:id="33"/>
      </w:r>
      <w:r>
        <w:t xml:space="preserve"> Values around 0.8 of a percentage point up to 2007–08 are very strong.</w:t>
      </w:r>
    </w:p>
    <w:p w14:paraId="5DF7F966" w14:textId="77777777" w:rsidR="00375729" w:rsidRDefault="00375729" w:rsidP="00375729">
      <w:r>
        <w:t>The capital productivity contribution was split into IT and non-IT contributions. The IT capital productivity contribution was negative as IT capital grew faster than output. The non-IT contribution was positive and increased up to 2007–08. The overall average was around 1.6 per cent a year.</w:t>
      </w:r>
    </w:p>
    <w:p w14:paraId="0D279DBE" w14:textId="77777777" w:rsidR="00375729" w:rsidRDefault="00375729" w:rsidP="00F37FA2">
      <w:pPr>
        <w:pStyle w:val="BodyTextNoIndent"/>
      </w:pPr>
      <w:r>
        <w:t>While it does not establish causality, the improvement in non-IT capital is strongly associated with increased use of IT. The correlation coefficient between the two series is 0.98.</w:t>
      </w:r>
      <w:r w:rsidRPr="0056262C">
        <w:fldChar w:fldCharType="begin"/>
      </w:r>
      <w:r w:rsidRPr="0056262C">
        <w:instrText xml:space="preserve"> LINK </w:instrText>
      </w:r>
      <w:r>
        <w:instrText xml:space="preserve">Excel.Sheet.12 "\\\\dept.gov.au\\DFS\\Home\\DParham\\Desktop\\Docs\\1. GA project\\Retail trade\\Retail workbook 150709.xlsx" MFP!R134C28:R144C33 </w:instrText>
      </w:r>
      <w:r w:rsidRPr="0056262C">
        <w:instrText xml:space="preserve">\a \f 4 \h  \* MERGEFORMAT </w:instrText>
      </w:r>
      <w:r w:rsidRPr="0056262C">
        <w:fldChar w:fldCharType="separate"/>
      </w:r>
    </w:p>
    <w:p w14:paraId="43DB33C7" w14:textId="77777777" w:rsidR="00375729" w:rsidRPr="00CF3D6E" w:rsidRDefault="00375729" w:rsidP="00F37FA2">
      <w:pPr>
        <w:pStyle w:val="BodyTextNoIndent"/>
      </w:pPr>
      <w:r>
        <w:br w:type="page"/>
      </w:r>
    </w:p>
    <w:p w14:paraId="4B5E2425" w14:textId="77777777" w:rsidR="00375729" w:rsidRPr="00D97BB3" w:rsidRDefault="00375729" w:rsidP="00A4034F">
      <w:pPr>
        <w:pStyle w:val="Tablecaption"/>
      </w:pPr>
      <w:r>
        <w:t xml:space="preserve">Table </w:t>
      </w:r>
      <w:r w:rsidR="00EE622A">
        <w:t>G2</w:t>
      </w:r>
      <w:r w:rsidRPr="0056262C">
        <w:t xml:space="preserve">: Multifactor productivity growth accounting over MFP cycles in </w:t>
      </w:r>
      <w:r>
        <w:t>FIS</w:t>
      </w:r>
      <w:r w:rsidRPr="0056262C">
        <w:fldChar w:fldCharType="end"/>
      </w:r>
    </w:p>
    <w:tbl>
      <w:tblPr>
        <w:tblW w:w="90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964"/>
        <w:gridCol w:w="1134"/>
        <w:gridCol w:w="1418"/>
        <w:gridCol w:w="1276"/>
        <w:gridCol w:w="1275"/>
      </w:tblGrid>
      <w:tr w:rsidR="00375729" w:rsidRPr="00E55AB2" w14:paraId="1551D7E1" w14:textId="77777777" w:rsidTr="00CF3D6E">
        <w:trPr>
          <w:trHeight w:val="495"/>
        </w:trPr>
        <w:tc>
          <w:tcPr>
            <w:tcW w:w="3964" w:type="dxa"/>
            <w:tcBorders>
              <w:top w:val="single" w:sz="4" w:space="0" w:color="auto"/>
              <w:bottom w:val="single" w:sz="4" w:space="0" w:color="auto"/>
              <w:right w:val="single" w:sz="4" w:space="0" w:color="auto"/>
            </w:tcBorders>
            <w:shd w:val="clear" w:color="auto" w:fill="auto"/>
            <w:noWrap/>
            <w:vAlign w:val="bottom"/>
            <w:hideMark/>
          </w:tcPr>
          <w:p w14:paraId="759D8AE3" w14:textId="77777777" w:rsidR="00375729" w:rsidRPr="00E55AB2" w:rsidRDefault="00375729" w:rsidP="00A4034F">
            <w:pPr>
              <w:pStyle w:val="Tablecellheading"/>
            </w:pPr>
            <w:r w:rsidRPr="00E55AB2">
              <w:t> </w:t>
            </w:r>
          </w:p>
        </w:tc>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37E61270" w14:textId="77777777" w:rsidR="00375729" w:rsidRPr="00E55AB2" w:rsidRDefault="00375729" w:rsidP="00A4034F">
            <w:pPr>
              <w:pStyle w:val="Tablecellheading"/>
              <w:rPr>
                <w:sz w:val="18"/>
                <w:szCs w:val="18"/>
              </w:rPr>
            </w:pPr>
            <w:r w:rsidRPr="00E55AB2">
              <w:rPr>
                <w:sz w:val="18"/>
                <w:szCs w:val="18"/>
              </w:rPr>
              <w:t>1989</w:t>
            </w:r>
            <w:r>
              <w:rPr>
                <w:sz w:val="18"/>
                <w:szCs w:val="18"/>
              </w:rPr>
              <w:t>–</w:t>
            </w:r>
            <w:r w:rsidRPr="00E55AB2">
              <w:rPr>
                <w:sz w:val="18"/>
                <w:szCs w:val="18"/>
              </w:rPr>
              <w:t>90 to 1993</w:t>
            </w:r>
            <w:r>
              <w:rPr>
                <w:sz w:val="18"/>
                <w:szCs w:val="18"/>
              </w:rPr>
              <w:t>–</w:t>
            </w:r>
            <w:r w:rsidRPr="00E55AB2">
              <w:rPr>
                <w:sz w:val="18"/>
                <w:szCs w:val="18"/>
              </w:rPr>
              <w:t>94</w:t>
            </w:r>
          </w:p>
        </w:tc>
        <w:tc>
          <w:tcPr>
            <w:tcW w:w="14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105E22CA" w14:textId="77777777" w:rsidR="00375729" w:rsidRPr="00E55AB2" w:rsidRDefault="00375729" w:rsidP="00A4034F">
            <w:pPr>
              <w:pStyle w:val="Tablecellheading"/>
              <w:rPr>
                <w:sz w:val="18"/>
                <w:szCs w:val="18"/>
              </w:rPr>
            </w:pPr>
            <w:r w:rsidRPr="00E55AB2">
              <w:rPr>
                <w:sz w:val="18"/>
                <w:szCs w:val="18"/>
              </w:rPr>
              <w:t>1993</w:t>
            </w:r>
            <w:r>
              <w:rPr>
                <w:sz w:val="18"/>
                <w:szCs w:val="18"/>
              </w:rPr>
              <w:t>–</w:t>
            </w:r>
            <w:r w:rsidRPr="00E55AB2">
              <w:rPr>
                <w:sz w:val="18"/>
                <w:szCs w:val="18"/>
              </w:rPr>
              <w:t>94 to 1998</w:t>
            </w:r>
            <w:r>
              <w:rPr>
                <w:sz w:val="18"/>
                <w:szCs w:val="18"/>
              </w:rPr>
              <w:t>–</w:t>
            </w:r>
            <w:r w:rsidRPr="00E55AB2">
              <w:rPr>
                <w:sz w:val="18"/>
                <w:szCs w:val="18"/>
              </w:rPr>
              <w:t>99</w:t>
            </w:r>
          </w:p>
        </w:tc>
        <w:tc>
          <w:tcPr>
            <w:tcW w:w="127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06695988" w14:textId="77777777" w:rsidR="00375729" w:rsidRPr="00E55AB2" w:rsidRDefault="00375729" w:rsidP="00A4034F">
            <w:pPr>
              <w:pStyle w:val="Tablecellheading"/>
              <w:rPr>
                <w:sz w:val="18"/>
                <w:szCs w:val="18"/>
              </w:rPr>
            </w:pPr>
            <w:r w:rsidRPr="00E55AB2">
              <w:rPr>
                <w:sz w:val="18"/>
                <w:szCs w:val="18"/>
              </w:rPr>
              <w:t>1998</w:t>
            </w:r>
            <w:r>
              <w:rPr>
                <w:sz w:val="18"/>
                <w:szCs w:val="18"/>
              </w:rPr>
              <w:t>–</w:t>
            </w:r>
            <w:r w:rsidRPr="00E55AB2">
              <w:rPr>
                <w:sz w:val="18"/>
                <w:szCs w:val="18"/>
              </w:rPr>
              <w:t>99 to 2007</w:t>
            </w:r>
            <w:r>
              <w:rPr>
                <w:sz w:val="18"/>
                <w:szCs w:val="18"/>
              </w:rPr>
              <w:t>–</w:t>
            </w:r>
            <w:r w:rsidRPr="00E55AB2">
              <w:rPr>
                <w:sz w:val="18"/>
                <w:szCs w:val="18"/>
              </w:rPr>
              <w:t>08</w:t>
            </w:r>
          </w:p>
        </w:tc>
        <w:tc>
          <w:tcPr>
            <w:tcW w:w="1275" w:type="dxa"/>
            <w:tcBorders>
              <w:top w:val="single" w:sz="4" w:space="0" w:color="auto"/>
              <w:left w:val="single" w:sz="4" w:space="0" w:color="BFBFBF" w:themeColor="background1" w:themeShade="BF"/>
              <w:bottom w:val="single" w:sz="4" w:space="0" w:color="auto"/>
            </w:tcBorders>
            <w:shd w:val="clear" w:color="auto" w:fill="auto"/>
            <w:vAlign w:val="center"/>
            <w:hideMark/>
          </w:tcPr>
          <w:p w14:paraId="129C6816" w14:textId="77777777" w:rsidR="00375729" w:rsidRPr="00E55AB2" w:rsidRDefault="00375729" w:rsidP="00A4034F">
            <w:pPr>
              <w:pStyle w:val="Tablecellheading"/>
              <w:rPr>
                <w:sz w:val="18"/>
                <w:szCs w:val="18"/>
              </w:rPr>
            </w:pPr>
            <w:r w:rsidRPr="00E55AB2">
              <w:rPr>
                <w:sz w:val="18"/>
                <w:szCs w:val="18"/>
              </w:rPr>
              <w:t>2007</w:t>
            </w:r>
            <w:r>
              <w:rPr>
                <w:sz w:val="18"/>
                <w:szCs w:val="18"/>
              </w:rPr>
              <w:t>–</w:t>
            </w:r>
            <w:r w:rsidRPr="00E55AB2">
              <w:rPr>
                <w:sz w:val="18"/>
                <w:szCs w:val="18"/>
              </w:rPr>
              <w:t>08 to 2013</w:t>
            </w:r>
            <w:r>
              <w:rPr>
                <w:sz w:val="18"/>
                <w:szCs w:val="18"/>
              </w:rPr>
              <w:t>–</w:t>
            </w:r>
            <w:r w:rsidRPr="00E55AB2">
              <w:rPr>
                <w:sz w:val="18"/>
                <w:szCs w:val="18"/>
              </w:rPr>
              <w:t>14</w:t>
            </w:r>
          </w:p>
        </w:tc>
      </w:tr>
      <w:tr w:rsidR="00375729" w:rsidRPr="00E55AB2" w14:paraId="2D42AE8E" w14:textId="77777777" w:rsidTr="00CF3D6E">
        <w:trPr>
          <w:trHeight w:val="300"/>
        </w:trPr>
        <w:tc>
          <w:tcPr>
            <w:tcW w:w="3964" w:type="dxa"/>
            <w:tcBorders>
              <w:top w:val="single" w:sz="4" w:space="0" w:color="auto"/>
              <w:right w:val="single" w:sz="4" w:space="0" w:color="auto"/>
            </w:tcBorders>
            <w:shd w:val="clear" w:color="auto" w:fill="auto"/>
            <w:noWrap/>
            <w:vAlign w:val="bottom"/>
            <w:hideMark/>
          </w:tcPr>
          <w:p w14:paraId="7FD39BF1" w14:textId="77777777" w:rsidR="00375729" w:rsidRPr="00CF3D6E" w:rsidRDefault="00375729" w:rsidP="00A4034F">
            <w:pPr>
              <w:pStyle w:val="Tabletext"/>
            </w:pPr>
            <w:r w:rsidRPr="00CF3D6E">
              <w:t>LP growth contribution</w:t>
            </w:r>
          </w:p>
        </w:tc>
        <w:tc>
          <w:tcPr>
            <w:tcW w:w="1134" w:type="dxa"/>
            <w:tcBorders>
              <w:top w:val="single" w:sz="4" w:space="0" w:color="auto"/>
              <w:left w:val="single" w:sz="4" w:space="0" w:color="auto"/>
              <w:right w:val="single" w:sz="4" w:space="0" w:color="BFBFBF" w:themeColor="background1" w:themeShade="BF"/>
            </w:tcBorders>
            <w:shd w:val="clear" w:color="auto" w:fill="auto"/>
            <w:noWrap/>
            <w:vAlign w:val="center"/>
            <w:hideMark/>
          </w:tcPr>
          <w:p w14:paraId="74125825" w14:textId="77777777" w:rsidR="00375729" w:rsidRPr="00CF3D6E" w:rsidRDefault="00375729" w:rsidP="00A4034F">
            <w:pPr>
              <w:pStyle w:val="Tabletext"/>
            </w:pPr>
            <w:r w:rsidRPr="00CF3D6E">
              <w:t>4.0</w:t>
            </w:r>
          </w:p>
        </w:tc>
        <w:tc>
          <w:tcPr>
            <w:tcW w:w="1418"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7ECC7D59" w14:textId="77777777" w:rsidR="00375729" w:rsidRPr="00CF3D6E" w:rsidRDefault="00375729" w:rsidP="00A4034F">
            <w:pPr>
              <w:pStyle w:val="Tabletext"/>
            </w:pPr>
            <w:r w:rsidRPr="00CF3D6E">
              <w:t>1.8</w:t>
            </w:r>
          </w:p>
        </w:tc>
        <w:tc>
          <w:tcPr>
            <w:tcW w:w="1276" w:type="dxa"/>
            <w:tcBorders>
              <w:top w:val="single" w:sz="4" w:space="0" w:color="auto"/>
              <w:left w:val="single" w:sz="4" w:space="0" w:color="BFBFBF" w:themeColor="background1" w:themeShade="BF"/>
              <w:right w:val="single" w:sz="4" w:space="0" w:color="BFBFBF" w:themeColor="background1" w:themeShade="BF"/>
            </w:tcBorders>
            <w:shd w:val="clear" w:color="auto" w:fill="auto"/>
            <w:noWrap/>
            <w:vAlign w:val="center"/>
            <w:hideMark/>
          </w:tcPr>
          <w:p w14:paraId="05F1AD8E" w14:textId="77777777" w:rsidR="00375729" w:rsidRPr="00CF3D6E" w:rsidRDefault="00375729" w:rsidP="00A4034F">
            <w:pPr>
              <w:pStyle w:val="Tabletext"/>
            </w:pPr>
            <w:r w:rsidRPr="00CF3D6E">
              <w:t>1.5</w:t>
            </w:r>
          </w:p>
        </w:tc>
        <w:tc>
          <w:tcPr>
            <w:tcW w:w="1275" w:type="dxa"/>
            <w:tcBorders>
              <w:top w:val="single" w:sz="4" w:space="0" w:color="auto"/>
              <w:left w:val="single" w:sz="4" w:space="0" w:color="BFBFBF" w:themeColor="background1" w:themeShade="BF"/>
            </w:tcBorders>
            <w:shd w:val="clear" w:color="auto" w:fill="auto"/>
            <w:noWrap/>
            <w:vAlign w:val="center"/>
            <w:hideMark/>
          </w:tcPr>
          <w:p w14:paraId="239BDB8E" w14:textId="77777777" w:rsidR="00375729" w:rsidRPr="00CF3D6E" w:rsidRDefault="00375729" w:rsidP="00A4034F">
            <w:pPr>
              <w:pStyle w:val="Tabletext"/>
            </w:pPr>
            <w:r w:rsidRPr="00CF3D6E">
              <w:t>0.7</w:t>
            </w:r>
          </w:p>
        </w:tc>
      </w:tr>
      <w:tr w:rsidR="00375729" w:rsidRPr="00E55AB2" w14:paraId="46490F07" w14:textId="77777777" w:rsidTr="00CF3D6E">
        <w:trPr>
          <w:trHeight w:val="300"/>
        </w:trPr>
        <w:tc>
          <w:tcPr>
            <w:tcW w:w="3964" w:type="dxa"/>
            <w:tcBorders>
              <w:right w:val="single" w:sz="4" w:space="0" w:color="auto"/>
            </w:tcBorders>
            <w:shd w:val="clear" w:color="auto" w:fill="auto"/>
            <w:noWrap/>
            <w:vAlign w:val="bottom"/>
            <w:hideMark/>
          </w:tcPr>
          <w:p w14:paraId="722F3A80" w14:textId="1FAE5D28" w:rsidR="00375729" w:rsidRPr="00CF3D6E" w:rsidRDefault="00375729" w:rsidP="00A4034F">
            <w:pPr>
              <w:pStyle w:val="Tabletext"/>
            </w:pPr>
            <w:r w:rsidRPr="00CF3D6E">
              <w:t>of which</w:t>
            </w:r>
          </w:p>
        </w:tc>
        <w:tc>
          <w:tcPr>
            <w:tcW w:w="1134" w:type="dxa"/>
            <w:tcBorders>
              <w:left w:val="single" w:sz="4" w:space="0" w:color="auto"/>
              <w:right w:val="single" w:sz="4" w:space="0" w:color="BFBFBF" w:themeColor="background1" w:themeShade="BF"/>
            </w:tcBorders>
            <w:shd w:val="clear" w:color="auto" w:fill="auto"/>
            <w:noWrap/>
            <w:vAlign w:val="bottom"/>
            <w:hideMark/>
          </w:tcPr>
          <w:p w14:paraId="18E43431" w14:textId="77777777" w:rsidR="00375729" w:rsidRPr="00CF3D6E" w:rsidRDefault="00375729" w:rsidP="00A4034F">
            <w:pPr>
              <w:pStyle w:val="Tabletext"/>
            </w:pPr>
          </w:p>
        </w:tc>
        <w:tc>
          <w:tcPr>
            <w:tcW w:w="1418"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05B300AA" w14:textId="77777777" w:rsidR="00375729" w:rsidRPr="00CF3D6E" w:rsidRDefault="00375729" w:rsidP="00A4034F">
            <w:pPr>
              <w:pStyle w:val="Tabletext"/>
              <w:rPr>
                <w:rFonts w:ascii="Times New Roman" w:hAnsi="Times New Roman"/>
                <w:sz w:val="20"/>
                <w:szCs w:val="20"/>
              </w:rPr>
            </w:pP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3F2D2A76" w14:textId="77777777" w:rsidR="00375729" w:rsidRPr="00CF3D6E" w:rsidRDefault="00375729" w:rsidP="00A4034F">
            <w:pPr>
              <w:pStyle w:val="Tabletext"/>
              <w:rPr>
                <w:rFonts w:ascii="Times New Roman" w:hAnsi="Times New Roman"/>
                <w:sz w:val="20"/>
                <w:szCs w:val="20"/>
              </w:rPr>
            </w:pPr>
          </w:p>
        </w:tc>
        <w:tc>
          <w:tcPr>
            <w:tcW w:w="1275" w:type="dxa"/>
            <w:tcBorders>
              <w:left w:val="single" w:sz="4" w:space="0" w:color="BFBFBF" w:themeColor="background1" w:themeShade="BF"/>
            </w:tcBorders>
            <w:shd w:val="clear" w:color="auto" w:fill="auto"/>
            <w:noWrap/>
            <w:vAlign w:val="bottom"/>
            <w:hideMark/>
          </w:tcPr>
          <w:p w14:paraId="42C2CD41" w14:textId="77777777" w:rsidR="00375729" w:rsidRPr="00CF3D6E" w:rsidRDefault="00375729" w:rsidP="00A4034F">
            <w:pPr>
              <w:pStyle w:val="Tabletext"/>
              <w:rPr>
                <w:rFonts w:ascii="Times New Roman" w:hAnsi="Times New Roman"/>
                <w:sz w:val="20"/>
                <w:szCs w:val="20"/>
              </w:rPr>
            </w:pPr>
          </w:p>
        </w:tc>
      </w:tr>
      <w:tr w:rsidR="00375729" w:rsidRPr="00E55AB2" w14:paraId="46A6410B" w14:textId="77777777" w:rsidTr="00CF3D6E">
        <w:trPr>
          <w:trHeight w:val="300"/>
        </w:trPr>
        <w:tc>
          <w:tcPr>
            <w:tcW w:w="3964" w:type="dxa"/>
            <w:tcBorders>
              <w:right w:val="single" w:sz="4" w:space="0" w:color="auto"/>
            </w:tcBorders>
            <w:shd w:val="clear" w:color="auto" w:fill="auto"/>
            <w:noWrap/>
            <w:vAlign w:val="bottom"/>
            <w:hideMark/>
          </w:tcPr>
          <w:p w14:paraId="7BD26644" w14:textId="5BB9300B" w:rsidR="00375729" w:rsidRPr="00E55AB2" w:rsidRDefault="00375729" w:rsidP="00A4034F">
            <w:pPr>
              <w:pStyle w:val="Tablebullet-Level1"/>
            </w:pPr>
            <w:r>
              <w:t>IT</w:t>
            </w:r>
            <w:r w:rsidRPr="00E55AB2">
              <w:t xml:space="preserve"> capital deepening </w:t>
            </w:r>
          </w:p>
        </w:tc>
        <w:tc>
          <w:tcPr>
            <w:tcW w:w="1134" w:type="dxa"/>
            <w:tcBorders>
              <w:left w:val="single" w:sz="4" w:space="0" w:color="auto"/>
              <w:right w:val="single" w:sz="4" w:space="0" w:color="BFBFBF" w:themeColor="background1" w:themeShade="BF"/>
            </w:tcBorders>
            <w:shd w:val="clear" w:color="auto" w:fill="auto"/>
            <w:noWrap/>
            <w:vAlign w:val="bottom"/>
            <w:hideMark/>
          </w:tcPr>
          <w:p w14:paraId="51AA4007" w14:textId="77777777" w:rsidR="00375729" w:rsidRPr="00E55AB2" w:rsidRDefault="00375729" w:rsidP="00A4034F">
            <w:pPr>
              <w:pStyle w:val="Tabletext"/>
              <w:rPr>
                <w:sz w:val="20"/>
                <w:szCs w:val="20"/>
              </w:rPr>
            </w:pPr>
            <w:r w:rsidRPr="00E55AB2">
              <w:rPr>
                <w:sz w:val="20"/>
                <w:szCs w:val="20"/>
              </w:rPr>
              <w:t>0.</w:t>
            </w:r>
            <w:r>
              <w:rPr>
                <w:sz w:val="20"/>
                <w:szCs w:val="20"/>
              </w:rPr>
              <w:t>7</w:t>
            </w:r>
          </w:p>
        </w:tc>
        <w:tc>
          <w:tcPr>
            <w:tcW w:w="1418"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0B673A2B" w14:textId="77777777" w:rsidR="00375729" w:rsidRPr="00E55AB2" w:rsidRDefault="00375729" w:rsidP="00A4034F">
            <w:pPr>
              <w:pStyle w:val="Tabletext"/>
              <w:rPr>
                <w:sz w:val="20"/>
                <w:szCs w:val="20"/>
              </w:rPr>
            </w:pPr>
            <w:r w:rsidRPr="00E55AB2">
              <w:rPr>
                <w:sz w:val="20"/>
                <w:szCs w:val="20"/>
              </w:rPr>
              <w:t>0.</w:t>
            </w:r>
            <w:r>
              <w:rPr>
                <w:sz w:val="20"/>
                <w:szCs w:val="20"/>
              </w:rPr>
              <w:t>8</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122F2D22" w14:textId="77777777" w:rsidR="00375729" w:rsidRPr="00E55AB2" w:rsidRDefault="00375729" w:rsidP="00A4034F">
            <w:pPr>
              <w:pStyle w:val="Tabletext"/>
              <w:rPr>
                <w:sz w:val="20"/>
                <w:szCs w:val="20"/>
              </w:rPr>
            </w:pPr>
            <w:r w:rsidRPr="00E55AB2">
              <w:rPr>
                <w:sz w:val="20"/>
                <w:szCs w:val="20"/>
              </w:rPr>
              <w:t>0.</w:t>
            </w:r>
            <w:r>
              <w:rPr>
                <w:sz w:val="20"/>
                <w:szCs w:val="20"/>
              </w:rPr>
              <w:t>8</w:t>
            </w:r>
          </w:p>
        </w:tc>
        <w:tc>
          <w:tcPr>
            <w:tcW w:w="1275" w:type="dxa"/>
            <w:tcBorders>
              <w:left w:val="single" w:sz="4" w:space="0" w:color="BFBFBF" w:themeColor="background1" w:themeShade="BF"/>
            </w:tcBorders>
            <w:shd w:val="clear" w:color="auto" w:fill="auto"/>
            <w:noWrap/>
            <w:vAlign w:val="bottom"/>
            <w:hideMark/>
          </w:tcPr>
          <w:p w14:paraId="36E33CF5" w14:textId="77777777" w:rsidR="00375729" w:rsidRPr="00E55AB2" w:rsidRDefault="00375729" w:rsidP="00A4034F">
            <w:pPr>
              <w:pStyle w:val="Tabletext"/>
              <w:rPr>
                <w:sz w:val="20"/>
                <w:szCs w:val="20"/>
              </w:rPr>
            </w:pPr>
            <w:r w:rsidRPr="00E55AB2">
              <w:rPr>
                <w:sz w:val="20"/>
                <w:szCs w:val="20"/>
              </w:rPr>
              <w:t>0.3</w:t>
            </w:r>
          </w:p>
        </w:tc>
      </w:tr>
      <w:tr w:rsidR="00375729" w:rsidRPr="00E55AB2" w14:paraId="77F14FD7" w14:textId="77777777" w:rsidTr="00CF3D6E">
        <w:trPr>
          <w:trHeight w:val="300"/>
        </w:trPr>
        <w:tc>
          <w:tcPr>
            <w:tcW w:w="3964" w:type="dxa"/>
            <w:tcBorders>
              <w:right w:val="single" w:sz="4" w:space="0" w:color="auto"/>
            </w:tcBorders>
            <w:shd w:val="clear" w:color="auto" w:fill="auto"/>
            <w:noWrap/>
            <w:vAlign w:val="bottom"/>
            <w:hideMark/>
          </w:tcPr>
          <w:p w14:paraId="45C68764" w14:textId="77777777" w:rsidR="00375729" w:rsidRPr="00CF3D6E" w:rsidRDefault="00375729" w:rsidP="00A4034F">
            <w:pPr>
              <w:pStyle w:val="Tabletext"/>
            </w:pPr>
            <w:r w:rsidRPr="00CF3D6E">
              <w:t>KP growth contribution</w:t>
            </w:r>
          </w:p>
        </w:tc>
        <w:tc>
          <w:tcPr>
            <w:tcW w:w="1134" w:type="dxa"/>
            <w:tcBorders>
              <w:left w:val="single" w:sz="4" w:space="0" w:color="auto"/>
              <w:right w:val="single" w:sz="4" w:space="0" w:color="BFBFBF" w:themeColor="background1" w:themeShade="BF"/>
            </w:tcBorders>
            <w:shd w:val="clear" w:color="auto" w:fill="auto"/>
            <w:noWrap/>
            <w:vAlign w:val="center"/>
            <w:hideMark/>
          </w:tcPr>
          <w:p w14:paraId="6C44E716" w14:textId="77777777" w:rsidR="00375729" w:rsidRPr="00CF3D6E" w:rsidRDefault="00375729" w:rsidP="00A4034F">
            <w:pPr>
              <w:pStyle w:val="Tabletext"/>
            </w:pPr>
            <w:r w:rsidRPr="00CF3D6E">
              <w:t>0.5</w:t>
            </w:r>
          </w:p>
        </w:tc>
        <w:tc>
          <w:tcPr>
            <w:tcW w:w="1418"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2A621614" w14:textId="77777777" w:rsidR="00375729" w:rsidRPr="00CF3D6E" w:rsidRDefault="00375729" w:rsidP="00A4034F">
            <w:pPr>
              <w:pStyle w:val="Tabletext"/>
            </w:pPr>
            <w:r w:rsidRPr="00CF3D6E">
              <w:t>0.5</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0FF5C413" w14:textId="77777777" w:rsidR="00375729" w:rsidRPr="00CF3D6E" w:rsidRDefault="00375729" w:rsidP="00A4034F">
            <w:pPr>
              <w:pStyle w:val="Tabletext"/>
            </w:pPr>
            <w:r w:rsidRPr="00CF3D6E">
              <w:t>0.6</w:t>
            </w:r>
          </w:p>
        </w:tc>
        <w:tc>
          <w:tcPr>
            <w:tcW w:w="1275" w:type="dxa"/>
            <w:tcBorders>
              <w:left w:val="single" w:sz="4" w:space="0" w:color="BFBFBF" w:themeColor="background1" w:themeShade="BF"/>
            </w:tcBorders>
            <w:shd w:val="clear" w:color="auto" w:fill="auto"/>
            <w:noWrap/>
            <w:vAlign w:val="center"/>
            <w:hideMark/>
          </w:tcPr>
          <w:p w14:paraId="626FD954" w14:textId="77777777" w:rsidR="00375729" w:rsidRPr="00CF3D6E" w:rsidRDefault="00375729" w:rsidP="00A4034F">
            <w:pPr>
              <w:pStyle w:val="Tabletext"/>
            </w:pPr>
            <w:r w:rsidRPr="00CF3D6E">
              <w:t>0.4</w:t>
            </w:r>
          </w:p>
        </w:tc>
      </w:tr>
      <w:tr w:rsidR="00375729" w:rsidRPr="00E55AB2" w14:paraId="45313CBD" w14:textId="77777777" w:rsidTr="00CF3D6E">
        <w:trPr>
          <w:trHeight w:val="300"/>
        </w:trPr>
        <w:tc>
          <w:tcPr>
            <w:tcW w:w="3964" w:type="dxa"/>
            <w:tcBorders>
              <w:right w:val="single" w:sz="4" w:space="0" w:color="auto"/>
            </w:tcBorders>
            <w:shd w:val="clear" w:color="auto" w:fill="auto"/>
            <w:noWrap/>
            <w:vAlign w:val="bottom"/>
            <w:hideMark/>
          </w:tcPr>
          <w:p w14:paraId="7F90F39F" w14:textId="77480CD1" w:rsidR="00375729" w:rsidRPr="00CF3D6E" w:rsidRDefault="00375729" w:rsidP="00A4034F">
            <w:pPr>
              <w:pStyle w:val="Tabletext"/>
            </w:pPr>
            <w:r w:rsidRPr="00CF3D6E">
              <w:t>of which</w:t>
            </w:r>
          </w:p>
        </w:tc>
        <w:tc>
          <w:tcPr>
            <w:tcW w:w="1134" w:type="dxa"/>
            <w:tcBorders>
              <w:left w:val="single" w:sz="4" w:space="0" w:color="auto"/>
              <w:right w:val="single" w:sz="4" w:space="0" w:color="BFBFBF" w:themeColor="background1" w:themeShade="BF"/>
            </w:tcBorders>
            <w:shd w:val="clear" w:color="auto" w:fill="auto"/>
            <w:noWrap/>
            <w:vAlign w:val="bottom"/>
            <w:hideMark/>
          </w:tcPr>
          <w:p w14:paraId="76DF192A" w14:textId="77777777" w:rsidR="00375729" w:rsidRPr="00CF3D6E" w:rsidRDefault="00375729" w:rsidP="00A4034F">
            <w:pPr>
              <w:pStyle w:val="Tabletext"/>
            </w:pPr>
          </w:p>
        </w:tc>
        <w:tc>
          <w:tcPr>
            <w:tcW w:w="1418"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67D54A94" w14:textId="77777777" w:rsidR="00375729" w:rsidRPr="00CF3D6E" w:rsidRDefault="00375729" w:rsidP="00A4034F">
            <w:pPr>
              <w:pStyle w:val="Tabletext"/>
              <w:rPr>
                <w:rFonts w:ascii="Times New Roman" w:hAnsi="Times New Roman"/>
                <w:sz w:val="20"/>
                <w:szCs w:val="20"/>
              </w:rPr>
            </w:pP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7C9B0660" w14:textId="77777777" w:rsidR="00375729" w:rsidRPr="00CF3D6E" w:rsidRDefault="00375729" w:rsidP="00A4034F">
            <w:pPr>
              <w:pStyle w:val="Tabletext"/>
              <w:rPr>
                <w:rFonts w:ascii="Times New Roman" w:hAnsi="Times New Roman"/>
                <w:sz w:val="20"/>
                <w:szCs w:val="20"/>
              </w:rPr>
            </w:pPr>
          </w:p>
        </w:tc>
        <w:tc>
          <w:tcPr>
            <w:tcW w:w="1275" w:type="dxa"/>
            <w:tcBorders>
              <w:left w:val="single" w:sz="4" w:space="0" w:color="BFBFBF" w:themeColor="background1" w:themeShade="BF"/>
            </w:tcBorders>
            <w:shd w:val="clear" w:color="auto" w:fill="auto"/>
            <w:noWrap/>
            <w:vAlign w:val="bottom"/>
            <w:hideMark/>
          </w:tcPr>
          <w:p w14:paraId="62507F51" w14:textId="77777777" w:rsidR="00375729" w:rsidRPr="00CF3D6E" w:rsidRDefault="00375729" w:rsidP="00A4034F">
            <w:pPr>
              <w:pStyle w:val="Tabletext"/>
              <w:rPr>
                <w:rFonts w:ascii="Times New Roman" w:hAnsi="Times New Roman"/>
                <w:sz w:val="20"/>
                <w:szCs w:val="20"/>
              </w:rPr>
            </w:pPr>
          </w:p>
        </w:tc>
      </w:tr>
      <w:tr w:rsidR="00375729" w:rsidRPr="00E55AB2" w14:paraId="7DF7A994" w14:textId="77777777" w:rsidTr="00CF3D6E">
        <w:trPr>
          <w:trHeight w:val="300"/>
        </w:trPr>
        <w:tc>
          <w:tcPr>
            <w:tcW w:w="3964" w:type="dxa"/>
            <w:tcBorders>
              <w:right w:val="single" w:sz="4" w:space="0" w:color="auto"/>
            </w:tcBorders>
            <w:shd w:val="clear" w:color="auto" w:fill="auto"/>
            <w:noWrap/>
            <w:vAlign w:val="bottom"/>
            <w:hideMark/>
          </w:tcPr>
          <w:p w14:paraId="0CF3F13C" w14:textId="7646B85B" w:rsidR="00375729" w:rsidRPr="00E55AB2" w:rsidRDefault="00375729" w:rsidP="00A4034F">
            <w:pPr>
              <w:pStyle w:val="Tablebullet-Level1"/>
            </w:pPr>
            <w:r>
              <w:t>IT</w:t>
            </w:r>
            <w:r w:rsidRPr="00E55AB2">
              <w:t xml:space="preserve"> capital productivity</w:t>
            </w:r>
          </w:p>
        </w:tc>
        <w:tc>
          <w:tcPr>
            <w:tcW w:w="1134" w:type="dxa"/>
            <w:tcBorders>
              <w:left w:val="single" w:sz="4" w:space="0" w:color="auto"/>
              <w:right w:val="single" w:sz="4" w:space="0" w:color="BFBFBF" w:themeColor="background1" w:themeShade="BF"/>
            </w:tcBorders>
            <w:shd w:val="clear" w:color="auto" w:fill="auto"/>
            <w:noWrap/>
            <w:vAlign w:val="bottom"/>
            <w:hideMark/>
          </w:tcPr>
          <w:p w14:paraId="057A44B8" w14:textId="77777777" w:rsidR="00375729" w:rsidRPr="00E55AB2" w:rsidRDefault="00375729" w:rsidP="00A4034F">
            <w:pPr>
              <w:pStyle w:val="Tabletext"/>
              <w:rPr>
                <w:sz w:val="20"/>
                <w:szCs w:val="20"/>
              </w:rPr>
            </w:pPr>
            <w:r>
              <w:rPr>
                <w:sz w:val="20"/>
                <w:szCs w:val="20"/>
              </w:rPr>
              <w:t>-0.62</w:t>
            </w:r>
          </w:p>
        </w:tc>
        <w:tc>
          <w:tcPr>
            <w:tcW w:w="1418"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3EAB09FB" w14:textId="77777777" w:rsidR="00375729" w:rsidRPr="00E55AB2" w:rsidRDefault="00375729" w:rsidP="00A4034F">
            <w:pPr>
              <w:pStyle w:val="Tabletext"/>
              <w:rPr>
                <w:sz w:val="20"/>
                <w:szCs w:val="20"/>
              </w:rPr>
            </w:pPr>
            <w:r w:rsidRPr="00E55AB2">
              <w:rPr>
                <w:sz w:val="20"/>
                <w:szCs w:val="20"/>
              </w:rPr>
              <w:t>-</w:t>
            </w:r>
            <w:r>
              <w:rPr>
                <w:sz w:val="20"/>
                <w:szCs w:val="20"/>
              </w:rPr>
              <w:t>1</w:t>
            </w:r>
            <w:r w:rsidRPr="00E55AB2">
              <w:rPr>
                <w:sz w:val="20"/>
                <w:szCs w:val="20"/>
              </w:rPr>
              <w:t>.4</w:t>
            </w:r>
            <w:r>
              <w:rPr>
                <w:sz w:val="20"/>
                <w:szCs w:val="20"/>
              </w:rPr>
              <w:t>5</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42AAB26F" w14:textId="77777777" w:rsidR="00375729" w:rsidRPr="00E55AB2" w:rsidRDefault="00375729" w:rsidP="00A4034F">
            <w:pPr>
              <w:pStyle w:val="Tabletext"/>
              <w:rPr>
                <w:sz w:val="20"/>
                <w:szCs w:val="20"/>
              </w:rPr>
            </w:pPr>
            <w:r w:rsidRPr="00E55AB2">
              <w:rPr>
                <w:sz w:val="20"/>
                <w:szCs w:val="20"/>
              </w:rPr>
              <w:t>-</w:t>
            </w:r>
            <w:r>
              <w:rPr>
                <w:sz w:val="20"/>
                <w:szCs w:val="20"/>
              </w:rPr>
              <w:t>1</w:t>
            </w:r>
            <w:r w:rsidRPr="00E55AB2">
              <w:rPr>
                <w:sz w:val="20"/>
                <w:szCs w:val="20"/>
              </w:rPr>
              <w:t>.47</w:t>
            </w:r>
          </w:p>
        </w:tc>
        <w:tc>
          <w:tcPr>
            <w:tcW w:w="1275" w:type="dxa"/>
            <w:tcBorders>
              <w:left w:val="single" w:sz="4" w:space="0" w:color="BFBFBF" w:themeColor="background1" w:themeShade="BF"/>
            </w:tcBorders>
            <w:shd w:val="clear" w:color="auto" w:fill="auto"/>
            <w:noWrap/>
            <w:vAlign w:val="bottom"/>
            <w:hideMark/>
          </w:tcPr>
          <w:p w14:paraId="298C1468" w14:textId="77777777" w:rsidR="00375729" w:rsidRPr="00E55AB2" w:rsidRDefault="00375729" w:rsidP="00A4034F">
            <w:pPr>
              <w:pStyle w:val="Tabletext"/>
              <w:rPr>
                <w:sz w:val="20"/>
                <w:szCs w:val="20"/>
              </w:rPr>
            </w:pPr>
            <w:r w:rsidRPr="00E55AB2">
              <w:rPr>
                <w:sz w:val="20"/>
                <w:szCs w:val="20"/>
              </w:rPr>
              <w:t>-0.</w:t>
            </w:r>
            <w:r>
              <w:rPr>
                <w:sz w:val="20"/>
                <w:szCs w:val="20"/>
              </w:rPr>
              <w:t>59</w:t>
            </w:r>
          </w:p>
        </w:tc>
      </w:tr>
      <w:tr w:rsidR="00375729" w:rsidRPr="00E55AB2" w14:paraId="5725A65F" w14:textId="77777777" w:rsidTr="00CF3D6E">
        <w:trPr>
          <w:trHeight w:val="300"/>
        </w:trPr>
        <w:tc>
          <w:tcPr>
            <w:tcW w:w="3964" w:type="dxa"/>
            <w:tcBorders>
              <w:right w:val="single" w:sz="4" w:space="0" w:color="auto"/>
            </w:tcBorders>
            <w:shd w:val="clear" w:color="auto" w:fill="auto"/>
            <w:noWrap/>
            <w:vAlign w:val="bottom"/>
            <w:hideMark/>
          </w:tcPr>
          <w:p w14:paraId="21317DC4" w14:textId="5CF1ADBF" w:rsidR="00375729" w:rsidRPr="00E55AB2" w:rsidRDefault="00375729" w:rsidP="00A4034F">
            <w:pPr>
              <w:pStyle w:val="Tablebullet-Level1"/>
            </w:pPr>
            <w:r w:rsidRPr="00E55AB2">
              <w:t>Non-</w:t>
            </w:r>
            <w:r>
              <w:t>IT</w:t>
            </w:r>
            <w:r w:rsidRPr="00E55AB2">
              <w:t xml:space="preserve"> capital productivity</w:t>
            </w:r>
          </w:p>
        </w:tc>
        <w:tc>
          <w:tcPr>
            <w:tcW w:w="1134" w:type="dxa"/>
            <w:tcBorders>
              <w:left w:val="single" w:sz="4" w:space="0" w:color="auto"/>
              <w:right w:val="single" w:sz="4" w:space="0" w:color="BFBFBF" w:themeColor="background1" w:themeShade="BF"/>
            </w:tcBorders>
            <w:shd w:val="clear" w:color="auto" w:fill="auto"/>
            <w:noWrap/>
            <w:vAlign w:val="bottom"/>
            <w:hideMark/>
          </w:tcPr>
          <w:p w14:paraId="02B28A5E" w14:textId="77777777" w:rsidR="00375729" w:rsidRPr="00E55AB2" w:rsidRDefault="00375729" w:rsidP="00A4034F">
            <w:pPr>
              <w:pStyle w:val="Tabletext"/>
              <w:rPr>
                <w:sz w:val="20"/>
                <w:szCs w:val="20"/>
              </w:rPr>
            </w:pPr>
            <w:r>
              <w:rPr>
                <w:sz w:val="20"/>
                <w:szCs w:val="20"/>
              </w:rPr>
              <w:t>1.14</w:t>
            </w:r>
          </w:p>
        </w:tc>
        <w:tc>
          <w:tcPr>
            <w:tcW w:w="1418"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1672FA8A" w14:textId="77777777" w:rsidR="00375729" w:rsidRPr="00E55AB2" w:rsidRDefault="00375729" w:rsidP="00A4034F">
            <w:pPr>
              <w:pStyle w:val="Tabletext"/>
              <w:rPr>
                <w:sz w:val="20"/>
                <w:szCs w:val="20"/>
              </w:rPr>
            </w:pPr>
            <w:r>
              <w:rPr>
                <w:sz w:val="20"/>
                <w:szCs w:val="20"/>
              </w:rPr>
              <w:t>1</w:t>
            </w:r>
            <w:r w:rsidRPr="00E55AB2">
              <w:rPr>
                <w:sz w:val="20"/>
                <w:szCs w:val="20"/>
              </w:rPr>
              <w:t>.9</w:t>
            </w:r>
            <w:r>
              <w:rPr>
                <w:sz w:val="20"/>
                <w:szCs w:val="20"/>
              </w:rPr>
              <w:t>3</w:t>
            </w:r>
          </w:p>
        </w:tc>
        <w:tc>
          <w:tcPr>
            <w:tcW w:w="1276" w:type="dxa"/>
            <w:tcBorders>
              <w:left w:val="single" w:sz="4" w:space="0" w:color="BFBFBF" w:themeColor="background1" w:themeShade="BF"/>
              <w:right w:val="single" w:sz="4" w:space="0" w:color="BFBFBF" w:themeColor="background1" w:themeShade="BF"/>
            </w:tcBorders>
            <w:shd w:val="clear" w:color="auto" w:fill="auto"/>
            <w:noWrap/>
            <w:vAlign w:val="bottom"/>
            <w:hideMark/>
          </w:tcPr>
          <w:p w14:paraId="54023110" w14:textId="77777777" w:rsidR="00375729" w:rsidRPr="00E55AB2" w:rsidRDefault="00375729" w:rsidP="00A4034F">
            <w:pPr>
              <w:pStyle w:val="Tabletext"/>
              <w:rPr>
                <w:sz w:val="20"/>
                <w:szCs w:val="20"/>
              </w:rPr>
            </w:pPr>
            <w:r>
              <w:rPr>
                <w:sz w:val="20"/>
                <w:szCs w:val="20"/>
              </w:rPr>
              <w:t>2</w:t>
            </w:r>
            <w:r w:rsidRPr="00E55AB2">
              <w:rPr>
                <w:sz w:val="20"/>
                <w:szCs w:val="20"/>
              </w:rPr>
              <w:t>.04</w:t>
            </w:r>
          </w:p>
        </w:tc>
        <w:tc>
          <w:tcPr>
            <w:tcW w:w="1275" w:type="dxa"/>
            <w:tcBorders>
              <w:left w:val="single" w:sz="4" w:space="0" w:color="BFBFBF" w:themeColor="background1" w:themeShade="BF"/>
            </w:tcBorders>
            <w:shd w:val="clear" w:color="auto" w:fill="auto"/>
            <w:noWrap/>
            <w:vAlign w:val="bottom"/>
            <w:hideMark/>
          </w:tcPr>
          <w:p w14:paraId="732114BE" w14:textId="77777777" w:rsidR="00375729" w:rsidRPr="00E55AB2" w:rsidRDefault="00375729" w:rsidP="00A4034F">
            <w:pPr>
              <w:pStyle w:val="Tabletext"/>
              <w:rPr>
                <w:sz w:val="20"/>
                <w:szCs w:val="20"/>
              </w:rPr>
            </w:pPr>
            <w:r w:rsidRPr="00E55AB2">
              <w:rPr>
                <w:sz w:val="20"/>
                <w:szCs w:val="20"/>
              </w:rPr>
              <w:t>0.</w:t>
            </w:r>
            <w:r>
              <w:rPr>
                <w:sz w:val="20"/>
                <w:szCs w:val="20"/>
              </w:rPr>
              <w:t>97</w:t>
            </w:r>
          </w:p>
        </w:tc>
      </w:tr>
      <w:tr w:rsidR="00375729" w:rsidRPr="00E55AB2" w14:paraId="744653B3" w14:textId="77777777" w:rsidTr="00CF3D6E">
        <w:trPr>
          <w:trHeight w:val="300"/>
        </w:trPr>
        <w:tc>
          <w:tcPr>
            <w:tcW w:w="3964" w:type="dxa"/>
            <w:tcBorders>
              <w:right w:val="single" w:sz="4" w:space="0" w:color="auto"/>
            </w:tcBorders>
            <w:shd w:val="clear" w:color="auto" w:fill="auto"/>
            <w:noWrap/>
            <w:vAlign w:val="bottom"/>
            <w:hideMark/>
          </w:tcPr>
          <w:p w14:paraId="14EA13EE" w14:textId="77777777" w:rsidR="00375729" w:rsidRPr="00CF3D6E" w:rsidRDefault="00375729" w:rsidP="00A4034F">
            <w:pPr>
              <w:pStyle w:val="Tabletext"/>
            </w:pPr>
            <w:r w:rsidRPr="00CF3D6E">
              <w:t>MFP growth</w:t>
            </w:r>
          </w:p>
        </w:tc>
        <w:tc>
          <w:tcPr>
            <w:tcW w:w="1134" w:type="dxa"/>
            <w:tcBorders>
              <w:left w:val="single" w:sz="4" w:space="0" w:color="auto"/>
              <w:bottom w:val="single" w:sz="4" w:space="0" w:color="auto"/>
              <w:right w:val="single" w:sz="4" w:space="0" w:color="BFBFBF" w:themeColor="background1" w:themeShade="BF"/>
            </w:tcBorders>
            <w:shd w:val="clear" w:color="auto" w:fill="auto"/>
            <w:noWrap/>
            <w:vAlign w:val="center"/>
            <w:hideMark/>
          </w:tcPr>
          <w:p w14:paraId="730B4768" w14:textId="77777777" w:rsidR="00375729" w:rsidRPr="00CF3D6E" w:rsidRDefault="00375729" w:rsidP="00A4034F">
            <w:pPr>
              <w:pStyle w:val="Tabletext"/>
            </w:pPr>
            <w:r w:rsidRPr="00CF3D6E">
              <w:t>4.5</w:t>
            </w:r>
          </w:p>
        </w:tc>
        <w:tc>
          <w:tcPr>
            <w:tcW w:w="1418" w:type="dxa"/>
            <w:tcBorders>
              <w:left w:val="single" w:sz="4" w:space="0" w:color="BFBFBF" w:themeColor="background1" w:themeShade="BF"/>
              <w:right w:val="single" w:sz="4" w:space="0" w:color="BFBFBF" w:themeColor="background1" w:themeShade="BF"/>
            </w:tcBorders>
            <w:shd w:val="clear" w:color="auto" w:fill="auto"/>
            <w:noWrap/>
            <w:vAlign w:val="center"/>
            <w:hideMark/>
          </w:tcPr>
          <w:p w14:paraId="12BF5898" w14:textId="77777777" w:rsidR="00375729" w:rsidRPr="00CF3D6E" w:rsidRDefault="00375729" w:rsidP="00A4034F">
            <w:pPr>
              <w:pStyle w:val="Tabletext"/>
            </w:pPr>
            <w:r w:rsidRPr="00CF3D6E">
              <w:t>2.3</w:t>
            </w:r>
          </w:p>
        </w:tc>
        <w:tc>
          <w:tcPr>
            <w:tcW w:w="1276" w:type="dxa"/>
            <w:tcBorders>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hideMark/>
          </w:tcPr>
          <w:p w14:paraId="51B683C7" w14:textId="77777777" w:rsidR="00375729" w:rsidRPr="00CF3D6E" w:rsidRDefault="00375729" w:rsidP="00A4034F">
            <w:pPr>
              <w:pStyle w:val="Tabletext"/>
            </w:pPr>
            <w:r w:rsidRPr="00CF3D6E">
              <w:t>2.0</w:t>
            </w:r>
          </w:p>
        </w:tc>
        <w:tc>
          <w:tcPr>
            <w:tcW w:w="1275" w:type="dxa"/>
            <w:tcBorders>
              <w:left w:val="single" w:sz="4" w:space="0" w:color="BFBFBF" w:themeColor="background1" w:themeShade="BF"/>
            </w:tcBorders>
            <w:shd w:val="clear" w:color="auto" w:fill="auto"/>
            <w:noWrap/>
            <w:vAlign w:val="center"/>
            <w:hideMark/>
          </w:tcPr>
          <w:p w14:paraId="61EA4AD9" w14:textId="77777777" w:rsidR="00375729" w:rsidRPr="00CF3D6E" w:rsidRDefault="00375729" w:rsidP="00A4034F">
            <w:pPr>
              <w:pStyle w:val="Tabletext"/>
            </w:pPr>
            <w:r w:rsidRPr="00CF3D6E">
              <w:t>1.1</w:t>
            </w:r>
          </w:p>
        </w:tc>
      </w:tr>
    </w:tbl>
    <w:p w14:paraId="4905F74F" w14:textId="77777777" w:rsidR="00E6193A" w:rsidRPr="00323930" w:rsidRDefault="00375729" w:rsidP="00A4034F">
      <w:pPr>
        <w:pStyle w:val="Tabletext"/>
      </w:pPr>
      <w:r w:rsidRPr="00D97BB3">
        <w:t xml:space="preserve"> </w:t>
      </w:r>
      <w:r>
        <w:t xml:space="preserve">Source: </w:t>
      </w:r>
      <w:r w:rsidRPr="00323930">
        <w:t>Author estimates</w:t>
      </w:r>
      <w:r w:rsidR="00E6193A">
        <w:t xml:space="preserve">. </w:t>
      </w:r>
      <w:r w:rsidR="00E6193A" w:rsidRPr="000E36A5">
        <w:t>Numbers may not add up due to rounding</w:t>
      </w:r>
      <w:r w:rsidR="00E6193A">
        <w:t xml:space="preserve">. </w:t>
      </w:r>
      <w:r w:rsidR="00E6193A" w:rsidRPr="00323930">
        <w:tab/>
      </w:r>
    </w:p>
    <w:p w14:paraId="04ED6027" w14:textId="77777777" w:rsidR="00375729" w:rsidRDefault="00375729" w:rsidP="00375729">
      <w:r>
        <w:t xml:space="preserve">The trends in asset productivities examined in the previous section are summarised for MFP cycles in Table </w:t>
      </w:r>
      <w:r w:rsidR="00D216E2">
        <w:t>G</w:t>
      </w:r>
      <w:r w:rsidR="002D2394">
        <w:t>8</w:t>
      </w:r>
      <w:r>
        <w:t>. The growth in asset productivity over a cycle is shown first</w:t>
      </w:r>
      <w:r w:rsidR="002D2394">
        <w:t xml:space="preserve"> (unweighted)</w:t>
      </w:r>
      <w:r>
        <w:t>, with another row showing asset productivity growth weighted by the asset’s share in capital income. This provides an indication of the relative importance of the different asset productivities. However, these values should not be regarded as contributions that can be added.</w:t>
      </w:r>
    </w:p>
    <w:p w14:paraId="218E7277"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rPr>
          <w:color w:val="900D10" w:themeColor="accent1" w:themeShade="80"/>
        </w:rPr>
        <w:br w:type="page"/>
      </w:r>
    </w:p>
    <w:p w14:paraId="70C9FED8" w14:textId="77777777" w:rsidR="00375729" w:rsidRPr="00CF3D6E" w:rsidRDefault="00375729" w:rsidP="00A4034F">
      <w:pPr>
        <w:pStyle w:val="Tablecaption"/>
      </w:pPr>
      <w:r w:rsidRPr="00473DDE">
        <w:fldChar w:fldCharType="begin"/>
      </w:r>
      <w:r w:rsidRPr="00473DDE">
        <w:instrText xml:space="preserve"> LINK Excel.Sheet.12 "\\\\dept.gov.au\\DFS\\Home\\DParham\\Desktop\\Docs\\1. GA project\\Retail trade\\Retail workbook 150709.xlsx" MFP!R147C28:R157C33 \a \f 4 \h  \* MERGEFORMAT </w:instrText>
      </w:r>
      <w:r w:rsidRPr="00473DDE">
        <w:fldChar w:fldCharType="separate"/>
      </w:r>
      <w:r>
        <w:t xml:space="preserve">Table </w:t>
      </w:r>
      <w:r w:rsidR="00EE622A">
        <w:t>G3</w:t>
      </w:r>
      <w:r w:rsidRPr="00473DDE">
        <w:t>: Capital productivity for selected assets over MFP cycles, unweighted and weighted</w:t>
      </w:r>
      <w:r w:rsidRPr="00473DDE">
        <w:rPr>
          <w:vertAlign w:val="superscript"/>
        </w:rPr>
        <w:t>a</w:t>
      </w:r>
      <w:r w:rsidRPr="00473DDE">
        <w:t xml:space="preserve"> </w:t>
      </w:r>
      <w:r w:rsidR="002D2394">
        <w:br/>
      </w:r>
      <w:r w:rsidRPr="00473DDE">
        <w:t>(per cent per year)</w:t>
      </w:r>
      <w:r w:rsidRPr="00473DDE">
        <w:fldChar w:fldCharType="end"/>
      </w:r>
      <w:r>
        <w:rPr>
          <w:color w:val="000000"/>
          <w14:textFill>
            <w14:solidFill>
              <w14:srgbClr w14:val="000000">
                <w14:lumMod w14:val="75000"/>
              </w14:srgbClr>
            </w14:solidFill>
          </w14:textFill>
        </w:rPr>
        <w:fldChar w:fldCharType="begin"/>
      </w:r>
      <w:r w:rsidRPr="00E54C59">
        <w:rPr>
          <w:color w:val="000000"/>
          <w14:textFill>
            <w14:solidFill>
              <w14:srgbClr w14:val="000000">
                <w14:lumMod w14:val="75000"/>
              </w14:srgbClr>
            </w14:solidFill>
          </w14:textFill>
        </w:rPr>
        <w:instrText xml:space="preserve"> LINK Excel.Sheet.12 "\\\\dept.gov.au\\DFS\\Home\\DParham\\Desktop\\Docs\\1. GA project\\Finance\\Finance workbook 150811.xlsx" "MFP!R142C28:R148C32" \a \f 5 \h  \* MERGEFORMAT </w:instrText>
      </w:r>
      <w:r>
        <w:rPr>
          <w:color w:val="000000"/>
          <w14:textFill>
            <w14:solidFill>
              <w14:srgbClr w14:val="000000">
                <w14:lumMod w14:val="75000"/>
              </w14:srgbClr>
            </w14:solidFill>
          </w14:textFill>
        </w:rPr>
        <w:fldChar w:fldCharType="separate"/>
      </w:r>
    </w:p>
    <w:tbl>
      <w:tblPr>
        <w:tblStyle w:val="TableGrid"/>
        <w:tblW w:w="7933" w:type="dxa"/>
        <w:tblLayout w:type="fixed"/>
        <w:tblLook w:val="04A0" w:firstRow="1" w:lastRow="0" w:firstColumn="1" w:lastColumn="0" w:noHBand="0" w:noVBand="1"/>
      </w:tblPr>
      <w:tblGrid>
        <w:gridCol w:w="2800"/>
        <w:gridCol w:w="1283"/>
        <w:gridCol w:w="1283"/>
        <w:gridCol w:w="1283"/>
        <w:gridCol w:w="1284"/>
      </w:tblGrid>
      <w:tr w:rsidR="00375729" w:rsidRPr="00A240B8" w14:paraId="7BEC44D0" w14:textId="77777777" w:rsidTr="0058764D">
        <w:trPr>
          <w:trHeight w:val="495"/>
          <w:tblHeader/>
        </w:trPr>
        <w:tc>
          <w:tcPr>
            <w:tcW w:w="2800" w:type="dxa"/>
            <w:tcBorders>
              <w:bottom w:val="single" w:sz="4" w:space="0" w:color="auto"/>
            </w:tcBorders>
            <w:noWrap/>
            <w:hideMark/>
          </w:tcPr>
          <w:p w14:paraId="1042867A" w14:textId="013BFC37" w:rsidR="00375729" w:rsidRPr="000C6BF6" w:rsidRDefault="00375729" w:rsidP="00A4034F">
            <w:pPr>
              <w:pStyle w:val="Tablecellheading"/>
            </w:pPr>
            <w:r w:rsidRPr="000C6BF6">
              <w:t> </w:t>
            </w:r>
          </w:p>
        </w:tc>
        <w:tc>
          <w:tcPr>
            <w:tcW w:w="1283" w:type="dxa"/>
            <w:tcBorders>
              <w:bottom w:val="single" w:sz="4" w:space="0" w:color="auto"/>
              <w:right w:val="single" w:sz="4" w:space="0" w:color="BFBFBF" w:themeColor="background1" w:themeShade="BF"/>
            </w:tcBorders>
            <w:hideMark/>
          </w:tcPr>
          <w:p w14:paraId="632DC046" w14:textId="77777777" w:rsidR="00375729" w:rsidRPr="00E54C59" w:rsidRDefault="00375729" w:rsidP="00A4034F">
            <w:pPr>
              <w:pStyle w:val="Tablecellheading"/>
            </w:pPr>
            <w:r w:rsidRPr="00E54C59">
              <w:t>1989–90 to 1993–94</w:t>
            </w:r>
          </w:p>
        </w:tc>
        <w:tc>
          <w:tcPr>
            <w:tcW w:w="1283" w:type="dxa"/>
            <w:tcBorders>
              <w:left w:val="single" w:sz="4" w:space="0" w:color="BFBFBF" w:themeColor="background1" w:themeShade="BF"/>
              <w:bottom w:val="single" w:sz="4" w:space="0" w:color="auto"/>
              <w:right w:val="single" w:sz="4" w:space="0" w:color="BFBFBF" w:themeColor="background1" w:themeShade="BF"/>
            </w:tcBorders>
            <w:hideMark/>
          </w:tcPr>
          <w:p w14:paraId="6D3621FB" w14:textId="77777777" w:rsidR="00375729" w:rsidRPr="00E54C59" w:rsidRDefault="00375729" w:rsidP="00A4034F">
            <w:pPr>
              <w:pStyle w:val="Tablecellheading"/>
            </w:pPr>
            <w:r w:rsidRPr="00E54C59">
              <w:t>1993–94 to 1998–99</w:t>
            </w:r>
          </w:p>
        </w:tc>
        <w:tc>
          <w:tcPr>
            <w:tcW w:w="1283" w:type="dxa"/>
            <w:tcBorders>
              <w:left w:val="single" w:sz="4" w:space="0" w:color="BFBFBF" w:themeColor="background1" w:themeShade="BF"/>
              <w:bottom w:val="single" w:sz="4" w:space="0" w:color="auto"/>
              <w:right w:val="single" w:sz="4" w:space="0" w:color="BFBFBF" w:themeColor="background1" w:themeShade="BF"/>
            </w:tcBorders>
            <w:hideMark/>
          </w:tcPr>
          <w:p w14:paraId="50C2913E" w14:textId="77777777" w:rsidR="00375729" w:rsidRPr="00E54C59" w:rsidRDefault="00375729" w:rsidP="00A4034F">
            <w:pPr>
              <w:pStyle w:val="Tablecellheading"/>
            </w:pPr>
            <w:r w:rsidRPr="00E54C59">
              <w:t>1998–99 to 2007–08</w:t>
            </w:r>
          </w:p>
        </w:tc>
        <w:tc>
          <w:tcPr>
            <w:tcW w:w="1284" w:type="dxa"/>
            <w:tcBorders>
              <w:left w:val="single" w:sz="4" w:space="0" w:color="BFBFBF" w:themeColor="background1" w:themeShade="BF"/>
              <w:bottom w:val="single" w:sz="4" w:space="0" w:color="auto"/>
            </w:tcBorders>
            <w:hideMark/>
          </w:tcPr>
          <w:p w14:paraId="534AE97D" w14:textId="77777777" w:rsidR="00375729" w:rsidRPr="00E54C59" w:rsidRDefault="00375729" w:rsidP="00A4034F">
            <w:pPr>
              <w:pStyle w:val="Tablecellheading"/>
            </w:pPr>
            <w:r w:rsidRPr="00E54C59">
              <w:t>2007–08 to 2013–14</w:t>
            </w:r>
          </w:p>
        </w:tc>
      </w:tr>
      <w:tr w:rsidR="00375729" w:rsidRPr="000C6BF6" w14:paraId="2614396D" w14:textId="77777777" w:rsidTr="00301886">
        <w:trPr>
          <w:trHeight w:val="300"/>
        </w:trPr>
        <w:tc>
          <w:tcPr>
            <w:tcW w:w="2800" w:type="dxa"/>
            <w:tcBorders>
              <w:bottom w:val="nil"/>
            </w:tcBorders>
            <w:noWrap/>
            <w:hideMark/>
          </w:tcPr>
          <w:p w14:paraId="3218C8B0" w14:textId="77777777" w:rsidR="00375729" w:rsidRPr="00CF3D6E" w:rsidRDefault="00375729" w:rsidP="00A4034F">
            <w:pPr>
              <w:pStyle w:val="Tabletext"/>
            </w:pPr>
            <w:r w:rsidRPr="00CF3D6E">
              <w:t>Land productivity</w:t>
            </w:r>
          </w:p>
        </w:tc>
        <w:tc>
          <w:tcPr>
            <w:tcW w:w="1283" w:type="dxa"/>
            <w:tcBorders>
              <w:bottom w:val="nil"/>
              <w:right w:val="single" w:sz="4" w:space="0" w:color="BFBFBF" w:themeColor="background1" w:themeShade="BF"/>
            </w:tcBorders>
            <w:noWrap/>
            <w:hideMark/>
          </w:tcPr>
          <w:p w14:paraId="7BD7DBC7" w14:textId="77777777" w:rsidR="00375729" w:rsidRPr="00CF3D6E" w:rsidRDefault="00375729" w:rsidP="00A4034F">
            <w:pPr>
              <w:pStyle w:val="Tabletext"/>
            </w:pPr>
            <w:r w:rsidRPr="00CF3D6E">
              <w:t xml:space="preserve">3.54 </w:t>
            </w:r>
          </w:p>
        </w:tc>
        <w:tc>
          <w:tcPr>
            <w:tcW w:w="1283" w:type="dxa"/>
            <w:tcBorders>
              <w:left w:val="single" w:sz="4" w:space="0" w:color="BFBFBF" w:themeColor="background1" w:themeShade="BF"/>
              <w:bottom w:val="nil"/>
              <w:right w:val="single" w:sz="4" w:space="0" w:color="BFBFBF" w:themeColor="background1" w:themeShade="BF"/>
            </w:tcBorders>
            <w:noWrap/>
            <w:hideMark/>
          </w:tcPr>
          <w:p w14:paraId="23176B50" w14:textId="77777777" w:rsidR="00375729" w:rsidRPr="00CF3D6E" w:rsidRDefault="00375729" w:rsidP="00A4034F">
            <w:pPr>
              <w:pStyle w:val="Tabletext"/>
            </w:pPr>
            <w:r w:rsidRPr="00CF3D6E">
              <w:t xml:space="preserve">4.92 </w:t>
            </w:r>
          </w:p>
        </w:tc>
        <w:tc>
          <w:tcPr>
            <w:tcW w:w="1283" w:type="dxa"/>
            <w:tcBorders>
              <w:left w:val="single" w:sz="4" w:space="0" w:color="BFBFBF" w:themeColor="background1" w:themeShade="BF"/>
              <w:bottom w:val="nil"/>
              <w:right w:val="single" w:sz="4" w:space="0" w:color="BFBFBF" w:themeColor="background1" w:themeShade="BF"/>
            </w:tcBorders>
            <w:noWrap/>
            <w:hideMark/>
          </w:tcPr>
          <w:p w14:paraId="547CA604" w14:textId="77777777" w:rsidR="00375729" w:rsidRPr="00CF3D6E" w:rsidRDefault="00375729" w:rsidP="00A4034F">
            <w:pPr>
              <w:pStyle w:val="Tabletext"/>
            </w:pPr>
            <w:r w:rsidRPr="00CF3D6E">
              <w:t xml:space="preserve">5.88 </w:t>
            </w:r>
          </w:p>
        </w:tc>
        <w:tc>
          <w:tcPr>
            <w:tcW w:w="1284" w:type="dxa"/>
            <w:tcBorders>
              <w:left w:val="single" w:sz="4" w:space="0" w:color="BFBFBF" w:themeColor="background1" w:themeShade="BF"/>
              <w:bottom w:val="nil"/>
            </w:tcBorders>
            <w:noWrap/>
            <w:hideMark/>
          </w:tcPr>
          <w:p w14:paraId="4CF9CC02" w14:textId="77777777" w:rsidR="00375729" w:rsidRPr="00CF3D6E" w:rsidRDefault="00375729" w:rsidP="00A4034F">
            <w:pPr>
              <w:pStyle w:val="Tabletext"/>
            </w:pPr>
            <w:r w:rsidRPr="00CF3D6E">
              <w:t xml:space="preserve">3.17 </w:t>
            </w:r>
          </w:p>
        </w:tc>
      </w:tr>
      <w:tr w:rsidR="00375729" w:rsidRPr="000C6BF6" w14:paraId="56A6D581" w14:textId="77777777" w:rsidTr="00301886">
        <w:trPr>
          <w:trHeight w:val="300"/>
        </w:trPr>
        <w:tc>
          <w:tcPr>
            <w:tcW w:w="2800" w:type="dxa"/>
            <w:tcBorders>
              <w:top w:val="nil"/>
              <w:bottom w:val="single" w:sz="4" w:space="0" w:color="BFBFBF" w:themeColor="background1" w:themeShade="BF"/>
            </w:tcBorders>
            <w:noWrap/>
            <w:hideMark/>
          </w:tcPr>
          <w:p w14:paraId="70EBD61F" w14:textId="77777777" w:rsidR="00375729" w:rsidRPr="000C6BF6" w:rsidRDefault="0058764D" w:rsidP="00A4034F">
            <w:pPr>
              <w:pStyle w:val="Tablebullet-Level1"/>
            </w:pPr>
            <w:r>
              <w:t>W</w:t>
            </w:r>
            <w:r w:rsidR="00375729" w:rsidRPr="000C6BF6">
              <w:t>eighted</w:t>
            </w:r>
          </w:p>
        </w:tc>
        <w:tc>
          <w:tcPr>
            <w:tcW w:w="1283" w:type="dxa"/>
            <w:tcBorders>
              <w:top w:val="nil"/>
              <w:bottom w:val="single" w:sz="4" w:space="0" w:color="BFBFBF" w:themeColor="background1" w:themeShade="BF"/>
              <w:right w:val="single" w:sz="4" w:space="0" w:color="BFBFBF" w:themeColor="background1" w:themeShade="BF"/>
            </w:tcBorders>
            <w:noWrap/>
            <w:hideMark/>
          </w:tcPr>
          <w:p w14:paraId="22826710" w14:textId="77777777" w:rsidR="00375729" w:rsidRPr="000C6BF6" w:rsidRDefault="00375729" w:rsidP="00A4034F">
            <w:pPr>
              <w:pStyle w:val="Tabletext"/>
            </w:pPr>
            <w:r w:rsidRPr="000C6BF6">
              <w:t>0.</w:t>
            </w:r>
            <w:r>
              <w:t>40</w:t>
            </w:r>
          </w:p>
        </w:tc>
        <w:tc>
          <w:tcPr>
            <w:tcW w:w="128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B897C4" w14:textId="77777777" w:rsidR="00375729" w:rsidRPr="000C6BF6" w:rsidRDefault="00375729" w:rsidP="00A4034F">
            <w:pPr>
              <w:pStyle w:val="Tabletext"/>
            </w:pPr>
            <w:r w:rsidRPr="000C6BF6">
              <w:t>0.</w:t>
            </w:r>
            <w:r>
              <w:t>4</w:t>
            </w:r>
            <w:r w:rsidRPr="000C6BF6">
              <w:t>9</w:t>
            </w:r>
          </w:p>
        </w:tc>
        <w:tc>
          <w:tcPr>
            <w:tcW w:w="128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A33AEE" w14:textId="77777777" w:rsidR="00375729" w:rsidRPr="000C6BF6" w:rsidRDefault="00375729" w:rsidP="00A4034F">
            <w:pPr>
              <w:pStyle w:val="Tabletext"/>
            </w:pPr>
            <w:r w:rsidRPr="000C6BF6">
              <w:t>0.</w:t>
            </w:r>
            <w:r>
              <w:t>57</w:t>
            </w:r>
          </w:p>
        </w:tc>
        <w:tc>
          <w:tcPr>
            <w:tcW w:w="1284" w:type="dxa"/>
            <w:tcBorders>
              <w:top w:val="nil"/>
              <w:left w:val="single" w:sz="4" w:space="0" w:color="BFBFBF" w:themeColor="background1" w:themeShade="BF"/>
              <w:bottom w:val="single" w:sz="4" w:space="0" w:color="BFBFBF" w:themeColor="background1" w:themeShade="BF"/>
            </w:tcBorders>
            <w:noWrap/>
            <w:hideMark/>
          </w:tcPr>
          <w:p w14:paraId="7C1898B2" w14:textId="77777777" w:rsidR="00375729" w:rsidRPr="000C6BF6" w:rsidRDefault="00375729" w:rsidP="00A4034F">
            <w:pPr>
              <w:pStyle w:val="Tabletext"/>
            </w:pPr>
            <w:r w:rsidRPr="000C6BF6">
              <w:t>0.</w:t>
            </w:r>
            <w:r>
              <w:t>3</w:t>
            </w:r>
            <w:r w:rsidRPr="000C6BF6">
              <w:t>6</w:t>
            </w:r>
          </w:p>
        </w:tc>
      </w:tr>
      <w:tr w:rsidR="00375729" w:rsidRPr="000C6BF6" w14:paraId="0C986814" w14:textId="77777777" w:rsidTr="00301886">
        <w:trPr>
          <w:trHeight w:val="300"/>
        </w:trPr>
        <w:tc>
          <w:tcPr>
            <w:tcW w:w="2800" w:type="dxa"/>
            <w:tcBorders>
              <w:top w:val="single" w:sz="4" w:space="0" w:color="BFBFBF" w:themeColor="background1" w:themeShade="BF"/>
              <w:bottom w:val="nil"/>
            </w:tcBorders>
            <w:noWrap/>
            <w:hideMark/>
          </w:tcPr>
          <w:p w14:paraId="5959A4FB" w14:textId="77777777" w:rsidR="00375729" w:rsidRPr="00CF3D6E" w:rsidRDefault="00375729" w:rsidP="00A4034F">
            <w:pPr>
              <w:pStyle w:val="Tabletext"/>
            </w:pPr>
            <w:r w:rsidRPr="00CF3D6E">
              <w:t>Road vehicles productivity</w:t>
            </w:r>
          </w:p>
        </w:tc>
        <w:tc>
          <w:tcPr>
            <w:tcW w:w="1283" w:type="dxa"/>
            <w:tcBorders>
              <w:top w:val="single" w:sz="4" w:space="0" w:color="BFBFBF" w:themeColor="background1" w:themeShade="BF"/>
              <w:bottom w:val="nil"/>
              <w:right w:val="single" w:sz="4" w:space="0" w:color="BFBFBF" w:themeColor="background1" w:themeShade="BF"/>
            </w:tcBorders>
            <w:noWrap/>
            <w:hideMark/>
          </w:tcPr>
          <w:p w14:paraId="5F1B1955" w14:textId="77777777" w:rsidR="00375729" w:rsidRPr="00CF3D6E" w:rsidRDefault="00375729" w:rsidP="00A4034F">
            <w:pPr>
              <w:pStyle w:val="Tabletext"/>
            </w:pPr>
            <w:r w:rsidRPr="00CF3D6E">
              <w:t xml:space="preserve">3.97 </w:t>
            </w:r>
          </w:p>
        </w:tc>
        <w:tc>
          <w:tcPr>
            <w:tcW w:w="1283"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noWrap/>
            <w:hideMark/>
          </w:tcPr>
          <w:p w14:paraId="2DA7BE27" w14:textId="77777777" w:rsidR="00375729" w:rsidRPr="00CF3D6E" w:rsidRDefault="00375729" w:rsidP="00A4034F">
            <w:pPr>
              <w:pStyle w:val="Tabletext"/>
            </w:pPr>
            <w:r w:rsidRPr="00CF3D6E">
              <w:t xml:space="preserve">2.83 </w:t>
            </w:r>
          </w:p>
        </w:tc>
        <w:tc>
          <w:tcPr>
            <w:tcW w:w="1283"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noWrap/>
            <w:hideMark/>
          </w:tcPr>
          <w:p w14:paraId="1736A3B4" w14:textId="77777777" w:rsidR="00375729" w:rsidRPr="00CF3D6E" w:rsidRDefault="00375729" w:rsidP="00A4034F">
            <w:pPr>
              <w:pStyle w:val="Tabletext"/>
            </w:pPr>
            <w:r w:rsidRPr="00CF3D6E">
              <w:t xml:space="preserve">1.86 </w:t>
            </w:r>
          </w:p>
        </w:tc>
        <w:tc>
          <w:tcPr>
            <w:tcW w:w="1284" w:type="dxa"/>
            <w:tcBorders>
              <w:top w:val="single" w:sz="4" w:space="0" w:color="BFBFBF" w:themeColor="background1" w:themeShade="BF"/>
              <w:left w:val="single" w:sz="4" w:space="0" w:color="BFBFBF" w:themeColor="background1" w:themeShade="BF"/>
              <w:bottom w:val="nil"/>
            </w:tcBorders>
            <w:noWrap/>
            <w:hideMark/>
          </w:tcPr>
          <w:p w14:paraId="2632F973" w14:textId="77777777" w:rsidR="00375729" w:rsidRPr="00CF3D6E" w:rsidRDefault="00375729" w:rsidP="00A4034F">
            <w:pPr>
              <w:pStyle w:val="Tabletext"/>
            </w:pPr>
            <w:r w:rsidRPr="00CF3D6E">
              <w:t xml:space="preserve">-1.79 </w:t>
            </w:r>
          </w:p>
        </w:tc>
      </w:tr>
      <w:tr w:rsidR="00375729" w:rsidRPr="000C6BF6" w14:paraId="1F16AA37" w14:textId="77777777" w:rsidTr="00301886">
        <w:trPr>
          <w:trHeight w:val="300"/>
        </w:trPr>
        <w:tc>
          <w:tcPr>
            <w:tcW w:w="2800" w:type="dxa"/>
            <w:tcBorders>
              <w:top w:val="nil"/>
              <w:bottom w:val="single" w:sz="4" w:space="0" w:color="BFBFBF" w:themeColor="background1" w:themeShade="BF"/>
            </w:tcBorders>
            <w:noWrap/>
            <w:hideMark/>
          </w:tcPr>
          <w:p w14:paraId="4DDD7CB0" w14:textId="77777777" w:rsidR="00375729" w:rsidRPr="000C6BF6" w:rsidRDefault="0058764D" w:rsidP="00A4034F">
            <w:pPr>
              <w:pStyle w:val="Tablebullet-Level1"/>
            </w:pPr>
            <w:r>
              <w:t>W</w:t>
            </w:r>
            <w:r w:rsidR="00375729" w:rsidRPr="000C6BF6">
              <w:t>eighted</w:t>
            </w:r>
          </w:p>
        </w:tc>
        <w:tc>
          <w:tcPr>
            <w:tcW w:w="1283" w:type="dxa"/>
            <w:tcBorders>
              <w:top w:val="nil"/>
              <w:bottom w:val="single" w:sz="4" w:space="0" w:color="BFBFBF" w:themeColor="background1" w:themeShade="BF"/>
              <w:right w:val="single" w:sz="4" w:space="0" w:color="BFBFBF" w:themeColor="background1" w:themeShade="BF"/>
            </w:tcBorders>
            <w:noWrap/>
            <w:hideMark/>
          </w:tcPr>
          <w:p w14:paraId="45055955" w14:textId="77777777" w:rsidR="00375729" w:rsidRPr="000C6BF6" w:rsidRDefault="00375729" w:rsidP="00A4034F">
            <w:pPr>
              <w:pStyle w:val="Tabletext"/>
            </w:pPr>
            <w:r w:rsidRPr="000C6BF6">
              <w:t>0.</w:t>
            </w:r>
            <w:r>
              <w:t>19</w:t>
            </w:r>
          </w:p>
        </w:tc>
        <w:tc>
          <w:tcPr>
            <w:tcW w:w="128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40F335" w14:textId="77777777" w:rsidR="00375729" w:rsidRPr="000C6BF6" w:rsidRDefault="00375729" w:rsidP="00A4034F">
            <w:pPr>
              <w:pStyle w:val="Tabletext"/>
            </w:pPr>
            <w:r w:rsidRPr="000C6BF6">
              <w:t>0.</w:t>
            </w:r>
            <w:r>
              <w:t>22</w:t>
            </w:r>
          </w:p>
        </w:tc>
        <w:tc>
          <w:tcPr>
            <w:tcW w:w="128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BF3695" w14:textId="77777777" w:rsidR="00375729" w:rsidRPr="000C6BF6" w:rsidRDefault="00375729" w:rsidP="00A4034F">
            <w:pPr>
              <w:pStyle w:val="Tabletext"/>
            </w:pPr>
            <w:r w:rsidRPr="000C6BF6">
              <w:t>0.1</w:t>
            </w:r>
            <w:r>
              <w:t>3</w:t>
            </w:r>
          </w:p>
        </w:tc>
        <w:tc>
          <w:tcPr>
            <w:tcW w:w="1284" w:type="dxa"/>
            <w:tcBorders>
              <w:top w:val="nil"/>
              <w:left w:val="single" w:sz="4" w:space="0" w:color="BFBFBF" w:themeColor="background1" w:themeShade="BF"/>
              <w:bottom w:val="single" w:sz="4" w:space="0" w:color="BFBFBF" w:themeColor="background1" w:themeShade="BF"/>
            </w:tcBorders>
            <w:noWrap/>
            <w:hideMark/>
          </w:tcPr>
          <w:p w14:paraId="019DD590" w14:textId="77777777" w:rsidR="00375729" w:rsidRPr="000C6BF6" w:rsidRDefault="00375729" w:rsidP="00A4034F">
            <w:pPr>
              <w:pStyle w:val="Tabletext"/>
            </w:pPr>
            <w:r>
              <w:t>-0.12</w:t>
            </w:r>
          </w:p>
        </w:tc>
      </w:tr>
      <w:tr w:rsidR="00375729" w:rsidRPr="000C6BF6" w14:paraId="2177C1D2" w14:textId="77777777" w:rsidTr="00301886">
        <w:trPr>
          <w:trHeight w:val="300"/>
        </w:trPr>
        <w:tc>
          <w:tcPr>
            <w:tcW w:w="2800" w:type="dxa"/>
            <w:tcBorders>
              <w:top w:val="single" w:sz="4" w:space="0" w:color="BFBFBF" w:themeColor="background1" w:themeShade="BF"/>
              <w:bottom w:val="nil"/>
            </w:tcBorders>
            <w:noWrap/>
            <w:hideMark/>
          </w:tcPr>
          <w:p w14:paraId="438CBC99" w14:textId="77777777" w:rsidR="00375729" w:rsidRPr="00CF3D6E" w:rsidRDefault="00375729" w:rsidP="00A4034F">
            <w:pPr>
              <w:pStyle w:val="Tabletext"/>
            </w:pPr>
            <w:r w:rsidRPr="00CF3D6E">
              <w:t>Buildings productivity</w:t>
            </w:r>
          </w:p>
        </w:tc>
        <w:tc>
          <w:tcPr>
            <w:tcW w:w="1283" w:type="dxa"/>
            <w:tcBorders>
              <w:top w:val="single" w:sz="4" w:space="0" w:color="BFBFBF" w:themeColor="background1" w:themeShade="BF"/>
              <w:bottom w:val="nil"/>
              <w:right w:val="single" w:sz="4" w:space="0" w:color="BFBFBF" w:themeColor="background1" w:themeShade="BF"/>
            </w:tcBorders>
            <w:noWrap/>
            <w:hideMark/>
          </w:tcPr>
          <w:p w14:paraId="092C1CE7" w14:textId="77777777" w:rsidR="00375729" w:rsidRPr="00CF3D6E" w:rsidRDefault="00375729" w:rsidP="00A4034F">
            <w:pPr>
              <w:pStyle w:val="Tabletext"/>
            </w:pPr>
            <w:r w:rsidRPr="00CF3D6E">
              <w:t xml:space="preserve">1.89 </w:t>
            </w:r>
          </w:p>
        </w:tc>
        <w:tc>
          <w:tcPr>
            <w:tcW w:w="1283"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noWrap/>
            <w:hideMark/>
          </w:tcPr>
          <w:p w14:paraId="7C5D8781" w14:textId="77777777" w:rsidR="00375729" w:rsidRPr="00CF3D6E" w:rsidRDefault="00375729" w:rsidP="00A4034F">
            <w:pPr>
              <w:pStyle w:val="Tabletext"/>
            </w:pPr>
            <w:r w:rsidRPr="00CF3D6E">
              <w:t xml:space="preserve">4.23 </w:t>
            </w:r>
          </w:p>
        </w:tc>
        <w:tc>
          <w:tcPr>
            <w:tcW w:w="1283"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noWrap/>
            <w:hideMark/>
          </w:tcPr>
          <w:p w14:paraId="2B246BE8" w14:textId="77777777" w:rsidR="00375729" w:rsidRPr="00CF3D6E" w:rsidRDefault="00375729" w:rsidP="00A4034F">
            <w:pPr>
              <w:pStyle w:val="Tabletext"/>
            </w:pPr>
            <w:r w:rsidRPr="00CF3D6E">
              <w:t xml:space="preserve">5.27 </w:t>
            </w:r>
          </w:p>
        </w:tc>
        <w:tc>
          <w:tcPr>
            <w:tcW w:w="1284" w:type="dxa"/>
            <w:tcBorders>
              <w:top w:val="single" w:sz="4" w:space="0" w:color="BFBFBF" w:themeColor="background1" w:themeShade="BF"/>
              <w:left w:val="single" w:sz="4" w:space="0" w:color="BFBFBF" w:themeColor="background1" w:themeShade="BF"/>
              <w:bottom w:val="nil"/>
              <w:right w:val="single" w:sz="4" w:space="0" w:color="auto"/>
            </w:tcBorders>
            <w:noWrap/>
            <w:hideMark/>
          </w:tcPr>
          <w:p w14:paraId="2F4C697E" w14:textId="77777777" w:rsidR="00375729" w:rsidRPr="00CF3D6E" w:rsidRDefault="00375729" w:rsidP="00A4034F">
            <w:pPr>
              <w:pStyle w:val="Tabletext"/>
            </w:pPr>
            <w:r w:rsidRPr="00CF3D6E">
              <w:t xml:space="preserve">3.20 </w:t>
            </w:r>
          </w:p>
        </w:tc>
      </w:tr>
      <w:tr w:rsidR="00375729" w:rsidRPr="000C6BF6" w14:paraId="0A480819" w14:textId="77777777" w:rsidTr="00301886">
        <w:trPr>
          <w:trHeight w:val="300"/>
        </w:trPr>
        <w:tc>
          <w:tcPr>
            <w:tcW w:w="2800" w:type="dxa"/>
            <w:tcBorders>
              <w:top w:val="nil"/>
            </w:tcBorders>
            <w:noWrap/>
            <w:hideMark/>
          </w:tcPr>
          <w:p w14:paraId="0A534DDD" w14:textId="77777777" w:rsidR="00375729" w:rsidRPr="000C6BF6" w:rsidRDefault="0058764D" w:rsidP="00A4034F">
            <w:pPr>
              <w:pStyle w:val="Tablebullet-Level1"/>
            </w:pPr>
            <w:r>
              <w:t>W</w:t>
            </w:r>
            <w:r w:rsidR="00375729" w:rsidRPr="000C6BF6">
              <w:t>eighted</w:t>
            </w:r>
          </w:p>
        </w:tc>
        <w:tc>
          <w:tcPr>
            <w:tcW w:w="1283" w:type="dxa"/>
            <w:tcBorders>
              <w:top w:val="nil"/>
              <w:right w:val="single" w:sz="4" w:space="0" w:color="BFBFBF" w:themeColor="background1" w:themeShade="BF"/>
            </w:tcBorders>
            <w:noWrap/>
            <w:hideMark/>
          </w:tcPr>
          <w:p w14:paraId="38DED015" w14:textId="77777777" w:rsidR="00375729" w:rsidRPr="000C6BF6" w:rsidRDefault="00375729" w:rsidP="00A4034F">
            <w:pPr>
              <w:pStyle w:val="Tabletext"/>
            </w:pPr>
            <w:r w:rsidRPr="000C6BF6">
              <w:t>1.2</w:t>
            </w:r>
            <w:r>
              <w:t>4</w:t>
            </w:r>
          </w:p>
        </w:tc>
        <w:tc>
          <w:tcPr>
            <w:tcW w:w="1283" w:type="dxa"/>
            <w:tcBorders>
              <w:top w:val="nil"/>
              <w:left w:val="single" w:sz="4" w:space="0" w:color="BFBFBF" w:themeColor="background1" w:themeShade="BF"/>
              <w:right w:val="single" w:sz="4" w:space="0" w:color="BFBFBF" w:themeColor="background1" w:themeShade="BF"/>
            </w:tcBorders>
            <w:noWrap/>
            <w:hideMark/>
          </w:tcPr>
          <w:p w14:paraId="56E18354" w14:textId="77777777" w:rsidR="00375729" w:rsidRPr="000C6BF6" w:rsidRDefault="00375729" w:rsidP="00A4034F">
            <w:pPr>
              <w:pStyle w:val="Tabletext"/>
            </w:pPr>
            <w:r>
              <w:t>2</w:t>
            </w:r>
            <w:r w:rsidRPr="000C6BF6">
              <w:t>.</w:t>
            </w:r>
            <w:r>
              <w:t>32</w:t>
            </w:r>
          </w:p>
        </w:tc>
        <w:tc>
          <w:tcPr>
            <w:tcW w:w="1283" w:type="dxa"/>
            <w:tcBorders>
              <w:top w:val="nil"/>
              <w:left w:val="single" w:sz="4" w:space="0" w:color="BFBFBF" w:themeColor="background1" w:themeShade="BF"/>
              <w:right w:val="single" w:sz="4" w:space="0" w:color="BFBFBF" w:themeColor="background1" w:themeShade="BF"/>
            </w:tcBorders>
            <w:noWrap/>
            <w:hideMark/>
          </w:tcPr>
          <w:p w14:paraId="24781538" w14:textId="77777777" w:rsidR="00375729" w:rsidRPr="000C6BF6" w:rsidRDefault="00375729" w:rsidP="00A4034F">
            <w:pPr>
              <w:pStyle w:val="Tabletext"/>
            </w:pPr>
            <w:r>
              <w:t>2</w:t>
            </w:r>
            <w:r w:rsidRPr="000C6BF6">
              <w:t>.</w:t>
            </w:r>
            <w:r>
              <w:t>60</w:t>
            </w:r>
          </w:p>
        </w:tc>
        <w:tc>
          <w:tcPr>
            <w:tcW w:w="1284" w:type="dxa"/>
            <w:tcBorders>
              <w:top w:val="nil"/>
              <w:left w:val="single" w:sz="4" w:space="0" w:color="BFBFBF" w:themeColor="background1" w:themeShade="BF"/>
            </w:tcBorders>
            <w:noWrap/>
            <w:hideMark/>
          </w:tcPr>
          <w:p w14:paraId="2DD2C7CE" w14:textId="77777777" w:rsidR="00375729" w:rsidRPr="000C6BF6" w:rsidRDefault="00375729" w:rsidP="00A4034F">
            <w:pPr>
              <w:pStyle w:val="Tabletext"/>
            </w:pPr>
            <w:r>
              <w:t>1.58</w:t>
            </w:r>
          </w:p>
        </w:tc>
      </w:tr>
    </w:tbl>
    <w:p w14:paraId="086B6DE5" w14:textId="77777777" w:rsidR="00375729" w:rsidRPr="00B97B9E" w:rsidRDefault="00375729" w:rsidP="00A4034F">
      <w:pPr>
        <w:pStyle w:val="Tablecaption"/>
      </w:pPr>
      <w:r>
        <w:fldChar w:fldCharType="end"/>
      </w:r>
      <w:r>
        <w:t xml:space="preserve">Note: a. </w:t>
      </w:r>
      <w:r w:rsidRPr="00B97B9E">
        <w:t>Weighted by the share of the asset in capital income</w:t>
      </w:r>
    </w:p>
    <w:p w14:paraId="1C639042" w14:textId="77777777" w:rsidR="00375729" w:rsidRPr="00B97B9E" w:rsidRDefault="00375729" w:rsidP="00012248">
      <w:pPr>
        <w:pStyle w:val="SourceNotes"/>
      </w:pPr>
      <w:r>
        <w:t xml:space="preserve">Source: </w:t>
      </w:r>
      <w:r w:rsidRPr="00B97B9E">
        <w:t>Author estimates</w:t>
      </w:r>
    </w:p>
    <w:p w14:paraId="32A1F1F2" w14:textId="77777777" w:rsidR="00375729" w:rsidRPr="006764AE" w:rsidRDefault="00375729" w:rsidP="00375729">
      <w:pPr>
        <w:rPr>
          <w:rStyle w:val="PageNumber"/>
          <w:color w:val="auto"/>
        </w:rPr>
      </w:pPr>
      <w:r>
        <w:t>There was strong growth in all three asset productivities, especially over the first three cycles</w:t>
      </w:r>
      <w:r w:rsidR="00B12BE8">
        <w:t xml:space="preserve"> (</w:t>
      </w:r>
      <w:r w:rsidR="00EE622A">
        <w:t>Table G3</w:t>
      </w:r>
      <w:r w:rsidR="00B12BE8">
        <w:t>)</w:t>
      </w:r>
      <w:r>
        <w:t>. Because of the importance of buildings in total asset costs, however, the improvement in buildings productivity had greater significance. Over the whole period, it contributed about 2 percentage points to overall capital productivity. The improvement in capital productivity was much weaker for each asset after 2007–08.</w:t>
      </w:r>
    </w:p>
    <w:p w14:paraId="09CB8CB6" w14:textId="77777777" w:rsidR="00375729" w:rsidRDefault="00375729" w:rsidP="00375729">
      <w:pPr>
        <w:spacing w:after="120"/>
        <w:ind w:left="1021" w:hanging="1021"/>
      </w:pPr>
      <w:r>
        <w:br w:type="page"/>
      </w:r>
    </w:p>
    <w:p w14:paraId="60E1D3A5" w14:textId="77777777" w:rsidR="00375729" w:rsidRDefault="00375729" w:rsidP="00CF3D6E">
      <w:pPr>
        <w:pStyle w:val="BCRAppendicesHeading"/>
      </w:pPr>
      <w:bookmarkStart w:id="117" w:name="_Toc442448196"/>
      <w:r>
        <w:t>Rental, hiring and real estate services</w:t>
      </w:r>
      <w:bookmarkEnd w:id="117"/>
      <w:r>
        <w:t xml:space="preserve"> </w:t>
      </w:r>
    </w:p>
    <w:p w14:paraId="52813D41" w14:textId="77777777" w:rsidR="00375729" w:rsidRDefault="00375729" w:rsidP="00012248">
      <w:pPr>
        <w:pStyle w:val="Boxheading"/>
      </w:pPr>
      <w:r>
        <w:t>Key points</w:t>
      </w:r>
    </w:p>
    <w:p w14:paraId="4317B80F" w14:textId="77777777" w:rsidR="00375729" w:rsidRDefault="00375729" w:rsidP="00012248">
      <w:pPr>
        <w:pStyle w:val="Boxtext"/>
      </w:pPr>
      <w:r>
        <w:t>The analysis of productivity growth in the rental, hiring and real estate services sector is difficult to interpret. The capital equipment the industry leases to other industries is counted as part of the capital stock of this industry. That is, assets are attributed to industries on the basis of ownership rather than use in production. As a result, the industry has relatively large stocks of Information Technology (IT) hardware, as well as other leased assets such as vehicles and buildings.</w:t>
      </w:r>
    </w:p>
    <w:p w14:paraId="7FFD024B" w14:textId="77777777" w:rsidR="00375729" w:rsidRDefault="00375729" w:rsidP="00012248">
      <w:pPr>
        <w:pStyle w:val="Boxtext"/>
      </w:pPr>
      <w:r>
        <w:t>Because of this asset allocation, productivity trends in the industry are dominated by the growth in leasing assets.</w:t>
      </w:r>
    </w:p>
    <w:p w14:paraId="284DF833" w14:textId="77777777" w:rsidR="00375729" w:rsidRDefault="00375729" w:rsidP="00012248">
      <w:pPr>
        <w:pStyle w:val="Boxtext"/>
      </w:pPr>
      <w:r>
        <w:t>Overall trends include:</w:t>
      </w:r>
    </w:p>
    <w:p w14:paraId="5237873B" w14:textId="77777777" w:rsidR="00375729" w:rsidRDefault="00375729" w:rsidP="00F37FA2">
      <w:pPr>
        <w:pStyle w:val="Boxbullet"/>
      </w:pPr>
      <w:r>
        <w:t>Capital deepening has a large effect on labour productivity. Growth in the entire capital stock, including leasing assets, is referenced to growth in labour used within the industry.</w:t>
      </w:r>
    </w:p>
    <w:p w14:paraId="374BBFF2" w14:textId="77777777" w:rsidR="00375729" w:rsidRDefault="00375729" w:rsidP="00F37FA2">
      <w:pPr>
        <w:pStyle w:val="Boxbullet"/>
      </w:pPr>
      <w:r>
        <w:t>Multifactor productivity (MFP) growth is strongly negative, being dominated by growth in capital.</w:t>
      </w:r>
    </w:p>
    <w:p w14:paraId="700F74C3" w14:textId="77777777" w:rsidR="00375729" w:rsidRDefault="00375729" w:rsidP="00F37FA2">
      <w:pPr>
        <w:pStyle w:val="Boxbullet"/>
      </w:pPr>
      <w:r>
        <w:t>To a large extent, the decline in MFP offsets the capital deepening effect on LP. LP growth in the industry has been weak on average.</w:t>
      </w:r>
    </w:p>
    <w:p w14:paraId="1BFF527B" w14:textId="77777777" w:rsidR="00375729" w:rsidRDefault="00375729" w:rsidP="00012248">
      <w:pPr>
        <w:pStyle w:val="Boxtext"/>
      </w:pPr>
      <w:r>
        <w:t>The slowdown in use of IT after 2007–08 is strongly reflected in the industry’s ownership of IT assets.</w:t>
      </w:r>
    </w:p>
    <w:p w14:paraId="2D0BF30E" w14:textId="77777777" w:rsidR="00375729" w:rsidRDefault="00375729" w:rsidP="00375729">
      <w:r>
        <w:t>The rental, hiring and real estate (RHRE) services sector showed moderate growth in output (</w:t>
      </w:r>
      <w:r w:rsidR="00381840">
        <w:t>Figure H1</w:t>
      </w:r>
      <w:r>
        <w:t>) between 1989–90 and 2013–14. Because growth was below average at 3.0 per cent a year, it declined from 3.4 per cent of GDP in 1989–90 to 2.8 per cent in 2013–14.</w:t>
      </w:r>
      <w:r w:rsidR="00EB6B90">
        <w:rPr>
          <w:rStyle w:val="EndnoteReference"/>
        </w:rPr>
        <w:endnoteReference w:id="34"/>
      </w:r>
      <w:r>
        <w:t xml:space="preserve"> </w:t>
      </w:r>
    </w:p>
    <w:p w14:paraId="3E7826AB" w14:textId="77777777" w:rsidR="00375729" w:rsidRDefault="00375729" w:rsidP="00375729">
      <w:r>
        <w:t>There was very strong growth in capital from 1994–95, which averaged 8.6 per cent a year. The sector</w:t>
      </w:r>
      <w:r w:rsidRPr="00402754">
        <w:t xml:space="preserve"> </w:t>
      </w:r>
      <w:r>
        <w:t xml:space="preserve">falls on the side of capital intensity, with an average capital income share of 56 per cent. </w:t>
      </w:r>
    </w:p>
    <w:p w14:paraId="22704C02" w14:textId="77777777" w:rsidR="00375729" w:rsidRPr="00B4493B" w:rsidRDefault="00375729" w:rsidP="00375729">
      <w:r>
        <w:t>Growth in labour averaged 1.6 per cent a year from 1989–90.</w:t>
      </w:r>
      <w:r>
        <w:br w:type="page"/>
      </w:r>
    </w:p>
    <w:p w14:paraId="4920B30E" w14:textId="77777777" w:rsidR="00375729" w:rsidRDefault="00375729" w:rsidP="00A4034F">
      <w:pPr>
        <w:pStyle w:val="Figurecaption"/>
      </w:pPr>
      <w:r>
        <w:t xml:space="preserve">Figure </w:t>
      </w:r>
      <w:r w:rsidR="00EE622A">
        <w:t>H</w:t>
      </w:r>
      <w:r w:rsidR="00F63286">
        <w:t>1</w:t>
      </w:r>
      <w:r>
        <w:t>: Capital, labour and output in RHRE services (index, 2012–13</w:t>
      </w:r>
      <w:r w:rsidR="006A530A">
        <w:t xml:space="preserve"> = </w:t>
      </w:r>
      <w:r>
        <w:t>100)</w:t>
      </w:r>
    </w:p>
    <w:p w14:paraId="0682011F" w14:textId="1534076A" w:rsidR="00375729" w:rsidRDefault="00A4034F" w:rsidP="00375729">
      <w:r>
        <w:rPr>
          <w:noProof/>
          <w:lang w:eastAsia="en-AU"/>
        </w:rPr>
        <w:drawing>
          <wp:inline distT="0" distB="0" distL="0" distR="0" wp14:anchorId="6AB74149" wp14:editId="458EDFFF">
            <wp:extent cx="5681980" cy="2755900"/>
            <wp:effectExtent l="0" t="0" r="0" b="635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81980" cy="2755900"/>
                    </a:xfrm>
                    <a:prstGeom prst="rect">
                      <a:avLst/>
                    </a:prstGeom>
                    <a:noFill/>
                  </pic:spPr>
                </pic:pic>
              </a:graphicData>
            </a:graphic>
          </wp:inline>
        </w:drawing>
      </w:r>
    </w:p>
    <w:p w14:paraId="4471BE5B" w14:textId="77777777" w:rsidR="00375729" w:rsidRDefault="00375729" w:rsidP="00012248">
      <w:pPr>
        <w:pStyle w:val="SourceNotes"/>
      </w:pPr>
      <w:r>
        <w:t xml:space="preserve">Source: </w:t>
      </w:r>
      <w:r w:rsidRPr="00323930">
        <w:t xml:space="preserve">ABS Cat. No. 5260.0.55.002 </w:t>
      </w:r>
    </w:p>
    <w:p w14:paraId="5AA07675" w14:textId="77777777" w:rsidR="00375729" w:rsidRDefault="00B06961" w:rsidP="00F37FA2">
      <w:pPr>
        <w:pStyle w:val="BCRAppendicesSubheading"/>
      </w:pPr>
      <w:r>
        <w:t xml:space="preserve">H.1 </w:t>
      </w:r>
      <w:r w:rsidR="00375729">
        <w:t>Growth in Information Technology capital</w:t>
      </w:r>
    </w:p>
    <w:p w14:paraId="58ED58B2" w14:textId="77777777" w:rsidR="00375729" w:rsidRDefault="00375729" w:rsidP="00375729">
      <w:r>
        <w:t>Growth in Information Technology (IT) capital was very rapid (</w:t>
      </w:r>
      <w:r w:rsidR="006C67C1">
        <w:t>Figure H2</w:t>
      </w:r>
      <w:r>
        <w:t xml:space="preserve">) and averaged 22.4 per cent a year from 1994–95. </w:t>
      </w:r>
    </w:p>
    <w:p w14:paraId="2470779D" w14:textId="77777777" w:rsidR="00375729" w:rsidRDefault="00375729" w:rsidP="00375729">
      <w:r>
        <w:t>Like other industries, it experienced a slowdown in growth in IT stocks after 2007–08. Growth of 30.3 per cent a year gave way to growth of 7.0 per cent a year—</w:t>
      </w:r>
      <w:r w:rsidR="00F63286">
        <w:t xml:space="preserve">which is </w:t>
      </w:r>
      <w:r>
        <w:t xml:space="preserve">still healthy, but much lower. Growth in individual years is shown in </w:t>
      </w:r>
      <w:r w:rsidR="006C67C1">
        <w:t>Figure H3</w:t>
      </w:r>
      <w:r>
        <w:t>. IT capital accounted for an average 15 per cent of capital income.</w:t>
      </w:r>
    </w:p>
    <w:p w14:paraId="09A97870" w14:textId="77777777" w:rsidR="00375729" w:rsidRDefault="00375729" w:rsidP="00375729">
      <w:r>
        <w:t>Growth in non-IT capital grew at 6.1 per cent a year from 1994–95 and IT capital at 16.5 per cent a year.</w:t>
      </w:r>
    </w:p>
    <w:p w14:paraId="457E0F38" w14:textId="77777777" w:rsidR="00375729" w:rsidRDefault="00375729" w:rsidP="00A4034F">
      <w:pPr>
        <w:pStyle w:val="Figurecaption"/>
      </w:pPr>
      <w:r>
        <w:t xml:space="preserve">Figure </w:t>
      </w:r>
      <w:r w:rsidR="006C67C1">
        <w:t>H2</w:t>
      </w:r>
      <w:r>
        <w:t>: Capital, IT capital and non-IT capital in RHRE services (index, 2012–13</w:t>
      </w:r>
      <w:r w:rsidR="006A530A">
        <w:t xml:space="preserve"> = </w:t>
      </w:r>
      <w:r>
        <w:t>100)</w:t>
      </w:r>
    </w:p>
    <w:p w14:paraId="101AA978" w14:textId="0EEC2EE2" w:rsidR="00375729" w:rsidRDefault="00A4034F" w:rsidP="00375729">
      <w:pPr>
        <w:spacing w:after="60"/>
      </w:pPr>
      <w:r>
        <w:rPr>
          <w:noProof/>
          <w:lang w:eastAsia="en-AU"/>
        </w:rPr>
        <w:drawing>
          <wp:inline distT="0" distB="0" distL="0" distR="0" wp14:anchorId="3D2B1691" wp14:editId="6D346AA5">
            <wp:extent cx="5529580" cy="2755900"/>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29580" cy="2755900"/>
                    </a:xfrm>
                    <a:prstGeom prst="rect">
                      <a:avLst/>
                    </a:prstGeom>
                    <a:noFill/>
                  </pic:spPr>
                </pic:pic>
              </a:graphicData>
            </a:graphic>
          </wp:inline>
        </w:drawing>
      </w:r>
    </w:p>
    <w:p w14:paraId="69E41710" w14:textId="77777777" w:rsidR="00375729" w:rsidRDefault="00375729" w:rsidP="00012248">
      <w:pPr>
        <w:pStyle w:val="SourceNotes"/>
      </w:pPr>
      <w:r>
        <w:t xml:space="preserve">Source: </w:t>
      </w:r>
      <w:r w:rsidRPr="00323930">
        <w:t>ABS Cat. No. 5260.0.55.002 and author estimates</w:t>
      </w:r>
    </w:p>
    <w:p w14:paraId="6E55C309" w14:textId="77777777" w:rsidR="00375729" w:rsidRDefault="006C67C1" w:rsidP="00A4034F">
      <w:pPr>
        <w:pStyle w:val="Figurecaption"/>
      </w:pPr>
      <w:r>
        <w:t>Figure H3</w:t>
      </w:r>
      <w:r w:rsidR="00375729">
        <w:t>: Annual growth in IT and non-IT capital (% per year) and the IT share of capital income (%) in RHRE services</w:t>
      </w:r>
    </w:p>
    <w:p w14:paraId="6B2824A2" w14:textId="5ABB821A" w:rsidR="00375729" w:rsidRDefault="00A4034F" w:rsidP="00375729">
      <w:pPr>
        <w:spacing w:after="60"/>
      </w:pPr>
      <w:r>
        <w:rPr>
          <w:noProof/>
          <w:lang w:eastAsia="en-AU"/>
        </w:rPr>
        <w:drawing>
          <wp:inline distT="0" distB="0" distL="0" distR="0" wp14:anchorId="2D7EF9A0" wp14:editId="768EAE24">
            <wp:extent cx="5529580" cy="2755900"/>
            <wp:effectExtent l="0" t="0" r="0" b="6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29580" cy="2755900"/>
                    </a:xfrm>
                    <a:prstGeom prst="rect">
                      <a:avLst/>
                    </a:prstGeom>
                    <a:noFill/>
                  </pic:spPr>
                </pic:pic>
              </a:graphicData>
            </a:graphic>
          </wp:inline>
        </w:drawing>
      </w:r>
    </w:p>
    <w:p w14:paraId="7E123822" w14:textId="77777777" w:rsidR="00375729" w:rsidRDefault="00375729" w:rsidP="00012248">
      <w:pPr>
        <w:pStyle w:val="SourceNotes"/>
      </w:pPr>
      <w:r>
        <w:t xml:space="preserve">Source: </w:t>
      </w:r>
      <w:r w:rsidRPr="00323930">
        <w:t>Author estimates</w:t>
      </w:r>
    </w:p>
    <w:p w14:paraId="1C00761A" w14:textId="77777777" w:rsidR="00375729" w:rsidRDefault="00375729" w:rsidP="00375729">
      <w:r>
        <w:t>Hardware featured in both the strong growth in the 1990s and the drop off in growth in late 2000s (</w:t>
      </w:r>
      <w:r w:rsidR="006C67C1">
        <w:t>Figure H4</w:t>
      </w:r>
      <w:r>
        <w:t xml:space="preserve">). </w:t>
      </w:r>
    </w:p>
    <w:p w14:paraId="58BF7FC3" w14:textId="77777777" w:rsidR="00375729" w:rsidRDefault="00375729" w:rsidP="00375729">
      <w:r>
        <w:t>These data are consistent with large holdings of IT hardware for leasing purposes. IT accounted for 15–20 per cent of capital income up to 2007–08 (</w:t>
      </w:r>
      <w:r w:rsidR="006C67C1">
        <w:t>Figure H3</w:t>
      </w:r>
      <w:r>
        <w:t>) and hardware accounted for between 72 and 86 per cent of IT income (</w:t>
      </w:r>
      <w:r w:rsidR="006C67C1">
        <w:t>Figure H4</w:t>
      </w:r>
      <w:r>
        <w:t>).</w:t>
      </w:r>
    </w:p>
    <w:p w14:paraId="45953E25" w14:textId="77777777" w:rsidR="00375729" w:rsidRDefault="006C67C1" w:rsidP="00A4034F">
      <w:pPr>
        <w:pStyle w:val="Figurecaption"/>
      </w:pPr>
      <w:r>
        <w:t>Figure H4</w:t>
      </w:r>
      <w:r w:rsidR="00375729">
        <w:t>: Annual growth in software and hardware (% per year) and hardware share of IT capital income (%) in RHRE services</w:t>
      </w:r>
    </w:p>
    <w:p w14:paraId="097DF746" w14:textId="68E64EC5" w:rsidR="00375729" w:rsidRDefault="00A4034F" w:rsidP="00375729">
      <w:pPr>
        <w:spacing w:after="60"/>
      </w:pPr>
      <w:r>
        <w:rPr>
          <w:noProof/>
          <w:lang w:eastAsia="en-AU"/>
        </w:rPr>
        <w:drawing>
          <wp:inline distT="0" distB="0" distL="0" distR="0" wp14:anchorId="0C9E8865" wp14:editId="435D2F24">
            <wp:extent cx="5639435" cy="2755900"/>
            <wp:effectExtent l="0" t="0" r="0" b="6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39435" cy="2755900"/>
                    </a:xfrm>
                    <a:prstGeom prst="rect">
                      <a:avLst/>
                    </a:prstGeom>
                    <a:noFill/>
                  </pic:spPr>
                </pic:pic>
              </a:graphicData>
            </a:graphic>
          </wp:inline>
        </w:drawing>
      </w:r>
    </w:p>
    <w:p w14:paraId="4083E623" w14:textId="77777777" w:rsidR="00375729" w:rsidRDefault="00375729" w:rsidP="00012248">
      <w:pPr>
        <w:pStyle w:val="SourceNotes"/>
      </w:pPr>
      <w:r>
        <w:t xml:space="preserve">Source: </w:t>
      </w:r>
      <w:r w:rsidRPr="00323930">
        <w:t>Author estimates</w:t>
      </w:r>
    </w:p>
    <w:p w14:paraId="1F209EEA" w14:textId="77777777" w:rsidR="00375729" w:rsidRDefault="00B06961" w:rsidP="00F37FA2">
      <w:pPr>
        <w:pStyle w:val="BCRAppendicesSubheading"/>
      </w:pPr>
      <w:r>
        <w:t xml:space="preserve">H.2 </w:t>
      </w:r>
      <w:r w:rsidR="00375729" w:rsidRPr="007D319D">
        <w:t>Labour productivity growth</w:t>
      </w:r>
    </w:p>
    <w:p w14:paraId="417D3473" w14:textId="77777777" w:rsidR="00375729" w:rsidRDefault="00375729" w:rsidP="00375729">
      <w:r>
        <w:t>With similar growth in labour and output (</w:t>
      </w:r>
      <w:r w:rsidR="00EE622A">
        <w:t>Figure H1</w:t>
      </w:r>
      <w:r>
        <w:t>), growth in labour productivity (LP) was relatively weak. The average annual rate of growth in trend LP between 1989–90 and 2013–14 was 0.7 </w:t>
      </w:r>
      <w:r w:rsidRPr="00C716B1">
        <w:t>per cent</w:t>
      </w:r>
      <w:r>
        <w:t>.</w:t>
      </w:r>
    </w:p>
    <w:p w14:paraId="7B51F784" w14:textId="77777777" w:rsidR="00375729" w:rsidRDefault="00375729" w:rsidP="00375729">
      <w:r>
        <w:t>Peaks in LP cycles took place in 1990–91</w:t>
      </w:r>
      <w:r w:rsidRPr="00C716B1">
        <w:t xml:space="preserve">, </w:t>
      </w:r>
      <w:r>
        <w:t>1995–96, 2002–03, 2009–10 and 2013–14 according to the method set out in section 5.3 (</w:t>
      </w:r>
      <w:r>
        <w:fldChar w:fldCharType="begin"/>
      </w:r>
      <w:r>
        <w:instrText xml:space="preserve"> REF _Ref423783671 \h </w:instrText>
      </w:r>
      <w:r>
        <w:fldChar w:fldCharType="separate"/>
      </w:r>
      <w:r w:rsidR="00DE5FE7">
        <w:t xml:space="preserve">Figure </w:t>
      </w:r>
      <w:r w:rsidR="006C67C1">
        <w:t>H</w:t>
      </w:r>
      <w:r w:rsidR="00DE5FE7">
        <w:t>5</w:t>
      </w:r>
      <w:r>
        <w:fldChar w:fldCharType="end"/>
      </w:r>
      <w:r>
        <w:t xml:space="preserve">). The Bureau of Communications Research </w:t>
      </w:r>
      <w:r w:rsidR="00E910EF">
        <w:t xml:space="preserve">did not include </w:t>
      </w:r>
      <w:r>
        <w:t>the peak at 1989–90 as IT data for this sector did not go back that far.</w:t>
      </w:r>
    </w:p>
    <w:p w14:paraId="129177B2" w14:textId="77777777" w:rsidR="00375729" w:rsidRDefault="00375729" w:rsidP="00375729">
      <w:pPr>
        <w:spacing w:after="60"/>
      </w:pPr>
      <w:r>
        <w:t>Average growth rates in actual LP over these cycles were:</w:t>
      </w:r>
    </w:p>
    <w:p w14:paraId="71A99B23" w14:textId="77777777" w:rsidR="00375729" w:rsidRDefault="00375729" w:rsidP="00A4034F">
      <w:pPr>
        <w:pStyle w:val="Bodybullet-Level1"/>
      </w:pPr>
      <w:r>
        <w:t>1995–95 to 2002–03</w:t>
      </w:r>
      <w:r w:rsidRPr="00C61C0A">
        <w:t>:</w:t>
      </w:r>
      <w:r>
        <w:t xml:space="preserve"> -1.0 per cent a year</w:t>
      </w:r>
    </w:p>
    <w:p w14:paraId="12B185C1" w14:textId="77777777" w:rsidR="00375729" w:rsidRDefault="00375729" w:rsidP="00A4034F">
      <w:pPr>
        <w:pStyle w:val="Bodybullet-Level1"/>
      </w:pPr>
      <w:r>
        <w:t>2002–03 to 2009–10: -0.5 per cent a year</w:t>
      </w:r>
      <w:r w:rsidR="00E910EF">
        <w:t>, and</w:t>
      </w:r>
    </w:p>
    <w:p w14:paraId="3F64F04A" w14:textId="77777777" w:rsidR="00375729" w:rsidRDefault="00375729" w:rsidP="00A4034F">
      <w:pPr>
        <w:pStyle w:val="Bodybullet-Level1"/>
      </w:pPr>
      <w:r>
        <w:t>2009–10 to 2013–14</w:t>
      </w:r>
      <w:r w:rsidRPr="00C61C0A">
        <w:t>:</w:t>
      </w:r>
      <w:r>
        <w:t xml:space="preserve"> 1.8 per cent a year.</w:t>
      </w:r>
      <w:r w:rsidR="00726FD7">
        <w:rPr>
          <w:rStyle w:val="EndnoteReference"/>
        </w:rPr>
        <w:endnoteReference w:id="35"/>
      </w:r>
    </w:p>
    <w:p w14:paraId="1E63230C" w14:textId="77777777" w:rsidR="00375729" w:rsidRPr="00A90AE3" w:rsidRDefault="006C67C1" w:rsidP="00A4034F">
      <w:pPr>
        <w:pStyle w:val="Figurecaption"/>
      </w:pPr>
      <w:r>
        <w:t>Figure H5</w:t>
      </w:r>
      <w:r w:rsidR="00375729">
        <w:t>: Actual and trend labour productivity in RHRE services</w:t>
      </w:r>
      <w:r w:rsidR="00375729">
        <w:rPr>
          <w:sz w:val="22"/>
          <w:szCs w:val="22"/>
          <w:vertAlign w:val="superscript"/>
        </w:rPr>
        <w:t>a</w:t>
      </w:r>
      <w:r w:rsidR="00582DDD">
        <w:rPr>
          <w:sz w:val="22"/>
          <w:szCs w:val="22"/>
          <w:vertAlign w:val="superscript"/>
        </w:rPr>
        <w:t xml:space="preserve"> </w:t>
      </w:r>
      <w:r w:rsidR="00375729">
        <w:t>(index, actual 2012–13</w:t>
      </w:r>
      <w:r w:rsidR="006A530A">
        <w:t xml:space="preserve"> = </w:t>
      </w:r>
      <w:r w:rsidR="00375729">
        <w:t>100)</w:t>
      </w:r>
    </w:p>
    <w:p w14:paraId="5C4446DE" w14:textId="60D740E3" w:rsidR="00375729" w:rsidRDefault="00A4034F" w:rsidP="00375729">
      <w:pPr>
        <w:spacing w:after="60"/>
      </w:pPr>
      <w:r>
        <w:rPr>
          <w:noProof/>
          <w:lang w:eastAsia="en-AU"/>
        </w:rPr>
        <w:drawing>
          <wp:inline distT="0" distB="0" distL="0" distR="0" wp14:anchorId="59D97E35" wp14:editId="1143606F">
            <wp:extent cx="5596890" cy="3048000"/>
            <wp:effectExtent l="0" t="0" r="381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96890" cy="3048000"/>
                    </a:xfrm>
                    <a:prstGeom prst="rect">
                      <a:avLst/>
                    </a:prstGeom>
                    <a:noFill/>
                  </pic:spPr>
                </pic:pic>
              </a:graphicData>
            </a:graphic>
          </wp:inline>
        </w:drawing>
      </w:r>
    </w:p>
    <w:p w14:paraId="425FA5BD" w14:textId="77777777" w:rsidR="00375729" w:rsidRPr="00323930"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p>
    <w:p w14:paraId="6A661D7F" w14:textId="77777777" w:rsidR="00375729" w:rsidRDefault="00375729" w:rsidP="00012248">
      <w:pPr>
        <w:pStyle w:val="SourceNotes"/>
      </w:pPr>
      <w:r>
        <w:t xml:space="preserve">Source: </w:t>
      </w:r>
      <w:r w:rsidRPr="00323930">
        <w:t>ABS Cat. No. 5260.0.55.002 and author estimates</w:t>
      </w:r>
    </w:p>
    <w:p w14:paraId="6A86892B" w14:textId="77777777" w:rsidR="00375729" w:rsidRDefault="00B06961" w:rsidP="00F37FA2">
      <w:pPr>
        <w:pStyle w:val="BCRAppendicesSubSubheading"/>
      </w:pPr>
      <w:r>
        <w:t>H.2</w:t>
      </w:r>
      <w:r w:rsidR="00375729">
        <w:t>.1 IT capital deepening and LP growth</w:t>
      </w:r>
    </w:p>
    <w:p w14:paraId="46493660" w14:textId="77777777" w:rsidR="00375729" w:rsidRDefault="00375729" w:rsidP="00375729">
      <w:r>
        <w:t xml:space="preserve">The growth in labour productivity can be decomposed into contributions from capital deepening and multifactor productivity (MFP) growth (section 4). LP, the capital-labour ratio and MFP are illustrated in </w:t>
      </w:r>
      <w:r w:rsidR="006C67C1">
        <w:t>Figure H6</w:t>
      </w:r>
      <w:r>
        <w:t>.</w:t>
      </w:r>
    </w:p>
    <w:p w14:paraId="01B7CF1B" w14:textId="77777777" w:rsidR="00375729" w:rsidRDefault="00375729" w:rsidP="00375729">
      <w:r>
        <w:t>All the LP growth came from capital deepening. MFP worked in the other direction, by falling 40 per cent. The capital-labour ratio grew over 200 per cent from 1994–95.</w:t>
      </w:r>
    </w:p>
    <w:p w14:paraId="0390E434" w14:textId="77777777" w:rsidR="00375729" w:rsidRDefault="006C67C1" w:rsidP="00A4034F">
      <w:pPr>
        <w:pStyle w:val="Figurecaption"/>
      </w:pPr>
      <w:r>
        <w:t>Figure H6</w:t>
      </w:r>
      <w:r w:rsidR="00375729">
        <w:t>: Labour productivity (LP), the capital-labour ratio (K/L) and multifactor productivity (MFP) in RHRE services (index, 2012–13</w:t>
      </w:r>
      <w:r w:rsidR="006A530A">
        <w:t xml:space="preserve"> = </w:t>
      </w:r>
      <w:r w:rsidR="00375729">
        <w:t>100)</w:t>
      </w:r>
    </w:p>
    <w:p w14:paraId="688F4481" w14:textId="6F774135" w:rsidR="00375729" w:rsidRDefault="00A4034F" w:rsidP="00375729">
      <w:pPr>
        <w:spacing w:after="60"/>
      </w:pPr>
      <w:r>
        <w:rPr>
          <w:noProof/>
          <w:lang w:eastAsia="en-AU"/>
        </w:rPr>
        <w:drawing>
          <wp:inline distT="0" distB="0" distL="0" distR="0" wp14:anchorId="30F5B03B" wp14:editId="0BD7C397">
            <wp:extent cx="5700395" cy="27432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00395" cy="2743200"/>
                    </a:xfrm>
                    <a:prstGeom prst="rect">
                      <a:avLst/>
                    </a:prstGeom>
                    <a:noFill/>
                  </pic:spPr>
                </pic:pic>
              </a:graphicData>
            </a:graphic>
          </wp:inline>
        </w:drawing>
      </w:r>
    </w:p>
    <w:p w14:paraId="5B4400BD" w14:textId="77777777" w:rsidR="00375729" w:rsidRPr="00ED039F" w:rsidRDefault="00375729" w:rsidP="00012248">
      <w:pPr>
        <w:pStyle w:val="SourceNotes"/>
      </w:pPr>
      <w:r>
        <w:t xml:space="preserve">Source: </w:t>
      </w:r>
      <w:r w:rsidRPr="00323930">
        <w:t xml:space="preserve">ABS Cat. No. 5260.0.55.002 </w:t>
      </w:r>
    </w:p>
    <w:p w14:paraId="5ADD3531" w14:textId="77777777" w:rsidR="00375729" w:rsidRDefault="00375729" w:rsidP="00375729">
      <w:r>
        <w:t xml:space="preserve">Capital deepening was dominant in the first two cycles from the mid-1990s to the late-2000s (Table </w:t>
      </w:r>
      <w:r w:rsidR="006C67C1">
        <w:t>H1</w:t>
      </w:r>
      <w:r>
        <w:t>). IT made a very strong contribution of 2 percentage points. Hardware dominated the capital deepening, again in keeping with the growth in IT being a leased asset.</w:t>
      </w:r>
    </w:p>
    <w:p w14:paraId="734E6D2B" w14:textId="77777777" w:rsidR="00375729" w:rsidRDefault="00375729" w:rsidP="00375729">
      <w:r>
        <w:t>Strongly negative MFP growth more than offset the positive effect of capital deepening on LP growth.</w:t>
      </w:r>
    </w:p>
    <w:p w14:paraId="22BEF8B1" w14:textId="77777777" w:rsidR="00375729" w:rsidRDefault="00375729" w:rsidP="00375729">
      <w:r>
        <w:t>There was a completely different picture in the last cycle. There was no capital deepening of any kind. MFP growth turned positive and so did LP growth.</w:t>
      </w:r>
      <w:r>
        <w:br/>
      </w:r>
    </w:p>
    <w:p w14:paraId="135771B3"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1CB199E0" w14:textId="77777777" w:rsidR="00375729" w:rsidRDefault="00375729" w:rsidP="00A4034F">
      <w:pPr>
        <w:pStyle w:val="Tablecaption"/>
      </w:pPr>
      <w:r>
        <w:t xml:space="preserve">Table </w:t>
      </w:r>
      <w:r w:rsidR="006C67C1">
        <w:t>H1</w:t>
      </w:r>
      <w:r>
        <w:t>: Labour productivity growth accounting in RHRE services (per cent per annum and percentage points)</w:t>
      </w:r>
      <w:r>
        <w:rPr>
          <w:sz w:val="22"/>
          <w:szCs w:val="22"/>
          <w:vertAlign w:val="superscript"/>
        </w:rPr>
        <w:t>a</w:t>
      </w:r>
      <w:r>
        <w:rPr>
          <w:iCs/>
        </w:rPr>
        <w:fldChar w:fldCharType="begin"/>
      </w:r>
      <w:r>
        <w:instrText xml:space="preserve"> LINK Excel.Sheet.12 "\\\\dept.gov.au\\DFS\\Home\\DParham\\desktop\\Docs\\1. GA project\\Industry studies\\Prof, scien, tech\\PST workbook 150908.xlsx" "LP!R5C44:R12C47" \a \f 4 \h  \* MERGEFORMAT </w:instrText>
      </w:r>
      <w:r>
        <w:rPr>
          <w:iCs/>
        </w:rPr>
        <w:fldChar w:fldCharType="separate"/>
      </w:r>
    </w:p>
    <w:tbl>
      <w:tblPr>
        <w:tblW w:w="8642" w:type="dxa"/>
        <w:tblLook w:val="04A0" w:firstRow="1" w:lastRow="0" w:firstColumn="1" w:lastColumn="0" w:noHBand="0" w:noVBand="1"/>
      </w:tblPr>
      <w:tblGrid>
        <w:gridCol w:w="4531"/>
        <w:gridCol w:w="1418"/>
        <w:gridCol w:w="1276"/>
        <w:gridCol w:w="1417"/>
      </w:tblGrid>
      <w:tr w:rsidR="00375729" w:rsidRPr="00402754" w14:paraId="3A251743" w14:textId="77777777" w:rsidTr="00CF3D6E">
        <w:trPr>
          <w:trHeight w:val="51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8E28A" w14:textId="77777777" w:rsidR="00375729" w:rsidRPr="00BB0A27" w:rsidRDefault="00375729" w:rsidP="00A4034F">
            <w:pPr>
              <w:pStyle w:val="Tablecellheading"/>
            </w:pPr>
            <w:r w:rsidRPr="00BB0A27">
              <w:t> </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26C7C2DE" w14:textId="77777777" w:rsidR="00375729" w:rsidRPr="00BB0A27" w:rsidRDefault="00375729" w:rsidP="00A4034F">
            <w:pPr>
              <w:pStyle w:val="Tablecellheading"/>
            </w:pPr>
            <w:r w:rsidRPr="00BB0A27">
              <w:t xml:space="preserve">1995–96 to </w:t>
            </w:r>
          </w:p>
          <w:p w14:paraId="588B865B" w14:textId="77777777" w:rsidR="00375729" w:rsidRPr="00BB0A27" w:rsidRDefault="00375729" w:rsidP="00A4034F">
            <w:pPr>
              <w:pStyle w:val="Tablecellheading"/>
            </w:pPr>
            <w:r w:rsidRPr="00BB0A27">
              <w:t>2002–03</w:t>
            </w:r>
          </w:p>
        </w:tc>
        <w:tc>
          <w:tcPr>
            <w:tcW w:w="127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7BAE2460" w14:textId="77777777" w:rsidR="00375729" w:rsidRPr="00BB0A27" w:rsidRDefault="00375729" w:rsidP="00A4034F">
            <w:pPr>
              <w:pStyle w:val="Tablecellheading"/>
            </w:pPr>
            <w:r w:rsidRPr="00BB0A27">
              <w:t xml:space="preserve">2002–03 to </w:t>
            </w:r>
          </w:p>
          <w:p w14:paraId="62B6767A" w14:textId="77777777" w:rsidR="00375729" w:rsidRPr="00BB0A27" w:rsidRDefault="00375729" w:rsidP="00A4034F">
            <w:pPr>
              <w:pStyle w:val="Tablecellheading"/>
            </w:pPr>
            <w:r w:rsidRPr="00BB0A27">
              <w:t>2009–10</w:t>
            </w:r>
          </w:p>
        </w:tc>
        <w:tc>
          <w:tcPr>
            <w:tcW w:w="1417" w:type="dxa"/>
            <w:tcBorders>
              <w:top w:val="single" w:sz="4" w:space="0" w:color="auto"/>
              <w:left w:val="single" w:sz="4" w:space="0" w:color="BFBFBF" w:themeColor="background1" w:themeShade="BF"/>
              <w:bottom w:val="single" w:sz="4" w:space="0" w:color="auto"/>
              <w:right w:val="single" w:sz="4" w:space="0" w:color="auto"/>
            </w:tcBorders>
            <w:vAlign w:val="bottom"/>
          </w:tcPr>
          <w:p w14:paraId="0CEC0D0D" w14:textId="77777777" w:rsidR="00375729" w:rsidRPr="00BB0A27" w:rsidRDefault="00375729" w:rsidP="00A4034F">
            <w:pPr>
              <w:pStyle w:val="Tablecellheading"/>
            </w:pPr>
            <w:r w:rsidRPr="00BB0A27">
              <w:t xml:space="preserve">2009–10 to </w:t>
            </w:r>
          </w:p>
          <w:p w14:paraId="56BD6052" w14:textId="77777777" w:rsidR="00375729" w:rsidRPr="00BB0A27" w:rsidRDefault="00375729" w:rsidP="00A4034F">
            <w:pPr>
              <w:pStyle w:val="Tablecellheading"/>
            </w:pPr>
            <w:r w:rsidRPr="00BB0A27">
              <w:t>2013–14</w:t>
            </w:r>
          </w:p>
        </w:tc>
      </w:tr>
      <w:tr w:rsidR="00375729" w:rsidRPr="00402754" w14:paraId="5161068B" w14:textId="77777777" w:rsidTr="00CF3D6E">
        <w:trPr>
          <w:trHeight w:val="330"/>
        </w:trPr>
        <w:tc>
          <w:tcPr>
            <w:tcW w:w="4531" w:type="dxa"/>
            <w:tcBorders>
              <w:top w:val="single" w:sz="4" w:space="0" w:color="auto"/>
              <w:left w:val="single" w:sz="4" w:space="0" w:color="auto"/>
              <w:bottom w:val="nil"/>
              <w:right w:val="single" w:sz="4" w:space="0" w:color="auto"/>
            </w:tcBorders>
            <w:shd w:val="clear" w:color="auto" w:fill="auto"/>
            <w:noWrap/>
            <w:vAlign w:val="center"/>
            <w:hideMark/>
          </w:tcPr>
          <w:p w14:paraId="3BFA2747" w14:textId="77777777" w:rsidR="00375729" w:rsidRPr="00CF3D6E" w:rsidRDefault="00375729" w:rsidP="00A4034F">
            <w:pPr>
              <w:pStyle w:val="Tabletext"/>
            </w:pPr>
            <w:r w:rsidRPr="00CF3D6E">
              <w:t>Capital deepening (pp)</w:t>
            </w:r>
          </w:p>
        </w:tc>
        <w:tc>
          <w:tcPr>
            <w:tcW w:w="1418"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06C1A2A4" w14:textId="77777777" w:rsidR="00375729" w:rsidRPr="00CF3D6E" w:rsidRDefault="00375729" w:rsidP="00A4034F">
            <w:pPr>
              <w:pStyle w:val="Tabletext"/>
            </w:pPr>
            <w:r w:rsidRPr="00CF3D6E">
              <w:t xml:space="preserve">2.9 </w:t>
            </w:r>
          </w:p>
        </w:tc>
        <w:tc>
          <w:tcPr>
            <w:tcW w:w="1276"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4D892ADE" w14:textId="77777777" w:rsidR="00375729" w:rsidRPr="00CF3D6E" w:rsidRDefault="00375729" w:rsidP="00A4034F">
            <w:pPr>
              <w:pStyle w:val="Tabletext"/>
            </w:pPr>
            <w:r w:rsidRPr="00CF3D6E">
              <w:t>4.5</w:t>
            </w:r>
          </w:p>
        </w:tc>
        <w:tc>
          <w:tcPr>
            <w:tcW w:w="1417" w:type="dxa"/>
            <w:tcBorders>
              <w:top w:val="single" w:sz="4" w:space="0" w:color="auto"/>
              <w:left w:val="single" w:sz="4" w:space="0" w:color="BFBFBF" w:themeColor="background1" w:themeShade="BF"/>
              <w:bottom w:val="nil"/>
              <w:right w:val="single" w:sz="4" w:space="0" w:color="auto"/>
            </w:tcBorders>
            <w:vAlign w:val="center"/>
          </w:tcPr>
          <w:p w14:paraId="223E76D1" w14:textId="77777777" w:rsidR="00375729" w:rsidRPr="00CF3D6E" w:rsidRDefault="00375729" w:rsidP="00A4034F">
            <w:pPr>
              <w:pStyle w:val="Tabletext"/>
            </w:pPr>
            <w:r w:rsidRPr="00CF3D6E">
              <w:t>0.0</w:t>
            </w:r>
          </w:p>
        </w:tc>
      </w:tr>
      <w:tr w:rsidR="00375729" w:rsidRPr="00402754" w14:paraId="356B926D" w14:textId="77777777" w:rsidTr="00CF3D6E">
        <w:trPr>
          <w:trHeight w:val="330"/>
        </w:trPr>
        <w:tc>
          <w:tcPr>
            <w:tcW w:w="4531" w:type="dxa"/>
            <w:tcBorders>
              <w:top w:val="nil"/>
              <w:left w:val="single" w:sz="4" w:space="0" w:color="auto"/>
              <w:bottom w:val="nil"/>
              <w:right w:val="single" w:sz="4" w:space="0" w:color="auto"/>
            </w:tcBorders>
            <w:shd w:val="clear" w:color="auto" w:fill="auto"/>
            <w:noWrap/>
            <w:vAlign w:val="center"/>
            <w:hideMark/>
          </w:tcPr>
          <w:p w14:paraId="1244DB70" w14:textId="77777777" w:rsidR="00375729" w:rsidRPr="00BB0A27" w:rsidRDefault="00375729" w:rsidP="00A4034F">
            <w:pPr>
              <w:pStyle w:val="Tabletext"/>
            </w:pPr>
            <w:r w:rsidRPr="00BB0A27">
              <w:t>IT capital deepening (pp)</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76A32277" w14:textId="77777777" w:rsidR="00375729" w:rsidRPr="00BB0A27" w:rsidRDefault="00375729" w:rsidP="00A4034F">
            <w:pPr>
              <w:pStyle w:val="Tabletext"/>
            </w:pPr>
            <w:r w:rsidRPr="00BB0A27">
              <w:t>1.1</w:t>
            </w:r>
          </w:p>
        </w:tc>
        <w:tc>
          <w:tcPr>
            <w:tcW w:w="1276" w:type="dxa"/>
            <w:tcBorders>
              <w:top w:val="nil"/>
              <w:left w:val="single" w:sz="4" w:space="0" w:color="BFBFBF" w:themeColor="background1" w:themeShade="BF"/>
              <w:bottom w:val="nil"/>
              <w:right w:val="single" w:sz="4" w:space="0" w:color="auto"/>
            </w:tcBorders>
            <w:shd w:val="clear" w:color="auto" w:fill="auto"/>
            <w:noWrap/>
            <w:vAlign w:val="center"/>
            <w:hideMark/>
          </w:tcPr>
          <w:p w14:paraId="6B6E13B5" w14:textId="77777777" w:rsidR="00375729" w:rsidRPr="00BB0A27" w:rsidRDefault="00375729" w:rsidP="00A4034F">
            <w:pPr>
              <w:pStyle w:val="Tabletext"/>
            </w:pPr>
            <w:r w:rsidRPr="00BB0A27">
              <w:t>1.8</w:t>
            </w:r>
          </w:p>
        </w:tc>
        <w:tc>
          <w:tcPr>
            <w:tcW w:w="1417" w:type="dxa"/>
            <w:tcBorders>
              <w:top w:val="nil"/>
              <w:left w:val="single" w:sz="4" w:space="0" w:color="BFBFBF" w:themeColor="background1" w:themeShade="BF"/>
              <w:bottom w:val="nil"/>
              <w:right w:val="single" w:sz="4" w:space="0" w:color="auto"/>
            </w:tcBorders>
            <w:vAlign w:val="center"/>
          </w:tcPr>
          <w:p w14:paraId="78F6F6EB" w14:textId="77777777" w:rsidR="00375729" w:rsidRPr="00BB0A27" w:rsidRDefault="00375729" w:rsidP="00A4034F">
            <w:pPr>
              <w:pStyle w:val="Tabletext"/>
            </w:pPr>
            <w:r w:rsidRPr="00BB0A27">
              <w:t>-0.7</w:t>
            </w:r>
          </w:p>
        </w:tc>
      </w:tr>
      <w:tr w:rsidR="00375729" w:rsidRPr="00402754" w14:paraId="76913F8A" w14:textId="77777777" w:rsidTr="00CF3D6E">
        <w:trPr>
          <w:trHeight w:val="330"/>
        </w:trPr>
        <w:tc>
          <w:tcPr>
            <w:tcW w:w="4531" w:type="dxa"/>
            <w:tcBorders>
              <w:top w:val="nil"/>
              <w:left w:val="single" w:sz="4" w:space="0" w:color="auto"/>
              <w:bottom w:val="nil"/>
              <w:right w:val="single" w:sz="4" w:space="0" w:color="auto"/>
            </w:tcBorders>
            <w:shd w:val="clear" w:color="auto" w:fill="auto"/>
            <w:noWrap/>
            <w:vAlign w:val="center"/>
            <w:hideMark/>
          </w:tcPr>
          <w:p w14:paraId="7ADD3F94" w14:textId="77777777" w:rsidR="00375729" w:rsidRPr="00CF3D6E" w:rsidRDefault="0058764D" w:rsidP="00A4034F">
            <w:pPr>
              <w:pStyle w:val="Tabletext"/>
              <w:rPr>
                <w:i/>
              </w:rPr>
            </w:pPr>
            <w:r>
              <w:rPr>
                <w:i/>
              </w:rPr>
              <w:t>H</w:t>
            </w:r>
            <w:r w:rsidR="00375729" w:rsidRPr="00CF3D6E">
              <w:rPr>
                <w:i/>
              </w:rPr>
              <w:t>ardware (pp)</w:t>
            </w:r>
          </w:p>
        </w:tc>
        <w:tc>
          <w:tcPr>
            <w:tcW w:w="1418" w:type="dxa"/>
            <w:tcBorders>
              <w:top w:val="nil"/>
              <w:left w:val="single" w:sz="4" w:space="0" w:color="auto"/>
              <w:bottom w:val="nil"/>
              <w:right w:val="single" w:sz="4" w:space="0" w:color="BFBFBF" w:themeColor="background1" w:themeShade="BF"/>
            </w:tcBorders>
            <w:shd w:val="clear" w:color="auto" w:fill="auto"/>
            <w:noWrap/>
            <w:vAlign w:val="bottom"/>
            <w:hideMark/>
          </w:tcPr>
          <w:p w14:paraId="14DD04C2" w14:textId="77777777" w:rsidR="00375729" w:rsidRPr="00CF3D6E" w:rsidRDefault="00375729" w:rsidP="00A4034F">
            <w:pPr>
              <w:pStyle w:val="Tabletext"/>
              <w:rPr>
                <w:i/>
              </w:rPr>
            </w:pPr>
            <w:r w:rsidRPr="00CF3D6E">
              <w:rPr>
                <w:i/>
              </w:rPr>
              <w:t>1.6</w:t>
            </w:r>
          </w:p>
        </w:tc>
        <w:tc>
          <w:tcPr>
            <w:tcW w:w="1276" w:type="dxa"/>
            <w:tcBorders>
              <w:top w:val="nil"/>
              <w:left w:val="single" w:sz="4" w:space="0" w:color="BFBFBF" w:themeColor="background1" w:themeShade="BF"/>
              <w:bottom w:val="nil"/>
              <w:right w:val="single" w:sz="4" w:space="0" w:color="auto"/>
            </w:tcBorders>
            <w:shd w:val="clear" w:color="auto" w:fill="auto"/>
            <w:noWrap/>
            <w:vAlign w:val="bottom"/>
            <w:hideMark/>
          </w:tcPr>
          <w:p w14:paraId="7E0C40D8" w14:textId="77777777" w:rsidR="00375729" w:rsidRPr="00CF3D6E" w:rsidRDefault="00375729" w:rsidP="00A4034F">
            <w:pPr>
              <w:pStyle w:val="Tabletext"/>
              <w:rPr>
                <w:i/>
              </w:rPr>
            </w:pPr>
            <w:r w:rsidRPr="00CF3D6E">
              <w:rPr>
                <w:i/>
              </w:rPr>
              <w:t>1.8</w:t>
            </w:r>
          </w:p>
        </w:tc>
        <w:tc>
          <w:tcPr>
            <w:tcW w:w="1417" w:type="dxa"/>
            <w:tcBorders>
              <w:top w:val="nil"/>
              <w:left w:val="single" w:sz="4" w:space="0" w:color="BFBFBF" w:themeColor="background1" w:themeShade="BF"/>
              <w:bottom w:val="nil"/>
              <w:right w:val="single" w:sz="4" w:space="0" w:color="auto"/>
            </w:tcBorders>
            <w:vAlign w:val="bottom"/>
          </w:tcPr>
          <w:p w14:paraId="37208B6A" w14:textId="77777777" w:rsidR="00375729" w:rsidRPr="00CF3D6E" w:rsidRDefault="00375729" w:rsidP="00A4034F">
            <w:pPr>
              <w:pStyle w:val="Tabletext"/>
              <w:rPr>
                <w:i/>
              </w:rPr>
            </w:pPr>
            <w:r w:rsidRPr="00CF3D6E">
              <w:rPr>
                <w:i/>
              </w:rPr>
              <w:t>-0.3</w:t>
            </w:r>
          </w:p>
        </w:tc>
      </w:tr>
      <w:tr w:rsidR="00375729" w:rsidRPr="00402754" w14:paraId="15DA85A5" w14:textId="77777777" w:rsidTr="00CF3D6E">
        <w:trPr>
          <w:trHeight w:val="330"/>
        </w:trPr>
        <w:tc>
          <w:tcPr>
            <w:tcW w:w="4531" w:type="dxa"/>
            <w:tcBorders>
              <w:top w:val="nil"/>
              <w:left w:val="single" w:sz="4" w:space="0" w:color="auto"/>
              <w:bottom w:val="nil"/>
              <w:right w:val="single" w:sz="4" w:space="0" w:color="auto"/>
            </w:tcBorders>
            <w:shd w:val="clear" w:color="auto" w:fill="auto"/>
            <w:noWrap/>
            <w:vAlign w:val="center"/>
            <w:hideMark/>
          </w:tcPr>
          <w:p w14:paraId="3D3F8FC3" w14:textId="77777777" w:rsidR="00375729" w:rsidRPr="00CF3D6E" w:rsidRDefault="0058764D" w:rsidP="00A4034F">
            <w:pPr>
              <w:pStyle w:val="Tabletext"/>
              <w:rPr>
                <w:i/>
              </w:rPr>
            </w:pPr>
            <w:r>
              <w:rPr>
                <w:i/>
              </w:rPr>
              <w:t>S</w:t>
            </w:r>
            <w:r w:rsidR="00375729" w:rsidRPr="00CF3D6E">
              <w:rPr>
                <w:i/>
              </w:rPr>
              <w:t>oftware (pp)</w:t>
            </w:r>
          </w:p>
        </w:tc>
        <w:tc>
          <w:tcPr>
            <w:tcW w:w="1418" w:type="dxa"/>
            <w:tcBorders>
              <w:top w:val="nil"/>
              <w:left w:val="single" w:sz="4" w:space="0" w:color="auto"/>
              <w:bottom w:val="nil"/>
              <w:right w:val="single" w:sz="4" w:space="0" w:color="BFBFBF" w:themeColor="background1" w:themeShade="BF"/>
            </w:tcBorders>
            <w:shd w:val="clear" w:color="auto" w:fill="auto"/>
            <w:noWrap/>
            <w:vAlign w:val="bottom"/>
            <w:hideMark/>
          </w:tcPr>
          <w:p w14:paraId="4A7B04C8" w14:textId="77777777" w:rsidR="00375729" w:rsidRPr="00CF3D6E" w:rsidRDefault="00375729" w:rsidP="00A4034F">
            <w:pPr>
              <w:pStyle w:val="Tabletext"/>
              <w:rPr>
                <w:i/>
              </w:rPr>
            </w:pPr>
            <w:r w:rsidRPr="00CF3D6E">
              <w:rPr>
                <w:i/>
              </w:rPr>
              <w:t>-0.5</w:t>
            </w:r>
          </w:p>
        </w:tc>
        <w:tc>
          <w:tcPr>
            <w:tcW w:w="1276" w:type="dxa"/>
            <w:tcBorders>
              <w:top w:val="nil"/>
              <w:left w:val="single" w:sz="4" w:space="0" w:color="BFBFBF" w:themeColor="background1" w:themeShade="BF"/>
              <w:bottom w:val="nil"/>
              <w:right w:val="single" w:sz="4" w:space="0" w:color="auto"/>
            </w:tcBorders>
            <w:shd w:val="clear" w:color="auto" w:fill="auto"/>
            <w:noWrap/>
            <w:vAlign w:val="bottom"/>
            <w:hideMark/>
          </w:tcPr>
          <w:p w14:paraId="6C73376F" w14:textId="77777777" w:rsidR="00375729" w:rsidRPr="00CF3D6E" w:rsidRDefault="00375729" w:rsidP="00A4034F">
            <w:pPr>
              <w:pStyle w:val="Tabletext"/>
              <w:rPr>
                <w:i/>
              </w:rPr>
            </w:pPr>
            <w:r w:rsidRPr="00CF3D6E">
              <w:rPr>
                <w:i/>
              </w:rPr>
              <w:t>0.0</w:t>
            </w:r>
          </w:p>
        </w:tc>
        <w:tc>
          <w:tcPr>
            <w:tcW w:w="1417" w:type="dxa"/>
            <w:tcBorders>
              <w:top w:val="nil"/>
              <w:left w:val="single" w:sz="4" w:space="0" w:color="BFBFBF" w:themeColor="background1" w:themeShade="BF"/>
              <w:bottom w:val="nil"/>
              <w:right w:val="single" w:sz="4" w:space="0" w:color="auto"/>
            </w:tcBorders>
            <w:vAlign w:val="bottom"/>
          </w:tcPr>
          <w:p w14:paraId="1B2281CE" w14:textId="77777777" w:rsidR="00375729" w:rsidRPr="00CF3D6E" w:rsidRDefault="00375729" w:rsidP="00A4034F">
            <w:pPr>
              <w:pStyle w:val="Tabletext"/>
              <w:rPr>
                <w:i/>
              </w:rPr>
            </w:pPr>
            <w:r w:rsidRPr="00CF3D6E">
              <w:rPr>
                <w:i/>
              </w:rPr>
              <w:t>-0.4</w:t>
            </w:r>
          </w:p>
        </w:tc>
      </w:tr>
      <w:tr w:rsidR="00375729" w:rsidRPr="00402754" w14:paraId="30040E14" w14:textId="77777777" w:rsidTr="00CF3D6E">
        <w:trPr>
          <w:trHeight w:val="330"/>
        </w:trPr>
        <w:tc>
          <w:tcPr>
            <w:tcW w:w="4531" w:type="dxa"/>
            <w:tcBorders>
              <w:top w:val="nil"/>
              <w:left w:val="single" w:sz="4" w:space="0" w:color="auto"/>
              <w:bottom w:val="nil"/>
              <w:right w:val="single" w:sz="4" w:space="0" w:color="auto"/>
            </w:tcBorders>
            <w:shd w:val="clear" w:color="auto" w:fill="auto"/>
            <w:noWrap/>
            <w:vAlign w:val="center"/>
            <w:hideMark/>
          </w:tcPr>
          <w:p w14:paraId="7B45BB31" w14:textId="77777777" w:rsidR="00375729" w:rsidRPr="00BB0A27" w:rsidRDefault="00375729" w:rsidP="00A4034F">
            <w:pPr>
              <w:pStyle w:val="Tabletext"/>
            </w:pPr>
            <w:r w:rsidRPr="00BB0A27">
              <w:t>Non-IT capital deepening (pp)</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3D2B461B" w14:textId="77777777" w:rsidR="00375729" w:rsidRPr="00BB0A27" w:rsidRDefault="00375729" w:rsidP="00A4034F">
            <w:pPr>
              <w:pStyle w:val="Tabletext"/>
            </w:pPr>
            <w:r w:rsidRPr="00BB0A27">
              <w:t>1.8</w:t>
            </w:r>
          </w:p>
        </w:tc>
        <w:tc>
          <w:tcPr>
            <w:tcW w:w="1276" w:type="dxa"/>
            <w:tcBorders>
              <w:top w:val="nil"/>
              <w:left w:val="single" w:sz="4" w:space="0" w:color="BFBFBF" w:themeColor="background1" w:themeShade="BF"/>
              <w:bottom w:val="nil"/>
              <w:right w:val="single" w:sz="4" w:space="0" w:color="auto"/>
            </w:tcBorders>
            <w:shd w:val="clear" w:color="auto" w:fill="auto"/>
            <w:noWrap/>
            <w:vAlign w:val="center"/>
            <w:hideMark/>
          </w:tcPr>
          <w:p w14:paraId="402D44AA" w14:textId="77777777" w:rsidR="00375729" w:rsidRPr="00BB0A27" w:rsidRDefault="00375729" w:rsidP="00A4034F">
            <w:pPr>
              <w:pStyle w:val="Tabletext"/>
            </w:pPr>
            <w:r w:rsidRPr="00BB0A27">
              <w:t>2.7</w:t>
            </w:r>
          </w:p>
        </w:tc>
        <w:tc>
          <w:tcPr>
            <w:tcW w:w="1417" w:type="dxa"/>
            <w:tcBorders>
              <w:top w:val="nil"/>
              <w:left w:val="single" w:sz="4" w:space="0" w:color="BFBFBF" w:themeColor="background1" w:themeShade="BF"/>
              <w:bottom w:val="nil"/>
              <w:right w:val="single" w:sz="4" w:space="0" w:color="auto"/>
            </w:tcBorders>
            <w:vAlign w:val="center"/>
          </w:tcPr>
          <w:p w14:paraId="23AFF2D8" w14:textId="77777777" w:rsidR="00375729" w:rsidRPr="00BB0A27" w:rsidRDefault="00375729" w:rsidP="00A4034F">
            <w:pPr>
              <w:pStyle w:val="Tabletext"/>
            </w:pPr>
            <w:r w:rsidRPr="00BB0A27">
              <w:t>0.7</w:t>
            </w:r>
          </w:p>
        </w:tc>
      </w:tr>
      <w:tr w:rsidR="00375729" w:rsidRPr="00402754" w14:paraId="5F3EEB25" w14:textId="77777777" w:rsidTr="00CF3D6E">
        <w:trPr>
          <w:trHeight w:val="330"/>
        </w:trPr>
        <w:tc>
          <w:tcPr>
            <w:tcW w:w="4531" w:type="dxa"/>
            <w:tcBorders>
              <w:top w:val="nil"/>
              <w:left w:val="single" w:sz="4" w:space="0" w:color="auto"/>
              <w:bottom w:val="nil"/>
              <w:right w:val="single" w:sz="4" w:space="0" w:color="auto"/>
            </w:tcBorders>
            <w:shd w:val="clear" w:color="auto" w:fill="auto"/>
            <w:noWrap/>
            <w:vAlign w:val="center"/>
            <w:hideMark/>
          </w:tcPr>
          <w:p w14:paraId="269CE54A" w14:textId="77777777" w:rsidR="00375729" w:rsidRPr="00CF3D6E" w:rsidRDefault="00375729" w:rsidP="00A4034F">
            <w:pPr>
              <w:pStyle w:val="Tabletext"/>
            </w:pPr>
            <w:r w:rsidRPr="00CF3D6E">
              <w:t>MFP growth (pp)</w:t>
            </w:r>
          </w:p>
        </w:tc>
        <w:tc>
          <w:tcPr>
            <w:tcW w:w="1418" w:type="dxa"/>
            <w:tcBorders>
              <w:top w:val="nil"/>
              <w:left w:val="single" w:sz="4" w:space="0" w:color="auto"/>
              <w:bottom w:val="nil"/>
              <w:right w:val="single" w:sz="4" w:space="0" w:color="BFBFBF" w:themeColor="background1" w:themeShade="BF"/>
            </w:tcBorders>
            <w:shd w:val="clear" w:color="auto" w:fill="auto"/>
            <w:noWrap/>
            <w:vAlign w:val="center"/>
            <w:hideMark/>
          </w:tcPr>
          <w:p w14:paraId="6C15216B" w14:textId="77777777" w:rsidR="00375729" w:rsidRPr="00CF3D6E" w:rsidRDefault="00375729" w:rsidP="00A4034F">
            <w:pPr>
              <w:pStyle w:val="Tabletext"/>
            </w:pPr>
            <w:r w:rsidRPr="00CF3D6E">
              <w:t>-4.0</w:t>
            </w:r>
          </w:p>
        </w:tc>
        <w:tc>
          <w:tcPr>
            <w:tcW w:w="1276" w:type="dxa"/>
            <w:tcBorders>
              <w:top w:val="nil"/>
              <w:left w:val="single" w:sz="4" w:space="0" w:color="BFBFBF" w:themeColor="background1" w:themeShade="BF"/>
              <w:bottom w:val="nil"/>
              <w:right w:val="single" w:sz="4" w:space="0" w:color="auto"/>
            </w:tcBorders>
            <w:shd w:val="clear" w:color="auto" w:fill="auto"/>
            <w:noWrap/>
            <w:vAlign w:val="center"/>
            <w:hideMark/>
          </w:tcPr>
          <w:p w14:paraId="01B00866" w14:textId="77777777" w:rsidR="00375729" w:rsidRPr="00CF3D6E" w:rsidRDefault="00375729" w:rsidP="00A4034F">
            <w:pPr>
              <w:pStyle w:val="Tabletext"/>
            </w:pPr>
            <w:r w:rsidRPr="00CF3D6E">
              <w:t>-5.0</w:t>
            </w:r>
          </w:p>
        </w:tc>
        <w:tc>
          <w:tcPr>
            <w:tcW w:w="1417" w:type="dxa"/>
            <w:tcBorders>
              <w:top w:val="nil"/>
              <w:left w:val="single" w:sz="4" w:space="0" w:color="BFBFBF" w:themeColor="background1" w:themeShade="BF"/>
              <w:bottom w:val="nil"/>
              <w:right w:val="single" w:sz="4" w:space="0" w:color="auto"/>
            </w:tcBorders>
            <w:vAlign w:val="center"/>
          </w:tcPr>
          <w:p w14:paraId="593EF4B7" w14:textId="77777777" w:rsidR="00375729" w:rsidRPr="00CF3D6E" w:rsidRDefault="00375729" w:rsidP="00A4034F">
            <w:pPr>
              <w:pStyle w:val="Tabletext"/>
            </w:pPr>
            <w:r w:rsidRPr="00CF3D6E">
              <w:t>1.8</w:t>
            </w:r>
          </w:p>
        </w:tc>
      </w:tr>
      <w:tr w:rsidR="00375729" w:rsidRPr="00402754" w14:paraId="63B2412B" w14:textId="77777777" w:rsidTr="00CF3D6E">
        <w:trPr>
          <w:trHeight w:val="330"/>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BCFD30B" w14:textId="77777777" w:rsidR="00375729" w:rsidRPr="00CF3D6E" w:rsidRDefault="00375729" w:rsidP="00A4034F">
            <w:pPr>
              <w:pStyle w:val="Tabletext"/>
            </w:pPr>
            <w:r w:rsidRPr="00CF3D6E">
              <w:t>Labour productivity growth (%pa)</w:t>
            </w:r>
          </w:p>
        </w:tc>
        <w:tc>
          <w:tcPr>
            <w:tcW w:w="1418"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3EE0165A" w14:textId="77777777" w:rsidR="00375729" w:rsidRPr="00CF3D6E" w:rsidRDefault="00375729" w:rsidP="00A4034F">
            <w:pPr>
              <w:pStyle w:val="Tabletext"/>
            </w:pPr>
            <w:r w:rsidRPr="00CF3D6E">
              <w:t>-1.1</w:t>
            </w:r>
          </w:p>
        </w:tc>
        <w:tc>
          <w:tcPr>
            <w:tcW w:w="1276"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35C64DDE" w14:textId="77777777" w:rsidR="00375729" w:rsidRPr="00CF3D6E" w:rsidRDefault="00375729" w:rsidP="00A4034F">
            <w:pPr>
              <w:pStyle w:val="Tabletext"/>
            </w:pPr>
            <w:r w:rsidRPr="00CF3D6E">
              <w:t>-0.5</w:t>
            </w:r>
          </w:p>
        </w:tc>
        <w:tc>
          <w:tcPr>
            <w:tcW w:w="1417" w:type="dxa"/>
            <w:tcBorders>
              <w:top w:val="nil"/>
              <w:left w:val="single" w:sz="4" w:space="0" w:color="BFBFBF" w:themeColor="background1" w:themeShade="BF"/>
              <w:bottom w:val="single" w:sz="4" w:space="0" w:color="auto"/>
              <w:right w:val="single" w:sz="4" w:space="0" w:color="auto"/>
            </w:tcBorders>
            <w:vAlign w:val="center"/>
          </w:tcPr>
          <w:p w14:paraId="13A608F4" w14:textId="77777777" w:rsidR="00375729" w:rsidRPr="00CF3D6E" w:rsidRDefault="00375729" w:rsidP="00A4034F">
            <w:pPr>
              <w:pStyle w:val="Tabletext"/>
            </w:pPr>
            <w:r w:rsidRPr="00CF3D6E">
              <w:t>1.8</w:t>
            </w:r>
          </w:p>
        </w:tc>
      </w:tr>
    </w:tbl>
    <w:p w14:paraId="487B083B" w14:textId="77777777" w:rsidR="00375729" w:rsidRPr="00323930" w:rsidRDefault="00375729" w:rsidP="00A4034F">
      <w:pPr>
        <w:pStyle w:val="SourceNotes"/>
      </w:pPr>
      <w:r>
        <w:fldChar w:fldCharType="end"/>
      </w:r>
      <w:r>
        <w:t>Note: a. Figures in brackets refer to percentages of labour productivity growth</w:t>
      </w:r>
      <w:r w:rsidR="00D50B5A">
        <w:t xml:space="preserve">. </w:t>
      </w:r>
      <w:r w:rsidR="00D50B5A" w:rsidRPr="00CF3D6E">
        <w:t>Numbers may not add up due to rounding</w:t>
      </w:r>
      <w:r w:rsidR="00D50B5A">
        <w:t xml:space="preserve">. </w:t>
      </w:r>
      <w:r w:rsidRPr="00323930">
        <w:tab/>
      </w:r>
    </w:p>
    <w:p w14:paraId="32F791B5" w14:textId="77777777" w:rsidR="00375729" w:rsidRDefault="00375729" w:rsidP="00012248">
      <w:pPr>
        <w:pStyle w:val="SourceNotes"/>
      </w:pPr>
      <w:r>
        <w:t xml:space="preserve">Source: </w:t>
      </w:r>
      <w:r w:rsidRPr="00F07285">
        <w:t>Author estimates</w:t>
      </w:r>
    </w:p>
    <w:p w14:paraId="5E9D9129" w14:textId="77777777" w:rsidR="00375729" w:rsidRDefault="00B06961" w:rsidP="00F37FA2">
      <w:pPr>
        <w:pStyle w:val="BCRAppendicesSubSubheading"/>
      </w:pPr>
      <w:r>
        <w:t>H.</w:t>
      </w:r>
      <w:r w:rsidRPr="00720353">
        <w:t>2</w:t>
      </w:r>
      <w:r w:rsidR="00375729" w:rsidRPr="00720353">
        <w:t>.2</w:t>
      </w:r>
      <w:r>
        <w:t xml:space="preserve"> </w:t>
      </w:r>
      <w:r w:rsidR="00375729">
        <w:t>IT</w:t>
      </w:r>
      <w:r w:rsidR="00375729" w:rsidRPr="00720353">
        <w:t xml:space="preserve"> use and skills</w:t>
      </w:r>
    </w:p>
    <w:p w14:paraId="5DD6CBE0" w14:textId="77777777" w:rsidR="00375729" w:rsidRDefault="00375729" w:rsidP="00375729">
      <w:r>
        <w:t>The average skill level in the industry increased by 12 per cent from 1989–90 to 2013–14 and 9 per cent from 1994-95. Even though the stock of IT capital increased by much more, there was a high degree of correlation between the two. The correlation coefficient between IT capital and the index of skill composition from 1994-95 to 2013-14 is 0.97.</w:t>
      </w:r>
    </w:p>
    <w:p w14:paraId="1458457E" w14:textId="77777777" w:rsidR="00375729" w:rsidRPr="009B02C8" w:rsidRDefault="00B06961" w:rsidP="00F37FA2">
      <w:pPr>
        <w:pStyle w:val="BCRAppendicesSubheading"/>
      </w:pPr>
      <w:r>
        <w:t xml:space="preserve">H.3 </w:t>
      </w:r>
      <w:r w:rsidR="00375729">
        <w:t>IT, asset use and capital productivity</w:t>
      </w:r>
    </w:p>
    <w:p w14:paraId="196EA295" w14:textId="77777777" w:rsidR="00375729" w:rsidRDefault="00375729" w:rsidP="00375729">
      <w:r>
        <w:t xml:space="preserve">The productivity of total capital and of non-IT capital is shown </w:t>
      </w:r>
      <w:r w:rsidR="006C67C1">
        <w:t>Figure H7</w:t>
      </w:r>
      <w:r>
        <w:t xml:space="preserve">. </w:t>
      </w:r>
    </w:p>
    <w:p w14:paraId="445FDD42" w14:textId="77777777" w:rsidR="00375729" w:rsidRDefault="00375729" w:rsidP="00375729">
      <w:r>
        <w:t>Non-IT capital productivity fell by around 45 per cent from 1994–95 so there was no positive association between IT use and non-IT capital productivity.</w:t>
      </w:r>
    </w:p>
    <w:p w14:paraId="2CB8107C" w14:textId="77777777" w:rsidR="00375729" w:rsidRDefault="006C67C1" w:rsidP="00A4034F">
      <w:pPr>
        <w:pStyle w:val="Figurecaption"/>
      </w:pPr>
      <w:r>
        <w:t>Figure H7</w:t>
      </w:r>
      <w:r w:rsidR="00375729">
        <w:t>: Capital productivity of al</w:t>
      </w:r>
      <w:r w:rsidR="00375729" w:rsidRPr="00FC224A">
        <w:rPr>
          <w:rStyle w:val="DPReport-FigureTableTitleChar"/>
        </w:rPr>
        <w:t>l</w:t>
      </w:r>
      <w:r w:rsidR="00375729">
        <w:t xml:space="preserve"> assets and non-IT assets in RHRE services (index, 2012–13</w:t>
      </w:r>
      <w:r w:rsidR="006A530A">
        <w:t xml:space="preserve"> = </w:t>
      </w:r>
      <w:r w:rsidR="00375729">
        <w:t>100)</w:t>
      </w:r>
    </w:p>
    <w:p w14:paraId="2C5D20EB" w14:textId="2E80BA61" w:rsidR="00375729" w:rsidRDefault="00A4034F" w:rsidP="00375729">
      <w:pPr>
        <w:spacing w:after="60"/>
        <w:rPr>
          <w:noProof/>
          <w:lang w:eastAsia="en-AU"/>
        </w:rPr>
      </w:pPr>
      <w:r>
        <w:rPr>
          <w:noProof/>
          <w:lang w:eastAsia="en-AU"/>
        </w:rPr>
        <w:drawing>
          <wp:inline distT="0" distB="0" distL="0" distR="0" wp14:anchorId="6602F3AC" wp14:editId="7ED78E72">
            <wp:extent cx="5596890" cy="2773680"/>
            <wp:effectExtent l="0" t="0" r="381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96890" cy="2773680"/>
                    </a:xfrm>
                    <a:prstGeom prst="rect">
                      <a:avLst/>
                    </a:prstGeom>
                    <a:noFill/>
                  </pic:spPr>
                </pic:pic>
              </a:graphicData>
            </a:graphic>
          </wp:inline>
        </w:drawing>
      </w:r>
    </w:p>
    <w:p w14:paraId="0BC48FDF" w14:textId="77777777" w:rsidR="00375729" w:rsidRDefault="00375729" w:rsidP="00012248">
      <w:pPr>
        <w:pStyle w:val="SourceNotes"/>
      </w:pPr>
      <w:r>
        <w:t xml:space="preserve">Source: </w:t>
      </w:r>
      <w:r w:rsidRPr="00323930">
        <w:t>Author estimates</w:t>
      </w:r>
    </w:p>
    <w:p w14:paraId="0ED00FD8" w14:textId="77777777" w:rsidR="00375729" w:rsidRDefault="00375729" w:rsidP="00375729">
      <w:r>
        <w:t>The productivity of individual assets was also investigated. The major non-IT capital inputs in RHRE services are: construction assets (38 per cent of capital income)</w:t>
      </w:r>
      <w:r w:rsidR="00726FD7">
        <w:rPr>
          <w:rStyle w:val="EndnoteReference"/>
        </w:rPr>
        <w:endnoteReference w:id="36"/>
      </w:r>
      <w:r>
        <w:t>, road vehicles (23 per cent), industrial machinery and equipment (7 per cent), and electrical and electronic equipment (7 per cent).</w:t>
      </w:r>
    </w:p>
    <w:p w14:paraId="5EFC7CED" w14:textId="77777777" w:rsidR="00375729" w:rsidRDefault="00375729" w:rsidP="00375729">
      <w:r>
        <w:t>The productivity of the major assets declined (</w:t>
      </w:r>
      <w:r w:rsidR="006C67C1">
        <w:t>Figure H8</w:t>
      </w:r>
      <w:r>
        <w:t>).</w:t>
      </w:r>
    </w:p>
    <w:p w14:paraId="1751776D" w14:textId="77777777" w:rsidR="00375729" w:rsidRDefault="006C67C1" w:rsidP="00A4034F">
      <w:pPr>
        <w:pStyle w:val="Figurecaption"/>
      </w:pPr>
      <w:r>
        <w:t>Figure H8</w:t>
      </w:r>
      <w:r w:rsidR="00375729">
        <w:t>: Asset productivity—the ratio of value added to use of selected assets in RHRE services</w:t>
      </w:r>
    </w:p>
    <w:p w14:paraId="2B5F5695" w14:textId="75809959" w:rsidR="00375729" w:rsidRDefault="00A4034F" w:rsidP="00375729">
      <w:pPr>
        <w:spacing w:after="60"/>
        <w:rPr>
          <w:noProof/>
          <w:lang w:eastAsia="en-AU"/>
        </w:rPr>
      </w:pPr>
      <w:r>
        <w:rPr>
          <w:noProof/>
          <w:lang w:eastAsia="en-AU"/>
        </w:rPr>
        <w:drawing>
          <wp:inline distT="0" distB="0" distL="0" distR="0" wp14:anchorId="09BFFAF8" wp14:editId="0218339C">
            <wp:extent cx="5487035" cy="2755900"/>
            <wp:effectExtent l="0" t="0" r="0" b="6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7035" cy="2755900"/>
                    </a:xfrm>
                    <a:prstGeom prst="rect">
                      <a:avLst/>
                    </a:prstGeom>
                    <a:noFill/>
                  </pic:spPr>
                </pic:pic>
              </a:graphicData>
            </a:graphic>
          </wp:inline>
        </w:drawing>
      </w:r>
    </w:p>
    <w:p w14:paraId="03895EA2" w14:textId="77777777" w:rsidR="00375729" w:rsidRDefault="00375729" w:rsidP="00012248">
      <w:pPr>
        <w:pStyle w:val="SourceNotes"/>
      </w:pPr>
      <w:r>
        <w:t xml:space="preserve">Source: </w:t>
      </w:r>
      <w:r w:rsidRPr="00323930">
        <w:t>Author estimates</w:t>
      </w:r>
    </w:p>
    <w:p w14:paraId="480031C9" w14:textId="77777777" w:rsidR="00375729" w:rsidRDefault="00B06961" w:rsidP="00F37FA2">
      <w:pPr>
        <w:pStyle w:val="BCRAppendicesSubheading"/>
      </w:pPr>
      <w:r>
        <w:t xml:space="preserve">H.4 </w:t>
      </w:r>
      <w:r w:rsidR="00375729">
        <w:t>Use of intermediates</w:t>
      </w:r>
    </w:p>
    <w:p w14:paraId="4A82CA0E" w14:textId="77777777" w:rsidR="00375729" w:rsidRDefault="004D7971" w:rsidP="00375729">
      <w:r>
        <w:t xml:space="preserve">Whether </w:t>
      </w:r>
      <w:r w:rsidR="00375729">
        <w:t>IT could help improve the efficiency with which intermediate inputs (materials, energy and services used in production) are used was another possibility that was examined. In the case of intermediate input use, productivity is determined in reference to the gross output, rather than the value added, measure of output.</w:t>
      </w:r>
    </w:p>
    <w:p w14:paraId="168E535B" w14:textId="77777777" w:rsidR="00375729" w:rsidRDefault="00375729" w:rsidP="00012248">
      <w:pPr>
        <w:pStyle w:val="BodyText"/>
        <w:rPr>
          <w:rFonts w:ascii="Cambria" w:eastAsiaTheme="majorEastAsia" w:hAnsi="Cambria" w:cstheme="majorBidi"/>
          <w:color w:val="900D10" w:themeColor="accent1" w:themeShade="80"/>
          <w:sz w:val="26"/>
          <w:szCs w:val="26"/>
        </w:rPr>
      </w:pPr>
      <w:r>
        <w:t>The efficiency of intermediates use did not change much over the entire period (</w:t>
      </w:r>
      <w:r w:rsidR="006C67C1">
        <w:t>Figure H9</w:t>
      </w:r>
      <w:r>
        <w:t xml:space="preserve">). </w:t>
      </w:r>
    </w:p>
    <w:p w14:paraId="6D207C7C" w14:textId="77777777" w:rsidR="00375729" w:rsidRDefault="006C67C1" w:rsidP="00A4034F">
      <w:pPr>
        <w:pStyle w:val="Figurecaption"/>
      </w:pPr>
      <w:r>
        <w:t>Figure H9</w:t>
      </w:r>
      <w:r w:rsidR="00375729">
        <w:t>: Gross output, intermediate input use and intermediate input productivity in FIS</w:t>
      </w:r>
    </w:p>
    <w:p w14:paraId="12548441" w14:textId="1880EED5" w:rsidR="00375729" w:rsidRDefault="00A4034F" w:rsidP="00375729">
      <w:pPr>
        <w:spacing w:after="60"/>
        <w:rPr>
          <w:noProof/>
          <w:lang w:eastAsia="en-AU"/>
        </w:rPr>
      </w:pPr>
      <w:r>
        <w:rPr>
          <w:noProof/>
          <w:lang w:eastAsia="en-AU"/>
        </w:rPr>
        <w:drawing>
          <wp:inline distT="0" distB="0" distL="0" distR="0" wp14:anchorId="3504467E" wp14:editId="38405EC8">
            <wp:extent cx="5681980" cy="2755900"/>
            <wp:effectExtent l="0" t="0" r="0"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81980" cy="2755900"/>
                    </a:xfrm>
                    <a:prstGeom prst="rect">
                      <a:avLst/>
                    </a:prstGeom>
                    <a:noFill/>
                  </pic:spPr>
                </pic:pic>
              </a:graphicData>
            </a:graphic>
          </wp:inline>
        </w:drawing>
      </w:r>
    </w:p>
    <w:p w14:paraId="4F6277F8" w14:textId="77777777" w:rsidR="006139F5" w:rsidRDefault="00375729" w:rsidP="00012248">
      <w:pPr>
        <w:pStyle w:val="SourceNotes"/>
      </w:pPr>
      <w:r>
        <w:t xml:space="preserve">Source: </w:t>
      </w:r>
      <w:r w:rsidRPr="00323930">
        <w:t>Author estimates</w:t>
      </w:r>
    </w:p>
    <w:p w14:paraId="0FA15471" w14:textId="77777777" w:rsidR="006139F5" w:rsidRDefault="006139F5">
      <w:pPr>
        <w:spacing w:after="120"/>
        <w:ind w:left="1021" w:hanging="1021"/>
        <w:rPr>
          <w:color w:val="2F2F2F" w:themeColor="text2" w:themeShade="80"/>
          <w:sz w:val="20"/>
        </w:rPr>
      </w:pPr>
      <w:r>
        <w:br w:type="page"/>
      </w:r>
    </w:p>
    <w:p w14:paraId="3B312361" w14:textId="77777777" w:rsidR="00375729" w:rsidRDefault="00375729" w:rsidP="00012248">
      <w:pPr>
        <w:pStyle w:val="SourceNotes"/>
      </w:pPr>
    </w:p>
    <w:p w14:paraId="67272025" w14:textId="77777777" w:rsidR="00375729" w:rsidRDefault="00B06961" w:rsidP="00F37FA2">
      <w:pPr>
        <w:pStyle w:val="BCRAppendicesSubheading"/>
      </w:pPr>
      <w:r>
        <w:t xml:space="preserve">H.5 </w:t>
      </w:r>
      <w:r w:rsidR="00375729">
        <w:t>MFP growth</w:t>
      </w:r>
    </w:p>
    <w:p w14:paraId="63091876" w14:textId="77777777" w:rsidR="00375729" w:rsidRDefault="00375729" w:rsidP="00375729">
      <w:pPr>
        <w:pStyle w:val="BodyTextNoIndent"/>
      </w:pPr>
      <w:r>
        <w:t>The association between IT and MFP was examined in the context of MFP cycles (</w:t>
      </w:r>
      <w:r w:rsidR="006C67C1">
        <w:t>Figure H10</w:t>
      </w:r>
      <w:r>
        <w:t xml:space="preserve">). </w:t>
      </w:r>
    </w:p>
    <w:p w14:paraId="6EFC4BB8" w14:textId="77777777" w:rsidR="00375729" w:rsidRDefault="006C67C1" w:rsidP="00A4034F">
      <w:pPr>
        <w:pStyle w:val="Figurecaption"/>
      </w:pPr>
      <w:r>
        <w:t>Figure H10</w:t>
      </w:r>
      <w:r w:rsidR="00375729">
        <w:t>: Actual and trend MFP in RHRE services</w:t>
      </w:r>
      <w:r w:rsidR="00375729">
        <w:rPr>
          <w:vertAlign w:val="superscript"/>
        </w:rPr>
        <w:t>a</w:t>
      </w:r>
      <w:r w:rsidR="00375729">
        <w:t xml:space="preserve"> (index, actual 2012–13</w:t>
      </w:r>
      <w:r w:rsidR="006A530A">
        <w:t xml:space="preserve"> = </w:t>
      </w:r>
      <w:r w:rsidR="00375729">
        <w:t>100)</w:t>
      </w:r>
    </w:p>
    <w:p w14:paraId="5FF1BE6A" w14:textId="299EA2CD" w:rsidR="00375729" w:rsidRDefault="00A4034F" w:rsidP="00375729">
      <w:pPr>
        <w:spacing w:after="60"/>
      </w:pPr>
      <w:r>
        <w:rPr>
          <w:noProof/>
          <w:lang w:eastAsia="en-AU"/>
        </w:rPr>
        <w:drawing>
          <wp:inline distT="0" distB="0" distL="0" distR="0" wp14:anchorId="056AB94B" wp14:editId="32A61C76">
            <wp:extent cx="5553710" cy="2743200"/>
            <wp:effectExtent l="0" t="0" r="889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53710" cy="2743200"/>
                    </a:xfrm>
                    <a:prstGeom prst="rect">
                      <a:avLst/>
                    </a:prstGeom>
                    <a:noFill/>
                  </pic:spPr>
                </pic:pic>
              </a:graphicData>
            </a:graphic>
          </wp:inline>
        </w:drawing>
      </w:r>
    </w:p>
    <w:p w14:paraId="5822C9FD" w14:textId="77777777" w:rsidR="00375729" w:rsidRPr="00323930" w:rsidRDefault="00375729" w:rsidP="00012248">
      <w:pPr>
        <w:pStyle w:val="SourceNotes"/>
      </w:pPr>
      <w:r>
        <w:t xml:space="preserve">Note: a. </w:t>
      </w:r>
      <w:r w:rsidRPr="00323930">
        <w:t>Trend series formed with a Hodrick-Prescott filter λ</w:t>
      </w:r>
      <w:r w:rsidR="006A530A">
        <w:t xml:space="preserve"> = </w:t>
      </w:r>
      <w:r w:rsidRPr="00323930">
        <w:t>100</w:t>
      </w:r>
      <w:r w:rsidRPr="00323930">
        <w:tab/>
      </w:r>
    </w:p>
    <w:p w14:paraId="49ABD4D0" w14:textId="77777777" w:rsidR="00375729" w:rsidRDefault="00375729" w:rsidP="00012248">
      <w:pPr>
        <w:pStyle w:val="SourceNotes"/>
      </w:pPr>
      <w:r>
        <w:t xml:space="preserve">Source: </w:t>
      </w:r>
      <w:r w:rsidRPr="00323930">
        <w:t>ABS Cat. No. 5260.0.55.002 and author estimates</w:t>
      </w:r>
    </w:p>
    <w:p w14:paraId="60100A99" w14:textId="77777777" w:rsidR="00375729" w:rsidRDefault="00375729" w:rsidP="00375729">
      <w:r>
        <w:t xml:space="preserve">Peaks in MFP, according to the method set out in section 5.3, took place in 1995–96, 2002–03, 2005–06 and 2013–14. However, 2009–10 rather than 2005–06, was chosen. This allowed for the possibility there was a turning point in the late 2000s. It also brought the MFP cycles into line with the LP cycles. Capital deepening and its role in LP growth, and not the declining MFP, is the prominent feature of this industry. </w:t>
      </w:r>
    </w:p>
    <w:p w14:paraId="62738405" w14:textId="77777777" w:rsidR="00375729" w:rsidRDefault="00375729" w:rsidP="00375729">
      <w:r>
        <w:t xml:space="preserve">MFP growth was treated as a weighted average of LP growth and capital productivity growth, with the respective income shares as the weights. The MFP growth accounting is presented in </w:t>
      </w:r>
      <w:r w:rsidR="00116461">
        <w:t>H2</w:t>
      </w:r>
      <w:r>
        <w:t xml:space="preserve">. </w:t>
      </w:r>
    </w:p>
    <w:p w14:paraId="049C9800" w14:textId="77777777" w:rsidR="00375729" w:rsidRPr="0056262C" w:rsidRDefault="00375729" w:rsidP="00A4034F">
      <w:pPr>
        <w:pStyle w:val="Tablecaption"/>
      </w:pPr>
      <w:r>
        <w:t>The IT contribution through IT capital deepening and LP growth is as expected from the LP growth accounting. Because of the declines in asset productivities, it does not appear IT had a positive effect on non-IT capital productivity. The only individual asset with positive productivity growth was land in the first cycle for the period reviewed.</w:t>
      </w:r>
      <w:r w:rsidRPr="0056262C">
        <w:rPr>
          <w:rFonts w:asciiTheme="minorHAnsi" w:hAnsiTheme="minorHAnsi"/>
        </w:rPr>
        <w:fldChar w:fldCharType="begin"/>
      </w:r>
      <w:r w:rsidRPr="0056262C">
        <w:instrText xml:space="preserve"> LINK </w:instrText>
      </w:r>
      <w:r>
        <w:instrText xml:space="preserve">Excel.Sheet.12 "\\\\dept.gov.au\\DFS\\Home\\DParham\\Desktop\\Docs\\1. GA project\\Retail trade\\Retail workbook 150709.xlsx" MFP!R134C28:R144C33 </w:instrText>
      </w:r>
      <w:r w:rsidRPr="0056262C">
        <w:instrText xml:space="preserve">\a \f 4 \h  \* MERGEFORMAT </w:instrText>
      </w:r>
      <w:r w:rsidRPr="0056262C">
        <w:rPr>
          <w:rFonts w:asciiTheme="minorHAnsi" w:hAnsiTheme="minorHAnsi"/>
        </w:rPr>
        <w:fldChar w:fldCharType="separate"/>
      </w:r>
    </w:p>
    <w:p w14:paraId="067FE5DC" w14:textId="77777777" w:rsidR="00375729" w:rsidRDefault="00375729" w:rsidP="00A4034F">
      <w:pPr>
        <w:pStyle w:val="Tablecaption"/>
      </w:pPr>
      <w:r>
        <w:t xml:space="preserve">Table </w:t>
      </w:r>
      <w:r w:rsidR="006C67C1">
        <w:t>H2</w:t>
      </w:r>
      <w:r w:rsidRPr="0056262C">
        <w:t xml:space="preserve">: Multifactor productivity growth accounting over MFP cycles in </w:t>
      </w:r>
      <w:r>
        <w:t>RHRE services</w:t>
      </w:r>
      <w:r w:rsidRPr="0056262C">
        <w:fldChar w:fldCharType="end"/>
      </w:r>
      <w:r w:rsidRPr="00D97BB3">
        <w:t xml:space="preserve"> </w:t>
      </w:r>
      <w:r>
        <w:rPr>
          <w:iCs/>
          <w:sz w:val="22"/>
        </w:rPr>
        <w:fldChar w:fldCharType="begin"/>
      </w:r>
      <w:r>
        <w:instrText xml:space="preserve"> LINK Excel.Sheet.12 "\\\\dept.gov.au\\DFS\\Home\\DParham\\desktop\\Docs\\1. GA project\\Industry studies\\Prof, scien, tech\\PST workbook 150908.xlsx" "MFP!R129C28:R139C30" \a \f 4 \h  \* MERGEFORMAT </w:instrText>
      </w:r>
      <w:r>
        <w:rPr>
          <w:iCs/>
          <w:sz w:val="22"/>
        </w:rPr>
        <w:fldChar w:fldCharType="separate"/>
      </w:r>
    </w:p>
    <w:tbl>
      <w:tblPr>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ayout w:type="fixed"/>
        <w:tblLook w:val="04A0" w:firstRow="1" w:lastRow="0" w:firstColumn="1" w:lastColumn="0" w:noHBand="0" w:noVBand="1"/>
      </w:tblPr>
      <w:tblGrid>
        <w:gridCol w:w="5098"/>
        <w:gridCol w:w="1418"/>
        <w:gridCol w:w="1417"/>
        <w:gridCol w:w="1418"/>
      </w:tblGrid>
      <w:tr w:rsidR="00375729" w:rsidRPr="002D296F" w14:paraId="0039C6C1" w14:textId="77777777" w:rsidTr="00CF3D6E">
        <w:trPr>
          <w:trHeight w:val="495"/>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1E2B0" w14:textId="77777777" w:rsidR="00375729" w:rsidRPr="002D296F" w:rsidRDefault="00375729" w:rsidP="00A4034F">
            <w:pPr>
              <w:pStyle w:val="Tablecellheading"/>
            </w:pPr>
            <w:r w:rsidRPr="002D296F">
              <w:t> </w:t>
            </w:r>
          </w:p>
        </w:tc>
        <w:tc>
          <w:tcPr>
            <w:tcW w:w="1418"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24827BDD" w14:textId="77777777" w:rsidR="00375729" w:rsidRPr="002D296F" w:rsidRDefault="00375729" w:rsidP="00A4034F">
            <w:pPr>
              <w:pStyle w:val="Tablecellheading"/>
              <w:rPr>
                <w:sz w:val="18"/>
                <w:szCs w:val="18"/>
              </w:rPr>
            </w:pPr>
            <w:r w:rsidRPr="002D296F">
              <w:rPr>
                <w:sz w:val="18"/>
                <w:szCs w:val="18"/>
              </w:rPr>
              <w:t>199</w:t>
            </w:r>
            <w:r>
              <w:rPr>
                <w:sz w:val="18"/>
                <w:szCs w:val="18"/>
              </w:rPr>
              <w:t>5–96</w:t>
            </w:r>
            <w:r w:rsidRPr="002D296F">
              <w:rPr>
                <w:sz w:val="18"/>
                <w:szCs w:val="18"/>
              </w:rPr>
              <w:t xml:space="preserve"> to 200</w:t>
            </w:r>
            <w:r>
              <w:rPr>
                <w:sz w:val="18"/>
                <w:szCs w:val="18"/>
              </w:rPr>
              <w:t>2–03</w:t>
            </w:r>
          </w:p>
        </w:tc>
        <w:tc>
          <w:tcPr>
            <w:tcW w:w="1417"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3CD6A5ED" w14:textId="77777777" w:rsidR="00375729" w:rsidRPr="002D296F" w:rsidRDefault="00375729" w:rsidP="00A4034F">
            <w:pPr>
              <w:pStyle w:val="Tablecellheading"/>
              <w:rPr>
                <w:sz w:val="18"/>
                <w:szCs w:val="18"/>
              </w:rPr>
            </w:pPr>
            <w:r w:rsidRPr="002D296F">
              <w:rPr>
                <w:sz w:val="18"/>
                <w:szCs w:val="18"/>
              </w:rPr>
              <w:t>200</w:t>
            </w:r>
            <w:r>
              <w:rPr>
                <w:sz w:val="18"/>
                <w:szCs w:val="18"/>
              </w:rPr>
              <w:t>2–03</w:t>
            </w:r>
            <w:r w:rsidRPr="002D296F">
              <w:rPr>
                <w:sz w:val="18"/>
                <w:szCs w:val="18"/>
              </w:rPr>
              <w:t xml:space="preserve"> to 20</w:t>
            </w:r>
            <w:r>
              <w:rPr>
                <w:sz w:val="18"/>
                <w:szCs w:val="18"/>
              </w:rPr>
              <w:t>09–10</w:t>
            </w:r>
          </w:p>
        </w:tc>
        <w:tc>
          <w:tcPr>
            <w:tcW w:w="1418" w:type="dxa"/>
            <w:tcBorders>
              <w:top w:val="single" w:sz="4" w:space="0" w:color="auto"/>
              <w:left w:val="single" w:sz="4" w:space="0" w:color="BFBFBF" w:themeColor="background1" w:themeShade="BF"/>
              <w:bottom w:val="single" w:sz="4" w:space="0" w:color="auto"/>
              <w:right w:val="single" w:sz="4" w:space="0" w:color="auto"/>
            </w:tcBorders>
            <w:vAlign w:val="center"/>
          </w:tcPr>
          <w:p w14:paraId="11A84A5F" w14:textId="77777777" w:rsidR="00375729" w:rsidRPr="002D296F" w:rsidRDefault="00375729" w:rsidP="00A4034F">
            <w:pPr>
              <w:pStyle w:val="Tablecellheading"/>
              <w:rPr>
                <w:sz w:val="18"/>
                <w:szCs w:val="18"/>
              </w:rPr>
            </w:pPr>
            <w:r>
              <w:rPr>
                <w:sz w:val="18"/>
                <w:szCs w:val="18"/>
              </w:rPr>
              <w:t>2009–10 to 2013–14</w:t>
            </w:r>
          </w:p>
        </w:tc>
      </w:tr>
      <w:tr w:rsidR="00375729" w:rsidRPr="002D296F" w14:paraId="48F35F45" w14:textId="77777777" w:rsidTr="00CF3D6E">
        <w:trPr>
          <w:trHeight w:val="300"/>
        </w:trPr>
        <w:tc>
          <w:tcPr>
            <w:tcW w:w="5098" w:type="dxa"/>
            <w:tcBorders>
              <w:top w:val="single" w:sz="4" w:space="0" w:color="auto"/>
              <w:left w:val="single" w:sz="4" w:space="0" w:color="auto"/>
              <w:right w:val="single" w:sz="4" w:space="0" w:color="auto"/>
            </w:tcBorders>
            <w:shd w:val="clear" w:color="auto" w:fill="auto"/>
            <w:noWrap/>
            <w:vAlign w:val="bottom"/>
            <w:hideMark/>
          </w:tcPr>
          <w:p w14:paraId="438A7BFB" w14:textId="77777777" w:rsidR="00375729" w:rsidRPr="00CF3D6E" w:rsidRDefault="00375729" w:rsidP="00A4034F">
            <w:pPr>
              <w:pStyle w:val="Tabletext"/>
            </w:pPr>
            <w:r w:rsidRPr="00CF3D6E">
              <w:t>LP growth contribution (pp)</w:t>
            </w:r>
          </w:p>
        </w:tc>
        <w:tc>
          <w:tcPr>
            <w:tcW w:w="1418" w:type="dxa"/>
            <w:tcBorders>
              <w:top w:val="single" w:sz="4" w:space="0" w:color="auto"/>
              <w:left w:val="single" w:sz="4" w:space="0" w:color="auto"/>
              <w:right w:val="single" w:sz="4" w:space="0" w:color="BFBFBF" w:themeColor="background1" w:themeShade="BF"/>
            </w:tcBorders>
            <w:shd w:val="clear" w:color="auto" w:fill="auto"/>
            <w:noWrap/>
            <w:vAlign w:val="bottom"/>
            <w:hideMark/>
          </w:tcPr>
          <w:p w14:paraId="32C329EC" w14:textId="77777777" w:rsidR="00375729" w:rsidRPr="00CF3D6E" w:rsidRDefault="00375729" w:rsidP="00A4034F">
            <w:pPr>
              <w:pStyle w:val="Tabletext"/>
            </w:pPr>
            <w:r w:rsidRPr="00CF3D6E">
              <w:t>-0.4</w:t>
            </w:r>
          </w:p>
        </w:tc>
        <w:tc>
          <w:tcPr>
            <w:tcW w:w="1417" w:type="dxa"/>
            <w:tcBorders>
              <w:top w:val="single" w:sz="4" w:space="0" w:color="auto"/>
              <w:left w:val="single" w:sz="4" w:space="0" w:color="BFBFBF" w:themeColor="background1" w:themeShade="BF"/>
              <w:right w:val="single" w:sz="4" w:space="0" w:color="auto"/>
            </w:tcBorders>
            <w:shd w:val="clear" w:color="auto" w:fill="auto"/>
            <w:noWrap/>
            <w:vAlign w:val="bottom"/>
            <w:hideMark/>
          </w:tcPr>
          <w:p w14:paraId="042C0D84" w14:textId="77777777" w:rsidR="00375729" w:rsidRPr="00CF3D6E" w:rsidRDefault="00375729" w:rsidP="00A4034F">
            <w:pPr>
              <w:pStyle w:val="Tabletext"/>
            </w:pPr>
            <w:r w:rsidRPr="00CF3D6E">
              <w:t>-0.2</w:t>
            </w:r>
          </w:p>
        </w:tc>
        <w:tc>
          <w:tcPr>
            <w:tcW w:w="1418" w:type="dxa"/>
            <w:tcBorders>
              <w:top w:val="single" w:sz="4" w:space="0" w:color="auto"/>
              <w:left w:val="single" w:sz="4" w:space="0" w:color="BFBFBF" w:themeColor="background1" w:themeShade="BF"/>
              <w:right w:val="single" w:sz="4" w:space="0" w:color="auto"/>
            </w:tcBorders>
          </w:tcPr>
          <w:p w14:paraId="290F3F12" w14:textId="77777777" w:rsidR="00375729" w:rsidRPr="00CF3D6E" w:rsidRDefault="00375729" w:rsidP="00A4034F">
            <w:pPr>
              <w:pStyle w:val="Tabletext"/>
            </w:pPr>
            <w:r w:rsidRPr="00CF3D6E">
              <w:t>0.7</w:t>
            </w:r>
          </w:p>
        </w:tc>
      </w:tr>
      <w:tr w:rsidR="00375729" w:rsidRPr="002D296F" w14:paraId="33911CEC" w14:textId="77777777" w:rsidTr="00CF3D6E">
        <w:trPr>
          <w:trHeight w:val="300"/>
        </w:trPr>
        <w:tc>
          <w:tcPr>
            <w:tcW w:w="5098" w:type="dxa"/>
            <w:tcBorders>
              <w:left w:val="single" w:sz="4" w:space="0" w:color="auto"/>
              <w:right w:val="single" w:sz="4" w:space="0" w:color="auto"/>
            </w:tcBorders>
            <w:shd w:val="clear" w:color="auto" w:fill="auto"/>
            <w:noWrap/>
            <w:vAlign w:val="bottom"/>
            <w:hideMark/>
          </w:tcPr>
          <w:p w14:paraId="3B9AA9B7" w14:textId="02859894" w:rsidR="00375729" w:rsidRPr="00CF3D6E" w:rsidRDefault="00375729" w:rsidP="00A4034F">
            <w:pPr>
              <w:pStyle w:val="Tabletext"/>
            </w:pPr>
            <w:r w:rsidRPr="00CF3D6E">
              <w:t>of which</w:t>
            </w:r>
          </w:p>
        </w:tc>
        <w:tc>
          <w:tcPr>
            <w:tcW w:w="1418" w:type="dxa"/>
            <w:tcBorders>
              <w:left w:val="single" w:sz="4" w:space="0" w:color="auto"/>
              <w:right w:val="single" w:sz="4" w:space="0" w:color="BFBFBF" w:themeColor="background1" w:themeShade="BF"/>
            </w:tcBorders>
            <w:shd w:val="clear" w:color="auto" w:fill="auto"/>
            <w:noWrap/>
            <w:vAlign w:val="bottom"/>
            <w:hideMark/>
          </w:tcPr>
          <w:p w14:paraId="376DAE8B" w14:textId="77777777" w:rsidR="00375729" w:rsidRPr="002D296F" w:rsidRDefault="00375729" w:rsidP="00A4034F">
            <w:pPr>
              <w:pStyle w:val="Tabletext"/>
            </w:pPr>
          </w:p>
        </w:tc>
        <w:tc>
          <w:tcPr>
            <w:tcW w:w="1417" w:type="dxa"/>
            <w:tcBorders>
              <w:left w:val="single" w:sz="4" w:space="0" w:color="BFBFBF" w:themeColor="background1" w:themeShade="BF"/>
              <w:right w:val="single" w:sz="4" w:space="0" w:color="auto"/>
            </w:tcBorders>
            <w:shd w:val="clear" w:color="auto" w:fill="auto"/>
            <w:noWrap/>
            <w:vAlign w:val="bottom"/>
            <w:hideMark/>
          </w:tcPr>
          <w:p w14:paraId="05CDD4E7" w14:textId="77777777" w:rsidR="00375729" w:rsidRPr="002D296F" w:rsidRDefault="00375729" w:rsidP="00A4034F">
            <w:pPr>
              <w:pStyle w:val="Tabletext"/>
              <w:rPr>
                <w:rFonts w:ascii="Times New Roman" w:hAnsi="Times New Roman"/>
                <w:sz w:val="20"/>
                <w:szCs w:val="20"/>
              </w:rPr>
            </w:pPr>
          </w:p>
        </w:tc>
        <w:tc>
          <w:tcPr>
            <w:tcW w:w="1418" w:type="dxa"/>
            <w:tcBorders>
              <w:left w:val="single" w:sz="4" w:space="0" w:color="BFBFBF" w:themeColor="background1" w:themeShade="BF"/>
              <w:right w:val="single" w:sz="4" w:space="0" w:color="auto"/>
            </w:tcBorders>
          </w:tcPr>
          <w:p w14:paraId="446D638E" w14:textId="77777777" w:rsidR="00375729" w:rsidRPr="002D296F" w:rsidRDefault="00375729" w:rsidP="00A4034F">
            <w:pPr>
              <w:pStyle w:val="Tabletext"/>
              <w:rPr>
                <w:rFonts w:ascii="Times New Roman" w:hAnsi="Times New Roman"/>
                <w:sz w:val="20"/>
                <w:szCs w:val="20"/>
              </w:rPr>
            </w:pPr>
          </w:p>
        </w:tc>
      </w:tr>
      <w:tr w:rsidR="00375729" w:rsidRPr="002D296F" w14:paraId="67AD4C4D" w14:textId="77777777" w:rsidTr="00CF3D6E">
        <w:trPr>
          <w:trHeight w:val="300"/>
        </w:trPr>
        <w:tc>
          <w:tcPr>
            <w:tcW w:w="5098" w:type="dxa"/>
            <w:tcBorders>
              <w:left w:val="single" w:sz="4" w:space="0" w:color="auto"/>
              <w:right w:val="single" w:sz="4" w:space="0" w:color="auto"/>
            </w:tcBorders>
            <w:shd w:val="clear" w:color="auto" w:fill="auto"/>
            <w:noWrap/>
            <w:vAlign w:val="bottom"/>
            <w:hideMark/>
          </w:tcPr>
          <w:p w14:paraId="610F5782" w14:textId="60E29635" w:rsidR="00375729" w:rsidRPr="002D296F" w:rsidRDefault="00375729" w:rsidP="00A4034F">
            <w:pPr>
              <w:pStyle w:val="Tablebullet-Level1"/>
            </w:pPr>
            <w:r>
              <w:t>IT</w:t>
            </w:r>
            <w:r w:rsidRPr="002D296F">
              <w:t xml:space="preserve"> capital deepening </w:t>
            </w:r>
            <w:r>
              <w:t>(pp)</w:t>
            </w:r>
          </w:p>
        </w:tc>
        <w:tc>
          <w:tcPr>
            <w:tcW w:w="1418" w:type="dxa"/>
            <w:tcBorders>
              <w:left w:val="single" w:sz="4" w:space="0" w:color="auto"/>
              <w:right w:val="single" w:sz="4" w:space="0" w:color="BFBFBF" w:themeColor="background1" w:themeShade="BF"/>
            </w:tcBorders>
            <w:shd w:val="clear" w:color="auto" w:fill="auto"/>
            <w:noWrap/>
            <w:vAlign w:val="bottom"/>
            <w:hideMark/>
          </w:tcPr>
          <w:p w14:paraId="249D04E6" w14:textId="77777777" w:rsidR="00375729" w:rsidRPr="002D296F" w:rsidRDefault="00375729" w:rsidP="00A4034F">
            <w:pPr>
              <w:pStyle w:val="Tabletext"/>
            </w:pPr>
            <w:r w:rsidRPr="002D296F">
              <w:t>0.</w:t>
            </w:r>
            <w:r>
              <w:t>5</w:t>
            </w:r>
          </w:p>
        </w:tc>
        <w:tc>
          <w:tcPr>
            <w:tcW w:w="1417" w:type="dxa"/>
            <w:tcBorders>
              <w:left w:val="single" w:sz="4" w:space="0" w:color="BFBFBF" w:themeColor="background1" w:themeShade="BF"/>
              <w:right w:val="single" w:sz="4" w:space="0" w:color="auto"/>
            </w:tcBorders>
            <w:shd w:val="clear" w:color="auto" w:fill="auto"/>
            <w:noWrap/>
            <w:vAlign w:val="bottom"/>
            <w:hideMark/>
          </w:tcPr>
          <w:p w14:paraId="36D1A9E5" w14:textId="77777777" w:rsidR="00375729" w:rsidRPr="002D296F" w:rsidRDefault="00375729" w:rsidP="00A4034F">
            <w:pPr>
              <w:pStyle w:val="Tabletext"/>
            </w:pPr>
            <w:r w:rsidRPr="002D296F">
              <w:t>0.</w:t>
            </w:r>
            <w:r>
              <w:t>9</w:t>
            </w:r>
          </w:p>
        </w:tc>
        <w:tc>
          <w:tcPr>
            <w:tcW w:w="1418" w:type="dxa"/>
            <w:tcBorders>
              <w:left w:val="single" w:sz="4" w:space="0" w:color="BFBFBF" w:themeColor="background1" w:themeShade="BF"/>
              <w:right w:val="single" w:sz="4" w:space="0" w:color="auto"/>
            </w:tcBorders>
          </w:tcPr>
          <w:p w14:paraId="246F94D4" w14:textId="77777777" w:rsidR="00375729" w:rsidRPr="002D296F" w:rsidRDefault="00375729" w:rsidP="00A4034F">
            <w:pPr>
              <w:pStyle w:val="Tabletext"/>
            </w:pPr>
            <w:r>
              <w:t>-0.3</w:t>
            </w:r>
          </w:p>
        </w:tc>
      </w:tr>
      <w:tr w:rsidR="00375729" w:rsidRPr="002D296F" w14:paraId="1F3F10D0" w14:textId="77777777" w:rsidTr="00CF3D6E">
        <w:trPr>
          <w:trHeight w:val="300"/>
        </w:trPr>
        <w:tc>
          <w:tcPr>
            <w:tcW w:w="5098" w:type="dxa"/>
            <w:tcBorders>
              <w:left w:val="single" w:sz="4" w:space="0" w:color="auto"/>
              <w:right w:val="single" w:sz="4" w:space="0" w:color="auto"/>
            </w:tcBorders>
            <w:shd w:val="clear" w:color="auto" w:fill="auto"/>
            <w:noWrap/>
            <w:vAlign w:val="bottom"/>
            <w:hideMark/>
          </w:tcPr>
          <w:p w14:paraId="5474B124" w14:textId="77777777" w:rsidR="00375729" w:rsidRPr="00CF3D6E" w:rsidRDefault="00375729" w:rsidP="00A4034F">
            <w:pPr>
              <w:pStyle w:val="Tabletext"/>
            </w:pPr>
            <w:r w:rsidRPr="00CF3D6E">
              <w:t>KP growth contribution (pp)</w:t>
            </w:r>
          </w:p>
        </w:tc>
        <w:tc>
          <w:tcPr>
            <w:tcW w:w="1418" w:type="dxa"/>
            <w:tcBorders>
              <w:left w:val="single" w:sz="4" w:space="0" w:color="auto"/>
              <w:right w:val="single" w:sz="4" w:space="0" w:color="BFBFBF" w:themeColor="background1" w:themeShade="BF"/>
            </w:tcBorders>
            <w:shd w:val="clear" w:color="auto" w:fill="auto"/>
            <w:noWrap/>
            <w:vAlign w:val="bottom"/>
            <w:hideMark/>
          </w:tcPr>
          <w:p w14:paraId="1BBC8C85" w14:textId="77777777" w:rsidR="00375729" w:rsidRPr="00CF3D6E" w:rsidRDefault="00375729" w:rsidP="00A4034F">
            <w:pPr>
              <w:pStyle w:val="Tabletext"/>
            </w:pPr>
            <w:r w:rsidRPr="00CF3D6E">
              <w:t>-3.6</w:t>
            </w:r>
          </w:p>
        </w:tc>
        <w:tc>
          <w:tcPr>
            <w:tcW w:w="1417" w:type="dxa"/>
            <w:tcBorders>
              <w:left w:val="single" w:sz="4" w:space="0" w:color="BFBFBF" w:themeColor="background1" w:themeShade="BF"/>
              <w:right w:val="single" w:sz="4" w:space="0" w:color="auto"/>
            </w:tcBorders>
            <w:shd w:val="clear" w:color="auto" w:fill="auto"/>
            <w:noWrap/>
            <w:vAlign w:val="bottom"/>
            <w:hideMark/>
          </w:tcPr>
          <w:p w14:paraId="2B678703" w14:textId="77777777" w:rsidR="00375729" w:rsidRPr="00CF3D6E" w:rsidRDefault="00375729" w:rsidP="00A4034F">
            <w:pPr>
              <w:pStyle w:val="Tabletext"/>
            </w:pPr>
            <w:r w:rsidRPr="00CF3D6E">
              <w:t>-4.8</w:t>
            </w:r>
          </w:p>
        </w:tc>
        <w:tc>
          <w:tcPr>
            <w:tcW w:w="1418" w:type="dxa"/>
            <w:tcBorders>
              <w:left w:val="single" w:sz="4" w:space="0" w:color="BFBFBF" w:themeColor="background1" w:themeShade="BF"/>
              <w:right w:val="single" w:sz="4" w:space="0" w:color="auto"/>
            </w:tcBorders>
          </w:tcPr>
          <w:p w14:paraId="3DB33683" w14:textId="77777777" w:rsidR="00375729" w:rsidRPr="00CF3D6E" w:rsidRDefault="00375729" w:rsidP="00A4034F">
            <w:pPr>
              <w:pStyle w:val="Tabletext"/>
            </w:pPr>
            <w:r w:rsidRPr="00CF3D6E">
              <w:t>1.1</w:t>
            </w:r>
          </w:p>
        </w:tc>
      </w:tr>
      <w:tr w:rsidR="00375729" w:rsidRPr="002D296F" w14:paraId="52473999" w14:textId="77777777" w:rsidTr="00CF3D6E">
        <w:trPr>
          <w:trHeight w:val="300"/>
        </w:trPr>
        <w:tc>
          <w:tcPr>
            <w:tcW w:w="5098" w:type="dxa"/>
            <w:tcBorders>
              <w:left w:val="single" w:sz="4" w:space="0" w:color="auto"/>
              <w:right w:val="single" w:sz="4" w:space="0" w:color="auto"/>
            </w:tcBorders>
            <w:shd w:val="clear" w:color="auto" w:fill="auto"/>
            <w:noWrap/>
            <w:vAlign w:val="bottom"/>
            <w:hideMark/>
          </w:tcPr>
          <w:p w14:paraId="5174D181" w14:textId="67010670" w:rsidR="00375729" w:rsidRPr="00CF3D6E" w:rsidRDefault="00375729" w:rsidP="00A4034F">
            <w:pPr>
              <w:pStyle w:val="Tabletext"/>
            </w:pPr>
            <w:r w:rsidRPr="00CF3D6E">
              <w:t>of which</w:t>
            </w:r>
          </w:p>
        </w:tc>
        <w:tc>
          <w:tcPr>
            <w:tcW w:w="1418" w:type="dxa"/>
            <w:tcBorders>
              <w:left w:val="single" w:sz="4" w:space="0" w:color="auto"/>
              <w:right w:val="single" w:sz="4" w:space="0" w:color="BFBFBF" w:themeColor="background1" w:themeShade="BF"/>
            </w:tcBorders>
            <w:shd w:val="clear" w:color="auto" w:fill="auto"/>
            <w:noWrap/>
            <w:vAlign w:val="bottom"/>
            <w:hideMark/>
          </w:tcPr>
          <w:p w14:paraId="099628D2" w14:textId="77777777" w:rsidR="00375729" w:rsidRPr="002D296F" w:rsidRDefault="00375729" w:rsidP="00A4034F">
            <w:pPr>
              <w:pStyle w:val="Tabletext"/>
            </w:pPr>
          </w:p>
        </w:tc>
        <w:tc>
          <w:tcPr>
            <w:tcW w:w="1417" w:type="dxa"/>
            <w:tcBorders>
              <w:left w:val="single" w:sz="4" w:space="0" w:color="BFBFBF" w:themeColor="background1" w:themeShade="BF"/>
              <w:right w:val="single" w:sz="4" w:space="0" w:color="auto"/>
            </w:tcBorders>
            <w:shd w:val="clear" w:color="auto" w:fill="auto"/>
            <w:noWrap/>
            <w:vAlign w:val="bottom"/>
            <w:hideMark/>
          </w:tcPr>
          <w:p w14:paraId="60A8A36E" w14:textId="77777777" w:rsidR="00375729" w:rsidRPr="002D296F" w:rsidRDefault="00375729" w:rsidP="00A4034F">
            <w:pPr>
              <w:pStyle w:val="Tabletext"/>
              <w:rPr>
                <w:rFonts w:ascii="Times New Roman" w:hAnsi="Times New Roman"/>
                <w:sz w:val="20"/>
                <w:szCs w:val="20"/>
              </w:rPr>
            </w:pPr>
          </w:p>
        </w:tc>
        <w:tc>
          <w:tcPr>
            <w:tcW w:w="1418" w:type="dxa"/>
            <w:tcBorders>
              <w:left w:val="single" w:sz="4" w:space="0" w:color="BFBFBF" w:themeColor="background1" w:themeShade="BF"/>
              <w:right w:val="single" w:sz="4" w:space="0" w:color="auto"/>
            </w:tcBorders>
          </w:tcPr>
          <w:p w14:paraId="40929411" w14:textId="77777777" w:rsidR="00375729" w:rsidRPr="002D296F" w:rsidRDefault="00375729" w:rsidP="00A4034F">
            <w:pPr>
              <w:pStyle w:val="Tabletext"/>
              <w:rPr>
                <w:rFonts w:ascii="Times New Roman" w:hAnsi="Times New Roman"/>
                <w:sz w:val="20"/>
                <w:szCs w:val="20"/>
              </w:rPr>
            </w:pPr>
          </w:p>
        </w:tc>
      </w:tr>
      <w:tr w:rsidR="00375729" w:rsidRPr="002D296F" w14:paraId="31E72740" w14:textId="77777777" w:rsidTr="00CF3D6E">
        <w:trPr>
          <w:trHeight w:val="300"/>
        </w:trPr>
        <w:tc>
          <w:tcPr>
            <w:tcW w:w="5098" w:type="dxa"/>
            <w:tcBorders>
              <w:left w:val="single" w:sz="4" w:space="0" w:color="auto"/>
              <w:right w:val="single" w:sz="4" w:space="0" w:color="auto"/>
            </w:tcBorders>
            <w:shd w:val="clear" w:color="auto" w:fill="auto"/>
            <w:noWrap/>
            <w:vAlign w:val="bottom"/>
            <w:hideMark/>
          </w:tcPr>
          <w:p w14:paraId="1179923A" w14:textId="6D654922" w:rsidR="00375729" w:rsidRPr="002D296F" w:rsidRDefault="00375729" w:rsidP="00A4034F">
            <w:pPr>
              <w:pStyle w:val="Tablebullet-Level1"/>
            </w:pPr>
            <w:r>
              <w:t>IT</w:t>
            </w:r>
            <w:r w:rsidRPr="002D296F">
              <w:t xml:space="preserve"> capital productivity</w:t>
            </w:r>
            <w:r>
              <w:t xml:space="preserve"> (pp)</w:t>
            </w:r>
          </w:p>
        </w:tc>
        <w:tc>
          <w:tcPr>
            <w:tcW w:w="1418" w:type="dxa"/>
            <w:tcBorders>
              <w:left w:val="single" w:sz="4" w:space="0" w:color="auto"/>
              <w:right w:val="single" w:sz="4" w:space="0" w:color="BFBFBF" w:themeColor="background1" w:themeShade="BF"/>
            </w:tcBorders>
            <w:shd w:val="clear" w:color="auto" w:fill="auto"/>
            <w:noWrap/>
            <w:vAlign w:val="bottom"/>
            <w:hideMark/>
          </w:tcPr>
          <w:p w14:paraId="7FEB8745" w14:textId="77777777" w:rsidR="00375729" w:rsidRPr="002D296F" w:rsidRDefault="00375729" w:rsidP="00A4034F">
            <w:pPr>
              <w:pStyle w:val="Tabletext"/>
            </w:pPr>
            <w:r w:rsidRPr="002D296F">
              <w:t>-</w:t>
            </w:r>
            <w:r>
              <w:t>1.42</w:t>
            </w:r>
          </w:p>
        </w:tc>
        <w:tc>
          <w:tcPr>
            <w:tcW w:w="1417" w:type="dxa"/>
            <w:tcBorders>
              <w:left w:val="single" w:sz="4" w:space="0" w:color="BFBFBF" w:themeColor="background1" w:themeShade="BF"/>
              <w:right w:val="single" w:sz="4" w:space="0" w:color="auto"/>
            </w:tcBorders>
            <w:shd w:val="clear" w:color="auto" w:fill="auto"/>
            <w:noWrap/>
            <w:vAlign w:val="bottom"/>
            <w:hideMark/>
          </w:tcPr>
          <w:p w14:paraId="09B157DB" w14:textId="77777777" w:rsidR="00375729" w:rsidRPr="002D296F" w:rsidRDefault="00375729" w:rsidP="00A4034F">
            <w:pPr>
              <w:pStyle w:val="Tabletext"/>
            </w:pPr>
            <w:r w:rsidRPr="002D296F">
              <w:t>-</w:t>
            </w:r>
            <w:r>
              <w:t>1.93</w:t>
            </w:r>
          </w:p>
        </w:tc>
        <w:tc>
          <w:tcPr>
            <w:tcW w:w="1418" w:type="dxa"/>
            <w:tcBorders>
              <w:left w:val="single" w:sz="4" w:space="0" w:color="BFBFBF" w:themeColor="background1" w:themeShade="BF"/>
              <w:right w:val="single" w:sz="4" w:space="0" w:color="auto"/>
            </w:tcBorders>
          </w:tcPr>
          <w:p w14:paraId="738434B6" w14:textId="77777777" w:rsidR="00375729" w:rsidRPr="002D296F" w:rsidRDefault="00375729" w:rsidP="00A4034F">
            <w:pPr>
              <w:pStyle w:val="Tabletext"/>
            </w:pPr>
            <w:r>
              <w:t>1.25</w:t>
            </w:r>
          </w:p>
        </w:tc>
      </w:tr>
      <w:tr w:rsidR="00375729" w:rsidRPr="002D296F" w14:paraId="5E0F527E" w14:textId="77777777" w:rsidTr="00CF3D6E">
        <w:trPr>
          <w:trHeight w:val="300"/>
        </w:trPr>
        <w:tc>
          <w:tcPr>
            <w:tcW w:w="5098" w:type="dxa"/>
            <w:tcBorders>
              <w:left w:val="single" w:sz="4" w:space="0" w:color="auto"/>
              <w:right w:val="single" w:sz="4" w:space="0" w:color="auto"/>
            </w:tcBorders>
            <w:shd w:val="clear" w:color="auto" w:fill="auto"/>
            <w:noWrap/>
            <w:vAlign w:val="bottom"/>
            <w:hideMark/>
          </w:tcPr>
          <w:p w14:paraId="0BD982EB" w14:textId="6A6E624C" w:rsidR="00375729" w:rsidRPr="002D296F" w:rsidRDefault="00375729" w:rsidP="00A4034F">
            <w:pPr>
              <w:pStyle w:val="Tablebullet-Level1"/>
            </w:pPr>
            <w:r w:rsidRPr="002D296F">
              <w:t>Non-</w:t>
            </w:r>
            <w:r>
              <w:t>IT</w:t>
            </w:r>
            <w:r w:rsidRPr="002D296F">
              <w:t xml:space="preserve"> capital productivity</w:t>
            </w:r>
            <w:r>
              <w:t xml:space="preserve"> (pp)</w:t>
            </w:r>
          </w:p>
        </w:tc>
        <w:tc>
          <w:tcPr>
            <w:tcW w:w="1418" w:type="dxa"/>
            <w:tcBorders>
              <w:left w:val="single" w:sz="4" w:space="0" w:color="auto"/>
              <w:right w:val="single" w:sz="4" w:space="0" w:color="BFBFBF" w:themeColor="background1" w:themeShade="BF"/>
            </w:tcBorders>
            <w:shd w:val="clear" w:color="auto" w:fill="auto"/>
            <w:noWrap/>
            <w:vAlign w:val="bottom"/>
            <w:hideMark/>
          </w:tcPr>
          <w:p w14:paraId="32801B7B" w14:textId="77777777" w:rsidR="00375729" w:rsidRPr="002D296F" w:rsidRDefault="00375729" w:rsidP="00A4034F">
            <w:pPr>
              <w:pStyle w:val="Tabletext"/>
            </w:pPr>
            <w:r w:rsidRPr="002D296F">
              <w:t>-</w:t>
            </w:r>
            <w:r>
              <w:t>2.14</w:t>
            </w:r>
          </w:p>
        </w:tc>
        <w:tc>
          <w:tcPr>
            <w:tcW w:w="1417" w:type="dxa"/>
            <w:tcBorders>
              <w:left w:val="single" w:sz="4" w:space="0" w:color="BFBFBF" w:themeColor="background1" w:themeShade="BF"/>
              <w:right w:val="single" w:sz="4" w:space="0" w:color="auto"/>
            </w:tcBorders>
            <w:shd w:val="clear" w:color="auto" w:fill="auto"/>
            <w:noWrap/>
            <w:vAlign w:val="bottom"/>
            <w:hideMark/>
          </w:tcPr>
          <w:p w14:paraId="77AB1AAB" w14:textId="77777777" w:rsidR="00375729" w:rsidRPr="002D296F" w:rsidRDefault="00375729" w:rsidP="00A4034F">
            <w:pPr>
              <w:pStyle w:val="Tabletext"/>
            </w:pPr>
            <w:r w:rsidRPr="002D296F">
              <w:t>-</w:t>
            </w:r>
            <w:r>
              <w:t>2.85</w:t>
            </w:r>
          </w:p>
        </w:tc>
        <w:tc>
          <w:tcPr>
            <w:tcW w:w="1418" w:type="dxa"/>
            <w:tcBorders>
              <w:left w:val="single" w:sz="4" w:space="0" w:color="BFBFBF" w:themeColor="background1" w:themeShade="BF"/>
              <w:right w:val="single" w:sz="4" w:space="0" w:color="auto"/>
            </w:tcBorders>
          </w:tcPr>
          <w:p w14:paraId="7A2AFBEB" w14:textId="77777777" w:rsidR="00375729" w:rsidRPr="002D296F" w:rsidRDefault="00375729" w:rsidP="00A4034F">
            <w:pPr>
              <w:pStyle w:val="Tabletext"/>
            </w:pPr>
            <w:r>
              <w:t>-0.11</w:t>
            </w:r>
          </w:p>
        </w:tc>
      </w:tr>
      <w:tr w:rsidR="00375729" w:rsidRPr="002D296F" w14:paraId="25B484F6" w14:textId="77777777" w:rsidTr="00CF3D6E">
        <w:trPr>
          <w:trHeight w:val="300"/>
        </w:trPr>
        <w:tc>
          <w:tcPr>
            <w:tcW w:w="5098" w:type="dxa"/>
            <w:tcBorders>
              <w:left w:val="single" w:sz="4" w:space="0" w:color="auto"/>
              <w:bottom w:val="single" w:sz="4" w:space="0" w:color="auto"/>
              <w:right w:val="single" w:sz="4" w:space="0" w:color="auto"/>
            </w:tcBorders>
            <w:shd w:val="clear" w:color="auto" w:fill="auto"/>
            <w:noWrap/>
            <w:vAlign w:val="bottom"/>
            <w:hideMark/>
          </w:tcPr>
          <w:p w14:paraId="3BB7961D" w14:textId="77777777" w:rsidR="00375729" w:rsidRPr="00CF3D6E" w:rsidRDefault="00375729" w:rsidP="00A4034F">
            <w:pPr>
              <w:pStyle w:val="Tabletext"/>
            </w:pPr>
            <w:r w:rsidRPr="00CF3D6E">
              <w:t>MFP growth (% pa)</w:t>
            </w:r>
          </w:p>
        </w:tc>
        <w:tc>
          <w:tcPr>
            <w:tcW w:w="1418" w:type="dxa"/>
            <w:tcBorders>
              <w:left w:val="single" w:sz="4" w:space="0" w:color="auto"/>
              <w:bottom w:val="single" w:sz="4" w:space="0" w:color="auto"/>
              <w:right w:val="single" w:sz="4" w:space="0" w:color="BFBFBF" w:themeColor="background1" w:themeShade="BF"/>
            </w:tcBorders>
            <w:shd w:val="clear" w:color="auto" w:fill="auto"/>
            <w:noWrap/>
            <w:vAlign w:val="bottom"/>
            <w:hideMark/>
          </w:tcPr>
          <w:p w14:paraId="0D06AD3B" w14:textId="77777777" w:rsidR="00375729" w:rsidRPr="00CF3D6E" w:rsidRDefault="00375729" w:rsidP="00A4034F">
            <w:pPr>
              <w:pStyle w:val="Tabletext"/>
            </w:pPr>
            <w:r w:rsidRPr="00CF3D6E">
              <w:t>-4.0</w:t>
            </w:r>
          </w:p>
        </w:tc>
        <w:tc>
          <w:tcPr>
            <w:tcW w:w="1417" w:type="dxa"/>
            <w:tcBorders>
              <w:left w:val="single" w:sz="4" w:space="0" w:color="BFBFBF" w:themeColor="background1" w:themeShade="BF"/>
              <w:bottom w:val="single" w:sz="4" w:space="0" w:color="auto"/>
              <w:right w:val="single" w:sz="4" w:space="0" w:color="auto"/>
            </w:tcBorders>
            <w:shd w:val="clear" w:color="auto" w:fill="auto"/>
            <w:noWrap/>
            <w:vAlign w:val="bottom"/>
            <w:hideMark/>
          </w:tcPr>
          <w:p w14:paraId="543069FA" w14:textId="77777777" w:rsidR="00375729" w:rsidRPr="00CF3D6E" w:rsidRDefault="00375729" w:rsidP="00A4034F">
            <w:pPr>
              <w:pStyle w:val="Tabletext"/>
            </w:pPr>
            <w:r w:rsidRPr="00CF3D6E">
              <w:t>-5.0</w:t>
            </w:r>
          </w:p>
        </w:tc>
        <w:tc>
          <w:tcPr>
            <w:tcW w:w="1418" w:type="dxa"/>
            <w:tcBorders>
              <w:left w:val="single" w:sz="4" w:space="0" w:color="BFBFBF" w:themeColor="background1" w:themeShade="BF"/>
              <w:bottom w:val="single" w:sz="4" w:space="0" w:color="auto"/>
              <w:right w:val="single" w:sz="4" w:space="0" w:color="auto"/>
            </w:tcBorders>
          </w:tcPr>
          <w:p w14:paraId="605E88D7" w14:textId="77777777" w:rsidR="00375729" w:rsidRPr="00CF3D6E" w:rsidRDefault="00375729" w:rsidP="00A4034F">
            <w:pPr>
              <w:pStyle w:val="Tabletext"/>
            </w:pPr>
            <w:r w:rsidRPr="00CF3D6E">
              <w:t>1.8</w:t>
            </w:r>
          </w:p>
        </w:tc>
      </w:tr>
    </w:tbl>
    <w:p w14:paraId="195D9794" w14:textId="77777777" w:rsidR="00375729" w:rsidRPr="00595204" w:rsidRDefault="00375729" w:rsidP="00012248">
      <w:pPr>
        <w:pStyle w:val="SourceNotes"/>
        <w:rPr>
          <w:rStyle w:val="PageNumber"/>
          <w:color w:val="auto"/>
        </w:rPr>
      </w:pPr>
      <w:r>
        <w:fldChar w:fldCharType="end"/>
      </w:r>
      <w:r>
        <w:t xml:space="preserve">Source: </w:t>
      </w:r>
      <w:r w:rsidRPr="00323930">
        <w:t>Author estimates</w:t>
      </w:r>
      <w:r w:rsidR="00B3478C">
        <w:t xml:space="preserve">. </w:t>
      </w:r>
      <w:r w:rsidR="00B3478C" w:rsidRPr="000E36A5">
        <w:t>Numbers may not add up due to rounding</w:t>
      </w:r>
      <w:r w:rsidR="00B3478C">
        <w:t>.</w:t>
      </w:r>
      <w:r w:rsidR="0058764D" w:rsidRPr="00595204">
        <w:rPr>
          <w:rStyle w:val="PageNumber"/>
          <w:color w:val="auto"/>
        </w:rPr>
        <w:t xml:space="preserve"> </w:t>
      </w:r>
    </w:p>
    <w:p w14:paraId="368CC3CF" w14:textId="77777777" w:rsidR="00375729" w:rsidRDefault="00375729" w:rsidP="00375729">
      <w:pPr>
        <w:spacing w:after="120"/>
        <w:ind w:left="1021" w:hanging="1021"/>
      </w:pPr>
      <w:r>
        <w:br w:type="page"/>
      </w:r>
    </w:p>
    <w:p w14:paraId="5140BB22" w14:textId="77777777" w:rsidR="00375729" w:rsidRDefault="00375729" w:rsidP="00CF3D6E">
      <w:pPr>
        <w:pStyle w:val="BCRAppendicesHeading"/>
      </w:pPr>
      <w:bookmarkStart w:id="118" w:name="_Toc442448197"/>
      <w:r>
        <w:t>Professional, scientific and technical services</w:t>
      </w:r>
      <w:bookmarkEnd w:id="118"/>
      <w:r>
        <w:t xml:space="preserve"> </w:t>
      </w:r>
    </w:p>
    <w:p w14:paraId="3B57E683" w14:textId="77777777" w:rsidR="00375729" w:rsidRDefault="00375729" w:rsidP="00012248">
      <w:pPr>
        <w:pStyle w:val="Boxheading"/>
      </w:pPr>
      <w:r>
        <w:t>Key points</w:t>
      </w:r>
    </w:p>
    <w:p w14:paraId="3632FD4B" w14:textId="77777777" w:rsidR="00375729" w:rsidRDefault="00375729" w:rsidP="00012248">
      <w:pPr>
        <w:pStyle w:val="Boxtext"/>
      </w:pPr>
      <w:r>
        <w:t>Professional, scientific and technical services (PST) have expanded rapidly, with relatively strong growth in output, labour and capital. The sector is labour intensive.</w:t>
      </w:r>
    </w:p>
    <w:p w14:paraId="5D2BE795" w14:textId="77777777" w:rsidR="00375729" w:rsidRDefault="00375729" w:rsidP="00012248">
      <w:pPr>
        <w:pStyle w:val="Boxtext"/>
      </w:pPr>
      <w:r>
        <w:t>Information Technology (IT) has accounted for a quarter to a third of capital costs.</w:t>
      </w:r>
    </w:p>
    <w:p w14:paraId="786027F3" w14:textId="77777777" w:rsidR="00375729" w:rsidRDefault="00375729" w:rsidP="00012248">
      <w:pPr>
        <w:pStyle w:val="Boxtext"/>
      </w:pPr>
      <w:r>
        <w:t>Growth in IT has been a strong 16.5 per cent a year since 1994-95. Interesting points to note include:</w:t>
      </w:r>
    </w:p>
    <w:p w14:paraId="1BE999E7" w14:textId="77777777" w:rsidR="00375729" w:rsidRDefault="00CE337B" w:rsidP="00F37FA2">
      <w:pPr>
        <w:pStyle w:val="Boxbullet"/>
      </w:pPr>
      <w:r>
        <w:t xml:space="preserve">the </w:t>
      </w:r>
      <w:r w:rsidR="00375729">
        <w:t>drop off in growth from 2007–08; especially in hardware</w:t>
      </w:r>
      <w:r>
        <w:t>, and</w:t>
      </w:r>
    </w:p>
    <w:p w14:paraId="6BC1F9DF" w14:textId="77777777" w:rsidR="00375729" w:rsidRDefault="00375729" w:rsidP="00F37FA2">
      <w:pPr>
        <w:pStyle w:val="Boxbullet"/>
      </w:pPr>
      <w:r>
        <w:t>the sector is software intensive</w:t>
      </w:r>
      <w:r w:rsidR="00CE337B">
        <w:t>.</w:t>
      </w:r>
    </w:p>
    <w:p w14:paraId="0B9BE0BE" w14:textId="77777777" w:rsidR="00375729" w:rsidRDefault="00375729" w:rsidP="00012248">
      <w:pPr>
        <w:pStyle w:val="Boxtext"/>
      </w:pPr>
      <w:r>
        <w:t>IT capital deepening has accounted for 0.3–0.4 of a percentage point of labour productivity growth, which compares with a long term rate of LP growth of 1.0 per cent a year.</w:t>
      </w:r>
    </w:p>
    <w:p w14:paraId="76098EE5" w14:textId="77777777" w:rsidR="00375729" w:rsidRDefault="00375729" w:rsidP="00012248">
      <w:pPr>
        <w:pStyle w:val="Boxtext"/>
      </w:pPr>
      <w:r>
        <w:t xml:space="preserve">The average skill level </w:t>
      </w:r>
      <w:r w:rsidR="00B84D41">
        <w:t xml:space="preserve">of the industry </w:t>
      </w:r>
      <w:r>
        <w:t>increased 12 per cent, with a correlation coefficient of 0.98 with IT use.</w:t>
      </w:r>
    </w:p>
    <w:p w14:paraId="67BBD808" w14:textId="77777777" w:rsidR="00375729" w:rsidRDefault="00375729" w:rsidP="00012248">
      <w:pPr>
        <w:pStyle w:val="Boxtext"/>
      </w:pPr>
      <w:r>
        <w:t xml:space="preserve">There was no positive association between IT and non-IT productivity as non-IT capital productivity </w:t>
      </w:r>
      <w:r w:rsidRPr="003F4134">
        <w:rPr>
          <w:i/>
        </w:rPr>
        <w:t>fell</w:t>
      </w:r>
      <w:r>
        <w:t xml:space="preserve"> over the period.</w:t>
      </w:r>
    </w:p>
    <w:p w14:paraId="2C5B9A07" w14:textId="77777777" w:rsidR="00375729" w:rsidRDefault="00375729" w:rsidP="00012248">
      <w:pPr>
        <w:pStyle w:val="Boxtext"/>
      </w:pPr>
      <w:r>
        <w:t>This was true of individual assets, although there was some improvement in the productivity of buildings and research and development at times between 1994-95 and 2013-14.</w:t>
      </w:r>
    </w:p>
    <w:p w14:paraId="5130C054" w14:textId="77777777" w:rsidR="00375729" w:rsidRDefault="00375729" w:rsidP="00375729">
      <w:r>
        <w:t>According to the Australian Bureau of Statistics (ABS), professional scientific and technical (PST) services a</w:t>
      </w:r>
      <w:r w:rsidRPr="00BD4154">
        <w:t xml:space="preserve">pply common processes where labour inputs are integral to the </w:t>
      </w:r>
      <w:r>
        <w:t>production or service delivery.</w:t>
      </w:r>
    </w:p>
    <w:p w14:paraId="564F42C9" w14:textId="77777777" w:rsidR="00375729" w:rsidRPr="00BD4154" w:rsidRDefault="00375729" w:rsidP="00375729">
      <w:r>
        <w:t>They involve specialisation and sale of expertise: i</w:t>
      </w:r>
      <w:r w:rsidRPr="00BD4154">
        <w:t xml:space="preserve">n most cases, equipment and materials are not major inputs. The activities </w:t>
      </w:r>
      <w:r>
        <w:t>carried out</w:t>
      </w:r>
      <w:r w:rsidRPr="00BD4154">
        <w:t xml:space="preserve"> generally require a high level of expertise and training and formal (usually tertiary level) qualifications. </w:t>
      </w:r>
    </w:p>
    <w:p w14:paraId="39C204EB" w14:textId="77777777" w:rsidR="00375729" w:rsidRDefault="00375729" w:rsidP="00375729">
      <w:r w:rsidRPr="00BD4154">
        <w:t>These services include scientific research, architecture, engineering, computer systems design, law, accountancy, advertising, market research, management and other consultancy, veterinary science and professional photography.</w:t>
      </w:r>
    </w:p>
    <w:p w14:paraId="6343746D" w14:textId="77777777" w:rsidR="00375729" w:rsidRPr="007F7A9C" w:rsidRDefault="00375729" w:rsidP="00375729">
      <w:pPr>
        <w:keepLines/>
      </w:pPr>
      <w:r>
        <w:t>PST services expanded rapidly from the mid-1990s (</w:t>
      </w:r>
      <w:r w:rsidR="00116461">
        <w:t>Figure I1</w:t>
      </w:r>
      <w:r>
        <w:t>). With annual growth in output averaging 4.7 per cent, they increased from 4.3 per cent of GDP in 1989–90 to 6.8 per cent in 2013–14.</w:t>
      </w:r>
      <w:r w:rsidR="00726FD7">
        <w:rPr>
          <w:rStyle w:val="EndnoteReference"/>
        </w:rPr>
        <w:endnoteReference w:id="37"/>
      </w:r>
      <w:r>
        <w:t xml:space="preserve"> Growth in labour averaged 3.7 per cent a year. There was very strong growth in capital which, from 1994–95, averaged 9.8 per cent a year. The sector</w:t>
      </w:r>
      <w:r w:rsidRPr="00402754">
        <w:t xml:space="preserve"> </w:t>
      </w:r>
      <w:r>
        <w:t>is, however, quite labour-intensive.</w:t>
      </w:r>
    </w:p>
    <w:p w14:paraId="2DD65742" w14:textId="77777777" w:rsidR="00375729" w:rsidRDefault="00375729" w:rsidP="00A4034F">
      <w:pPr>
        <w:pStyle w:val="Figurecaption"/>
      </w:pPr>
      <w:r>
        <w:t xml:space="preserve">Figure </w:t>
      </w:r>
      <w:r w:rsidR="00116461">
        <w:t>I</w:t>
      </w:r>
      <w:r w:rsidR="00B84D41">
        <w:t>1</w:t>
      </w:r>
      <w:r>
        <w:t>: Capital, labour and output in PST services (index, 2012–13</w:t>
      </w:r>
      <w:r w:rsidR="006A530A">
        <w:t xml:space="preserve"> = </w:t>
      </w:r>
      <w:r>
        <w:t>100)</w:t>
      </w:r>
    </w:p>
    <w:p w14:paraId="12DE5AC4" w14:textId="245C198A" w:rsidR="00375729" w:rsidRDefault="00A4034F" w:rsidP="00375729">
      <w:r>
        <w:rPr>
          <w:noProof/>
          <w:lang w:eastAsia="en-AU"/>
        </w:rPr>
        <w:drawing>
          <wp:inline distT="0" distB="0" distL="0" distR="0" wp14:anchorId="45489719" wp14:editId="1A82BB67">
            <wp:extent cx="5602605" cy="2755900"/>
            <wp:effectExtent l="0" t="0" r="0"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2605" cy="2755900"/>
                    </a:xfrm>
                    <a:prstGeom prst="rect">
                      <a:avLst/>
                    </a:prstGeom>
                    <a:noFill/>
                  </pic:spPr>
                </pic:pic>
              </a:graphicData>
            </a:graphic>
          </wp:inline>
        </w:drawing>
      </w:r>
    </w:p>
    <w:p w14:paraId="774CD83B" w14:textId="77777777" w:rsidR="00375729" w:rsidRDefault="00375729" w:rsidP="00012248">
      <w:pPr>
        <w:pStyle w:val="SourceNotes"/>
      </w:pPr>
      <w:r>
        <w:t xml:space="preserve">Source: </w:t>
      </w:r>
      <w:r w:rsidRPr="00323930">
        <w:t xml:space="preserve">ABS Cat. No. 5260.0.55.002 </w:t>
      </w:r>
    </w:p>
    <w:p w14:paraId="5A105721" w14:textId="77777777" w:rsidR="00375729" w:rsidRDefault="00B06961" w:rsidP="00F37FA2">
      <w:pPr>
        <w:pStyle w:val="BCRAppendicesSubheading"/>
      </w:pPr>
      <w:r>
        <w:t xml:space="preserve">I.1 </w:t>
      </w:r>
      <w:r w:rsidR="00375729">
        <w:t>Growth in Information Technology Capital</w:t>
      </w:r>
    </w:p>
    <w:p w14:paraId="3FEB6508" w14:textId="77777777" w:rsidR="00375729" w:rsidRDefault="00375729" w:rsidP="00375729">
      <w:r>
        <w:t xml:space="preserve">From </w:t>
      </w:r>
      <w:r w:rsidR="00B84D41">
        <w:t>1994</w:t>
      </w:r>
      <w:r>
        <w:t>-95, the growth in Information Technology (IT) capital was especially strong at 16.5 per cent a year. The growth in non-IT capital was much weaker at 5.6 per cent a year. (</w:t>
      </w:r>
      <w:r w:rsidR="00116461">
        <w:t>Figure I2</w:t>
      </w:r>
      <w:r>
        <w:t xml:space="preserve">) </w:t>
      </w:r>
    </w:p>
    <w:p w14:paraId="448FA7CB" w14:textId="77777777" w:rsidR="00375729" w:rsidRDefault="00375729" w:rsidP="00375729">
      <w:r>
        <w:t>The rates of growth in IT were strongest in the 1990s (</w:t>
      </w:r>
      <w:r w:rsidR="00116461">
        <w:t>Figure I3</w:t>
      </w:r>
      <w:r>
        <w:t>), but as with other industries, this rate of growth fell away after 2007–08. IT has been an important part of the total capital stock in the sector and accounted for about a third of capital income up to 2007–08, after which it drifted down to a quarter (</w:t>
      </w:r>
      <w:r w:rsidR="00116461">
        <w:t>Figure I3</w:t>
      </w:r>
      <w:r>
        <w:t xml:space="preserve">).  </w:t>
      </w:r>
    </w:p>
    <w:p w14:paraId="5624DFF3" w14:textId="77777777" w:rsidR="00375729" w:rsidRDefault="00375729" w:rsidP="00375729">
      <w:r>
        <w:t>Hardware featured in both the strong growth in the 1990s and in the drop off in the late 2000s (</w:t>
      </w:r>
      <w:r w:rsidR="00116461">
        <w:t>Figure I4</w:t>
      </w:r>
      <w:r>
        <w:t xml:space="preserve">). Despite the strong growth in hardware, the sector has remained software intensive, (indicated by a hardware share of less than 50 per cent in </w:t>
      </w:r>
      <w:r w:rsidR="00116461">
        <w:t>Figure I4</w:t>
      </w:r>
      <w:r>
        <w:t>).</w:t>
      </w:r>
    </w:p>
    <w:p w14:paraId="5FB058DF" w14:textId="77777777" w:rsidR="00375729" w:rsidRDefault="00116461" w:rsidP="00A4034F">
      <w:pPr>
        <w:pStyle w:val="Figurecaption"/>
      </w:pPr>
      <w:r>
        <w:t>Figure I2</w:t>
      </w:r>
      <w:r w:rsidR="00375729">
        <w:t>: Capital, IT capital and non-IT capital in PST services (index, 2012–13</w:t>
      </w:r>
      <w:r w:rsidR="006A530A">
        <w:t xml:space="preserve"> = </w:t>
      </w:r>
      <w:r w:rsidR="00375729">
        <w:t>100)</w:t>
      </w:r>
    </w:p>
    <w:p w14:paraId="0B4E5CEC" w14:textId="47B5E61D" w:rsidR="00375729" w:rsidRDefault="00A4034F" w:rsidP="00375729">
      <w:pPr>
        <w:spacing w:after="60"/>
      </w:pPr>
      <w:r>
        <w:rPr>
          <w:noProof/>
          <w:lang w:eastAsia="en-AU"/>
        </w:rPr>
        <w:drawing>
          <wp:inline distT="0" distB="0" distL="0" distR="0" wp14:anchorId="24300889" wp14:editId="2096793D">
            <wp:extent cx="5511165" cy="27432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11165" cy="2743200"/>
                    </a:xfrm>
                    <a:prstGeom prst="rect">
                      <a:avLst/>
                    </a:prstGeom>
                    <a:noFill/>
                  </pic:spPr>
                </pic:pic>
              </a:graphicData>
            </a:graphic>
          </wp:inline>
        </w:drawing>
      </w:r>
    </w:p>
    <w:p w14:paraId="584F9184" w14:textId="77777777" w:rsidR="00375729" w:rsidRDefault="00375729" w:rsidP="00012248">
      <w:pPr>
        <w:pStyle w:val="SourceNotes"/>
      </w:pPr>
      <w:r>
        <w:t xml:space="preserve">Source: </w:t>
      </w:r>
      <w:r w:rsidRPr="00323930">
        <w:t>ABS Cat. No. 5260.0.55.002 and author estimates</w:t>
      </w:r>
    </w:p>
    <w:p w14:paraId="7F8E4F3D" w14:textId="77777777" w:rsidR="00375729" w:rsidRDefault="00116461" w:rsidP="00A4034F">
      <w:pPr>
        <w:pStyle w:val="Figurecaption"/>
      </w:pPr>
      <w:r>
        <w:t>Figure I3</w:t>
      </w:r>
      <w:r w:rsidR="00375729">
        <w:t>: Annual growth in IT and non-IT capital (% per year) and the IT share of capital income (%) in PST services</w:t>
      </w:r>
    </w:p>
    <w:p w14:paraId="1182D2A5" w14:textId="445FE956" w:rsidR="00375729" w:rsidRDefault="00A4034F" w:rsidP="00375729">
      <w:pPr>
        <w:spacing w:after="60"/>
      </w:pPr>
      <w:r>
        <w:rPr>
          <w:noProof/>
          <w:lang w:eastAsia="en-AU"/>
        </w:rPr>
        <w:drawing>
          <wp:inline distT="0" distB="0" distL="0" distR="0" wp14:anchorId="0769EDA4" wp14:editId="5AF35710">
            <wp:extent cx="5462270" cy="2743200"/>
            <wp:effectExtent l="0" t="0" r="508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62270" cy="2743200"/>
                    </a:xfrm>
                    <a:prstGeom prst="rect">
                      <a:avLst/>
                    </a:prstGeom>
                    <a:noFill/>
                  </pic:spPr>
                </pic:pic>
              </a:graphicData>
            </a:graphic>
          </wp:inline>
        </w:drawing>
      </w:r>
    </w:p>
    <w:p w14:paraId="62D7C49A" w14:textId="77777777" w:rsidR="00375729" w:rsidRDefault="00375729" w:rsidP="00012248">
      <w:pPr>
        <w:pStyle w:val="SourceNotes"/>
      </w:pPr>
      <w:r>
        <w:t xml:space="preserve">Source: </w:t>
      </w:r>
      <w:r w:rsidRPr="00323930">
        <w:t>Author estimates</w:t>
      </w:r>
    </w:p>
    <w:p w14:paraId="0A9E3EC9" w14:textId="77777777" w:rsidR="00375729" w:rsidRDefault="00116461" w:rsidP="00A4034F">
      <w:pPr>
        <w:pStyle w:val="Figurecaption"/>
      </w:pPr>
      <w:r>
        <w:t>Figure I4</w:t>
      </w:r>
      <w:r w:rsidR="00375729">
        <w:t>: Annual growth in software and hardware (% per year) and hardware share of IT capital income (%) in PST services</w:t>
      </w:r>
    </w:p>
    <w:p w14:paraId="73DB5BA4" w14:textId="0FDCC54E" w:rsidR="00375729" w:rsidRDefault="00A4034F" w:rsidP="00375729">
      <w:pPr>
        <w:spacing w:after="60"/>
      </w:pPr>
      <w:r>
        <w:rPr>
          <w:noProof/>
          <w:lang w:eastAsia="en-AU"/>
        </w:rPr>
        <w:drawing>
          <wp:inline distT="0" distB="0" distL="0" distR="0" wp14:anchorId="789F6929" wp14:editId="03347E45">
            <wp:extent cx="5517515" cy="2743200"/>
            <wp:effectExtent l="0" t="0" r="698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17515" cy="2743200"/>
                    </a:xfrm>
                    <a:prstGeom prst="rect">
                      <a:avLst/>
                    </a:prstGeom>
                    <a:noFill/>
                  </pic:spPr>
                </pic:pic>
              </a:graphicData>
            </a:graphic>
          </wp:inline>
        </w:drawing>
      </w:r>
    </w:p>
    <w:p w14:paraId="41578C61" w14:textId="77777777" w:rsidR="00375729" w:rsidRDefault="00375729" w:rsidP="00012248">
      <w:pPr>
        <w:pStyle w:val="SourceNotes"/>
      </w:pPr>
      <w:r>
        <w:t xml:space="preserve">Source: </w:t>
      </w:r>
      <w:r w:rsidRPr="00323930">
        <w:t>Author estimates</w:t>
      </w:r>
    </w:p>
    <w:p w14:paraId="56B12AFF" w14:textId="77777777" w:rsidR="00375729" w:rsidRDefault="00375729" w:rsidP="00F37FA2">
      <w:pPr>
        <w:pStyle w:val="BCRAppendicesSubheading"/>
      </w:pPr>
      <w:r>
        <w:t>I</w:t>
      </w:r>
      <w:r w:rsidR="00B06961">
        <w:t>.</w:t>
      </w:r>
      <w:r>
        <w:t xml:space="preserve">2 </w:t>
      </w:r>
      <w:r w:rsidRPr="007D319D">
        <w:t>Labour productivity growth</w:t>
      </w:r>
    </w:p>
    <w:p w14:paraId="65CB5698" w14:textId="77777777" w:rsidR="00375729" w:rsidRDefault="00375729" w:rsidP="00375729">
      <w:pPr>
        <w:pStyle w:val="BodyTextNoIndent"/>
      </w:pPr>
      <w:r>
        <w:t>With strong growth in labour, as well as in output, growth in labour productivity (LP) was relatively weak during the period under review. The level of labour productivity increased 24 per cent between 1989–90 and 2013–14, while the average annual rate of growth in trend LP was 1.0 </w:t>
      </w:r>
      <w:r w:rsidRPr="00C716B1">
        <w:t>per cent</w:t>
      </w:r>
      <w:r>
        <w:t>.</w:t>
      </w:r>
    </w:p>
    <w:p w14:paraId="44C5FCE1" w14:textId="77777777" w:rsidR="00375729" w:rsidRDefault="00375729" w:rsidP="00375729">
      <w:pPr>
        <w:pStyle w:val="BodyTextNoIndent"/>
      </w:pPr>
      <w:r>
        <w:t xml:space="preserve">Peaks in LP cycles took place in </w:t>
      </w:r>
      <w:r w:rsidRPr="00C716B1">
        <w:t>1989</w:t>
      </w:r>
      <w:r>
        <w:t>–</w:t>
      </w:r>
      <w:r w:rsidRPr="00C716B1">
        <w:t xml:space="preserve">90, </w:t>
      </w:r>
      <w:r>
        <w:t>2001–02</w:t>
      </w:r>
      <w:r w:rsidRPr="00C716B1">
        <w:t xml:space="preserve"> and </w:t>
      </w:r>
      <w:r>
        <w:t>2012–13 according to the method set out in section 5.3 (</w:t>
      </w:r>
      <w:r>
        <w:fldChar w:fldCharType="begin"/>
      </w:r>
      <w:r>
        <w:instrText xml:space="preserve"> REF _Ref423783671 \h  \* MERGEFORMAT </w:instrText>
      </w:r>
      <w:r>
        <w:fldChar w:fldCharType="separate"/>
      </w:r>
      <w:r w:rsidR="00DE5FE7">
        <w:t>Figure A5</w:t>
      </w:r>
      <w:r>
        <w:fldChar w:fldCharType="end"/>
      </w:r>
      <w:r>
        <w:t>). The Bureau of Communications Research (BCR) overlooked the peak at 1989–90 and made the first peak at 1994–95, as this was where the capital series started. It suppressed the peak at 2001–02 and used 2003–04 instead. This meant the LP growth was closer to trend and therefore more representative.</w:t>
      </w:r>
    </w:p>
    <w:p w14:paraId="7A8320A5" w14:textId="77777777" w:rsidR="00375729" w:rsidRDefault="00375729" w:rsidP="00375729">
      <w:pPr>
        <w:pStyle w:val="BodyTextNoIndent"/>
      </w:pPr>
      <w:r>
        <w:t>Average growth rates in actual LP over the cycles were:</w:t>
      </w:r>
    </w:p>
    <w:p w14:paraId="13886323" w14:textId="77777777" w:rsidR="00375729" w:rsidRDefault="00375729" w:rsidP="00A4034F">
      <w:pPr>
        <w:pStyle w:val="Bodybullet-Level1"/>
      </w:pPr>
      <w:r>
        <w:t>1994–95 to 2003–04</w:t>
      </w:r>
      <w:r w:rsidRPr="00C61C0A">
        <w:t>:</w:t>
      </w:r>
      <w:r w:rsidR="0063405D">
        <w:t xml:space="preserve"> </w:t>
      </w:r>
      <w:r>
        <w:t>2.2 per cent a year</w:t>
      </w:r>
      <w:r w:rsidR="00017C98">
        <w:t>,</w:t>
      </w:r>
      <w:r>
        <w:t xml:space="preserve"> and</w:t>
      </w:r>
    </w:p>
    <w:p w14:paraId="724FFFAB" w14:textId="77777777" w:rsidR="00375729" w:rsidRDefault="00375729" w:rsidP="00A4034F">
      <w:pPr>
        <w:pStyle w:val="Bodybullet-Level1"/>
      </w:pPr>
      <w:r>
        <w:t>2003–04 to 2012–13:</w:t>
      </w:r>
      <w:r w:rsidR="0063405D">
        <w:t xml:space="preserve"> </w:t>
      </w:r>
      <w:r>
        <w:t>0.4 per cent a year.</w:t>
      </w:r>
      <w:r w:rsidRPr="003F7D3E">
        <w:rPr>
          <w:rStyle w:val="FootnoteReference"/>
        </w:rPr>
        <w:t xml:space="preserve"> </w:t>
      </w:r>
      <w:r w:rsidR="00726FD7">
        <w:rPr>
          <w:rStyle w:val="EndnoteReference"/>
        </w:rPr>
        <w:endnoteReference w:id="38"/>
      </w:r>
    </w:p>
    <w:p w14:paraId="021027AE" w14:textId="77777777" w:rsidR="00375729" w:rsidRPr="00A90AE3" w:rsidRDefault="00116461" w:rsidP="00A4034F">
      <w:pPr>
        <w:pStyle w:val="Figurecaption"/>
      </w:pPr>
      <w:r>
        <w:t>Figure I5</w:t>
      </w:r>
      <w:r w:rsidR="00375729">
        <w:t>: Actual and trend labour productivity in PST services</w:t>
      </w:r>
      <w:r w:rsidR="00375729">
        <w:rPr>
          <w:sz w:val="22"/>
          <w:szCs w:val="22"/>
          <w:vertAlign w:val="superscript"/>
        </w:rPr>
        <w:t xml:space="preserve">a </w:t>
      </w:r>
      <w:r w:rsidR="00375729">
        <w:t>(index, actual 2012–13</w:t>
      </w:r>
      <w:r w:rsidR="006A530A">
        <w:t xml:space="preserve"> = </w:t>
      </w:r>
      <w:r w:rsidR="00375729">
        <w:t>100)</w:t>
      </w:r>
    </w:p>
    <w:p w14:paraId="40CEE8B2" w14:textId="34F4859F" w:rsidR="00375729" w:rsidRDefault="00A4034F" w:rsidP="00375729">
      <w:pPr>
        <w:spacing w:after="60"/>
      </w:pPr>
      <w:r>
        <w:rPr>
          <w:noProof/>
          <w:lang w:eastAsia="en-AU"/>
        </w:rPr>
        <w:drawing>
          <wp:inline distT="0" distB="0" distL="0" distR="0" wp14:anchorId="0C1EA5B0" wp14:editId="537B1C2B">
            <wp:extent cx="5511165" cy="30480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11165" cy="3048000"/>
                    </a:xfrm>
                    <a:prstGeom prst="rect">
                      <a:avLst/>
                    </a:prstGeom>
                    <a:noFill/>
                  </pic:spPr>
                </pic:pic>
              </a:graphicData>
            </a:graphic>
          </wp:inline>
        </w:drawing>
      </w:r>
    </w:p>
    <w:p w14:paraId="5CC1CE21" w14:textId="77777777" w:rsidR="00375729" w:rsidRPr="003249C8" w:rsidRDefault="00375729" w:rsidP="00012248">
      <w:pPr>
        <w:pStyle w:val="SourceNotes"/>
      </w:pPr>
      <w:r>
        <w:t xml:space="preserve">Note: a. </w:t>
      </w:r>
      <w:r w:rsidRPr="003249C8">
        <w:t>Trend series formed with a Hodrick-Prescott filter λ</w:t>
      </w:r>
      <w:r w:rsidR="006A530A">
        <w:t xml:space="preserve"> = </w:t>
      </w:r>
      <w:r w:rsidRPr="003249C8">
        <w:t>100</w:t>
      </w:r>
      <w:r w:rsidRPr="003249C8">
        <w:tab/>
      </w:r>
    </w:p>
    <w:p w14:paraId="120DB430" w14:textId="77777777" w:rsidR="00375729" w:rsidRDefault="00375729" w:rsidP="00012248">
      <w:pPr>
        <w:pStyle w:val="SourceNotes"/>
      </w:pPr>
      <w:r>
        <w:t xml:space="preserve">Source: </w:t>
      </w:r>
      <w:r w:rsidRPr="00323930">
        <w:t>ABS Cat. No. 5260.0.55.002 and author estimates</w:t>
      </w:r>
    </w:p>
    <w:p w14:paraId="32C65401" w14:textId="77777777" w:rsidR="00375729" w:rsidRDefault="00B06961" w:rsidP="00F37FA2">
      <w:pPr>
        <w:pStyle w:val="BCRAppendicesSubSubheading"/>
      </w:pPr>
      <w:r>
        <w:t>I.2</w:t>
      </w:r>
      <w:r w:rsidR="00375729">
        <w:t>.1</w:t>
      </w:r>
      <w:r>
        <w:t xml:space="preserve"> </w:t>
      </w:r>
      <w:r w:rsidR="00375729">
        <w:t>IT capital deepening and LP growth</w:t>
      </w:r>
    </w:p>
    <w:p w14:paraId="7D917789" w14:textId="77777777" w:rsidR="00375729" w:rsidRDefault="00375729" w:rsidP="00375729">
      <w:pPr>
        <w:pStyle w:val="BodyTextNoIndent"/>
      </w:pPr>
      <w:r>
        <w:t xml:space="preserve">The growth in labour productivity can be decomposed into contributions from capital deepening and multifactor productivity (MFP) growth (section 4). Capital deepening is growth in the capital-labour ratio, multiplied by the share of total industry income attributed to capital. </w:t>
      </w:r>
    </w:p>
    <w:p w14:paraId="50A3C66B" w14:textId="77777777" w:rsidR="00375729" w:rsidRDefault="00375729" w:rsidP="00375729">
      <w:pPr>
        <w:pStyle w:val="BodyTextNoIndent"/>
      </w:pPr>
      <w:r>
        <w:t xml:space="preserve">The growth in LP, the capital-labour ratio and MFP are illustrated in </w:t>
      </w:r>
      <w:r w:rsidR="00116461">
        <w:t>Figure I6</w:t>
      </w:r>
      <w:r>
        <w:t>. MFP increased 11</w:t>
      </w:r>
      <w:r w:rsidR="00C76F78">
        <w:t> </w:t>
      </w:r>
      <w:r>
        <w:t>per</w:t>
      </w:r>
      <w:r w:rsidR="00C76F78">
        <w:t> </w:t>
      </w:r>
      <w:r>
        <w:t>cent and the capital-labour ratio grew over 200 per cent from 1994–95</w:t>
      </w:r>
      <w:r w:rsidR="00C76F78">
        <w:t>.</w:t>
      </w:r>
      <w:r w:rsidR="00726FD7">
        <w:rPr>
          <w:rStyle w:val="EndnoteReference"/>
        </w:rPr>
        <w:endnoteReference w:id="39"/>
      </w:r>
    </w:p>
    <w:p w14:paraId="35FFD641" w14:textId="77777777" w:rsidR="00375729" w:rsidRDefault="00375729" w:rsidP="00375729">
      <w:pPr>
        <w:pStyle w:val="BodyTextNoIndent"/>
      </w:pPr>
      <w:r>
        <w:t>Note the peaks in LP cycles followed the pattern of peaks in MFP growth.</w:t>
      </w:r>
    </w:p>
    <w:p w14:paraId="32CB5E38" w14:textId="77777777" w:rsidR="00375729" w:rsidRDefault="00116461" w:rsidP="00A4034F">
      <w:pPr>
        <w:pStyle w:val="Figurecaption"/>
      </w:pPr>
      <w:r>
        <w:t>Figure I6</w:t>
      </w:r>
      <w:r w:rsidR="00375729">
        <w:t>: Labour productivity (LP), the capital-labour ratio (K/L) and multifactor productivity (MFP) in PST services (index, 2012–13</w:t>
      </w:r>
      <w:r w:rsidR="006A530A">
        <w:t xml:space="preserve"> = </w:t>
      </w:r>
      <w:r w:rsidR="00375729">
        <w:t>100)</w:t>
      </w:r>
    </w:p>
    <w:p w14:paraId="3EEA65AF" w14:textId="3479AB0A" w:rsidR="00375729" w:rsidRDefault="00A4034F" w:rsidP="00375729">
      <w:pPr>
        <w:spacing w:after="60"/>
      </w:pPr>
      <w:r>
        <w:rPr>
          <w:noProof/>
          <w:lang w:eastAsia="en-AU"/>
        </w:rPr>
        <w:drawing>
          <wp:inline distT="0" distB="0" distL="0" distR="0" wp14:anchorId="2A7CE03F" wp14:editId="322AF159">
            <wp:extent cx="5706110" cy="2926080"/>
            <wp:effectExtent l="0" t="0" r="8890" b="76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06110" cy="2926080"/>
                    </a:xfrm>
                    <a:prstGeom prst="rect">
                      <a:avLst/>
                    </a:prstGeom>
                    <a:noFill/>
                  </pic:spPr>
                </pic:pic>
              </a:graphicData>
            </a:graphic>
          </wp:inline>
        </w:drawing>
      </w:r>
    </w:p>
    <w:p w14:paraId="414BAE29" w14:textId="77777777" w:rsidR="00375729" w:rsidRPr="00ED039F" w:rsidRDefault="00375729" w:rsidP="00012248">
      <w:pPr>
        <w:pStyle w:val="SourceNotes"/>
      </w:pPr>
      <w:r w:rsidRPr="00323930">
        <w:t>Sour</w:t>
      </w:r>
      <w:r>
        <w:t xml:space="preserve">ce: </w:t>
      </w:r>
      <w:r w:rsidRPr="00323930">
        <w:t xml:space="preserve">ABS Cat. No. 5260.0.55.002 </w:t>
      </w:r>
    </w:p>
    <w:p w14:paraId="0F652E98" w14:textId="77777777" w:rsidR="00375729" w:rsidRDefault="00375729" w:rsidP="00375729">
      <w:r>
        <w:t xml:space="preserve">In Table </w:t>
      </w:r>
      <w:r w:rsidR="005D6F29">
        <w:t>I</w:t>
      </w:r>
      <w:r w:rsidR="00840685">
        <w:t>1</w:t>
      </w:r>
      <w:r w:rsidR="005D6F29">
        <w:t xml:space="preserve"> </w:t>
      </w:r>
      <w:r>
        <w:t xml:space="preserve">(below), the strong growth in LP in the first period can be attributed to strong MFP growth. In the other periods, MFP growth was negative. </w:t>
      </w:r>
    </w:p>
    <w:p w14:paraId="37B92C93" w14:textId="77777777" w:rsidR="00375729" w:rsidRDefault="00375729" w:rsidP="00375729">
      <w:r>
        <w:t>The contribution of capital deepening and the split between IT and non-IT capital deepening were very steady across the three periods. IT capital deepening was relatively small, contributing 0.3 to 0.4 of a percentage point to annual LP growth. Hardware contributed 0.2 to 0.3 of a percentage point of the IT contribution, with software accounting for the other 0.1 of a percentage point.</w:t>
      </w:r>
    </w:p>
    <w:p w14:paraId="55EFD573" w14:textId="77777777" w:rsidR="00375729" w:rsidRDefault="00375729" w:rsidP="00375729">
      <w:pPr>
        <w:spacing w:after="120"/>
        <w:ind w:left="1021" w:hanging="1021"/>
        <w:rPr>
          <w:rFonts w:ascii="Cambria" w:eastAsiaTheme="majorEastAsia" w:hAnsi="Cambria" w:cstheme="majorBidi"/>
          <w:bCs/>
          <w:color w:val="900D10" w:themeColor="accent1" w:themeShade="80"/>
          <w:sz w:val="26"/>
          <w:szCs w:val="26"/>
        </w:rPr>
      </w:pPr>
      <w:r>
        <w:br w:type="page"/>
      </w:r>
    </w:p>
    <w:p w14:paraId="6CDC72A5" w14:textId="77777777" w:rsidR="00375729" w:rsidRDefault="00375729" w:rsidP="00A4034F">
      <w:pPr>
        <w:pStyle w:val="Tablecaption"/>
      </w:pPr>
      <w:r>
        <w:t xml:space="preserve">Table </w:t>
      </w:r>
      <w:r w:rsidR="00116461">
        <w:t>I1</w:t>
      </w:r>
      <w:r>
        <w:t>: Labour productivity growth accounting in PST services (per cent per annum and percentage points)</w:t>
      </w:r>
      <w:r>
        <w:rPr>
          <w:sz w:val="22"/>
          <w:szCs w:val="22"/>
          <w:vertAlign w:val="superscript"/>
        </w:rPr>
        <w:t>a</w:t>
      </w:r>
      <w:r>
        <w:rPr>
          <w:iCs/>
        </w:rPr>
        <w:fldChar w:fldCharType="begin"/>
      </w:r>
      <w:r>
        <w:instrText xml:space="preserve"> LINK Excel.Sheet.12 "\\\\dept.gov.au\\DFS\\Home\\DParham\\desktop\\Docs\\1. GA project\\Industry studies\\Prof, scien, tech\\PST workbook 150908.xlsx" "LP!R5C44:R12C47" \a \f 4 \h  \* MERGEFORMAT </w:instrText>
      </w:r>
      <w:r>
        <w:rPr>
          <w:iCs/>
        </w:rPr>
        <w:fldChar w:fldCharType="separate"/>
      </w:r>
    </w:p>
    <w:tbl>
      <w:tblPr>
        <w:tblW w:w="7366" w:type="dxa"/>
        <w:tblLook w:val="04A0" w:firstRow="1" w:lastRow="0" w:firstColumn="1" w:lastColumn="0" w:noHBand="0" w:noVBand="1"/>
      </w:tblPr>
      <w:tblGrid>
        <w:gridCol w:w="4106"/>
        <w:gridCol w:w="1701"/>
        <w:gridCol w:w="1559"/>
      </w:tblGrid>
      <w:tr w:rsidR="00375729" w:rsidRPr="00402754" w14:paraId="01260CDD" w14:textId="77777777" w:rsidTr="00CF3D6E">
        <w:trPr>
          <w:trHeight w:val="51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703EC" w14:textId="77777777" w:rsidR="00375729" w:rsidRPr="00402754" w:rsidRDefault="00375729" w:rsidP="00A4034F">
            <w:pPr>
              <w:pStyle w:val="Tablecellheading"/>
            </w:pPr>
            <w:r w:rsidRPr="00402754">
              <w:t> </w:t>
            </w:r>
          </w:p>
        </w:tc>
        <w:tc>
          <w:tcPr>
            <w:tcW w:w="1701"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bottom"/>
            <w:hideMark/>
          </w:tcPr>
          <w:p w14:paraId="53CE68CC" w14:textId="77777777" w:rsidR="00375729" w:rsidRDefault="00375729" w:rsidP="00A4034F">
            <w:pPr>
              <w:pStyle w:val="Tablecellheading"/>
              <w:rPr>
                <w:sz w:val="18"/>
                <w:szCs w:val="18"/>
              </w:rPr>
            </w:pPr>
            <w:r w:rsidRPr="00402754">
              <w:rPr>
                <w:sz w:val="18"/>
                <w:szCs w:val="18"/>
              </w:rPr>
              <w:t>1994</w:t>
            </w:r>
            <w:r>
              <w:rPr>
                <w:sz w:val="18"/>
                <w:szCs w:val="18"/>
              </w:rPr>
              <w:t>–</w:t>
            </w:r>
            <w:r w:rsidRPr="00402754">
              <w:rPr>
                <w:sz w:val="18"/>
                <w:szCs w:val="18"/>
              </w:rPr>
              <w:t xml:space="preserve">95 to </w:t>
            </w:r>
          </w:p>
          <w:p w14:paraId="309741D0" w14:textId="77777777" w:rsidR="00375729" w:rsidRPr="00402754" w:rsidRDefault="00375729" w:rsidP="00A4034F">
            <w:pPr>
              <w:pStyle w:val="Tablecellheading"/>
              <w:rPr>
                <w:sz w:val="18"/>
                <w:szCs w:val="18"/>
              </w:rPr>
            </w:pPr>
            <w:r>
              <w:rPr>
                <w:sz w:val="18"/>
                <w:szCs w:val="18"/>
              </w:rPr>
              <w:t>2003–04</w:t>
            </w:r>
          </w:p>
        </w:tc>
        <w:tc>
          <w:tcPr>
            <w:tcW w:w="1559"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bottom"/>
            <w:hideMark/>
          </w:tcPr>
          <w:p w14:paraId="35C48B06" w14:textId="77777777" w:rsidR="00375729" w:rsidRDefault="00375729" w:rsidP="00A4034F">
            <w:pPr>
              <w:pStyle w:val="Tablecellheading"/>
              <w:rPr>
                <w:sz w:val="18"/>
                <w:szCs w:val="18"/>
              </w:rPr>
            </w:pPr>
            <w:r w:rsidRPr="00402754">
              <w:rPr>
                <w:sz w:val="18"/>
                <w:szCs w:val="18"/>
              </w:rPr>
              <w:t>2003</w:t>
            </w:r>
            <w:r>
              <w:rPr>
                <w:sz w:val="18"/>
                <w:szCs w:val="18"/>
              </w:rPr>
              <w:t>–</w:t>
            </w:r>
            <w:r w:rsidRPr="00402754">
              <w:rPr>
                <w:sz w:val="18"/>
                <w:szCs w:val="18"/>
              </w:rPr>
              <w:t xml:space="preserve">04 to </w:t>
            </w:r>
          </w:p>
          <w:p w14:paraId="50164370" w14:textId="77777777" w:rsidR="00375729" w:rsidRPr="00402754" w:rsidRDefault="00375729" w:rsidP="00A4034F">
            <w:pPr>
              <w:pStyle w:val="Tablecellheading"/>
              <w:rPr>
                <w:sz w:val="18"/>
                <w:szCs w:val="18"/>
              </w:rPr>
            </w:pPr>
            <w:r>
              <w:rPr>
                <w:sz w:val="18"/>
                <w:szCs w:val="18"/>
              </w:rPr>
              <w:t>2</w:t>
            </w:r>
            <w:r w:rsidRPr="00402754">
              <w:rPr>
                <w:sz w:val="18"/>
                <w:szCs w:val="18"/>
              </w:rPr>
              <w:t>012</w:t>
            </w:r>
            <w:r>
              <w:rPr>
                <w:sz w:val="18"/>
                <w:szCs w:val="18"/>
              </w:rPr>
              <w:t>–</w:t>
            </w:r>
            <w:r w:rsidRPr="00402754">
              <w:rPr>
                <w:sz w:val="18"/>
                <w:szCs w:val="18"/>
              </w:rPr>
              <w:t>13</w:t>
            </w:r>
          </w:p>
        </w:tc>
      </w:tr>
      <w:tr w:rsidR="00375729" w:rsidRPr="00402754" w14:paraId="23ECA03A" w14:textId="77777777" w:rsidTr="00CF3D6E">
        <w:trPr>
          <w:trHeight w:val="330"/>
        </w:trPr>
        <w:tc>
          <w:tcPr>
            <w:tcW w:w="4106" w:type="dxa"/>
            <w:tcBorders>
              <w:top w:val="single" w:sz="4" w:space="0" w:color="auto"/>
              <w:left w:val="single" w:sz="4" w:space="0" w:color="auto"/>
              <w:bottom w:val="nil"/>
              <w:right w:val="single" w:sz="4" w:space="0" w:color="auto"/>
            </w:tcBorders>
            <w:shd w:val="clear" w:color="auto" w:fill="auto"/>
            <w:noWrap/>
            <w:vAlign w:val="center"/>
            <w:hideMark/>
          </w:tcPr>
          <w:p w14:paraId="2BC8205A" w14:textId="77777777" w:rsidR="00375729" w:rsidRPr="00CF3D6E" w:rsidRDefault="00375729" w:rsidP="00A4034F">
            <w:pPr>
              <w:pStyle w:val="Tabletext"/>
            </w:pPr>
            <w:r w:rsidRPr="00CF3D6E">
              <w:t>Capital deepening (pp)</w:t>
            </w:r>
          </w:p>
        </w:tc>
        <w:tc>
          <w:tcPr>
            <w:tcW w:w="1701" w:type="dxa"/>
            <w:tcBorders>
              <w:top w:val="single" w:sz="4" w:space="0" w:color="auto"/>
              <w:left w:val="single" w:sz="4" w:space="0" w:color="auto"/>
              <w:bottom w:val="nil"/>
              <w:right w:val="single" w:sz="4" w:space="0" w:color="BFBFBF" w:themeColor="background1" w:themeShade="BF"/>
            </w:tcBorders>
            <w:shd w:val="clear" w:color="auto" w:fill="auto"/>
            <w:noWrap/>
            <w:vAlign w:val="center"/>
            <w:hideMark/>
          </w:tcPr>
          <w:p w14:paraId="378DDAAA" w14:textId="77777777" w:rsidR="00375729" w:rsidRPr="00CF3D6E" w:rsidRDefault="00375729" w:rsidP="00A4034F">
            <w:pPr>
              <w:pStyle w:val="Tabletext"/>
            </w:pPr>
            <w:r w:rsidRPr="00CF3D6E">
              <w:t>0.6 (27)</w:t>
            </w:r>
          </w:p>
        </w:tc>
        <w:tc>
          <w:tcPr>
            <w:tcW w:w="1559" w:type="dxa"/>
            <w:tcBorders>
              <w:top w:val="single" w:sz="4" w:space="0" w:color="auto"/>
              <w:left w:val="single" w:sz="4" w:space="0" w:color="BFBFBF" w:themeColor="background1" w:themeShade="BF"/>
              <w:bottom w:val="nil"/>
              <w:right w:val="single" w:sz="4" w:space="0" w:color="auto"/>
            </w:tcBorders>
            <w:shd w:val="clear" w:color="auto" w:fill="auto"/>
            <w:noWrap/>
            <w:vAlign w:val="center"/>
            <w:hideMark/>
          </w:tcPr>
          <w:p w14:paraId="580A730D" w14:textId="77777777" w:rsidR="00375729" w:rsidRPr="00CF3D6E" w:rsidRDefault="00375729" w:rsidP="00A4034F">
            <w:pPr>
              <w:pStyle w:val="Tabletext"/>
            </w:pPr>
            <w:r w:rsidRPr="00CF3D6E">
              <w:t>0.6</w:t>
            </w:r>
          </w:p>
        </w:tc>
      </w:tr>
      <w:tr w:rsidR="00375729" w:rsidRPr="00402754" w14:paraId="3E05E49F" w14:textId="77777777" w:rsidTr="00CF3D6E">
        <w:trPr>
          <w:trHeight w:val="330"/>
        </w:trPr>
        <w:tc>
          <w:tcPr>
            <w:tcW w:w="4106" w:type="dxa"/>
            <w:tcBorders>
              <w:top w:val="nil"/>
              <w:left w:val="single" w:sz="4" w:space="0" w:color="auto"/>
              <w:bottom w:val="nil"/>
              <w:right w:val="single" w:sz="4" w:space="0" w:color="auto"/>
            </w:tcBorders>
            <w:shd w:val="clear" w:color="auto" w:fill="auto"/>
            <w:noWrap/>
            <w:vAlign w:val="center"/>
            <w:hideMark/>
          </w:tcPr>
          <w:p w14:paraId="47CB9721" w14:textId="77777777" w:rsidR="00375729" w:rsidRPr="00402754" w:rsidRDefault="00375729" w:rsidP="00A4034F">
            <w:pPr>
              <w:pStyle w:val="Tabletext"/>
            </w:pPr>
            <w:r>
              <w:t>IT</w:t>
            </w:r>
            <w:r w:rsidRPr="00402754">
              <w:t xml:space="preserve"> capital deepening</w:t>
            </w:r>
            <w:r>
              <w:t xml:space="preserve"> (pp)</w:t>
            </w:r>
          </w:p>
        </w:tc>
        <w:tc>
          <w:tcPr>
            <w:tcW w:w="1701" w:type="dxa"/>
            <w:tcBorders>
              <w:top w:val="nil"/>
              <w:left w:val="single" w:sz="4" w:space="0" w:color="auto"/>
              <w:bottom w:val="nil"/>
              <w:right w:val="single" w:sz="4" w:space="0" w:color="BFBFBF" w:themeColor="background1" w:themeShade="BF"/>
            </w:tcBorders>
            <w:shd w:val="clear" w:color="auto" w:fill="auto"/>
            <w:noWrap/>
            <w:vAlign w:val="center"/>
            <w:hideMark/>
          </w:tcPr>
          <w:p w14:paraId="6871A075" w14:textId="77777777" w:rsidR="00375729" w:rsidRPr="00CF3D6E" w:rsidRDefault="00375729" w:rsidP="00A4034F">
            <w:pPr>
              <w:pStyle w:val="Tabletext"/>
            </w:pPr>
            <w:r w:rsidRPr="00F96020">
              <w:t xml:space="preserve">0.4 </w:t>
            </w:r>
            <w:r w:rsidRPr="00CF3D6E">
              <w:t>(19)</w:t>
            </w:r>
          </w:p>
        </w:tc>
        <w:tc>
          <w:tcPr>
            <w:tcW w:w="1559" w:type="dxa"/>
            <w:tcBorders>
              <w:top w:val="nil"/>
              <w:left w:val="single" w:sz="4" w:space="0" w:color="BFBFBF" w:themeColor="background1" w:themeShade="BF"/>
              <w:bottom w:val="nil"/>
              <w:right w:val="single" w:sz="4" w:space="0" w:color="auto"/>
            </w:tcBorders>
            <w:shd w:val="clear" w:color="auto" w:fill="auto"/>
            <w:noWrap/>
            <w:vAlign w:val="center"/>
            <w:hideMark/>
          </w:tcPr>
          <w:p w14:paraId="6A258FAE" w14:textId="77777777" w:rsidR="00375729" w:rsidRPr="00CF3D6E" w:rsidRDefault="00375729" w:rsidP="00A4034F">
            <w:pPr>
              <w:pStyle w:val="Tabletext"/>
            </w:pPr>
            <w:r w:rsidRPr="00F96020">
              <w:t xml:space="preserve">0.4 </w:t>
            </w:r>
            <w:r w:rsidRPr="00CF3D6E">
              <w:t>(76)</w:t>
            </w:r>
          </w:p>
        </w:tc>
      </w:tr>
      <w:tr w:rsidR="00375729" w:rsidRPr="00402754" w14:paraId="74B8DCD2" w14:textId="77777777" w:rsidTr="00CF3D6E">
        <w:trPr>
          <w:trHeight w:val="330"/>
        </w:trPr>
        <w:tc>
          <w:tcPr>
            <w:tcW w:w="4106" w:type="dxa"/>
            <w:tcBorders>
              <w:top w:val="nil"/>
              <w:left w:val="single" w:sz="4" w:space="0" w:color="auto"/>
              <w:bottom w:val="nil"/>
              <w:right w:val="single" w:sz="4" w:space="0" w:color="auto"/>
            </w:tcBorders>
            <w:shd w:val="clear" w:color="auto" w:fill="auto"/>
            <w:noWrap/>
            <w:vAlign w:val="center"/>
            <w:hideMark/>
          </w:tcPr>
          <w:p w14:paraId="03207C82" w14:textId="77777777" w:rsidR="00375729" w:rsidRPr="00CF3D6E" w:rsidRDefault="0058764D" w:rsidP="00A4034F">
            <w:pPr>
              <w:pStyle w:val="Tabletext"/>
              <w:rPr>
                <w:i/>
              </w:rPr>
            </w:pPr>
            <w:r>
              <w:rPr>
                <w:i/>
              </w:rPr>
              <w:t>H</w:t>
            </w:r>
            <w:r w:rsidR="00375729" w:rsidRPr="00CF3D6E">
              <w:rPr>
                <w:i/>
              </w:rPr>
              <w:t>ardware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10554B6A" w14:textId="77777777" w:rsidR="00375729" w:rsidRPr="00CF3D6E" w:rsidRDefault="00375729" w:rsidP="00A4034F">
            <w:pPr>
              <w:pStyle w:val="Tabletext"/>
              <w:rPr>
                <w:i/>
              </w:rPr>
            </w:pPr>
            <w:r w:rsidRPr="00CF3D6E">
              <w:rPr>
                <w:i/>
              </w:rPr>
              <w:t>0.3</w:t>
            </w:r>
          </w:p>
        </w:tc>
        <w:tc>
          <w:tcPr>
            <w:tcW w:w="1559" w:type="dxa"/>
            <w:tcBorders>
              <w:top w:val="nil"/>
              <w:left w:val="single" w:sz="4" w:space="0" w:color="BFBFBF" w:themeColor="background1" w:themeShade="BF"/>
              <w:bottom w:val="nil"/>
              <w:right w:val="single" w:sz="4" w:space="0" w:color="auto"/>
            </w:tcBorders>
            <w:shd w:val="clear" w:color="auto" w:fill="auto"/>
            <w:noWrap/>
            <w:vAlign w:val="bottom"/>
            <w:hideMark/>
          </w:tcPr>
          <w:p w14:paraId="333AE03A" w14:textId="77777777" w:rsidR="00375729" w:rsidRPr="00CF3D6E" w:rsidRDefault="00375729" w:rsidP="00A4034F">
            <w:pPr>
              <w:pStyle w:val="Tabletext"/>
              <w:rPr>
                <w:i/>
              </w:rPr>
            </w:pPr>
            <w:r w:rsidRPr="00CF3D6E">
              <w:rPr>
                <w:i/>
              </w:rPr>
              <w:t>0.3</w:t>
            </w:r>
          </w:p>
        </w:tc>
      </w:tr>
      <w:tr w:rsidR="00375729" w:rsidRPr="00402754" w14:paraId="79E16033" w14:textId="77777777" w:rsidTr="00CF3D6E">
        <w:trPr>
          <w:trHeight w:val="330"/>
        </w:trPr>
        <w:tc>
          <w:tcPr>
            <w:tcW w:w="4106" w:type="dxa"/>
            <w:tcBorders>
              <w:top w:val="nil"/>
              <w:left w:val="single" w:sz="4" w:space="0" w:color="auto"/>
              <w:bottom w:val="nil"/>
              <w:right w:val="single" w:sz="4" w:space="0" w:color="auto"/>
            </w:tcBorders>
            <w:shd w:val="clear" w:color="auto" w:fill="auto"/>
            <w:noWrap/>
            <w:vAlign w:val="center"/>
            <w:hideMark/>
          </w:tcPr>
          <w:p w14:paraId="72FC56A0" w14:textId="77777777" w:rsidR="00375729" w:rsidRPr="00CF3D6E" w:rsidRDefault="0058764D" w:rsidP="00A4034F">
            <w:pPr>
              <w:pStyle w:val="Tabletext"/>
              <w:rPr>
                <w:i/>
              </w:rPr>
            </w:pPr>
            <w:r>
              <w:rPr>
                <w:i/>
              </w:rPr>
              <w:t>S</w:t>
            </w:r>
            <w:r w:rsidR="00375729" w:rsidRPr="00CF3D6E">
              <w:rPr>
                <w:i/>
              </w:rPr>
              <w:t>oftware (pp)</w:t>
            </w:r>
          </w:p>
        </w:tc>
        <w:tc>
          <w:tcPr>
            <w:tcW w:w="1701" w:type="dxa"/>
            <w:tcBorders>
              <w:top w:val="nil"/>
              <w:left w:val="single" w:sz="4" w:space="0" w:color="auto"/>
              <w:bottom w:val="nil"/>
              <w:right w:val="single" w:sz="4" w:space="0" w:color="BFBFBF" w:themeColor="background1" w:themeShade="BF"/>
            </w:tcBorders>
            <w:shd w:val="clear" w:color="auto" w:fill="auto"/>
            <w:noWrap/>
            <w:vAlign w:val="bottom"/>
            <w:hideMark/>
          </w:tcPr>
          <w:p w14:paraId="55943F85" w14:textId="77777777" w:rsidR="00375729" w:rsidRPr="00CF3D6E" w:rsidRDefault="00375729" w:rsidP="00A4034F">
            <w:pPr>
              <w:pStyle w:val="Tabletext"/>
              <w:rPr>
                <w:i/>
              </w:rPr>
            </w:pPr>
            <w:r w:rsidRPr="00CF3D6E">
              <w:rPr>
                <w:i/>
              </w:rPr>
              <w:t>0.1</w:t>
            </w:r>
          </w:p>
        </w:tc>
        <w:tc>
          <w:tcPr>
            <w:tcW w:w="1559" w:type="dxa"/>
            <w:tcBorders>
              <w:top w:val="nil"/>
              <w:left w:val="single" w:sz="4" w:space="0" w:color="BFBFBF" w:themeColor="background1" w:themeShade="BF"/>
              <w:bottom w:val="nil"/>
              <w:right w:val="single" w:sz="4" w:space="0" w:color="auto"/>
            </w:tcBorders>
            <w:shd w:val="clear" w:color="auto" w:fill="auto"/>
            <w:noWrap/>
            <w:vAlign w:val="bottom"/>
            <w:hideMark/>
          </w:tcPr>
          <w:p w14:paraId="3355B3D9" w14:textId="77777777" w:rsidR="00375729" w:rsidRPr="00CF3D6E" w:rsidRDefault="00375729" w:rsidP="00A4034F">
            <w:pPr>
              <w:pStyle w:val="Tabletext"/>
              <w:rPr>
                <w:i/>
              </w:rPr>
            </w:pPr>
            <w:r w:rsidRPr="00CF3D6E">
              <w:rPr>
                <w:i/>
              </w:rPr>
              <w:t>0.2</w:t>
            </w:r>
          </w:p>
        </w:tc>
      </w:tr>
      <w:tr w:rsidR="00375729" w:rsidRPr="00402754" w14:paraId="07298414" w14:textId="77777777" w:rsidTr="00CF3D6E">
        <w:trPr>
          <w:trHeight w:val="330"/>
        </w:trPr>
        <w:tc>
          <w:tcPr>
            <w:tcW w:w="4106" w:type="dxa"/>
            <w:tcBorders>
              <w:top w:val="nil"/>
              <w:left w:val="single" w:sz="4" w:space="0" w:color="auto"/>
              <w:bottom w:val="nil"/>
              <w:right w:val="single" w:sz="4" w:space="0" w:color="auto"/>
            </w:tcBorders>
            <w:shd w:val="clear" w:color="auto" w:fill="auto"/>
            <w:noWrap/>
            <w:vAlign w:val="center"/>
            <w:hideMark/>
          </w:tcPr>
          <w:p w14:paraId="56347299" w14:textId="77777777" w:rsidR="00375729" w:rsidRPr="00402754" w:rsidRDefault="00375729" w:rsidP="00A4034F">
            <w:pPr>
              <w:pStyle w:val="Tabletext"/>
            </w:pPr>
            <w:r w:rsidRPr="00402754">
              <w:t>Non-</w:t>
            </w:r>
            <w:r>
              <w:t>IT</w:t>
            </w:r>
            <w:r w:rsidRPr="00402754">
              <w:t xml:space="preserve"> capital deepening</w:t>
            </w:r>
            <w:r>
              <w:t xml:space="preserve"> (pp)</w:t>
            </w:r>
          </w:p>
        </w:tc>
        <w:tc>
          <w:tcPr>
            <w:tcW w:w="1701" w:type="dxa"/>
            <w:tcBorders>
              <w:top w:val="nil"/>
              <w:left w:val="single" w:sz="4" w:space="0" w:color="auto"/>
              <w:bottom w:val="nil"/>
              <w:right w:val="single" w:sz="4" w:space="0" w:color="BFBFBF" w:themeColor="background1" w:themeShade="BF"/>
            </w:tcBorders>
            <w:shd w:val="clear" w:color="auto" w:fill="auto"/>
            <w:noWrap/>
            <w:vAlign w:val="center"/>
            <w:hideMark/>
          </w:tcPr>
          <w:p w14:paraId="351D2AFA" w14:textId="77777777" w:rsidR="00375729" w:rsidRPr="00CF3D6E" w:rsidRDefault="00375729" w:rsidP="00A4034F">
            <w:pPr>
              <w:pStyle w:val="Tabletext"/>
            </w:pPr>
            <w:r w:rsidRPr="00F96020">
              <w:t xml:space="preserve">0.1 </w:t>
            </w:r>
            <w:r w:rsidRPr="00CF3D6E">
              <w:t>(8)</w:t>
            </w:r>
          </w:p>
        </w:tc>
        <w:tc>
          <w:tcPr>
            <w:tcW w:w="1559" w:type="dxa"/>
            <w:tcBorders>
              <w:top w:val="nil"/>
              <w:left w:val="single" w:sz="4" w:space="0" w:color="BFBFBF" w:themeColor="background1" w:themeShade="BF"/>
              <w:bottom w:val="nil"/>
              <w:right w:val="single" w:sz="4" w:space="0" w:color="auto"/>
            </w:tcBorders>
            <w:shd w:val="clear" w:color="auto" w:fill="auto"/>
            <w:noWrap/>
            <w:vAlign w:val="center"/>
            <w:hideMark/>
          </w:tcPr>
          <w:p w14:paraId="3B069907" w14:textId="77777777" w:rsidR="00375729" w:rsidRPr="00CF3D6E" w:rsidRDefault="00375729" w:rsidP="00A4034F">
            <w:pPr>
              <w:pStyle w:val="Tabletext"/>
            </w:pPr>
            <w:r w:rsidRPr="00F96020">
              <w:t xml:space="preserve">0.2 </w:t>
            </w:r>
            <w:r w:rsidRPr="00CF3D6E">
              <w:t>(65)</w:t>
            </w:r>
          </w:p>
        </w:tc>
      </w:tr>
      <w:tr w:rsidR="00375729" w:rsidRPr="00402754" w14:paraId="77F80E82" w14:textId="77777777" w:rsidTr="00CF3D6E">
        <w:trPr>
          <w:trHeight w:val="330"/>
        </w:trPr>
        <w:tc>
          <w:tcPr>
            <w:tcW w:w="4106" w:type="dxa"/>
            <w:tcBorders>
              <w:top w:val="nil"/>
              <w:left w:val="single" w:sz="4" w:space="0" w:color="auto"/>
              <w:bottom w:val="nil"/>
              <w:right w:val="single" w:sz="4" w:space="0" w:color="auto"/>
            </w:tcBorders>
            <w:shd w:val="clear" w:color="auto" w:fill="auto"/>
            <w:noWrap/>
            <w:vAlign w:val="center"/>
            <w:hideMark/>
          </w:tcPr>
          <w:p w14:paraId="5EBCA145" w14:textId="77777777" w:rsidR="00375729" w:rsidRPr="00CF3D6E" w:rsidRDefault="00375729" w:rsidP="00A4034F">
            <w:pPr>
              <w:pStyle w:val="Tabletext"/>
            </w:pPr>
            <w:r w:rsidRPr="00CF3D6E">
              <w:t>MFP growth (pp)</w:t>
            </w:r>
          </w:p>
        </w:tc>
        <w:tc>
          <w:tcPr>
            <w:tcW w:w="1701" w:type="dxa"/>
            <w:tcBorders>
              <w:top w:val="nil"/>
              <w:left w:val="single" w:sz="4" w:space="0" w:color="auto"/>
              <w:bottom w:val="nil"/>
              <w:right w:val="single" w:sz="4" w:space="0" w:color="BFBFBF" w:themeColor="background1" w:themeShade="BF"/>
            </w:tcBorders>
            <w:shd w:val="clear" w:color="auto" w:fill="auto"/>
            <w:noWrap/>
            <w:vAlign w:val="center"/>
            <w:hideMark/>
          </w:tcPr>
          <w:p w14:paraId="0583C224" w14:textId="77777777" w:rsidR="00375729" w:rsidRPr="00CF3D6E" w:rsidRDefault="00375729" w:rsidP="00A4034F">
            <w:pPr>
              <w:pStyle w:val="Tabletext"/>
            </w:pPr>
            <w:r w:rsidRPr="00CF3D6E">
              <w:t>1.6 (73)</w:t>
            </w:r>
          </w:p>
        </w:tc>
        <w:tc>
          <w:tcPr>
            <w:tcW w:w="1559" w:type="dxa"/>
            <w:tcBorders>
              <w:top w:val="nil"/>
              <w:left w:val="single" w:sz="4" w:space="0" w:color="BFBFBF" w:themeColor="background1" w:themeShade="BF"/>
              <w:bottom w:val="nil"/>
              <w:right w:val="single" w:sz="4" w:space="0" w:color="auto"/>
            </w:tcBorders>
            <w:shd w:val="clear" w:color="auto" w:fill="auto"/>
            <w:noWrap/>
            <w:vAlign w:val="center"/>
            <w:hideMark/>
          </w:tcPr>
          <w:p w14:paraId="2ABB8C09" w14:textId="77777777" w:rsidR="00375729" w:rsidRPr="00CF3D6E" w:rsidRDefault="00375729" w:rsidP="00A4034F">
            <w:pPr>
              <w:pStyle w:val="Tabletext"/>
            </w:pPr>
            <w:r w:rsidRPr="00CF3D6E">
              <w:t>-0.2</w:t>
            </w:r>
          </w:p>
        </w:tc>
      </w:tr>
      <w:tr w:rsidR="00375729" w:rsidRPr="00402754" w14:paraId="18F31862" w14:textId="77777777" w:rsidTr="00CF3D6E">
        <w:trPr>
          <w:trHeight w:val="33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5177E2" w14:textId="77777777" w:rsidR="00375729" w:rsidRPr="00CF3D6E" w:rsidRDefault="00375729" w:rsidP="00A4034F">
            <w:pPr>
              <w:pStyle w:val="Tabletext"/>
            </w:pPr>
            <w:r w:rsidRPr="00CF3D6E">
              <w:t>Labour productivity growth (%pa)</w:t>
            </w:r>
          </w:p>
        </w:tc>
        <w:tc>
          <w:tcPr>
            <w:tcW w:w="1701" w:type="dxa"/>
            <w:tcBorders>
              <w:top w:val="nil"/>
              <w:left w:val="single" w:sz="4" w:space="0" w:color="auto"/>
              <w:bottom w:val="single" w:sz="4" w:space="0" w:color="auto"/>
              <w:right w:val="single" w:sz="4" w:space="0" w:color="BFBFBF" w:themeColor="background1" w:themeShade="BF"/>
            </w:tcBorders>
            <w:shd w:val="clear" w:color="auto" w:fill="auto"/>
            <w:noWrap/>
            <w:vAlign w:val="center"/>
            <w:hideMark/>
          </w:tcPr>
          <w:p w14:paraId="0A70C6E3" w14:textId="77777777" w:rsidR="00375729" w:rsidRPr="00CF3D6E" w:rsidRDefault="00375729" w:rsidP="00A4034F">
            <w:pPr>
              <w:pStyle w:val="Tabletext"/>
            </w:pPr>
            <w:r w:rsidRPr="00CF3D6E">
              <w:t>2.2 (100)</w:t>
            </w:r>
          </w:p>
        </w:tc>
        <w:tc>
          <w:tcPr>
            <w:tcW w:w="1559" w:type="dxa"/>
            <w:tcBorders>
              <w:top w:val="nil"/>
              <w:left w:val="single" w:sz="4" w:space="0" w:color="BFBFBF" w:themeColor="background1" w:themeShade="BF"/>
              <w:bottom w:val="single" w:sz="4" w:space="0" w:color="auto"/>
              <w:right w:val="single" w:sz="4" w:space="0" w:color="auto"/>
            </w:tcBorders>
            <w:shd w:val="clear" w:color="auto" w:fill="auto"/>
            <w:noWrap/>
            <w:vAlign w:val="center"/>
            <w:hideMark/>
          </w:tcPr>
          <w:p w14:paraId="238AA545" w14:textId="77777777" w:rsidR="00375729" w:rsidRPr="00CF3D6E" w:rsidRDefault="00375729" w:rsidP="00A4034F">
            <w:pPr>
              <w:pStyle w:val="Tabletext"/>
            </w:pPr>
            <w:r w:rsidRPr="00CF3D6E">
              <w:t>0.4 (100)</w:t>
            </w:r>
          </w:p>
        </w:tc>
      </w:tr>
    </w:tbl>
    <w:p w14:paraId="40FB2767" w14:textId="77777777" w:rsidR="00C667EC" w:rsidRPr="00323930" w:rsidRDefault="00375729" w:rsidP="00012248">
      <w:pPr>
        <w:pStyle w:val="SourceNotes"/>
      </w:pPr>
      <w:r>
        <w:fldChar w:fldCharType="end"/>
      </w:r>
      <w:r>
        <w:t>Note: a. Figures in brackets refer to percentages of labour productivity growth</w:t>
      </w:r>
      <w:r w:rsidR="00C667EC">
        <w:t xml:space="preserve">. </w:t>
      </w:r>
      <w:r w:rsidR="00C667EC">
        <w:br/>
      </w:r>
      <w:r w:rsidR="00C667EC" w:rsidRPr="000E36A5">
        <w:t>Numbers may not add up due to rounding</w:t>
      </w:r>
      <w:r w:rsidR="00C667EC">
        <w:t xml:space="preserve">. </w:t>
      </w:r>
      <w:r w:rsidR="00C667EC" w:rsidRPr="00323930">
        <w:tab/>
      </w:r>
    </w:p>
    <w:p w14:paraId="7E237AA9" w14:textId="77777777" w:rsidR="00375729" w:rsidRDefault="00375729" w:rsidP="00012248">
      <w:pPr>
        <w:pStyle w:val="SourceNotes"/>
      </w:pPr>
      <w:r>
        <w:t xml:space="preserve">Source: </w:t>
      </w:r>
      <w:r w:rsidRPr="00F07285">
        <w:t>Author estimates</w:t>
      </w:r>
    </w:p>
    <w:p w14:paraId="32259EA1" w14:textId="77777777" w:rsidR="00375729" w:rsidRDefault="00B06961" w:rsidP="00F37FA2">
      <w:pPr>
        <w:pStyle w:val="BCRAppendicesSubSubheading"/>
      </w:pPr>
      <w:r>
        <w:t>I.2</w:t>
      </w:r>
      <w:r w:rsidR="00375729">
        <w:t>.2 IT use and skills</w:t>
      </w:r>
    </w:p>
    <w:p w14:paraId="68435C6E" w14:textId="77777777" w:rsidR="00375729" w:rsidRDefault="00375729" w:rsidP="00375729">
      <w:r>
        <w:t>The average skill level in the industry is likely to be high relative to other industries. It increased by 12 per cent over the entire period reviewed. Even though the stock of IT capital increased by much more, there was a high degree of correlation between the two. The correlation coefficient between IT capital and the index of skill composition is 0.98.</w:t>
      </w:r>
    </w:p>
    <w:p w14:paraId="7B3DCEE9" w14:textId="77777777" w:rsidR="00375729" w:rsidRPr="009B02C8" w:rsidRDefault="00375729" w:rsidP="00F37FA2">
      <w:pPr>
        <w:pStyle w:val="BCRAppendicesSubheading"/>
      </w:pPr>
      <w:r>
        <w:t>I</w:t>
      </w:r>
      <w:r w:rsidR="00A71572">
        <w:t>.</w:t>
      </w:r>
      <w:r>
        <w:t>3</w:t>
      </w:r>
      <w:r w:rsidR="00A71572">
        <w:t xml:space="preserve"> </w:t>
      </w:r>
      <w:r>
        <w:t>IT, asset use and capital productivity</w:t>
      </w:r>
    </w:p>
    <w:p w14:paraId="0D37B084" w14:textId="77777777" w:rsidR="00375729" w:rsidRDefault="00375729" w:rsidP="00375729">
      <w:r>
        <w:t xml:space="preserve">The productivity of total capital and of non-IT capital during the review period is shown in </w:t>
      </w:r>
      <w:r w:rsidR="00116461">
        <w:t>Figure I7</w:t>
      </w:r>
      <w:r>
        <w:t xml:space="preserve">. </w:t>
      </w:r>
    </w:p>
    <w:p w14:paraId="2C7B72C6" w14:textId="77777777" w:rsidR="00375729" w:rsidRDefault="00375729" w:rsidP="00375729">
      <w:r>
        <w:t>There was comparatively little change in non-IT capital productivity, although it did fall by around 20</w:t>
      </w:r>
      <w:r w:rsidR="006518A7">
        <w:t> </w:t>
      </w:r>
      <w:r>
        <w:t>per</w:t>
      </w:r>
      <w:r w:rsidR="006518A7">
        <w:t> </w:t>
      </w:r>
      <w:r>
        <w:t>cent from 1994–95. Given the strong growth in IT, there was no positive association between IT use and non-IT capital productivity.</w:t>
      </w:r>
    </w:p>
    <w:p w14:paraId="16EEDFF6" w14:textId="77777777" w:rsidR="00375729" w:rsidRDefault="00116461" w:rsidP="00A4034F">
      <w:pPr>
        <w:pStyle w:val="Figurecaption"/>
      </w:pPr>
      <w:r>
        <w:t>Figure I7</w:t>
      </w:r>
      <w:r w:rsidR="00375729">
        <w:t>: Capital productivity of all assets and non-IT assets in PST services (index, 2012–13</w:t>
      </w:r>
      <w:r w:rsidR="006A530A">
        <w:t xml:space="preserve"> = </w:t>
      </w:r>
      <w:r w:rsidR="00375729">
        <w:t>100)</w:t>
      </w:r>
    </w:p>
    <w:p w14:paraId="6512A586" w14:textId="234209A3" w:rsidR="00375729" w:rsidRDefault="00A4034F" w:rsidP="00375729">
      <w:pPr>
        <w:spacing w:after="60"/>
        <w:rPr>
          <w:noProof/>
          <w:lang w:eastAsia="en-AU"/>
        </w:rPr>
      </w:pPr>
      <w:r>
        <w:rPr>
          <w:noProof/>
          <w:lang w:eastAsia="en-AU"/>
        </w:rPr>
        <w:drawing>
          <wp:inline distT="0" distB="0" distL="0" distR="0" wp14:anchorId="4AD96996" wp14:editId="67939182">
            <wp:extent cx="5419725" cy="2773680"/>
            <wp:effectExtent l="0" t="0" r="9525" b="762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19725" cy="2773680"/>
                    </a:xfrm>
                    <a:prstGeom prst="rect">
                      <a:avLst/>
                    </a:prstGeom>
                    <a:noFill/>
                  </pic:spPr>
                </pic:pic>
              </a:graphicData>
            </a:graphic>
          </wp:inline>
        </w:drawing>
      </w:r>
    </w:p>
    <w:p w14:paraId="1764F89F" w14:textId="77777777" w:rsidR="00375729" w:rsidRDefault="00375729" w:rsidP="00012248">
      <w:pPr>
        <w:pStyle w:val="SourceNotes"/>
      </w:pPr>
      <w:r>
        <w:t xml:space="preserve">Source: </w:t>
      </w:r>
      <w:r w:rsidRPr="00323930">
        <w:t>Author estimates</w:t>
      </w:r>
    </w:p>
    <w:p w14:paraId="17A2B7AB" w14:textId="77777777" w:rsidR="00375729" w:rsidRDefault="00375729" w:rsidP="00375729">
      <w:r>
        <w:t>The productivity of individual assets was also investigated. The major non-IT capital inputs in PST services are: research and development (R&amp;D) (23 per cent of capital income)</w:t>
      </w:r>
      <w:r w:rsidR="00726FD7">
        <w:rPr>
          <w:rStyle w:val="EndnoteReference"/>
        </w:rPr>
        <w:endnoteReference w:id="40"/>
      </w:r>
      <w:r>
        <w:t xml:space="preserve">, other plant and equipment (11 per cent), road vehicles (11 per cent) and buildings (11 per cent). </w:t>
      </w:r>
    </w:p>
    <w:p w14:paraId="586CCEAC" w14:textId="77777777" w:rsidR="00375729" w:rsidRDefault="00375729" w:rsidP="00375729">
      <w:r>
        <w:t>Buildings was the only one of these asset classes to show improvement in productivity over the entire period</w:t>
      </w:r>
      <w:r w:rsidRPr="00F56593">
        <w:t xml:space="preserve"> </w:t>
      </w:r>
      <w:r>
        <w:t>(</w:t>
      </w:r>
      <w:r w:rsidR="00116461">
        <w:t>Figure I8</w:t>
      </w:r>
      <w:r>
        <w:t>).</w:t>
      </w:r>
      <w:r w:rsidRPr="00366B39">
        <w:t xml:space="preserve"> </w:t>
      </w:r>
      <w:r>
        <w:t xml:space="preserve">The correlation coefficient with IT use is 0.84. </w:t>
      </w:r>
    </w:p>
    <w:p w14:paraId="6141751F" w14:textId="77777777" w:rsidR="00375729" w:rsidRDefault="00375729" w:rsidP="00375729">
      <w:r>
        <w:t>The lack of improvement in R&amp;D productivity over the entire period is surprising. There was, however, some improvement over the second half of the 1990s.</w:t>
      </w:r>
    </w:p>
    <w:p w14:paraId="273721E5" w14:textId="77777777" w:rsidR="00375729" w:rsidRDefault="00116461" w:rsidP="00A4034F">
      <w:pPr>
        <w:pStyle w:val="Figurecaption"/>
      </w:pPr>
      <w:r>
        <w:t>Figure I8</w:t>
      </w:r>
      <w:r w:rsidR="00375729">
        <w:t>: Asset productivity–the ratio of value added to use of selected assets in PST services</w:t>
      </w:r>
    </w:p>
    <w:p w14:paraId="091C1CCB" w14:textId="78DE1899" w:rsidR="00375729" w:rsidRDefault="00A4034F" w:rsidP="00375729">
      <w:pPr>
        <w:spacing w:after="60"/>
        <w:rPr>
          <w:noProof/>
          <w:lang w:eastAsia="en-AU"/>
        </w:rPr>
      </w:pPr>
      <w:r>
        <w:rPr>
          <w:noProof/>
          <w:lang w:eastAsia="en-AU"/>
        </w:rPr>
        <w:drawing>
          <wp:inline distT="0" distB="0" distL="0" distR="0" wp14:anchorId="06E9DF38" wp14:editId="39D9F022">
            <wp:extent cx="5517515" cy="2755900"/>
            <wp:effectExtent l="0" t="0" r="6985"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17515" cy="2755900"/>
                    </a:xfrm>
                    <a:prstGeom prst="rect">
                      <a:avLst/>
                    </a:prstGeom>
                    <a:noFill/>
                  </pic:spPr>
                </pic:pic>
              </a:graphicData>
            </a:graphic>
          </wp:inline>
        </w:drawing>
      </w:r>
    </w:p>
    <w:p w14:paraId="16895FFB" w14:textId="77777777" w:rsidR="00375729" w:rsidRDefault="00375729" w:rsidP="00012248">
      <w:pPr>
        <w:pStyle w:val="SourceNotes"/>
      </w:pPr>
      <w:r>
        <w:t xml:space="preserve">Source: </w:t>
      </w:r>
      <w:r w:rsidRPr="00323930">
        <w:t>Author estimates</w:t>
      </w:r>
    </w:p>
    <w:p w14:paraId="2F33D78F" w14:textId="77777777" w:rsidR="00375729" w:rsidRDefault="00375729" w:rsidP="00F37FA2">
      <w:pPr>
        <w:pStyle w:val="BCRAppendicesSubheading"/>
      </w:pPr>
      <w:r>
        <w:t>I</w:t>
      </w:r>
      <w:r w:rsidR="0005309D">
        <w:t>.</w:t>
      </w:r>
      <w:r>
        <w:t>4 Use of intermediates</w:t>
      </w:r>
    </w:p>
    <w:p w14:paraId="72E14557" w14:textId="77777777" w:rsidR="00375729" w:rsidRDefault="00F8642A" w:rsidP="00375729">
      <w:r>
        <w:t xml:space="preserve">Whether </w:t>
      </w:r>
      <w:r w:rsidR="00375729">
        <w:t xml:space="preserve">IT could help improve the efficiency with which intermediate inputs (materials, energy and services used in production) are used was another possibility examined for the review period. In the case of intermediate input use, productivity is determined in reference to the gross output rather than the value added, measure of output. </w:t>
      </w:r>
    </w:p>
    <w:p w14:paraId="472E03E1" w14:textId="77777777" w:rsidR="00375729" w:rsidRDefault="00375729" w:rsidP="00375729">
      <w:r>
        <w:t>The efficiency of intermediates use did not change much over the entire period (</w:t>
      </w:r>
      <w:r w:rsidR="00116461">
        <w:t>Figure I9</w:t>
      </w:r>
      <w:r>
        <w:t xml:space="preserve">). </w:t>
      </w:r>
    </w:p>
    <w:p w14:paraId="4B57B085" w14:textId="77777777" w:rsidR="00375729" w:rsidRDefault="00116461" w:rsidP="00A4034F">
      <w:pPr>
        <w:pStyle w:val="Figurecaption"/>
      </w:pPr>
      <w:r>
        <w:t>Figure I9</w:t>
      </w:r>
      <w:r w:rsidR="00375729">
        <w:t>: Gross output, intermediate input use and intermediate input productivity in FIS</w:t>
      </w:r>
    </w:p>
    <w:p w14:paraId="7E1BB9BA" w14:textId="430FEACD" w:rsidR="00375729" w:rsidRDefault="00A4034F" w:rsidP="00375729">
      <w:pPr>
        <w:spacing w:after="60"/>
        <w:rPr>
          <w:noProof/>
          <w:lang w:eastAsia="en-AU"/>
        </w:rPr>
      </w:pPr>
      <w:r>
        <w:rPr>
          <w:noProof/>
          <w:lang w:eastAsia="en-AU"/>
        </w:rPr>
        <w:drawing>
          <wp:inline distT="0" distB="0" distL="0" distR="0" wp14:anchorId="260F8EFF" wp14:editId="5179A731">
            <wp:extent cx="5535930" cy="2755900"/>
            <wp:effectExtent l="0" t="0" r="7620" b="635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35930" cy="2755900"/>
                    </a:xfrm>
                    <a:prstGeom prst="rect">
                      <a:avLst/>
                    </a:prstGeom>
                    <a:noFill/>
                  </pic:spPr>
                </pic:pic>
              </a:graphicData>
            </a:graphic>
          </wp:inline>
        </w:drawing>
      </w:r>
    </w:p>
    <w:p w14:paraId="08B1057E" w14:textId="77777777" w:rsidR="00375729" w:rsidRDefault="00375729" w:rsidP="00012248">
      <w:pPr>
        <w:pStyle w:val="SourceNotes"/>
      </w:pPr>
      <w:r>
        <w:t xml:space="preserve">Source: </w:t>
      </w:r>
      <w:r w:rsidRPr="00323930">
        <w:t>Author estimates</w:t>
      </w:r>
    </w:p>
    <w:p w14:paraId="0A2C5C10" w14:textId="77777777" w:rsidR="00375729" w:rsidRDefault="0005309D" w:rsidP="00F37FA2">
      <w:pPr>
        <w:pStyle w:val="BCRAppendicesSubheading"/>
      </w:pPr>
      <w:r>
        <w:t xml:space="preserve">I.5 </w:t>
      </w:r>
      <w:r w:rsidR="00375729">
        <w:t>MFP growth</w:t>
      </w:r>
    </w:p>
    <w:p w14:paraId="62D48882" w14:textId="77777777" w:rsidR="00375729" w:rsidRDefault="00375729" w:rsidP="00375729">
      <w:r>
        <w:t>The association between IT and MFP was examined in the context of MFP cycles (</w:t>
      </w:r>
      <w:r w:rsidR="00116461">
        <w:t>Figure I10</w:t>
      </w:r>
      <w:r>
        <w:t>). The timing of MFP cycles has been taken to coincide with LP cycles.</w:t>
      </w:r>
    </w:p>
    <w:p w14:paraId="0E85D3FF" w14:textId="77777777" w:rsidR="00375729" w:rsidRDefault="00116461" w:rsidP="00A4034F">
      <w:pPr>
        <w:pStyle w:val="Figurecaption"/>
      </w:pPr>
      <w:r>
        <w:t>Figure I10</w:t>
      </w:r>
      <w:r w:rsidR="00375729">
        <w:t>: Actual and trend MFP in PST services</w:t>
      </w:r>
      <w:r w:rsidR="00375729">
        <w:rPr>
          <w:vertAlign w:val="superscript"/>
        </w:rPr>
        <w:t>a</w:t>
      </w:r>
      <w:r w:rsidR="00375729">
        <w:t xml:space="preserve"> (index, actual 2012–13</w:t>
      </w:r>
      <w:r w:rsidR="006A530A">
        <w:t xml:space="preserve"> = </w:t>
      </w:r>
      <w:r w:rsidR="00375729">
        <w:t>100)</w:t>
      </w:r>
    </w:p>
    <w:p w14:paraId="3F229F46" w14:textId="1FB4FBF0" w:rsidR="00375729" w:rsidRDefault="00A4034F" w:rsidP="00375729">
      <w:pPr>
        <w:spacing w:after="60"/>
      </w:pPr>
      <w:r>
        <w:rPr>
          <w:noProof/>
          <w:lang w:eastAsia="en-AU"/>
        </w:rPr>
        <w:drawing>
          <wp:inline distT="0" distB="0" distL="0" distR="0" wp14:anchorId="2E10C5CC" wp14:editId="3F93AF33">
            <wp:extent cx="5621020" cy="27432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21020" cy="2743200"/>
                    </a:xfrm>
                    <a:prstGeom prst="rect">
                      <a:avLst/>
                    </a:prstGeom>
                    <a:noFill/>
                  </pic:spPr>
                </pic:pic>
              </a:graphicData>
            </a:graphic>
          </wp:inline>
        </w:drawing>
      </w:r>
    </w:p>
    <w:p w14:paraId="2E451EC4" w14:textId="77777777" w:rsidR="00375729" w:rsidRPr="003249C8" w:rsidRDefault="00375729" w:rsidP="00012248">
      <w:pPr>
        <w:pStyle w:val="SourceNotes"/>
      </w:pPr>
      <w:r>
        <w:t xml:space="preserve">Note: a. </w:t>
      </w:r>
      <w:r w:rsidRPr="003249C8">
        <w:t>Trend series formed with a Hodrick-Prescott filter λ</w:t>
      </w:r>
      <w:r w:rsidR="006A530A">
        <w:t xml:space="preserve"> = </w:t>
      </w:r>
      <w:r w:rsidRPr="003249C8">
        <w:t>100</w:t>
      </w:r>
      <w:r w:rsidRPr="003249C8">
        <w:tab/>
      </w:r>
    </w:p>
    <w:p w14:paraId="2CBA12FB" w14:textId="77777777" w:rsidR="00375729" w:rsidRPr="003249C8" w:rsidRDefault="00375729" w:rsidP="00012248">
      <w:pPr>
        <w:pStyle w:val="SourceNotes"/>
      </w:pPr>
      <w:r>
        <w:t xml:space="preserve">Source: </w:t>
      </w:r>
      <w:r w:rsidRPr="003249C8">
        <w:t>ABS Cat. No. 5260.0.55.002 and author estimates</w:t>
      </w:r>
    </w:p>
    <w:p w14:paraId="7976EF7C" w14:textId="77777777" w:rsidR="00375729" w:rsidRDefault="00375729" w:rsidP="00375729">
      <w:r>
        <w:t>For current purposes, MFP growth was treated as a weighted average of LP growth and capital productivity growth, with the respective income shares as the weights. This allowed the influences of IT growth on MFP to be seen as a combination of substitution effects on labour and on capital.</w:t>
      </w:r>
    </w:p>
    <w:p w14:paraId="62CE731D" w14:textId="77777777" w:rsidR="00375729" w:rsidRDefault="00375729" w:rsidP="00375729">
      <w:r>
        <w:t xml:space="preserve">The MFP growth accounting is presented in </w:t>
      </w:r>
      <w:r w:rsidR="00116461">
        <w:t>Table I</w:t>
      </w:r>
      <w:r w:rsidR="00031ACA">
        <w:t>2</w:t>
      </w:r>
      <w:r w:rsidR="00F8642A">
        <w:t xml:space="preserve"> below</w:t>
      </w:r>
      <w:r>
        <w:t>. The labour productivity growth contribution plus the capital productivity contribution equals the MFP growth presented in the bottom row of the table.</w:t>
      </w:r>
    </w:p>
    <w:p w14:paraId="2522FE2C" w14:textId="77777777" w:rsidR="00375729" w:rsidRDefault="00375729" w:rsidP="00375729">
      <w:r>
        <w:t>The IT contribution through IT capital deepening and LP growth was steady at 0.4 of a percentage point, which would indicate IT has not had much influence on non-IT capital productivity.</w:t>
      </w:r>
      <w:r>
        <w:br/>
      </w:r>
    </w:p>
    <w:p w14:paraId="4A7DA145" w14:textId="77777777" w:rsidR="00375729" w:rsidRDefault="00375729" w:rsidP="00012248">
      <w:pPr>
        <w:pStyle w:val="BodyText"/>
      </w:pPr>
      <w:r>
        <w:br w:type="page"/>
      </w:r>
    </w:p>
    <w:p w14:paraId="50A0B240" w14:textId="77777777" w:rsidR="00375729" w:rsidRPr="0056262C" w:rsidRDefault="00375729" w:rsidP="00A4034F">
      <w:pPr>
        <w:pStyle w:val="Tablecaption"/>
      </w:pPr>
      <w:r w:rsidRPr="0056262C">
        <w:rPr>
          <w:rFonts w:asciiTheme="minorHAnsi" w:hAnsiTheme="minorHAnsi"/>
        </w:rPr>
        <w:fldChar w:fldCharType="begin"/>
      </w:r>
      <w:r w:rsidRPr="0056262C">
        <w:instrText xml:space="preserve"> LINK </w:instrText>
      </w:r>
      <w:r>
        <w:instrText xml:space="preserve">Excel.Sheet.12 "\\\\dept.gov.au\\DFS\\Home\\DParham\\Desktop\\Docs\\1. GA project\\Retail trade\\Retail workbook 150709.xlsx" MFP!R134C28:R144C33 </w:instrText>
      </w:r>
      <w:r w:rsidRPr="0056262C">
        <w:instrText xml:space="preserve">\a \f 4 \h  \* MERGEFORMAT </w:instrText>
      </w:r>
      <w:r w:rsidRPr="0056262C">
        <w:rPr>
          <w:rFonts w:asciiTheme="minorHAnsi" w:hAnsiTheme="minorHAnsi"/>
        </w:rPr>
        <w:fldChar w:fldCharType="separate"/>
      </w:r>
    </w:p>
    <w:p w14:paraId="3FE32774" w14:textId="77777777" w:rsidR="00375729" w:rsidRDefault="00375729" w:rsidP="00A4034F">
      <w:pPr>
        <w:pStyle w:val="Tablecaption"/>
      </w:pPr>
      <w:r>
        <w:t xml:space="preserve">Table </w:t>
      </w:r>
      <w:r w:rsidR="00116461">
        <w:t>I2</w:t>
      </w:r>
      <w:r w:rsidRPr="0056262C">
        <w:t xml:space="preserve">: Multifactor productivity growth accounting over MFP cycles in </w:t>
      </w:r>
      <w:r>
        <w:t>PTS</w:t>
      </w:r>
      <w:r w:rsidRPr="0056262C">
        <w:fldChar w:fldCharType="end"/>
      </w:r>
      <w:r w:rsidRPr="00D97BB3">
        <w:t xml:space="preserve"> </w:t>
      </w:r>
      <w:r>
        <w:rPr>
          <w:iCs/>
        </w:rPr>
        <w:fldChar w:fldCharType="begin"/>
      </w:r>
      <w:r>
        <w:instrText xml:space="preserve"> LINK Excel.Sheet.12 "\\\\dept.gov.au\\DFS\\Home\\DParham\\desktop\\Docs\\1. GA project\\Industry studies\\Prof, scien, tech\\PST workbook 150908.xlsx" "MFP!R129C28:R139C30" \a \f 4 \h  \* MERGEFORMAT </w:instrText>
      </w:r>
      <w:r>
        <w:rPr>
          <w:iCs/>
        </w:rPr>
        <w:fldChar w:fldCharType="separate"/>
      </w:r>
    </w:p>
    <w:tbl>
      <w:tblPr>
        <w:tblW w:w="86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ayout w:type="fixed"/>
        <w:tblLook w:val="04A0" w:firstRow="1" w:lastRow="0" w:firstColumn="1" w:lastColumn="0" w:noHBand="0" w:noVBand="1"/>
      </w:tblPr>
      <w:tblGrid>
        <w:gridCol w:w="4531"/>
        <w:gridCol w:w="1985"/>
        <w:gridCol w:w="2126"/>
      </w:tblGrid>
      <w:tr w:rsidR="00375729" w:rsidRPr="002D296F" w14:paraId="04AE7D5D" w14:textId="77777777" w:rsidTr="00CF3D6E">
        <w:trPr>
          <w:trHeight w:val="495"/>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D5DB1" w14:textId="77777777" w:rsidR="00375729" w:rsidRPr="002D296F" w:rsidRDefault="00375729" w:rsidP="00A4034F">
            <w:pPr>
              <w:pStyle w:val="Tablecellheading"/>
            </w:pPr>
            <w:r w:rsidRPr="002D296F">
              <w:t> </w:t>
            </w:r>
          </w:p>
        </w:tc>
        <w:tc>
          <w:tcPr>
            <w:tcW w:w="198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hideMark/>
          </w:tcPr>
          <w:p w14:paraId="66B00CE4" w14:textId="77777777" w:rsidR="00375729" w:rsidRPr="002D296F" w:rsidRDefault="00375729" w:rsidP="00A4034F">
            <w:pPr>
              <w:pStyle w:val="Tablecellheading"/>
              <w:rPr>
                <w:sz w:val="18"/>
                <w:szCs w:val="18"/>
              </w:rPr>
            </w:pPr>
            <w:r w:rsidRPr="002D296F">
              <w:rPr>
                <w:sz w:val="18"/>
                <w:szCs w:val="18"/>
              </w:rPr>
              <w:t>1994</w:t>
            </w:r>
            <w:r>
              <w:rPr>
                <w:sz w:val="18"/>
                <w:szCs w:val="18"/>
              </w:rPr>
              <w:t>–</w:t>
            </w:r>
            <w:r w:rsidRPr="002D296F">
              <w:rPr>
                <w:sz w:val="18"/>
                <w:szCs w:val="18"/>
              </w:rPr>
              <w:t>95 to 200</w:t>
            </w:r>
            <w:r>
              <w:rPr>
                <w:sz w:val="18"/>
                <w:szCs w:val="18"/>
              </w:rPr>
              <w:t>3–04</w:t>
            </w:r>
          </w:p>
        </w:tc>
        <w:tc>
          <w:tcPr>
            <w:tcW w:w="212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hideMark/>
          </w:tcPr>
          <w:p w14:paraId="0AEB6C82" w14:textId="77777777" w:rsidR="00375729" w:rsidRPr="002D296F" w:rsidRDefault="00375729" w:rsidP="00A4034F">
            <w:pPr>
              <w:pStyle w:val="Tablecellheading"/>
              <w:rPr>
                <w:sz w:val="18"/>
                <w:szCs w:val="18"/>
              </w:rPr>
            </w:pPr>
            <w:r w:rsidRPr="002D296F">
              <w:rPr>
                <w:sz w:val="18"/>
                <w:szCs w:val="18"/>
              </w:rPr>
              <w:t>200</w:t>
            </w:r>
            <w:r>
              <w:rPr>
                <w:sz w:val="18"/>
                <w:szCs w:val="18"/>
              </w:rPr>
              <w:t>3–04</w:t>
            </w:r>
            <w:r w:rsidRPr="002D296F">
              <w:rPr>
                <w:sz w:val="18"/>
                <w:szCs w:val="18"/>
              </w:rPr>
              <w:t xml:space="preserve"> to 2012</w:t>
            </w:r>
            <w:r>
              <w:rPr>
                <w:sz w:val="18"/>
                <w:szCs w:val="18"/>
              </w:rPr>
              <w:t>–</w:t>
            </w:r>
            <w:r w:rsidRPr="002D296F">
              <w:rPr>
                <w:sz w:val="18"/>
                <w:szCs w:val="18"/>
              </w:rPr>
              <w:t>13</w:t>
            </w:r>
          </w:p>
        </w:tc>
      </w:tr>
      <w:tr w:rsidR="00375729" w:rsidRPr="002D296F" w14:paraId="22995288" w14:textId="77777777" w:rsidTr="00CF3D6E">
        <w:trPr>
          <w:trHeight w:val="300"/>
        </w:trPr>
        <w:tc>
          <w:tcPr>
            <w:tcW w:w="4531" w:type="dxa"/>
            <w:tcBorders>
              <w:top w:val="single" w:sz="4" w:space="0" w:color="auto"/>
              <w:left w:val="single" w:sz="4" w:space="0" w:color="auto"/>
              <w:right w:val="single" w:sz="4" w:space="0" w:color="auto"/>
            </w:tcBorders>
            <w:shd w:val="clear" w:color="auto" w:fill="auto"/>
            <w:noWrap/>
            <w:vAlign w:val="bottom"/>
            <w:hideMark/>
          </w:tcPr>
          <w:p w14:paraId="350C0CDC" w14:textId="77777777" w:rsidR="00375729" w:rsidRPr="00CF3D6E" w:rsidRDefault="00375729" w:rsidP="00A4034F">
            <w:pPr>
              <w:pStyle w:val="Tabletext"/>
            </w:pPr>
            <w:r w:rsidRPr="00CF3D6E">
              <w:t>LP growth contribution (pp)</w:t>
            </w:r>
          </w:p>
        </w:tc>
        <w:tc>
          <w:tcPr>
            <w:tcW w:w="1985" w:type="dxa"/>
            <w:tcBorders>
              <w:top w:val="single" w:sz="4" w:space="0" w:color="auto"/>
              <w:left w:val="single" w:sz="4" w:space="0" w:color="auto"/>
              <w:right w:val="single" w:sz="4" w:space="0" w:color="BFBFBF" w:themeColor="background1" w:themeShade="BF"/>
            </w:tcBorders>
            <w:shd w:val="clear" w:color="auto" w:fill="auto"/>
            <w:noWrap/>
            <w:vAlign w:val="bottom"/>
            <w:hideMark/>
          </w:tcPr>
          <w:p w14:paraId="2A5636FB" w14:textId="77777777" w:rsidR="00375729" w:rsidRPr="00CF3D6E" w:rsidRDefault="00375729" w:rsidP="00A4034F">
            <w:pPr>
              <w:pStyle w:val="Tabletext"/>
            </w:pPr>
            <w:r w:rsidRPr="00CF3D6E">
              <w:t>2.0</w:t>
            </w:r>
          </w:p>
        </w:tc>
        <w:tc>
          <w:tcPr>
            <w:tcW w:w="2126" w:type="dxa"/>
            <w:tcBorders>
              <w:top w:val="single" w:sz="4" w:space="0" w:color="auto"/>
              <w:left w:val="single" w:sz="4" w:space="0" w:color="BFBFBF" w:themeColor="background1" w:themeShade="BF"/>
              <w:right w:val="single" w:sz="4" w:space="0" w:color="auto"/>
            </w:tcBorders>
            <w:shd w:val="clear" w:color="auto" w:fill="auto"/>
            <w:noWrap/>
            <w:vAlign w:val="bottom"/>
            <w:hideMark/>
          </w:tcPr>
          <w:p w14:paraId="4887F39B" w14:textId="77777777" w:rsidR="00375729" w:rsidRPr="00CF3D6E" w:rsidRDefault="00375729" w:rsidP="00A4034F">
            <w:pPr>
              <w:pStyle w:val="Tabletext"/>
            </w:pPr>
            <w:r w:rsidRPr="00CF3D6E">
              <w:t>0.3</w:t>
            </w:r>
          </w:p>
        </w:tc>
      </w:tr>
      <w:tr w:rsidR="00375729" w:rsidRPr="002D296F" w14:paraId="20B9031B" w14:textId="77777777" w:rsidTr="00CF3D6E">
        <w:trPr>
          <w:trHeight w:val="300"/>
        </w:trPr>
        <w:tc>
          <w:tcPr>
            <w:tcW w:w="4531" w:type="dxa"/>
            <w:tcBorders>
              <w:left w:val="single" w:sz="4" w:space="0" w:color="auto"/>
              <w:right w:val="single" w:sz="4" w:space="0" w:color="auto"/>
            </w:tcBorders>
            <w:shd w:val="clear" w:color="auto" w:fill="auto"/>
            <w:noWrap/>
            <w:vAlign w:val="bottom"/>
            <w:hideMark/>
          </w:tcPr>
          <w:p w14:paraId="6F000159" w14:textId="1DC5C87F" w:rsidR="00375729" w:rsidRPr="00CF3D6E" w:rsidRDefault="00375729" w:rsidP="00A4034F">
            <w:pPr>
              <w:pStyle w:val="Tabletext"/>
            </w:pPr>
            <w:r w:rsidRPr="00CF3D6E">
              <w:t>of which</w:t>
            </w:r>
          </w:p>
        </w:tc>
        <w:tc>
          <w:tcPr>
            <w:tcW w:w="1985" w:type="dxa"/>
            <w:tcBorders>
              <w:left w:val="single" w:sz="4" w:space="0" w:color="auto"/>
              <w:right w:val="single" w:sz="4" w:space="0" w:color="BFBFBF" w:themeColor="background1" w:themeShade="BF"/>
            </w:tcBorders>
            <w:shd w:val="clear" w:color="auto" w:fill="auto"/>
            <w:noWrap/>
            <w:vAlign w:val="bottom"/>
            <w:hideMark/>
          </w:tcPr>
          <w:p w14:paraId="6E409A48" w14:textId="77777777" w:rsidR="00375729" w:rsidRPr="00CF3D6E" w:rsidRDefault="00375729" w:rsidP="00A4034F">
            <w:pPr>
              <w:pStyle w:val="Tabletext"/>
            </w:pPr>
          </w:p>
        </w:tc>
        <w:tc>
          <w:tcPr>
            <w:tcW w:w="2126" w:type="dxa"/>
            <w:tcBorders>
              <w:left w:val="single" w:sz="4" w:space="0" w:color="BFBFBF" w:themeColor="background1" w:themeShade="BF"/>
              <w:right w:val="single" w:sz="4" w:space="0" w:color="auto"/>
            </w:tcBorders>
            <w:shd w:val="clear" w:color="auto" w:fill="auto"/>
            <w:noWrap/>
            <w:vAlign w:val="bottom"/>
            <w:hideMark/>
          </w:tcPr>
          <w:p w14:paraId="3F6BAC2D" w14:textId="77777777" w:rsidR="00375729" w:rsidRPr="00CF3D6E" w:rsidRDefault="00375729" w:rsidP="00A4034F">
            <w:pPr>
              <w:pStyle w:val="Tabletext"/>
              <w:rPr>
                <w:rFonts w:ascii="Times New Roman" w:hAnsi="Times New Roman"/>
                <w:sz w:val="20"/>
                <w:szCs w:val="20"/>
              </w:rPr>
            </w:pPr>
          </w:p>
        </w:tc>
      </w:tr>
      <w:tr w:rsidR="00375729" w:rsidRPr="002D296F" w14:paraId="055029B4" w14:textId="77777777" w:rsidTr="00CF3D6E">
        <w:trPr>
          <w:trHeight w:val="300"/>
        </w:trPr>
        <w:tc>
          <w:tcPr>
            <w:tcW w:w="4531" w:type="dxa"/>
            <w:tcBorders>
              <w:left w:val="single" w:sz="4" w:space="0" w:color="auto"/>
              <w:right w:val="single" w:sz="4" w:space="0" w:color="auto"/>
            </w:tcBorders>
            <w:shd w:val="clear" w:color="auto" w:fill="auto"/>
            <w:noWrap/>
            <w:vAlign w:val="bottom"/>
            <w:hideMark/>
          </w:tcPr>
          <w:p w14:paraId="74B8E498" w14:textId="2C069EAA" w:rsidR="00375729" w:rsidRPr="002D296F" w:rsidRDefault="00375729" w:rsidP="00A4034F">
            <w:pPr>
              <w:pStyle w:val="Tablebullet-Level1"/>
            </w:pPr>
            <w:r>
              <w:t>IT</w:t>
            </w:r>
            <w:r w:rsidRPr="002D296F">
              <w:t xml:space="preserve"> capital deepening </w:t>
            </w:r>
            <w:r>
              <w:t>(pp)</w:t>
            </w:r>
          </w:p>
        </w:tc>
        <w:tc>
          <w:tcPr>
            <w:tcW w:w="1985" w:type="dxa"/>
            <w:tcBorders>
              <w:left w:val="single" w:sz="4" w:space="0" w:color="auto"/>
              <w:right w:val="single" w:sz="4" w:space="0" w:color="BFBFBF" w:themeColor="background1" w:themeShade="BF"/>
            </w:tcBorders>
            <w:shd w:val="clear" w:color="auto" w:fill="auto"/>
            <w:noWrap/>
            <w:vAlign w:val="bottom"/>
            <w:hideMark/>
          </w:tcPr>
          <w:p w14:paraId="7426877D" w14:textId="77777777" w:rsidR="00375729" w:rsidRPr="002D296F" w:rsidRDefault="00375729" w:rsidP="00A4034F">
            <w:pPr>
              <w:pStyle w:val="Tabletext"/>
            </w:pPr>
            <w:r w:rsidRPr="002D296F">
              <w:t>0.4</w:t>
            </w:r>
          </w:p>
        </w:tc>
        <w:tc>
          <w:tcPr>
            <w:tcW w:w="2126" w:type="dxa"/>
            <w:tcBorders>
              <w:left w:val="single" w:sz="4" w:space="0" w:color="BFBFBF" w:themeColor="background1" w:themeShade="BF"/>
              <w:right w:val="single" w:sz="4" w:space="0" w:color="auto"/>
            </w:tcBorders>
            <w:shd w:val="clear" w:color="auto" w:fill="auto"/>
            <w:noWrap/>
            <w:vAlign w:val="bottom"/>
            <w:hideMark/>
          </w:tcPr>
          <w:p w14:paraId="0528B263" w14:textId="77777777" w:rsidR="00375729" w:rsidRPr="002D296F" w:rsidRDefault="00375729" w:rsidP="00A4034F">
            <w:pPr>
              <w:pStyle w:val="Tabletext"/>
            </w:pPr>
            <w:r w:rsidRPr="002D296F">
              <w:t>0.3</w:t>
            </w:r>
          </w:p>
        </w:tc>
      </w:tr>
      <w:tr w:rsidR="00375729" w:rsidRPr="002D296F" w14:paraId="6B65132E" w14:textId="77777777" w:rsidTr="00CF3D6E">
        <w:trPr>
          <w:trHeight w:val="300"/>
        </w:trPr>
        <w:tc>
          <w:tcPr>
            <w:tcW w:w="4531" w:type="dxa"/>
            <w:tcBorders>
              <w:left w:val="single" w:sz="4" w:space="0" w:color="auto"/>
              <w:right w:val="single" w:sz="4" w:space="0" w:color="auto"/>
            </w:tcBorders>
            <w:shd w:val="clear" w:color="auto" w:fill="auto"/>
            <w:noWrap/>
            <w:vAlign w:val="bottom"/>
            <w:hideMark/>
          </w:tcPr>
          <w:p w14:paraId="008900AD" w14:textId="77777777" w:rsidR="00375729" w:rsidRPr="00CF3D6E" w:rsidRDefault="00375729" w:rsidP="00A4034F">
            <w:pPr>
              <w:pStyle w:val="Tabletext"/>
            </w:pPr>
            <w:r w:rsidRPr="00CF3D6E">
              <w:t>KP growth contribution (pp)</w:t>
            </w:r>
          </w:p>
        </w:tc>
        <w:tc>
          <w:tcPr>
            <w:tcW w:w="1985" w:type="dxa"/>
            <w:tcBorders>
              <w:left w:val="single" w:sz="4" w:space="0" w:color="auto"/>
              <w:right w:val="single" w:sz="4" w:space="0" w:color="BFBFBF" w:themeColor="background1" w:themeShade="BF"/>
            </w:tcBorders>
            <w:shd w:val="clear" w:color="auto" w:fill="auto"/>
            <w:noWrap/>
            <w:vAlign w:val="bottom"/>
            <w:hideMark/>
          </w:tcPr>
          <w:p w14:paraId="22EB9A68" w14:textId="77777777" w:rsidR="00375729" w:rsidRPr="00CF3D6E" w:rsidRDefault="00375729" w:rsidP="00A4034F">
            <w:pPr>
              <w:pStyle w:val="Tabletext"/>
            </w:pPr>
            <w:r w:rsidRPr="00CF3D6E">
              <w:t>-0.4</w:t>
            </w:r>
          </w:p>
        </w:tc>
        <w:tc>
          <w:tcPr>
            <w:tcW w:w="2126" w:type="dxa"/>
            <w:tcBorders>
              <w:left w:val="single" w:sz="4" w:space="0" w:color="BFBFBF" w:themeColor="background1" w:themeShade="BF"/>
              <w:right w:val="single" w:sz="4" w:space="0" w:color="auto"/>
            </w:tcBorders>
            <w:shd w:val="clear" w:color="auto" w:fill="auto"/>
            <w:noWrap/>
            <w:vAlign w:val="bottom"/>
            <w:hideMark/>
          </w:tcPr>
          <w:p w14:paraId="438F4C0B" w14:textId="77777777" w:rsidR="00375729" w:rsidRPr="00CF3D6E" w:rsidRDefault="00375729" w:rsidP="00A4034F">
            <w:pPr>
              <w:pStyle w:val="Tabletext"/>
            </w:pPr>
            <w:r w:rsidRPr="00CF3D6E">
              <w:t>-0.4</w:t>
            </w:r>
          </w:p>
        </w:tc>
      </w:tr>
      <w:tr w:rsidR="00375729" w:rsidRPr="002D296F" w14:paraId="329BCF57" w14:textId="77777777" w:rsidTr="00CF3D6E">
        <w:trPr>
          <w:trHeight w:val="300"/>
        </w:trPr>
        <w:tc>
          <w:tcPr>
            <w:tcW w:w="4531" w:type="dxa"/>
            <w:tcBorders>
              <w:left w:val="single" w:sz="4" w:space="0" w:color="auto"/>
              <w:right w:val="single" w:sz="4" w:space="0" w:color="auto"/>
            </w:tcBorders>
            <w:shd w:val="clear" w:color="auto" w:fill="auto"/>
            <w:noWrap/>
            <w:vAlign w:val="bottom"/>
            <w:hideMark/>
          </w:tcPr>
          <w:p w14:paraId="1F9DB151" w14:textId="52D9E940" w:rsidR="00375729" w:rsidRPr="00CF3D6E" w:rsidRDefault="00375729" w:rsidP="00A4034F">
            <w:pPr>
              <w:pStyle w:val="Tabletext"/>
            </w:pPr>
            <w:r w:rsidRPr="00CF3D6E">
              <w:t>of which</w:t>
            </w:r>
          </w:p>
        </w:tc>
        <w:tc>
          <w:tcPr>
            <w:tcW w:w="1985" w:type="dxa"/>
            <w:tcBorders>
              <w:left w:val="single" w:sz="4" w:space="0" w:color="auto"/>
              <w:right w:val="single" w:sz="4" w:space="0" w:color="BFBFBF" w:themeColor="background1" w:themeShade="BF"/>
            </w:tcBorders>
            <w:shd w:val="clear" w:color="auto" w:fill="auto"/>
            <w:noWrap/>
            <w:vAlign w:val="bottom"/>
            <w:hideMark/>
          </w:tcPr>
          <w:p w14:paraId="7FA82F96" w14:textId="77777777" w:rsidR="00375729" w:rsidRPr="00CF3D6E" w:rsidRDefault="00375729" w:rsidP="00A4034F">
            <w:pPr>
              <w:pStyle w:val="Tabletext"/>
            </w:pPr>
          </w:p>
        </w:tc>
        <w:tc>
          <w:tcPr>
            <w:tcW w:w="2126" w:type="dxa"/>
            <w:tcBorders>
              <w:left w:val="single" w:sz="4" w:space="0" w:color="BFBFBF" w:themeColor="background1" w:themeShade="BF"/>
              <w:right w:val="single" w:sz="4" w:space="0" w:color="auto"/>
            </w:tcBorders>
            <w:shd w:val="clear" w:color="auto" w:fill="auto"/>
            <w:noWrap/>
            <w:vAlign w:val="bottom"/>
            <w:hideMark/>
          </w:tcPr>
          <w:p w14:paraId="7236926A" w14:textId="77777777" w:rsidR="00375729" w:rsidRPr="00CF3D6E" w:rsidRDefault="00375729" w:rsidP="00A4034F">
            <w:pPr>
              <w:pStyle w:val="Tabletext"/>
              <w:rPr>
                <w:rFonts w:ascii="Times New Roman" w:hAnsi="Times New Roman"/>
                <w:sz w:val="20"/>
                <w:szCs w:val="20"/>
              </w:rPr>
            </w:pPr>
          </w:p>
        </w:tc>
      </w:tr>
      <w:tr w:rsidR="00375729" w:rsidRPr="002D296F" w14:paraId="0CA050EB" w14:textId="77777777" w:rsidTr="00CF3D6E">
        <w:trPr>
          <w:trHeight w:val="300"/>
        </w:trPr>
        <w:tc>
          <w:tcPr>
            <w:tcW w:w="4531" w:type="dxa"/>
            <w:tcBorders>
              <w:left w:val="single" w:sz="4" w:space="0" w:color="auto"/>
              <w:right w:val="single" w:sz="4" w:space="0" w:color="auto"/>
            </w:tcBorders>
            <w:shd w:val="clear" w:color="auto" w:fill="auto"/>
            <w:noWrap/>
            <w:vAlign w:val="bottom"/>
            <w:hideMark/>
          </w:tcPr>
          <w:p w14:paraId="1E6E0690" w14:textId="49F2B9ED" w:rsidR="00375729" w:rsidRPr="002D296F" w:rsidRDefault="00375729" w:rsidP="00A4034F">
            <w:pPr>
              <w:pStyle w:val="Tablebullet-Level1"/>
            </w:pPr>
            <w:r>
              <w:t>IT</w:t>
            </w:r>
            <w:r w:rsidRPr="002D296F">
              <w:t xml:space="preserve"> capital productivity</w:t>
            </w:r>
            <w:r>
              <w:t xml:space="preserve"> (pp)</w:t>
            </w:r>
          </w:p>
        </w:tc>
        <w:tc>
          <w:tcPr>
            <w:tcW w:w="1985" w:type="dxa"/>
            <w:tcBorders>
              <w:left w:val="single" w:sz="4" w:space="0" w:color="auto"/>
              <w:right w:val="single" w:sz="4" w:space="0" w:color="BFBFBF" w:themeColor="background1" w:themeShade="BF"/>
            </w:tcBorders>
            <w:shd w:val="clear" w:color="auto" w:fill="auto"/>
            <w:noWrap/>
            <w:vAlign w:val="bottom"/>
            <w:hideMark/>
          </w:tcPr>
          <w:p w14:paraId="7DFE8080" w14:textId="77777777" w:rsidR="00375729" w:rsidRPr="002D296F" w:rsidRDefault="00375729" w:rsidP="00A4034F">
            <w:pPr>
              <w:pStyle w:val="Tabletext"/>
            </w:pPr>
            <w:r w:rsidRPr="002D296F">
              <w:t>-0.3</w:t>
            </w:r>
            <w:r>
              <w:t>4</w:t>
            </w:r>
          </w:p>
        </w:tc>
        <w:tc>
          <w:tcPr>
            <w:tcW w:w="2126" w:type="dxa"/>
            <w:tcBorders>
              <w:left w:val="single" w:sz="4" w:space="0" w:color="BFBFBF" w:themeColor="background1" w:themeShade="BF"/>
              <w:right w:val="single" w:sz="4" w:space="0" w:color="auto"/>
            </w:tcBorders>
            <w:shd w:val="clear" w:color="auto" w:fill="auto"/>
            <w:noWrap/>
            <w:vAlign w:val="bottom"/>
            <w:hideMark/>
          </w:tcPr>
          <w:p w14:paraId="2794A590" w14:textId="77777777" w:rsidR="00375729" w:rsidRPr="002D296F" w:rsidRDefault="00375729" w:rsidP="00A4034F">
            <w:pPr>
              <w:pStyle w:val="Tabletext"/>
            </w:pPr>
            <w:r w:rsidRPr="002D296F">
              <w:t>-0.2</w:t>
            </w:r>
            <w:r>
              <w:t>4</w:t>
            </w:r>
          </w:p>
        </w:tc>
      </w:tr>
      <w:tr w:rsidR="00375729" w:rsidRPr="002D296F" w14:paraId="2A8DB64D" w14:textId="77777777" w:rsidTr="00CF3D6E">
        <w:trPr>
          <w:trHeight w:val="300"/>
        </w:trPr>
        <w:tc>
          <w:tcPr>
            <w:tcW w:w="4531" w:type="dxa"/>
            <w:tcBorders>
              <w:left w:val="single" w:sz="4" w:space="0" w:color="auto"/>
              <w:right w:val="single" w:sz="4" w:space="0" w:color="auto"/>
            </w:tcBorders>
            <w:shd w:val="clear" w:color="auto" w:fill="auto"/>
            <w:noWrap/>
            <w:vAlign w:val="bottom"/>
            <w:hideMark/>
          </w:tcPr>
          <w:p w14:paraId="7D4D0569" w14:textId="7FD387D8" w:rsidR="00375729" w:rsidRPr="002D296F" w:rsidRDefault="00375729" w:rsidP="00A4034F">
            <w:pPr>
              <w:pStyle w:val="Tablebullet-Level1"/>
            </w:pPr>
            <w:r w:rsidRPr="002D296F">
              <w:t>Non-</w:t>
            </w:r>
            <w:r>
              <w:t>IT</w:t>
            </w:r>
            <w:r w:rsidRPr="002D296F">
              <w:t xml:space="preserve"> capital productivity</w:t>
            </w:r>
            <w:r>
              <w:t xml:space="preserve"> (pp)</w:t>
            </w:r>
          </w:p>
        </w:tc>
        <w:tc>
          <w:tcPr>
            <w:tcW w:w="1985" w:type="dxa"/>
            <w:tcBorders>
              <w:left w:val="single" w:sz="4" w:space="0" w:color="auto"/>
              <w:right w:val="single" w:sz="4" w:space="0" w:color="BFBFBF" w:themeColor="background1" w:themeShade="BF"/>
            </w:tcBorders>
            <w:shd w:val="clear" w:color="auto" w:fill="auto"/>
            <w:noWrap/>
            <w:vAlign w:val="bottom"/>
            <w:hideMark/>
          </w:tcPr>
          <w:p w14:paraId="0ED57646" w14:textId="77777777" w:rsidR="00375729" w:rsidRPr="002D296F" w:rsidRDefault="00375729" w:rsidP="00A4034F">
            <w:pPr>
              <w:pStyle w:val="Tabletext"/>
            </w:pPr>
            <w:r w:rsidRPr="002D296F">
              <w:t>-0.1</w:t>
            </w:r>
            <w:r>
              <w:t>0</w:t>
            </w:r>
          </w:p>
        </w:tc>
        <w:tc>
          <w:tcPr>
            <w:tcW w:w="2126" w:type="dxa"/>
            <w:tcBorders>
              <w:left w:val="single" w:sz="4" w:space="0" w:color="BFBFBF" w:themeColor="background1" w:themeShade="BF"/>
              <w:right w:val="single" w:sz="4" w:space="0" w:color="auto"/>
            </w:tcBorders>
            <w:shd w:val="clear" w:color="auto" w:fill="auto"/>
            <w:noWrap/>
            <w:vAlign w:val="bottom"/>
            <w:hideMark/>
          </w:tcPr>
          <w:p w14:paraId="2E2708EA" w14:textId="77777777" w:rsidR="00375729" w:rsidRPr="002D296F" w:rsidRDefault="00375729" w:rsidP="00A4034F">
            <w:pPr>
              <w:pStyle w:val="Tabletext"/>
            </w:pPr>
            <w:r w:rsidRPr="002D296F">
              <w:t>-0.1</w:t>
            </w:r>
            <w:r>
              <w:t>9</w:t>
            </w:r>
          </w:p>
        </w:tc>
      </w:tr>
      <w:tr w:rsidR="00375729" w:rsidRPr="002D296F" w14:paraId="2D5275ED" w14:textId="77777777" w:rsidTr="00CF3D6E">
        <w:trPr>
          <w:trHeight w:val="300"/>
        </w:trPr>
        <w:tc>
          <w:tcPr>
            <w:tcW w:w="4531" w:type="dxa"/>
            <w:tcBorders>
              <w:left w:val="single" w:sz="4" w:space="0" w:color="auto"/>
              <w:bottom w:val="single" w:sz="4" w:space="0" w:color="auto"/>
              <w:right w:val="single" w:sz="4" w:space="0" w:color="auto"/>
            </w:tcBorders>
            <w:shd w:val="clear" w:color="auto" w:fill="auto"/>
            <w:noWrap/>
            <w:vAlign w:val="bottom"/>
            <w:hideMark/>
          </w:tcPr>
          <w:p w14:paraId="11CBF08C" w14:textId="77777777" w:rsidR="00375729" w:rsidRPr="00CF3D6E" w:rsidRDefault="00375729" w:rsidP="00A4034F">
            <w:pPr>
              <w:pStyle w:val="Tabletext"/>
            </w:pPr>
            <w:r w:rsidRPr="00CF3D6E">
              <w:t>MFP growth (% pa)</w:t>
            </w:r>
          </w:p>
        </w:tc>
        <w:tc>
          <w:tcPr>
            <w:tcW w:w="1985" w:type="dxa"/>
            <w:tcBorders>
              <w:left w:val="single" w:sz="4" w:space="0" w:color="auto"/>
              <w:bottom w:val="single" w:sz="4" w:space="0" w:color="auto"/>
              <w:right w:val="single" w:sz="4" w:space="0" w:color="BFBFBF" w:themeColor="background1" w:themeShade="BF"/>
            </w:tcBorders>
            <w:shd w:val="clear" w:color="auto" w:fill="auto"/>
            <w:noWrap/>
            <w:vAlign w:val="bottom"/>
            <w:hideMark/>
          </w:tcPr>
          <w:p w14:paraId="57D7F496" w14:textId="77777777" w:rsidR="00375729" w:rsidRPr="00CF3D6E" w:rsidRDefault="00375729" w:rsidP="00A4034F">
            <w:pPr>
              <w:pStyle w:val="Tabletext"/>
            </w:pPr>
            <w:r w:rsidRPr="00CF3D6E">
              <w:t>1.6</w:t>
            </w:r>
          </w:p>
        </w:tc>
        <w:tc>
          <w:tcPr>
            <w:tcW w:w="2126" w:type="dxa"/>
            <w:tcBorders>
              <w:left w:val="single" w:sz="4" w:space="0" w:color="BFBFBF" w:themeColor="background1" w:themeShade="BF"/>
              <w:bottom w:val="single" w:sz="4" w:space="0" w:color="auto"/>
              <w:right w:val="single" w:sz="4" w:space="0" w:color="auto"/>
            </w:tcBorders>
            <w:shd w:val="clear" w:color="auto" w:fill="auto"/>
            <w:noWrap/>
            <w:vAlign w:val="bottom"/>
            <w:hideMark/>
          </w:tcPr>
          <w:p w14:paraId="12CF1482" w14:textId="77777777" w:rsidR="00375729" w:rsidRPr="00CF3D6E" w:rsidRDefault="00375729" w:rsidP="00A4034F">
            <w:pPr>
              <w:pStyle w:val="Tabletext"/>
            </w:pPr>
            <w:r w:rsidRPr="00CF3D6E">
              <w:t>-0.2</w:t>
            </w:r>
          </w:p>
        </w:tc>
      </w:tr>
    </w:tbl>
    <w:p w14:paraId="4F82CF80" w14:textId="77777777" w:rsidR="002F3D38" w:rsidRPr="00F37FA2" w:rsidRDefault="00375729" w:rsidP="00F37FA2">
      <w:pPr>
        <w:pStyle w:val="SourceNotes"/>
        <w:rPr>
          <w:rFonts w:eastAsiaTheme="majorEastAsia"/>
        </w:rPr>
      </w:pPr>
      <w:r>
        <w:fldChar w:fldCharType="end"/>
      </w:r>
      <w:r>
        <w:t xml:space="preserve">Source: </w:t>
      </w:r>
      <w:r w:rsidRPr="00323930">
        <w:t>Author estimates</w:t>
      </w:r>
      <w:r w:rsidR="00AF162F">
        <w:t xml:space="preserve">. </w:t>
      </w:r>
      <w:r w:rsidR="00AF162F" w:rsidRPr="000E36A5">
        <w:t>Numbers may not add up due to rounding</w:t>
      </w:r>
      <w:r w:rsidR="00AF162F">
        <w:t xml:space="preserve">. </w:t>
      </w:r>
      <w:r w:rsidR="00AF162F" w:rsidRPr="00323930">
        <w:tab/>
      </w:r>
      <w:bookmarkStart w:id="119" w:name="_Toc442353060"/>
      <w:bookmarkEnd w:id="119"/>
    </w:p>
    <w:sectPr w:rsidR="002F3D38" w:rsidRPr="00F37FA2" w:rsidSect="006F4CD7">
      <w:endnotePr>
        <w:numFmt w:val="lowerLetter"/>
      </w:endnotePr>
      <w:pgSz w:w="11906" w:h="16838" w:code="9"/>
      <w:pgMar w:top="2410" w:right="1440" w:bottom="1276" w:left="1440" w:header="142" w:footer="48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A8979" w14:textId="77777777" w:rsidR="006F4CD7" w:rsidRDefault="006F4CD7" w:rsidP="00F37FA2">
      <w:pPr>
        <w:pStyle w:val="BCRAppendicesHeading"/>
        <w:numPr>
          <w:ilvl w:val="0"/>
          <w:numId w:val="39"/>
        </w:numPr>
      </w:pPr>
      <w:r>
        <w:t>Asides</w:t>
      </w:r>
    </w:p>
  </w:endnote>
  <w:endnote w:type="continuationSeparator" w:id="0">
    <w:p w14:paraId="209DFFA6" w14:textId="77777777" w:rsidR="006F4CD7" w:rsidRDefault="006F4CD7"/>
  </w:endnote>
  <w:endnote w:type="continuationNotice" w:id="1">
    <w:p w14:paraId="0E7A8241" w14:textId="77777777" w:rsidR="006F4CD7" w:rsidRPr="00F37FA2" w:rsidRDefault="006F4CD7" w:rsidP="00F37FA2">
      <w:pPr>
        <w:pStyle w:val="Footer"/>
      </w:pPr>
    </w:p>
  </w:endnote>
  <w:endnote w:id="2">
    <w:p w14:paraId="12C95783" w14:textId="77777777" w:rsidR="006F4CD7" w:rsidRPr="00F37FA2" w:rsidRDefault="006F4CD7" w:rsidP="00F37FA2">
      <w:pPr>
        <w:pStyle w:val="SourceNotes"/>
      </w:pPr>
      <w:r>
        <w:rPr>
          <w:rStyle w:val="EndnoteReference"/>
        </w:rPr>
        <w:endnoteRef/>
      </w:r>
      <w:r>
        <w:t xml:space="preserve"> B</w:t>
      </w:r>
      <w:r w:rsidRPr="008A2E55">
        <w:t>ecause of data constraints, which will be explained below, the PC analysis examined the productivity effects</w:t>
      </w:r>
      <w:r>
        <w:t xml:space="preserve"> o</w:t>
      </w:r>
      <w:r w:rsidRPr="008A2E55">
        <w:t>f information techno</w:t>
      </w:r>
      <w:r w:rsidRPr="00794D9D">
        <w:t>logy, rather than ICT. PC 2004.</w:t>
      </w:r>
    </w:p>
  </w:endnote>
  <w:endnote w:id="3">
    <w:p w14:paraId="512EF8FB" w14:textId="77777777" w:rsidR="006F4CD7" w:rsidRPr="00F37FA2" w:rsidRDefault="006F4CD7" w:rsidP="00F37FA2">
      <w:pPr>
        <w:pStyle w:val="SourceNotes"/>
      </w:pPr>
      <w:r w:rsidRPr="00F37FA2">
        <w:rPr>
          <w:rStyle w:val="EndnoteReference"/>
        </w:rPr>
        <w:endnoteRef/>
      </w:r>
      <w:r w:rsidRPr="00F37FA2">
        <w:t xml:space="preserve"> See, for example, Bresnahan and Trajtenberg (1992) and Jovanovich and Rousseau (2005).</w:t>
      </w:r>
      <w:r>
        <w:t xml:space="preserve"> </w:t>
      </w:r>
    </w:p>
  </w:endnote>
  <w:endnote w:id="4">
    <w:p w14:paraId="12129E76" w14:textId="77777777" w:rsidR="006F4CD7" w:rsidRPr="008A2E55" w:rsidRDefault="006F4CD7" w:rsidP="00F37FA2">
      <w:pPr>
        <w:pStyle w:val="SourceNotes"/>
      </w:pPr>
      <w:r w:rsidRPr="008A2E55">
        <w:rPr>
          <w:rStyle w:val="EndnoteReference"/>
        </w:rPr>
        <w:endnoteRef/>
      </w:r>
      <w:r w:rsidRPr="008A2E55">
        <w:t xml:space="preserve"> </w:t>
      </w:r>
      <w:r w:rsidRPr="00F37FA2">
        <w:t>The ABS uses Tornqvist indexes to aggregate the stocks of different assets.</w:t>
      </w:r>
    </w:p>
  </w:endnote>
  <w:endnote w:id="5">
    <w:p w14:paraId="6F55D035" w14:textId="77777777" w:rsidR="006F4CD7" w:rsidRPr="008A2E55" w:rsidRDefault="006F4CD7" w:rsidP="00F37FA2">
      <w:pPr>
        <w:pStyle w:val="SourceNotes"/>
      </w:pPr>
      <w:r w:rsidRPr="008A2E55">
        <w:rPr>
          <w:rStyle w:val="EndnoteReference"/>
        </w:rPr>
        <w:endnoteRef/>
      </w:r>
      <w:r w:rsidRPr="008A2E55">
        <w:t xml:space="preserve"> </w:t>
      </w:r>
      <w:r w:rsidRPr="00F37FA2">
        <w:t>This prospect of capital productivity effects calls for a more sophisticated way of expressing the production relationship, such as capital-augmenting technological change or interaction effects between IT and other assets.</w:t>
      </w:r>
    </w:p>
  </w:endnote>
  <w:endnote w:id="6">
    <w:p w14:paraId="4A217C10" w14:textId="77777777" w:rsidR="006F4CD7" w:rsidRPr="00F37FA2" w:rsidRDefault="006F4CD7" w:rsidP="00F37FA2">
      <w:pPr>
        <w:pStyle w:val="SourceNotes"/>
      </w:pPr>
      <w:r w:rsidRPr="008A2E55">
        <w:rPr>
          <w:rStyle w:val="EndnoteReference"/>
        </w:rPr>
        <w:endnoteRef/>
      </w:r>
      <w:r w:rsidRPr="00F37FA2">
        <w:t xml:space="preserve"> A change in the composition of skills is necessary. If hours worked in each skill category increases proportionately—there is no change in skill composition—the growth in QALI (the weighted average growth in hours worked) will equal the growth in total hours worked.</w:t>
      </w:r>
    </w:p>
  </w:endnote>
  <w:endnote w:id="7">
    <w:p w14:paraId="01A14091" w14:textId="77777777" w:rsidR="006F4CD7" w:rsidRPr="008A2E55" w:rsidRDefault="006F4CD7" w:rsidP="00F37FA2">
      <w:pPr>
        <w:pStyle w:val="SourceNotes"/>
      </w:pPr>
      <w:r w:rsidRPr="008A2E55">
        <w:rPr>
          <w:rStyle w:val="EndnoteReference"/>
        </w:rPr>
        <w:endnoteRef/>
      </w:r>
      <w:r w:rsidRPr="008A2E55">
        <w:t xml:space="preserve"> </w:t>
      </w:r>
      <w:r w:rsidRPr="00F37FA2">
        <w:t>The ABS does publish ICT data in the form of separate net capital stocks of computers, software and electrical and electronic equipment in the national accounts (Cat. No. 5204.0, Table 70).</w:t>
      </w:r>
    </w:p>
  </w:endnote>
  <w:endnote w:id="8">
    <w:p w14:paraId="2236AA7B" w14:textId="77777777" w:rsidR="006F4CD7" w:rsidRPr="008A2E55" w:rsidRDefault="006F4CD7" w:rsidP="00F37FA2">
      <w:pPr>
        <w:pStyle w:val="SourceNotes"/>
      </w:pPr>
      <w:r w:rsidRPr="008A2E55">
        <w:rPr>
          <w:rStyle w:val="EndnoteReference"/>
        </w:rPr>
        <w:endnoteRef/>
      </w:r>
      <w:r w:rsidRPr="008A2E55">
        <w:t xml:space="preserve"> </w:t>
      </w:r>
      <w:r w:rsidRPr="00F37FA2">
        <w:t>There is a possible source of inconsistency between the growth in our aggregation of capital across industries and growth in the aggregate capital stock published by the ABS. This is because the ABS imposes a floor rate of return in its calculation of rental prices for its productive capital stock calculations and these can deviate from the rental prices published in the productivity data cube.</w:t>
      </w:r>
    </w:p>
  </w:endnote>
  <w:endnote w:id="9">
    <w:p w14:paraId="2637062E" w14:textId="77777777" w:rsidR="006F4CD7" w:rsidRPr="008A2E55" w:rsidRDefault="006F4CD7" w:rsidP="00F37FA2">
      <w:pPr>
        <w:pStyle w:val="SourceNotes"/>
      </w:pPr>
      <w:r w:rsidRPr="008A2E55">
        <w:rPr>
          <w:rStyle w:val="EndnoteReference"/>
        </w:rPr>
        <w:endnoteRef/>
      </w:r>
      <w:r w:rsidRPr="008A2E55">
        <w:t xml:space="preserve"> The ABS uses another form of smoothing, the 11-period Henderson moving average.</w:t>
      </w:r>
    </w:p>
  </w:endnote>
  <w:endnote w:id="10">
    <w:p w14:paraId="27F4DB5B" w14:textId="77777777" w:rsidR="006F4CD7" w:rsidRPr="00F37FA2" w:rsidRDefault="006F4CD7" w:rsidP="00F37FA2">
      <w:pPr>
        <w:pStyle w:val="SourceNotes"/>
      </w:pPr>
      <w:r w:rsidRPr="008A2E55">
        <w:rPr>
          <w:rStyle w:val="EndnoteReference"/>
        </w:rPr>
        <w:endnoteRef/>
      </w:r>
      <w:r w:rsidRPr="008A2E55">
        <w:t xml:space="preserve"> While it could be argued that setting λ=100 is imprecise, there was not the time to investigate other settings. In any case, as the details provided in the Appendices explain, some judgment was exercised in setting peaks, rather than relying solely on deci</w:t>
      </w:r>
      <w:r w:rsidRPr="00F37FA2">
        <w:t>sion rules.</w:t>
      </w:r>
    </w:p>
  </w:endnote>
  <w:endnote w:id="11">
    <w:p w14:paraId="778FFC92" w14:textId="77777777" w:rsidR="006F4CD7" w:rsidRPr="008A2E55" w:rsidRDefault="006F4CD7" w:rsidP="00F37FA2">
      <w:pPr>
        <w:pStyle w:val="SourceNotes"/>
      </w:pPr>
      <w:r w:rsidRPr="008A2E55">
        <w:rPr>
          <w:rStyle w:val="EndnoteReference"/>
        </w:rPr>
        <w:endnoteRef/>
      </w:r>
      <w:r w:rsidRPr="008A2E55">
        <w:t xml:space="preserve"> </w:t>
      </w:r>
      <w:r w:rsidRPr="00F37FA2">
        <w:t>The ABS imputes an intermediate input charge for leased assets to the using industry. This practice reduces value added generated, and decreased capital service flows compared with a situation in which leased assets are attributed to industry of use.</w:t>
      </w:r>
    </w:p>
  </w:endnote>
  <w:endnote w:id="12">
    <w:p w14:paraId="69D972AC" w14:textId="77777777" w:rsidR="006F4CD7" w:rsidRPr="008A2E55" w:rsidRDefault="006F4CD7" w:rsidP="00F37FA2">
      <w:pPr>
        <w:pStyle w:val="SourceNotes"/>
      </w:pPr>
      <w:r w:rsidRPr="008A2E55">
        <w:rPr>
          <w:rStyle w:val="EndnoteReference"/>
        </w:rPr>
        <w:endnoteRef/>
      </w:r>
      <w:r w:rsidRPr="008A2E55">
        <w:t xml:space="preserve"> </w:t>
      </w:r>
      <w:r w:rsidRPr="00F37FA2">
        <w:t>Calculated at basic prices (before net taxes and subsidies) and sourced from ABS Cat No. 5204.0, Table 5.</w:t>
      </w:r>
    </w:p>
  </w:endnote>
  <w:endnote w:id="13">
    <w:p w14:paraId="56111BDB" w14:textId="77777777" w:rsidR="006F4CD7" w:rsidRPr="008A2E55" w:rsidRDefault="006F4CD7" w:rsidP="00F37FA2">
      <w:pPr>
        <w:pStyle w:val="SourceNotes"/>
      </w:pPr>
      <w:r w:rsidRPr="008A2E55">
        <w:rPr>
          <w:rStyle w:val="EndnoteReference"/>
        </w:rPr>
        <w:endnoteRef/>
      </w:r>
      <w:r w:rsidRPr="008A2E55">
        <w:t xml:space="preserve"> </w:t>
      </w:r>
      <w:r w:rsidRPr="00F37FA2">
        <w:t>Calculated as compound annual average rates of growth between cycle peaks.</w:t>
      </w:r>
    </w:p>
  </w:endnote>
  <w:endnote w:id="14">
    <w:p w14:paraId="6966858F" w14:textId="77777777" w:rsidR="006F4CD7" w:rsidRPr="008A2E55" w:rsidRDefault="006F4CD7" w:rsidP="00F37FA2">
      <w:pPr>
        <w:pStyle w:val="SourceNotes"/>
      </w:pPr>
      <w:r w:rsidRPr="008A2E55">
        <w:rPr>
          <w:rStyle w:val="EndnoteReference"/>
        </w:rPr>
        <w:endnoteRef/>
      </w:r>
      <w:r w:rsidRPr="008A2E55">
        <w:t xml:space="preserve"> </w:t>
      </w:r>
      <w:r w:rsidRPr="00F37FA2">
        <w:t>Averaged over 1989–90 to 2013–14.</w:t>
      </w:r>
    </w:p>
  </w:endnote>
  <w:endnote w:id="15">
    <w:p w14:paraId="1D1EB976" w14:textId="77777777" w:rsidR="006F4CD7" w:rsidRDefault="006F4CD7" w:rsidP="00F37FA2">
      <w:pPr>
        <w:pStyle w:val="Reference"/>
      </w:pPr>
      <w:r w:rsidRPr="00F37FA2">
        <w:rPr>
          <w:rStyle w:val="EndnoteReference"/>
        </w:rPr>
        <w:endnoteRef/>
      </w:r>
      <w:r w:rsidRPr="00F37FA2">
        <w:t xml:space="preserve"> The values shown are the contributions of IT capital deepening to labour productivity growth, multiplied by the labour income share.</w:t>
      </w:r>
    </w:p>
  </w:endnote>
  <w:endnote w:id="16">
    <w:p w14:paraId="3EBD96AB" w14:textId="77777777" w:rsidR="006F4CD7" w:rsidRDefault="006F4CD7" w:rsidP="00F37FA2">
      <w:pPr>
        <w:pStyle w:val="Reference"/>
      </w:pPr>
      <w:r w:rsidRPr="00F37FA2">
        <w:rPr>
          <w:rStyle w:val="EndnoteReference"/>
        </w:rPr>
        <w:endnoteRef/>
      </w:r>
      <w:r w:rsidRPr="00F37FA2">
        <w:t xml:space="preserve"> Calculated at basic prices and sourced from ABS Cat. No. 5204.0, Table 5 (data download).</w:t>
      </w:r>
    </w:p>
  </w:endnote>
  <w:endnote w:id="17">
    <w:p w14:paraId="0A49FDCF" w14:textId="77777777" w:rsidR="006F4CD7" w:rsidRDefault="006F4CD7" w:rsidP="00F37FA2">
      <w:pPr>
        <w:pStyle w:val="Reference"/>
      </w:pPr>
      <w:r w:rsidRPr="00F37FA2">
        <w:rPr>
          <w:rStyle w:val="EndnoteReference"/>
        </w:rPr>
        <w:endnoteRef/>
      </w:r>
      <w:r w:rsidRPr="00F37FA2">
        <w:t xml:space="preserve"> Calculated as compound annual average rates of growth between cycle peaks.</w:t>
      </w:r>
    </w:p>
  </w:endnote>
  <w:endnote w:id="18">
    <w:p w14:paraId="539A9FF3" w14:textId="77777777" w:rsidR="006F4CD7" w:rsidRDefault="006F4CD7" w:rsidP="00F37FA2">
      <w:pPr>
        <w:pStyle w:val="Reference"/>
      </w:pPr>
      <w:r w:rsidRPr="00F37FA2">
        <w:rPr>
          <w:rStyle w:val="EndnoteReference"/>
        </w:rPr>
        <w:endnoteRef/>
      </w:r>
      <w:r w:rsidRPr="00F37FA2">
        <w:t xml:space="preserve"> The growth in the capital-labour ratio needs to be weighted by the capital share of total income, which averaged 0.64, to indicate its contribution to LP growth.</w:t>
      </w:r>
    </w:p>
  </w:endnote>
  <w:endnote w:id="19">
    <w:p w14:paraId="6DF71E7E" w14:textId="77777777" w:rsidR="006F4CD7" w:rsidRDefault="006F4CD7" w:rsidP="00F37FA2">
      <w:pPr>
        <w:pStyle w:val="Reference"/>
      </w:pPr>
      <w:r>
        <w:rPr>
          <w:rStyle w:val="EndnoteReference"/>
        </w:rPr>
        <w:endnoteRef/>
      </w:r>
      <w:r>
        <w:t xml:space="preserve"> </w:t>
      </w:r>
      <w:r w:rsidRPr="00F37FA2">
        <w:t>Averaged over 1989–90 to 2013–14.</w:t>
      </w:r>
    </w:p>
  </w:endnote>
  <w:endnote w:id="20">
    <w:p w14:paraId="3C59B339" w14:textId="77777777" w:rsidR="006F4CD7" w:rsidRPr="008A2E55" w:rsidRDefault="006F4CD7" w:rsidP="00F37FA2">
      <w:pPr>
        <w:pStyle w:val="SourceNotes"/>
      </w:pPr>
      <w:r w:rsidRPr="008A2E55">
        <w:rPr>
          <w:rStyle w:val="EndnoteReference"/>
        </w:rPr>
        <w:endnoteRef/>
      </w:r>
      <w:r w:rsidRPr="008A2E55">
        <w:t xml:space="preserve"> </w:t>
      </w:r>
      <w:r w:rsidRPr="00F37FA2">
        <w:t>Calculated as compound annual average rates of growth between cycle peaks.</w:t>
      </w:r>
    </w:p>
  </w:endnote>
  <w:endnote w:id="21">
    <w:p w14:paraId="583D5777" w14:textId="77777777" w:rsidR="006F4CD7" w:rsidRPr="008A2E55" w:rsidRDefault="006F4CD7" w:rsidP="00F37FA2">
      <w:pPr>
        <w:pStyle w:val="SourceNotes"/>
      </w:pPr>
      <w:r w:rsidRPr="008A2E55">
        <w:rPr>
          <w:rStyle w:val="EndnoteReference"/>
        </w:rPr>
        <w:endnoteRef/>
      </w:r>
      <w:r w:rsidRPr="008A2E55">
        <w:t xml:space="preserve"> </w:t>
      </w:r>
      <w:r w:rsidRPr="00F37FA2">
        <w:t>Correlation coefficients between IT use and the productivities of these other major asset types were negative or weakly positive.</w:t>
      </w:r>
    </w:p>
  </w:endnote>
  <w:endnote w:id="22">
    <w:p w14:paraId="44514E31" w14:textId="77777777" w:rsidR="006F4CD7" w:rsidRPr="008A2E55" w:rsidRDefault="006F4CD7" w:rsidP="00F37FA2">
      <w:pPr>
        <w:pStyle w:val="SourceNotes"/>
      </w:pPr>
      <w:r w:rsidRPr="008A2E55">
        <w:rPr>
          <w:rStyle w:val="EndnoteReference"/>
        </w:rPr>
        <w:endnoteRef/>
      </w:r>
      <w:r w:rsidRPr="008A2E55">
        <w:t xml:space="preserve"> </w:t>
      </w:r>
      <w:r w:rsidRPr="00F37FA2">
        <w:t>This is the IT capital deepening contribution to labour productivity growth multiplied by the labour income share.</w:t>
      </w:r>
    </w:p>
  </w:endnote>
  <w:endnote w:id="23">
    <w:p w14:paraId="7E317F18" w14:textId="77777777" w:rsidR="006F4CD7" w:rsidRPr="008A2E55" w:rsidRDefault="006F4CD7" w:rsidP="00F37FA2">
      <w:pPr>
        <w:pStyle w:val="SourceNotes"/>
      </w:pPr>
      <w:r w:rsidRPr="008A2E55">
        <w:rPr>
          <w:rStyle w:val="EndnoteReference"/>
        </w:rPr>
        <w:endnoteRef/>
      </w:r>
      <w:r w:rsidRPr="008A2E55">
        <w:t xml:space="preserve"> </w:t>
      </w:r>
      <w:r w:rsidRPr="00F37FA2">
        <w:t>Calculated as compound annual average rates of growth between cycle peaks.</w:t>
      </w:r>
    </w:p>
  </w:endnote>
  <w:endnote w:id="24">
    <w:p w14:paraId="4BE5BEFE" w14:textId="77777777" w:rsidR="006F4CD7" w:rsidRPr="008A2E55" w:rsidRDefault="006F4CD7" w:rsidP="00F37FA2">
      <w:pPr>
        <w:pStyle w:val="SourceNotes"/>
      </w:pPr>
      <w:r w:rsidRPr="008A2E55">
        <w:rPr>
          <w:rStyle w:val="EndnoteReference"/>
        </w:rPr>
        <w:endnoteRef/>
      </w:r>
      <w:r w:rsidRPr="00F37FA2">
        <w:t xml:space="preserve"> Averaged over 1989–90 to 2013–14.</w:t>
      </w:r>
    </w:p>
  </w:endnote>
  <w:endnote w:id="25">
    <w:p w14:paraId="47DCF91B" w14:textId="77777777" w:rsidR="006F4CD7" w:rsidRPr="008A2E55" w:rsidRDefault="006F4CD7" w:rsidP="00F37FA2">
      <w:pPr>
        <w:pStyle w:val="SourceNotes"/>
      </w:pPr>
      <w:r w:rsidRPr="008A2E55">
        <w:rPr>
          <w:rStyle w:val="EndnoteReference"/>
        </w:rPr>
        <w:endnoteRef/>
      </w:r>
      <w:r w:rsidRPr="00F37FA2">
        <w:t xml:space="preserve"> The values shown are the contributions of IT capital deepening to labour productivity growth, multiplied by the labour income share.</w:t>
      </w:r>
    </w:p>
  </w:endnote>
  <w:endnote w:id="26">
    <w:p w14:paraId="034D4AB1" w14:textId="77777777" w:rsidR="006F4CD7" w:rsidRPr="008A2E55" w:rsidRDefault="006F4CD7" w:rsidP="00F37FA2">
      <w:pPr>
        <w:pStyle w:val="SourceNotes"/>
      </w:pPr>
      <w:r w:rsidRPr="008A2E55">
        <w:rPr>
          <w:rStyle w:val="EndnoteReference"/>
        </w:rPr>
        <w:endnoteRef/>
      </w:r>
      <w:r w:rsidRPr="00F37FA2">
        <w:t xml:space="preserve"> Calculated at basic prices and sourced from ABS Cat. No. 5204.0, Table 5 (data download).</w:t>
      </w:r>
    </w:p>
  </w:endnote>
  <w:endnote w:id="27">
    <w:p w14:paraId="47371F86" w14:textId="77777777" w:rsidR="006F4CD7" w:rsidRPr="008A2E55" w:rsidRDefault="006F4CD7" w:rsidP="00F37FA2">
      <w:pPr>
        <w:pStyle w:val="SourceNotes"/>
      </w:pPr>
      <w:r w:rsidRPr="008A2E55">
        <w:rPr>
          <w:rStyle w:val="EndnoteReference"/>
        </w:rPr>
        <w:endnoteRef/>
      </w:r>
      <w:r w:rsidRPr="00F37FA2">
        <w:t xml:space="preserve"> Calculated as compound annual average rates of growth between cycle peaks.</w:t>
      </w:r>
    </w:p>
  </w:endnote>
  <w:endnote w:id="28">
    <w:p w14:paraId="28C12C81" w14:textId="77777777" w:rsidR="006F4CD7" w:rsidRPr="008A2E55" w:rsidRDefault="006F4CD7" w:rsidP="00F37FA2">
      <w:pPr>
        <w:pStyle w:val="SourceNotes"/>
      </w:pPr>
      <w:r w:rsidRPr="008A2E55">
        <w:rPr>
          <w:rStyle w:val="EndnoteReference"/>
        </w:rPr>
        <w:endnoteRef/>
      </w:r>
      <w:r w:rsidRPr="00F37FA2">
        <w:t xml:space="preserve"> Averaged over 1989–90 to 2013–14.</w:t>
      </w:r>
    </w:p>
  </w:endnote>
  <w:endnote w:id="29">
    <w:p w14:paraId="15D50CA9" w14:textId="77777777" w:rsidR="006F4CD7" w:rsidRPr="008A2E55" w:rsidRDefault="006F4CD7" w:rsidP="00F37FA2">
      <w:pPr>
        <w:pStyle w:val="SourceNotes"/>
      </w:pPr>
      <w:r w:rsidRPr="008A2E55">
        <w:rPr>
          <w:rStyle w:val="EndnoteReference"/>
        </w:rPr>
        <w:endnoteRef/>
      </w:r>
      <w:r w:rsidRPr="00F37FA2">
        <w:t xml:space="preserve"> Calculated as compound annual average rates of growth between cycle peaks.</w:t>
      </w:r>
    </w:p>
  </w:endnote>
  <w:endnote w:id="30">
    <w:p w14:paraId="295360ED" w14:textId="77777777" w:rsidR="006F4CD7" w:rsidRPr="008A2E55" w:rsidRDefault="006F4CD7" w:rsidP="00F37FA2">
      <w:pPr>
        <w:pStyle w:val="SourceNotes"/>
      </w:pPr>
      <w:r w:rsidRPr="008A2E55">
        <w:rPr>
          <w:rStyle w:val="EndnoteReference"/>
        </w:rPr>
        <w:endnoteRef/>
      </w:r>
      <w:r w:rsidRPr="00F37FA2">
        <w:t xml:space="preserve"> This needs to be weighted by the capital income share, which averaged around 0.61</w:t>
      </w:r>
    </w:p>
  </w:endnote>
  <w:endnote w:id="31">
    <w:p w14:paraId="7EBA1A0B" w14:textId="77777777" w:rsidR="006F4CD7" w:rsidRPr="008A2E55" w:rsidRDefault="006F4CD7" w:rsidP="00F37FA2">
      <w:pPr>
        <w:pStyle w:val="SourceNotes"/>
      </w:pPr>
      <w:r w:rsidRPr="008A2E55">
        <w:rPr>
          <w:rStyle w:val="EndnoteReference"/>
        </w:rPr>
        <w:endnoteRef/>
      </w:r>
      <w:r w:rsidRPr="00F37FA2">
        <w:t xml:space="preserve"> Calculated as compound annual average rates of growth between cycle peaks.</w:t>
      </w:r>
    </w:p>
  </w:endnote>
  <w:endnote w:id="32">
    <w:p w14:paraId="44860FCE" w14:textId="77777777" w:rsidR="006F4CD7" w:rsidRPr="008A2E55" w:rsidRDefault="006F4CD7" w:rsidP="00F37FA2">
      <w:pPr>
        <w:pStyle w:val="SourceNotes"/>
      </w:pPr>
      <w:r w:rsidRPr="008A2E55">
        <w:rPr>
          <w:rStyle w:val="EndnoteReference"/>
        </w:rPr>
        <w:endnoteRef/>
      </w:r>
      <w:r w:rsidRPr="00F37FA2">
        <w:t xml:space="preserve"> Averaged over 1989–90 to 2013–14.</w:t>
      </w:r>
    </w:p>
  </w:endnote>
  <w:endnote w:id="33">
    <w:p w14:paraId="66193CC2" w14:textId="77777777" w:rsidR="006F4CD7" w:rsidRPr="008A2E55" w:rsidRDefault="006F4CD7" w:rsidP="00F37FA2">
      <w:pPr>
        <w:pStyle w:val="SourceNotes"/>
      </w:pPr>
      <w:r w:rsidRPr="008A2E55">
        <w:rPr>
          <w:rStyle w:val="EndnoteReference"/>
        </w:rPr>
        <w:endnoteRef/>
      </w:r>
      <w:r w:rsidRPr="00F37FA2">
        <w:t xml:space="preserve"> The values shown are the contributions of IT capital deepening to labour productivity growth, multiplied by the labour income share.</w:t>
      </w:r>
    </w:p>
  </w:endnote>
  <w:endnote w:id="34">
    <w:p w14:paraId="713CC008" w14:textId="77777777" w:rsidR="006F4CD7" w:rsidRPr="008A2E55" w:rsidRDefault="006F4CD7" w:rsidP="00F37FA2">
      <w:pPr>
        <w:pStyle w:val="SourceNotes"/>
      </w:pPr>
      <w:r w:rsidRPr="008A2E55">
        <w:rPr>
          <w:rStyle w:val="EndnoteReference"/>
        </w:rPr>
        <w:endnoteRef/>
      </w:r>
      <w:r w:rsidRPr="00F37FA2">
        <w:t xml:space="preserve"> Calculated at basic prices and sourced from ABS Cat. No. 5204.0, Table 5 (data download).</w:t>
      </w:r>
    </w:p>
  </w:endnote>
  <w:endnote w:id="35">
    <w:p w14:paraId="429FDFC7" w14:textId="77777777" w:rsidR="006F4CD7" w:rsidRPr="008A2E55" w:rsidRDefault="006F4CD7" w:rsidP="00F37FA2">
      <w:pPr>
        <w:pStyle w:val="SourceNotes"/>
      </w:pPr>
      <w:r w:rsidRPr="008A2E55">
        <w:rPr>
          <w:rStyle w:val="EndnoteReference"/>
        </w:rPr>
        <w:endnoteRef/>
      </w:r>
      <w:r w:rsidRPr="00F37FA2">
        <w:t xml:space="preserve"> Calculated as compound annual average rates of growth between cycle peaks.</w:t>
      </w:r>
    </w:p>
  </w:endnote>
  <w:endnote w:id="36">
    <w:p w14:paraId="0A58AC4A" w14:textId="77777777" w:rsidR="006F4CD7" w:rsidRPr="00F37FA2" w:rsidRDefault="006F4CD7" w:rsidP="00F37FA2">
      <w:pPr>
        <w:pStyle w:val="SourceNotes"/>
      </w:pPr>
      <w:r w:rsidRPr="00F37FA2">
        <w:rPr>
          <w:rStyle w:val="EndnoteReference"/>
        </w:rPr>
        <w:endnoteRef/>
      </w:r>
      <w:r w:rsidRPr="00F37FA2">
        <w:t xml:space="preserve"> Averaged over 1989–90 to 2013–14.</w:t>
      </w:r>
    </w:p>
  </w:endnote>
  <w:endnote w:id="37">
    <w:p w14:paraId="06D641F1" w14:textId="77777777" w:rsidR="006F4CD7" w:rsidRPr="008A2E55" w:rsidRDefault="006F4CD7" w:rsidP="00F37FA2">
      <w:pPr>
        <w:pStyle w:val="SourceNotes"/>
      </w:pPr>
      <w:r w:rsidRPr="00F37FA2">
        <w:rPr>
          <w:rStyle w:val="EndnoteReference"/>
        </w:rPr>
        <w:endnoteRef/>
      </w:r>
      <w:r w:rsidRPr="00F37FA2">
        <w:t xml:space="preserve"> Calculated at basic prices and sourced from ABS Cat. No. 5204.0, Table 5 (data download).</w:t>
      </w:r>
    </w:p>
  </w:endnote>
  <w:endnote w:id="38">
    <w:p w14:paraId="64AC70B9" w14:textId="77777777" w:rsidR="006F4CD7" w:rsidRPr="008A2E55" w:rsidRDefault="006F4CD7" w:rsidP="00F37FA2">
      <w:pPr>
        <w:pStyle w:val="SourceNotes"/>
      </w:pPr>
      <w:r w:rsidRPr="008A2E55">
        <w:rPr>
          <w:rStyle w:val="EndnoteReference"/>
        </w:rPr>
        <w:endnoteRef/>
      </w:r>
      <w:r w:rsidRPr="00F37FA2">
        <w:t xml:space="preserve"> Calculated as compound annual average rates of growth between cycle peaks.</w:t>
      </w:r>
    </w:p>
  </w:endnote>
  <w:endnote w:id="39">
    <w:p w14:paraId="466D4F8F" w14:textId="77777777" w:rsidR="006F4CD7" w:rsidRPr="008A2E55" w:rsidRDefault="006F4CD7" w:rsidP="00F37FA2">
      <w:pPr>
        <w:pStyle w:val="SourceNotes"/>
      </w:pPr>
      <w:r w:rsidRPr="008A2E55">
        <w:rPr>
          <w:rStyle w:val="EndnoteReference"/>
        </w:rPr>
        <w:endnoteRef/>
      </w:r>
      <w:r w:rsidRPr="00F37FA2">
        <w:t xml:space="preserve"> The later needs to be weighted by the capital share of total income, which averaged 0.12, to indicate its contribution</w:t>
      </w:r>
    </w:p>
  </w:endnote>
  <w:endnote w:id="40">
    <w:p w14:paraId="6A91FF6E" w14:textId="77777777" w:rsidR="006F4CD7" w:rsidRDefault="006F4CD7" w:rsidP="00F37FA2">
      <w:pPr>
        <w:pStyle w:val="SourceNotes"/>
      </w:pPr>
      <w:r w:rsidRPr="008A2E55">
        <w:rPr>
          <w:rStyle w:val="EndnoteReference"/>
        </w:rPr>
        <w:endnoteRef/>
      </w:r>
      <w:r w:rsidRPr="00F37FA2">
        <w:t xml:space="preserve"> Averaged over 1989</w:t>
      </w:r>
      <w:r w:rsidRPr="00F37FA2">
        <w:noBreakHyphen/>
        <w:t>90 to 2013</w:t>
      </w:r>
      <w:r w:rsidRPr="00F37FA2">
        <w:noBreakHyphen/>
        <w:t>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F290A" w14:textId="77777777" w:rsidR="006F4CD7" w:rsidRDefault="006F4CD7"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062332" w14:textId="77777777" w:rsidR="006F4CD7" w:rsidRDefault="006F4CD7" w:rsidP="00FC3687">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35EAD" w14:textId="77777777" w:rsidR="006F4CD7" w:rsidRPr="00D33388" w:rsidRDefault="006F4CD7" w:rsidP="00D33388">
    <w:pPr>
      <w:pStyle w:val="Preliminaries-Heading1"/>
      <w:ind w:right="-472"/>
      <w:jc w:val="right"/>
      <w:rPr>
        <w:rStyle w:val="FooterChar"/>
      </w:rPr>
    </w:pPr>
    <w:r>
      <w:rPr>
        <w:rFonts w:asciiTheme="majorHAnsi" w:hAnsiTheme="majorHAnsi"/>
        <w:noProof/>
        <w:sz w:val="48"/>
        <w:szCs w:val="48"/>
        <w:lang w:eastAsia="en-AU"/>
      </w:rPr>
      <w:drawing>
        <wp:anchor distT="0" distB="0" distL="114300" distR="114300" simplePos="0" relativeHeight="251655680" behindDoc="1" locked="0" layoutInCell="1" allowOverlap="1" wp14:anchorId="4F6002BF" wp14:editId="31563CD1">
          <wp:simplePos x="0" y="0"/>
          <wp:positionH relativeFrom="column">
            <wp:posOffset>-927871</wp:posOffset>
          </wp:positionH>
          <wp:positionV relativeFrom="paragraph">
            <wp:posOffset>220980</wp:posOffset>
          </wp:positionV>
          <wp:extent cx="7573781" cy="563880"/>
          <wp:effectExtent l="0" t="0" r="8255" b="7620"/>
          <wp:wrapNone/>
          <wp:docPr id="270" name="Picture 270" title="Document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R Report covers_Report cover option 1.jpg"/>
                  <pic:cNvPicPr/>
                </pic:nvPicPr>
                <pic:blipFill rotWithShape="1">
                  <a:blip r:embed="rId1">
                    <a:extLst>
                      <a:ext uri="{28A0092B-C50C-407E-A947-70E740481C1C}">
                        <a14:useLocalDpi xmlns:a14="http://schemas.microsoft.com/office/drawing/2010/main" val="0"/>
                      </a:ext>
                    </a:extLst>
                  </a:blip>
                  <a:srcRect t="69262" b="25475"/>
                  <a:stretch/>
                </pic:blipFill>
                <pic:spPr bwMode="auto">
                  <a:xfrm>
                    <a:off x="0" y="0"/>
                    <a:ext cx="7583713" cy="5646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sdt>
      <w:sdtPr>
        <w:rPr>
          <w:rFonts w:asciiTheme="majorHAnsi" w:hAnsiTheme="majorHAnsi"/>
          <w:sz w:val="48"/>
          <w:szCs w:val="48"/>
        </w:rPr>
        <w:id w:val="-594860605"/>
        <w:docPartObj>
          <w:docPartGallery w:val="Page Numbers (Margins)"/>
          <w:docPartUnique/>
        </w:docPartObj>
      </w:sdtPr>
      <w:sdtEndPr>
        <w:rPr>
          <w:rStyle w:val="FooterChar"/>
          <w:rFonts w:ascii="Calibri" w:hAnsi="Calibri"/>
          <w:color w:val="FFFFFF" w:themeColor="background1"/>
          <w:sz w:val="20"/>
          <w:szCs w:val="28"/>
        </w:rPr>
      </w:sdtEndPr>
      <w:sdtContent>
        <w:sdt>
          <w:sdtPr>
            <w:rPr>
              <w:rStyle w:val="FooterChar"/>
            </w:rPr>
            <w:id w:val="-34045661"/>
            <w:docPartObj>
              <w:docPartGallery w:val="Page Numbers (Margins)"/>
              <w:docPartUnique/>
            </w:docPartObj>
          </w:sdtPr>
          <w:sdtEndPr>
            <w:rPr>
              <w:rStyle w:val="FooterChar"/>
            </w:rPr>
          </w:sdtEndPr>
          <w:sdtContent>
            <w:r w:rsidRPr="00D33388">
              <w:rPr>
                <w:rStyle w:val="FooterChar"/>
              </w:rPr>
              <w:fldChar w:fldCharType="begin"/>
            </w:r>
            <w:r w:rsidRPr="00D33388">
              <w:rPr>
                <w:rStyle w:val="FooterChar"/>
              </w:rPr>
              <w:instrText xml:space="preserve"> PAGE   \* MERGEFORMAT </w:instrText>
            </w:r>
            <w:r w:rsidRPr="00D33388">
              <w:rPr>
                <w:rStyle w:val="FooterChar"/>
              </w:rPr>
              <w:fldChar w:fldCharType="separate"/>
            </w:r>
            <w:r>
              <w:rPr>
                <w:rStyle w:val="FooterChar"/>
                <w:noProof/>
              </w:rPr>
              <w:t>ii</w:t>
            </w:r>
            <w:r w:rsidRPr="00D33388">
              <w:rPr>
                <w:rStyle w:val="FooterChar"/>
              </w:rPr>
              <w:fldChar w:fldCharType="end"/>
            </w:r>
          </w:sdtContent>
        </w:sdt>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019B5" w14:textId="77777777" w:rsidR="006F4CD7" w:rsidRPr="002E2136" w:rsidRDefault="006F4CD7" w:rsidP="00230F08">
    <w:pPr>
      <w:pStyle w:val="Footer"/>
      <w:tabs>
        <w:tab w:val="clear" w:pos="9026"/>
        <w:tab w:val="left" w:pos="6416"/>
      </w:tabs>
      <w:ind w:right="-618"/>
      <w:rPr>
        <w:rFonts w:ascii="Arial" w:hAnsi="Arial"/>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AEBDE" w14:textId="77777777" w:rsidR="006F4CD7" w:rsidRPr="00D33388" w:rsidRDefault="006F4CD7" w:rsidP="00D33388">
    <w:pPr>
      <w:pStyle w:val="Preliminaries-Heading1"/>
      <w:ind w:right="-472"/>
      <w:jc w:val="right"/>
      <w:rPr>
        <w:rStyle w:val="FooterChar"/>
      </w:rPr>
    </w:pPr>
    <w:r>
      <w:rPr>
        <w:rFonts w:asciiTheme="majorHAnsi" w:hAnsiTheme="majorHAnsi"/>
        <w:noProof/>
        <w:sz w:val="48"/>
        <w:szCs w:val="48"/>
        <w:lang w:eastAsia="en-AU"/>
      </w:rPr>
      <w:drawing>
        <wp:anchor distT="0" distB="0" distL="114300" distR="114300" simplePos="0" relativeHeight="251665408" behindDoc="1" locked="0" layoutInCell="1" allowOverlap="1" wp14:anchorId="1BF75F85" wp14:editId="7C1829CF">
          <wp:simplePos x="0" y="0"/>
          <wp:positionH relativeFrom="column">
            <wp:posOffset>-927871</wp:posOffset>
          </wp:positionH>
          <wp:positionV relativeFrom="paragraph">
            <wp:posOffset>220980</wp:posOffset>
          </wp:positionV>
          <wp:extent cx="7573781" cy="563880"/>
          <wp:effectExtent l="0" t="0" r="8255" b="7620"/>
          <wp:wrapNone/>
          <wp:docPr id="256" name="Picture 256" title="Document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R Report covers_Report cover option 1.jpg"/>
                  <pic:cNvPicPr/>
                </pic:nvPicPr>
                <pic:blipFill rotWithShape="1">
                  <a:blip r:embed="rId1">
                    <a:extLst>
                      <a:ext uri="{28A0092B-C50C-407E-A947-70E740481C1C}">
                        <a14:useLocalDpi xmlns:a14="http://schemas.microsoft.com/office/drawing/2010/main" val="0"/>
                      </a:ext>
                    </a:extLst>
                  </a:blip>
                  <a:srcRect t="69262" b="25475"/>
                  <a:stretch/>
                </pic:blipFill>
                <pic:spPr bwMode="auto">
                  <a:xfrm>
                    <a:off x="0" y="0"/>
                    <a:ext cx="7583713" cy="5646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sdt>
      <w:sdtPr>
        <w:rPr>
          <w:rFonts w:asciiTheme="majorHAnsi" w:hAnsiTheme="majorHAnsi"/>
          <w:sz w:val="48"/>
          <w:szCs w:val="48"/>
        </w:rPr>
        <w:id w:val="-1243177566"/>
        <w:docPartObj>
          <w:docPartGallery w:val="Page Numbers (Margins)"/>
          <w:docPartUnique/>
        </w:docPartObj>
      </w:sdtPr>
      <w:sdtEndPr>
        <w:rPr>
          <w:rStyle w:val="FooterChar"/>
          <w:rFonts w:ascii="Calibri" w:hAnsi="Calibri"/>
          <w:color w:val="FFFFFF" w:themeColor="background1"/>
          <w:sz w:val="20"/>
          <w:szCs w:val="28"/>
        </w:rPr>
      </w:sdtEndPr>
      <w:sdtContent>
        <w:sdt>
          <w:sdtPr>
            <w:rPr>
              <w:rStyle w:val="FooterChar"/>
            </w:rPr>
            <w:id w:val="-1232455008"/>
            <w:docPartObj>
              <w:docPartGallery w:val="Page Numbers (Margins)"/>
              <w:docPartUnique/>
            </w:docPartObj>
          </w:sdtPr>
          <w:sdtEndPr>
            <w:rPr>
              <w:rStyle w:val="FooterChar"/>
            </w:rPr>
          </w:sdtEndPr>
          <w:sdtContent>
            <w:r w:rsidRPr="00D33388">
              <w:rPr>
                <w:rStyle w:val="FooterChar"/>
              </w:rPr>
              <w:fldChar w:fldCharType="begin"/>
            </w:r>
            <w:r w:rsidRPr="00D33388">
              <w:rPr>
                <w:rStyle w:val="FooterChar"/>
              </w:rPr>
              <w:instrText xml:space="preserve"> PAGE   \* MERGEFORMAT </w:instrText>
            </w:r>
            <w:r w:rsidRPr="00D33388">
              <w:rPr>
                <w:rStyle w:val="FooterChar"/>
              </w:rPr>
              <w:fldChar w:fldCharType="separate"/>
            </w:r>
            <w:r w:rsidR="00375FD5">
              <w:rPr>
                <w:rStyle w:val="FooterChar"/>
                <w:noProof/>
              </w:rPr>
              <w:t>ii</w:t>
            </w:r>
            <w:r w:rsidRPr="00D33388">
              <w:rPr>
                <w:rStyle w:val="FooterChar"/>
              </w:rPr>
              <w:fldChar w:fldCharType="end"/>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4B852" w14:textId="4CB982B5" w:rsidR="006F4CD7" w:rsidRPr="00D33388" w:rsidRDefault="006F4CD7" w:rsidP="00D33388">
    <w:pPr>
      <w:pStyle w:val="Preliminaries-Heading1"/>
      <w:ind w:right="-472"/>
      <w:jc w:val="right"/>
      <w:rPr>
        <w:rStyle w:val="FooterChar"/>
      </w:rPr>
    </w:pPr>
    <w:r>
      <w:rPr>
        <w:rFonts w:asciiTheme="majorHAnsi" w:hAnsiTheme="majorHAnsi"/>
        <w:noProof/>
        <w:sz w:val="48"/>
        <w:szCs w:val="48"/>
        <w:lang w:eastAsia="en-AU"/>
      </w:rPr>
      <w:drawing>
        <wp:anchor distT="0" distB="0" distL="114300" distR="114300" simplePos="0" relativeHeight="251663360" behindDoc="1" locked="0" layoutInCell="1" allowOverlap="1" wp14:anchorId="3BD7A5B0" wp14:editId="5AFC2648">
          <wp:simplePos x="0" y="0"/>
          <wp:positionH relativeFrom="column">
            <wp:posOffset>-927871</wp:posOffset>
          </wp:positionH>
          <wp:positionV relativeFrom="paragraph">
            <wp:posOffset>220980</wp:posOffset>
          </wp:positionV>
          <wp:extent cx="7573781" cy="563880"/>
          <wp:effectExtent l="0" t="0" r="8255" b="7620"/>
          <wp:wrapNone/>
          <wp:docPr id="247" name="Picture 247" title="Document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R Report covers_Report cover option 1.jpg"/>
                  <pic:cNvPicPr/>
                </pic:nvPicPr>
                <pic:blipFill rotWithShape="1">
                  <a:blip r:embed="rId1">
                    <a:extLst>
                      <a:ext uri="{28A0092B-C50C-407E-A947-70E740481C1C}">
                        <a14:useLocalDpi xmlns:a14="http://schemas.microsoft.com/office/drawing/2010/main" val="0"/>
                      </a:ext>
                    </a:extLst>
                  </a:blip>
                  <a:srcRect t="69262" b="25475"/>
                  <a:stretch/>
                </pic:blipFill>
                <pic:spPr bwMode="auto">
                  <a:xfrm>
                    <a:off x="0" y="0"/>
                    <a:ext cx="7583713" cy="5646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heme="majorHAnsi" w:hAnsiTheme="majorHAnsi"/>
          <w:sz w:val="48"/>
          <w:szCs w:val="48"/>
        </w:rPr>
        <w:id w:val="2103901533"/>
        <w:docPartObj>
          <w:docPartGallery w:val="Page Numbers (Margins)"/>
          <w:docPartUnique/>
        </w:docPartObj>
      </w:sdtPr>
      <w:sdtEndPr>
        <w:rPr>
          <w:rStyle w:val="FooterChar"/>
          <w:rFonts w:ascii="Calibri" w:hAnsi="Calibri"/>
          <w:color w:val="FFFFFF" w:themeColor="background1"/>
          <w:sz w:val="20"/>
          <w:szCs w:val="28"/>
        </w:rPr>
      </w:sdtEndPr>
      <w:sdtContent>
        <w:sdt>
          <w:sdtPr>
            <w:rPr>
              <w:rStyle w:val="FooterChar"/>
            </w:rPr>
            <w:id w:val="985138223"/>
            <w:docPartObj>
              <w:docPartGallery w:val="Page Numbers (Margins)"/>
              <w:docPartUnique/>
            </w:docPartObj>
          </w:sdtPr>
          <w:sdtEndPr>
            <w:rPr>
              <w:rStyle w:val="FooterChar"/>
            </w:rPr>
          </w:sdtEndPr>
          <w:sdtContent>
            <w:r>
              <w:rPr>
                <w:rStyle w:val="FooterChar"/>
              </w:rPr>
              <w:fldChar w:fldCharType="begin"/>
            </w:r>
            <w:r>
              <w:rPr>
                <w:rStyle w:val="FooterChar"/>
              </w:rPr>
              <w:instrText xml:space="preserve"> PAGE  \* Arabic  \* MERGEFORMAT </w:instrText>
            </w:r>
            <w:r>
              <w:rPr>
                <w:rStyle w:val="FooterChar"/>
              </w:rPr>
              <w:fldChar w:fldCharType="separate"/>
            </w:r>
            <w:r w:rsidR="00375FD5">
              <w:rPr>
                <w:rStyle w:val="FooterChar"/>
                <w:noProof/>
              </w:rPr>
              <w:t>2</w:t>
            </w:r>
            <w:r>
              <w:rPr>
                <w:rStyle w:val="FooterChar"/>
              </w:rPr>
              <w:fldChar w:fldCharType="end"/>
            </w:r>
          </w:sdtContent>
        </w:sdt>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C556C" w14:textId="77777777" w:rsidR="006F4CD7" w:rsidRPr="002E2136" w:rsidRDefault="006F4CD7" w:rsidP="00D33388">
    <w:pPr>
      <w:pStyle w:val="Footer"/>
      <w:tabs>
        <w:tab w:val="clear" w:pos="9026"/>
        <w:tab w:val="left" w:pos="6416"/>
      </w:tabs>
      <w:ind w:right="-46"/>
      <w:jc w:val="right"/>
      <w:rPr>
        <w:rFonts w:ascii="Arial" w:hAnsi="Arial"/>
        <w:sz w:val="18"/>
      </w:rPr>
    </w:pPr>
    <w:r>
      <w:rPr>
        <w:rFonts w:asciiTheme="majorHAnsi" w:hAnsiTheme="majorHAnsi"/>
        <w:noProof/>
        <w:sz w:val="48"/>
        <w:szCs w:val="48"/>
        <w:lang w:eastAsia="en-AU"/>
      </w:rPr>
      <w:drawing>
        <wp:anchor distT="0" distB="0" distL="114300" distR="114300" simplePos="0" relativeHeight="251662336" behindDoc="1" locked="0" layoutInCell="1" allowOverlap="1" wp14:anchorId="6EA7BD51" wp14:editId="3416D206">
          <wp:simplePos x="0" y="0"/>
          <wp:positionH relativeFrom="column">
            <wp:posOffset>-929640</wp:posOffset>
          </wp:positionH>
          <wp:positionV relativeFrom="paragraph">
            <wp:posOffset>52705</wp:posOffset>
          </wp:positionV>
          <wp:extent cx="7573781" cy="563880"/>
          <wp:effectExtent l="0" t="0" r="8255" b="7620"/>
          <wp:wrapNone/>
          <wp:docPr id="249" name="Picture 249" title="Document foot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R Report covers_Report cover option 1.jpg"/>
                  <pic:cNvPicPr/>
                </pic:nvPicPr>
                <pic:blipFill rotWithShape="1">
                  <a:blip r:embed="rId1">
                    <a:extLst>
                      <a:ext uri="{28A0092B-C50C-407E-A947-70E740481C1C}">
                        <a14:useLocalDpi xmlns:a14="http://schemas.microsoft.com/office/drawing/2010/main" val="0"/>
                      </a:ext>
                    </a:extLst>
                  </a:blip>
                  <a:srcRect t="69262" b="25475"/>
                  <a:stretch/>
                </pic:blipFill>
                <pic:spPr bwMode="auto">
                  <a:xfrm>
                    <a:off x="0" y="0"/>
                    <a:ext cx="7573781"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D3B">
      <w:rPr>
        <w:noProof/>
        <w:lang w:val="en-US"/>
      </w:rPr>
      <w:fldChar w:fldCharType="begin"/>
    </w:r>
    <w:r w:rsidRPr="00054D3B">
      <w:rPr>
        <w:noProof/>
        <w:lang w:val="en-US"/>
      </w:rPr>
      <w:instrText xml:space="preserve"> PAGE   \* MERGEFORMAT </w:instrText>
    </w:r>
    <w:r w:rsidRPr="00054D3B">
      <w:rPr>
        <w:noProof/>
        <w:lang w:val="en-US"/>
      </w:rPr>
      <w:fldChar w:fldCharType="separate"/>
    </w:r>
    <w:r w:rsidR="00375FD5">
      <w:rPr>
        <w:noProof/>
        <w:lang w:val="en-US"/>
      </w:rPr>
      <w:t>1</w:t>
    </w:r>
    <w:r w:rsidRPr="00054D3B">
      <w:rPr>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35910" w14:textId="77777777" w:rsidR="006F4CD7" w:rsidRDefault="006F4CD7" w:rsidP="000720AB">
      <w:r>
        <w:separator/>
      </w:r>
    </w:p>
    <w:p w14:paraId="572C7F25" w14:textId="77777777" w:rsidR="006F4CD7" w:rsidRDefault="006F4CD7"/>
  </w:footnote>
  <w:footnote w:type="continuationSeparator" w:id="0">
    <w:p w14:paraId="3C3CD860" w14:textId="77777777" w:rsidR="006F4CD7" w:rsidRDefault="006F4CD7" w:rsidP="000720AB">
      <w:r>
        <w:continuationSeparator/>
      </w:r>
    </w:p>
    <w:p w14:paraId="0545B0AC" w14:textId="77777777" w:rsidR="006F4CD7" w:rsidRDefault="006F4CD7"/>
    <w:p w14:paraId="5D976922" w14:textId="77777777" w:rsidR="006F4CD7" w:rsidRDefault="006F4CD7"/>
  </w:footnote>
  <w:footnote w:type="continuationNotice" w:id="1">
    <w:p w14:paraId="3A74D03A" w14:textId="77777777" w:rsidR="006F4CD7" w:rsidRDefault="006F4CD7">
      <w:pPr>
        <w:spacing w:before="0"/>
      </w:pPr>
    </w:p>
  </w:footnote>
  <w:footnote w:id="2">
    <w:p w14:paraId="6A8404EC" w14:textId="77777777" w:rsidR="006F4CD7" w:rsidRPr="009B6231" w:rsidRDefault="006F4CD7" w:rsidP="00B722ED">
      <w:pPr>
        <w:pStyle w:val="Reference"/>
      </w:pPr>
      <w:r w:rsidRPr="009B6231">
        <w:rPr>
          <w:rStyle w:val="FootnoteReference"/>
        </w:rPr>
        <w:footnoteRef/>
      </w:r>
      <w:r w:rsidRPr="009B6231">
        <w:t xml:space="preserve"> </w:t>
      </w:r>
      <w:r w:rsidRPr="009D544E">
        <w:t xml:space="preserve">ABS </w:t>
      </w:r>
      <w:r w:rsidRPr="00F37FA2">
        <w:t>,</w:t>
      </w:r>
      <w:r w:rsidRPr="008A2E55">
        <w:t xml:space="preserve"> Australian System of National Accounts, </w:t>
      </w:r>
      <w:r w:rsidRPr="009D544E">
        <w:t>Cat. No. 5260.0.55.002, 2013–14 issue</w:t>
      </w:r>
      <w:r w:rsidRPr="00F37FA2">
        <w:t>, 31/10/2014</w:t>
      </w:r>
    </w:p>
  </w:footnote>
  <w:footnote w:id="3">
    <w:p w14:paraId="65BDBC48" w14:textId="77777777" w:rsidR="006F4CD7" w:rsidRPr="008A2E55" w:rsidRDefault="006F4CD7" w:rsidP="00B722ED">
      <w:pPr>
        <w:pStyle w:val="Reference"/>
      </w:pPr>
      <w:r w:rsidRPr="00F37FA2">
        <w:rPr>
          <w:rStyle w:val="FootnoteReference"/>
        </w:rPr>
        <w:footnoteRef/>
      </w:r>
      <w:r w:rsidRPr="00F37FA2">
        <w:t xml:space="preserve"> OECD (Organisation for Economic Co-operation and Development) (2004), The Economic Impact of </w:t>
      </w:r>
      <w:r>
        <w:t>ICT: Measurement, Evidence and Implications, OECD, Paris.</w:t>
      </w:r>
    </w:p>
  </w:footnote>
  <w:footnote w:id="4">
    <w:p w14:paraId="3AECFB3C" w14:textId="77777777" w:rsidR="006F4CD7" w:rsidRPr="009B6231" w:rsidRDefault="006F4CD7" w:rsidP="00B722ED">
      <w:pPr>
        <w:pStyle w:val="Reference"/>
      </w:pPr>
      <w:r w:rsidRPr="008A2E55">
        <w:rPr>
          <w:rStyle w:val="FootnoteReference"/>
        </w:rPr>
        <w:footnoteRef/>
      </w:r>
      <w:r w:rsidRPr="008A2E55">
        <w:t xml:space="preserve"> </w:t>
      </w:r>
      <w:r>
        <w:t>Brynjolfsson, E., L.M. Hitt and S. Yang (2000), ‘Intangible Assets: How the Interaction of Computers and Organisational Structure Affects Stock Market Valuations’, MIT Working Paper, Massachusetts Institute of Technology, Massachusetts.</w:t>
      </w:r>
    </w:p>
  </w:footnote>
  <w:footnote w:id="5">
    <w:p w14:paraId="306F07E9" w14:textId="77777777" w:rsidR="006F4CD7" w:rsidRPr="00CA0B18" w:rsidRDefault="006F4CD7" w:rsidP="00B722ED">
      <w:pPr>
        <w:pStyle w:val="Reference"/>
        <w:rPr>
          <w:sz w:val="20"/>
        </w:rPr>
      </w:pPr>
      <w:r w:rsidRPr="009B6231">
        <w:rPr>
          <w:rStyle w:val="FootnoteReference"/>
        </w:rPr>
        <w:footnoteRef/>
      </w:r>
      <w:r w:rsidRPr="009B6231">
        <w:t xml:space="preserve"> </w:t>
      </w:r>
      <w:r>
        <w:t xml:space="preserve">See for example: </w:t>
      </w:r>
      <w:r w:rsidRPr="00C519A8">
        <w:t>PC (Productivity Commission) (2004), ‘ICT Use and Productivity: A Synthesis from Studies of Australian Firms’, Commission Research Paper, Productivity Commission, Canberra</w:t>
      </w:r>
      <w:r>
        <w:t xml:space="preserve">. </w:t>
      </w:r>
      <w:r w:rsidRPr="00C519A8">
        <w:t>Parham, D. (2012), ‘Australia's Productivity Growth Slump: Signs of Crisis, Adjustment or Both?’, Visiting Researcher Paper, Productivity Commission, Canberra.</w:t>
      </w:r>
      <w:r>
        <w:t xml:space="preserve"> </w:t>
      </w:r>
      <w:r w:rsidRPr="00C519A8">
        <w:t>Topp, V. and T. Kulys (2012), ‘Productivity in Electricity, Gas and Water: Measurement and Interpretation’, Staff Working Paper, Pro</w:t>
      </w:r>
      <w:r>
        <w:t>ductivity Commission, Canberra</w:t>
      </w:r>
      <w:r w:rsidRPr="00F37FA2" w:rsidDel="00F37FA2">
        <w:rPr>
          <w:highlight w:val="yellow"/>
        </w:rPr>
        <w:t xml:space="preserve"> </w:t>
      </w:r>
    </w:p>
  </w:footnote>
  <w:footnote w:id="6">
    <w:p w14:paraId="2E8F4AB1" w14:textId="77777777" w:rsidR="006F4CD7" w:rsidRPr="008A2E55" w:rsidRDefault="006F4CD7" w:rsidP="00B722ED">
      <w:pPr>
        <w:pStyle w:val="Reference"/>
      </w:pPr>
      <w:r w:rsidRPr="00CA0B18">
        <w:rPr>
          <w:rStyle w:val="FootnoteReference"/>
          <w:sz w:val="20"/>
        </w:rPr>
        <w:footnoteRef/>
      </w:r>
      <w:r w:rsidRPr="00CA0B18">
        <w:t xml:space="preserve"> </w:t>
      </w:r>
      <w:r>
        <w:t>BCR (Bureau of Communications Research) (2015), ‘A primer on digital productivity’, Department of Communications, Canberra, May.</w:t>
      </w:r>
    </w:p>
  </w:footnote>
  <w:footnote w:id="7">
    <w:p w14:paraId="4A3121FF" w14:textId="77777777" w:rsidR="006F4CD7" w:rsidRPr="00F37FA2" w:rsidRDefault="006F4CD7" w:rsidP="00B722ED">
      <w:pPr>
        <w:pStyle w:val="Reference"/>
      </w:pPr>
      <w:r w:rsidRPr="00F37FA2">
        <w:rPr>
          <w:rStyle w:val="FootnoteReference"/>
          <w:sz w:val="20"/>
        </w:rPr>
        <w:footnoteRef/>
      </w:r>
      <w:r w:rsidRPr="00F37FA2">
        <w:t xml:space="preserve"> Corrado, C., C. Hulten and D. Sichel (2006), ‘Intangible Capital and Economic Growth’, NBER Working Paper No, 11948, National Bureau of Economic Research, Cambridge, Massachusetts.</w:t>
      </w:r>
    </w:p>
  </w:footnote>
  <w:footnote w:id="8">
    <w:p w14:paraId="59F2083B" w14:textId="77777777" w:rsidR="006F4CD7" w:rsidRPr="00F37FA2" w:rsidRDefault="006F4CD7" w:rsidP="00B722ED">
      <w:pPr>
        <w:pStyle w:val="Reference"/>
      </w:pPr>
      <w:r w:rsidRPr="00F37FA2">
        <w:rPr>
          <w:rStyle w:val="FootnoteReference"/>
          <w:sz w:val="20"/>
        </w:rPr>
        <w:footnoteRef/>
      </w:r>
      <w:r w:rsidRPr="00F37FA2">
        <w:t xml:space="preserve"> Barnes, P. and A. McClure (2009), ‘Investents in Intangible Assets and Australia's Productivity Growth’, Staff Working</w:t>
      </w:r>
      <w:r w:rsidRPr="00C519A8">
        <w:t xml:space="preserve"> Paper, Productivity Commission, Canberra.</w:t>
      </w:r>
    </w:p>
  </w:footnote>
  <w:footnote w:id="9">
    <w:p w14:paraId="35329C0C" w14:textId="77777777" w:rsidR="006F4CD7" w:rsidRPr="00CA0B18" w:rsidRDefault="006F4CD7" w:rsidP="00B722ED">
      <w:pPr>
        <w:pStyle w:val="Reference"/>
      </w:pPr>
      <w:r w:rsidRPr="00F37FA2">
        <w:rPr>
          <w:rStyle w:val="FootnoteReference"/>
          <w:sz w:val="20"/>
        </w:rPr>
        <w:footnoteRef/>
      </w:r>
      <w:r w:rsidRPr="00F37FA2">
        <w:t xml:space="preserve"> Elnasri, A. and K.J. Fox (2015), ‘The Contribution of Research and Innovation to Productivity’, UNSW Economics Discussion Paper 2014–08 (updated).</w:t>
      </w:r>
    </w:p>
  </w:footnote>
  <w:footnote w:id="10">
    <w:p w14:paraId="71993F50" w14:textId="77777777" w:rsidR="006F4CD7" w:rsidRPr="00CA0B18" w:rsidRDefault="006F4CD7" w:rsidP="00B722ED">
      <w:pPr>
        <w:pStyle w:val="Reference"/>
      </w:pPr>
      <w:r w:rsidRPr="006F54D2">
        <w:rPr>
          <w:rStyle w:val="FootnoteReference"/>
          <w:sz w:val="20"/>
        </w:rPr>
        <w:footnoteRef/>
      </w:r>
      <w:r w:rsidRPr="009B6231">
        <w:t xml:space="preserve"> </w:t>
      </w:r>
      <w:r>
        <w:t>ABS, Australian System of National Accounts,Cat</w:t>
      </w:r>
      <w:r w:rsidRPr="009B6231">
        <w:t>. No. 5204.0,</w:t>
      </w:r>
      <w:r>
        <w:t xml:space="preserve"> t</w:t>
      </w:r>
      <w:r w:rsidRPr="009B6231">
        <w:t>ables 69–71</w:t>
      </w:r>
      <w:r>
        <w:t>, Canberra, 31/10/2014</w:t>
      </w:r>
    </w:p>
  </w:footnote>
  <w:footnote w:id="11">
    <w:p w14:paraId="1F1EE0CB" w14:textId="77777777" w:rsidR="006F4CD7" w:rsidRPr="00CA0B18" w:rsidRDefault="006F4CD7" w:rsidP="00B722ED">
      <w:pPr>
        <w:pStyle w:val="Reference"/>
      </w:pPr>
      <w:r w:rsidRPr="00CA0B18">
        <w:rPr>
          <w:rStyle w:val="FootnoteReference"/>
          <w:sz w:val="20"/>
        </w:rPr>
        <w:footnoteRef/>
      </w:r>
      <w:r w:rsidRPr="00CA0B18">
        <w:t xml:space="preserve"> </w:t>
      </w:r>
      <w:r w:rsidRPr="00C519A8">
        <w:t>Barnes, P. (2011), ‘Multifactor Productivity Cycles at the Industry Level’, Staff Working Paper, Productivity Commission, Canberra</w:t>
      </w:r>
      <w:r w:rsidRPr="00F37FA2" w:rsidDel="00F37FA2">
        <w:rPr>
          <w:highlight w:val="yellow"/>
        </w:rPr>
        <w:t xml:space="preserve"> </w:t>
      </w:r>
    </w:p>
  </w:footnote>
  <w:footnote w:id="12">
    <w:p w14:paraId="7EA2819E" w14:textId="77777777" w:rsidR="006F4CD7" w:rsidRPr="00CA0B18" w:rsidRDefault="006F4CD7" w:rsidP="00B722ED">
      <w:pPr>
        <w:pStyle w:val="Reference"/>
      </w:pPr>
      <w:r w:rsidRPr="006F54D2">
        <w:rPr>
          <w:rStyle w:val="FootnoteReference"/>
          <w:sz w:val="20"/>
        </w:rPr>
        <w:footnoteRef/>
      </w:r>
      <w:r w:rsidRPr="009B6231">
        <w:t xml:space="preserve"> </w:t>
      </w:r>
      <w:r>
        <w:t>Topp, V. and T. Kulys (2012), ‘Productivity in Electricity, Gas and Water: Measurement and Interpretation’, Staff Working Paper, Productivity Commission, Canberra.</w:t>
      </w:r>
    </w:p>
  </w:footnote>
  <w:footnote w:id="13">
    <w:p w14:paraId="3B537B3E" w14:textId="77777777" w:rsidR="006F4CD7" w:rsidRPr="00CA0B18" w:rsidRDefault="006F4CD7" w:rsidP="00B722ED">
      <w:pPr>
        <w:pStyle w:val="Reference"/>
      </w:pPr>
      <w:r w:rsidRPr="009B6231">
        <w:rPr>
          <w:rStyle w:val="FootnoteReference"/>
          <w:sz w:val="20"/>
        </w:rPr>
        <w:footnoteRef/>
      </w:r>
      <w:r w:rsidRPr="009B6231">
        <w:t xml:space="preserve"> </w:t>
      </w:r>
      <w:r>
        <w:t>Parham, D. (2012), ‘Australia's Productivity Growth Slump: Signs of Crisis, Adjustment or Both?’, Visiting Researcher Paper, Productivity Commission, Canberra.</w:t>
      </w:r>
    </w:p>
  </w:footnote>
  <w:footnote w:id="14">
    <w:p w14:paraId="0CABC248" w14:textId="77777777" w:rsidR="006F4CD7" w:rsidRDefault="006F4CD7" w:rsidP="00B722ED">
      <w:pPr>
        <w:pStyle w:val="Reference"/>
      </w:pPr>
      <w:r>
        <w:rPr>
          <w:rStyle w:val="FootnoteReference"/>
        </w:rPr>
        <w:footnoteRef/>
      </w:r>
      <w:r>
        <w:t xml:space="preserve"> </w:t>
      </w:r>
      <w:r w:rsidRPr="006139F5">
        <w:t>D. Parham (2004), ‘Sources of Australia’s Productivity Growth Revival’,</w:t>
      </w:r>
      <w:r w:rsidRPr="006139F5">
        <w:rPr>
          <w:rFonts w:cs="Calibri"/>
          <w:i/>
          <w:iCs/>
          <w:color w:val="000000"/>
        </w:rPr>
        <w:t xml:space="preserve"> </w:t>
      </w:r>
      <w:r w:rsidRPr="006139F5">
        <w:rPr>
          <w:i/>
          <w:iCs/>
        </w:rPr>
        <w:t>The Economic Record</w:t>
      </w:r>
      <w:r w:rsidRPr="006139F5">
        <w:t xml:space="preserve">, vol.80, no.249, pp.239–57. Productivity Commission (2009), </w:t>
      </w:r>
      <w:r w:rsidRPr="006139F5">
        <w:rPr>
          <w:i/>
        </w:rPr>
        <w:t>Australia’s Productivity Performance</w:t>
      </w:r>
      <w:r w:rsidRPr="006139F5">
        <w:t>, Productivity Commission Submission, Canberra.</w:t>
      </w:r>
      <w:r>
        <w:t xml:space="preserve"> </w:t>
      </w:r>
    </w:p>
  </w:footnote>
  <w:footnote w:id="15">
    <w:p w14:paraId="344905F2" w14:textId="77777777" w:rsidR="006F4CD7" w:rsidRDefault="006F4CD7" w:rsidP="00B722ED">
      <w:pPr>
        <w:pStyle w:val="Reference"/>
      </w:pPr>
      <w:r>
        <w:rPr>
          <w:rStyle w:val="FootnoteReference"/>
        </w:rPr>
        <w:footnoteRef/>
      </w:r>
      <w:r>
        <w:t xml:space="preserve"> ABS, Retail and Wholesale Industries, Cat. No. 8622.0 Canberra 31/07/2014</w:t>
      </w:r>
    </w:p>
  </w:footnote>
  <w:footnote w:id="16">
    <w:p w14:paraId="7075DAD2" w14:textId="77777777" w:rsidR="006F4CD7" w:rsidRDefault="006F4CD7" w:rsidP="00B722ED">
      <w:pPr>
        <w:pStyle w:val="Reference"/>
      </w:pPr>
      <w:r>
        <w:rPr>
          <w:rStyle w:val="FootnoteReference"/>
        </w:rPr>
        <w:footnoteRef/>
      </w:r>
      <w:r>
        <w:t xml:space="preserve"> </w:t>
      </w:r>
      <w:r w:rsidRPr="006139F5">
        <w:t xml:space="preserve">ABS, </w:t>
      </w:r>
      <w:r w:rsidRPr="006139F5">
        <w:rPr>
          <w:i/>
        </w:rPr>
        <w:t>Australian System of National Accounts</w:t>
      </w:r>
      <w:r w:rsidRPr="006139F5">
        <w:t xml:space="preserve">, Cat. No. 5204.0, Table 5, </w:t>
      </w:r>
      <w:r>
        <w:t>Canberra, 31/10/2014</w:t>
      </w:r>
    </w:p>
  </w:footnote>
  <w:footnote w:id="17">
    <w:p w14:paraId="7458962F" w14:textId="77777777" w:rsidR="006F4CD7" w:rsidRDefault="006F4CD7" w:rsidP="00B722ED">
      <w:pPr>
        <w:pStyle w:val="Reference"/>
      </w:pPr>
      <w:r w:rsidRPr="006139F5">
        <w:rPr>
          <w:rStyle w:val="FootnoteReference"/>
        </w:rPr>
        <w:footnoteRef/>
      </w:r>
      <w:r w:rsidRPr="006139F5">
        <w:t xml:space="preserve"> D. Parham, P. Roberts and H. Sun (2001), </w:t>
      </w:r>
      <w:r w:rsidRPr="006139F5">
        <w:rPr>
          <w:i/>
        </w:rPr>
        <w:t>Information Technology and Australia’s Productivity Surge</w:t>
      </w:r>
      <w:r w:rsidRPr="006139F5">
        <w:t>, Staff Research Paper, Productivity Commission, Canberra.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E470A" w14:textId="77777777" w:rsidR="006F4CD7" w:rsidRDefault="006F4CD7" w:rsidP="00332A4E">
    <w:pPr>
      <w:pStyle w:val="HeaderTitle"/>
      <w:rPr>
        <w:noProof/>
        <w:lang w:eastAsia="en-AU"/>
      </w:rPr>
    </w:pPr>
    <w:r>
      <w:rPr>
        <w:noProof/>
        <w:lang w:eastAsia="en-AU"/>
      </w:rPr>
      <w:drawing>
        <wp:inline distT="0" distB="0" distL="0" distR="0" wp14:anchorId="7AF61F43" wp14:editId="4F1A3F88">
          <wp:extent cx="8372989" cy="1280160"/>
          <wp:effectExtent l="0" t="0" r="9525" b="0"/>
          <wp:docPr id="269" name="Picture 269" title="Document head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R Report covers_Report cover option 1.jpg"/>
                  <pic:cNvPicPr/>
                </pic:nvPicPr>
                <pic:blipFill rotWithShape="1">
                  <a:blip r:embed="rId1">
                    <a:extLst>
                      <a:ext uri="{28A0092B-C50C-407E-A947-70E740481C1C}">
                        <a14:useLocalDpi xmlns:a14="http://schemas.microsoft.com/office/drawing/2010/main" val="0"/>
                      </a:ext>
                    </a:extLst>
                  </a:blip>
                  <a:srcRect l="-819" t="47014" r="819" b="42177"/>
                  <a:stretch/>
                </pic:blipFill>
                <pic:spPr bwMode="auto">
                  <a:xfrm>
                    <a:off x="0" y="0"/>
                    <a:ext cx="8372989" cy="1280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14:paraId="48880A52" w14:textId="77777777" w:rsidR="006F4CD7" w:rsidRPr="00007478" w:rsidRDefault="006F4CD7" w:rsidP="00332A4E">
    <w:pPr>
      <w:pStyle w:val="HeaderTitle"/>
      <w:rPr>
        <w:rStyle w:val="Strong"/>
        <w:noProof/>
        <w:lang w:eastAsia="en-AU"/>
      </w:rPr>
    </w:pPr>
    <w:r w:rsidRPr="00007478">
      <w:rPr>
        <w:rStyle w:val="Strong"/>
      </w:rPr>
      <w:t>Bureau of Communications</w:t>
    </w:r>
    <w:r>
      <w:rPr>
        <w:rStyle w:val="Strong"/>
      </w:rPr>
      <w:t xml:space="preserve"> Research | IT use and Australia’s Productivity: Where are we now?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BC723" w14:textId="77777777" w:rsidR="006F4CD7" w:rsidRDefault="006F4CD7" w:rsidP="00583203">
    <w:pPr>
      <w:pStyle w:val="Header"/>
      <w:rPr>
        <w:noProof/>
        <w:lang w:eastAsia="en-AU"/>
      </w:rPr>
    </w:pPr>
  </w:p>
  <w:p w14:paraId="197DC42C" w14:textId="77777777" w:rsidR="006F4CD7" w:rsidRPr="00583203" w:rsidRDefault="006F4CD7" w:rsidP="00583203">
    <w:pPr>
      <w:pStyle w:val="Header"/>
    </w:pPr>
    <w:r>
      <w:rPr>
        <w:noProof/>
        <w:lang w:eastAsia="en-AU"/>
      </w:rPr>
      <w:drawing>
        <wp:anchor distT="0" distB="0" distL="114300" distR="114300" simplePos="0" relativeHeight="251654656" behindDoc="0" locked="0" layoutInCell="1" allowOverlap="1" wp14:anchorId="5467F930" wp14:editId="7A2A1F32">
          <wp:simplePos x="0" y="0"/>
          <wp:positionH relativeFrom="page">
            <wp:posOffset>-46892</wp:posOffset>
          </wp:positionH>
          <wp:positionV relativeFrom="paragraph">
            <wp:posOffset>1504950</wp:posOffset>
          </wp:positionV>
          <wp:extent cx="7626985" cy="8959694"/>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R Report covers_Report cover option 1.jpg"/>
                  <pic:cNvPicPr/>
                </pic:nvPicPr>
                <pic:blipFill rotWithShape="1">
                  <a:blip r:embed="rId1">
                    <a:extLst>
                      <a:ext uri="{28A0092B-C50C-407E-A947-70E740481C1C}">
                        <a14:useLocalDpi xmlns:a14="http://schemas.microsoft.com/office/drawing/2010/main" val="0"/>
                      </a:ext>
                    </a:extLst>
                  </a:blip>
                  <a:srcRect t="16952"/>
                  <a:stretch/>
                </pic:blipFill>
                <pic:spPr bwMode="auto">
                  <a:xfrm>
                    <a:off x="0" y="0"/>
                    <a:ext cx="7627367" cy="8960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11F9" w14:textId="13DA193C" w:rsidR="006F4CD7" w:rsidRDefault="006F4CD7" w:rsidP="00332A4E">
    <w:pPr>
      <w:pStyle w:val="HeaderTitle"/>
      <w:ind w:left="-1418"/>
      <w:rPr>
        <w:noProof/>
        <w:lang w:eastAsia="en-AU"/>
      </w:rPr>
    </w:pPr>
    <w:r>
      <w:rPr>
        <w:noProof/>
        <w:lang w:eastAsia="en-AU"/>
      </w:rPr>
      <w:drawing>
        <wp:anchor distT="0" distB="0" distL="114300" distR="114300" simplePos="0" relativeHeight="251666432" behindDoc="1" locked="0" layoutInCell="1" allowOverlap="1" wp14:anchorId="3337DD7C" wp14:editId="0E17360A">
          <wp:simplePos x="0" y="0"/>
          <wp:positionH relativeFrom="column">
            <wp:posOffset>-1066800</wp:posOffset>
          </wp:positionH>
          <wp:positionV relativeFrom="paragraph">
            <wp:posOffset>-142875</wp:posOffset>
          </wp:positionV>
          <wp:extent cx="8372475" cy="1280160"/>
          <wp:effectExtent l="0" t="0" r="9525" b="0"/>
          <wp:wrapNone/>
          <wp:docPr id="255" name="Picture 255" title="Document head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R Report covers_Report cover option 1.jpg"/>
                  <pic:cNvPicPr/>
                </pic:nvPicPr>
                <pic:blipFill rotWithShape="1">
                  <a:blip r:embed="rId1">
                    <a:extLst>
                      <a:ext uri="{28A0092B-C50C-407E-A947-70E740481C1C}">
                        <a14:useLocalDpi xmlns:a14="http://schemas.microsoft.com/office/drawing/2010/main" val="0"/>
                      </a:ext>
                    </a:extLst>
                  </a:blip>
                  <a:srcRect l="-819" t="47014" r="819" b="42177"/>
                  <a:stretch/>
                </pic:blipFill>
                <pic:spPr bwMode="auto">
                  <a:xfrm>
                    <a:off x="0" y="0"/>
                    <a:ext cx="8372475" cy="1280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anchor>
      </w:drawing>
    </w:r>
  </w:p>
  <w:p w14:paraId="628CC3CA" w14:textId="77777777" w:rsidR="006F4CD7" w:rsidRPr="00D524D2" w:rsidRDefault="006F4CD7" w:rsidP="00332A4E">
    <w:pPr>
      <w:pStyle w:val="HeaderTitle"/>
      <w:rPr>
        <w:rStyle w:val="Strong"/>
        <w:sz w:val="56"/>
        <w:szCs w:val="56"/>
      </w:rPr>
    </w:pPr>
  </w:p>
  <w:p w14:paraId="27273D5F" w14:textId="1F2C260F" w:rsidR="006F4CD7" w:rsidRPr="00007478" w:rsidRDefault="006F4CD7" w:rsidP="00332A4E">
    <w:pPr>
      <w:pStyle w:val="HeaderTitle"/>
      <w:rPr>
        <w:rStyle w:val="Strong"/>
        <w:noProof/>
        <w:lang w:eastAsia="en-AU"/>
      </w:rPr>
    </w:pPr>
    <w:r w:rsidRPr="00007478">
      <w:rPr>
        <w:rStyle w:val="Strong"/>
      </w:rPr>
      <w:t>Bureau of Communications</w:t>
    </w:r>
    <w:r>
      <w:rPr>
        <w:rStyle w:val="Strong"/>
      </w:rPr>
      <w:t xml:space="preserve"> Research | IT use and Australia’s Productivity: Where are we now?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7A23" w14:textId="77777777" w:rsidR="006F4CD7" w:rsidRPr="00583203" w:rsidRDefault="006F4CD7" w:rsidP="00583203">
    <w:pPr>
      <w:pStyle w:val="Header"/>
    </w:pPr>
    <w:r>
      <w:rPr>
        <w:b/>
        <w:bCs/>
        <w:noProof/>
        <w:lang w:eastAsia="en-AU"/>
      </w:rPr>
      <w:drawing>
        <wp:anchor distT="0" distB="0" distL="114300" distR="114300" simplePos="0" relativeHeight="251654144" behindDoc="1" locked="0" layoutInCell="1" allowOverlap="1" wp14:anchorId="16556DBA" wp14:editId="665F3CAE">
          <wp:simplePos x="0" y="0"/>
          <wp:positionH relativeFrom="column">
            <wp:posOffset>-1005840</wp:posOffset>
          </wp:positionH>
          <wp:positionV relativeFrom="paragraph">
            <wp:posOffset>-534035</wp:posOffset>
          </wp:positionV>
          <wp:extent cx="8372989" cy="1280160"/>
          <wp:effectExtent l="0" t="0" r="9525" b="0"/>
          <wp:wrapNone/>
          <wp:docPr id="248" name="Picture 248" title="Document head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R Report covers_Report cover option 1.jpg"/>
                  <pic:cNvPicPr/>
                </pic:nvPicPr>
                <pic:blipFill rotWithShape="1">
                  <a:blip r:embed="rId1">
                    <a:extLst>
                      <a:ext uri="{28A0092B-C50C-407E-A947-70E740481C1C}">
                        <a14:useLocalDpi xmlns:a14="http://schemas.microsoft.com/office/drawing/2010/main" val="0"/>
                      </a:ext>
                    </a:extLst>
                  </a:blip>
                  <a:srcRect l="-819" t="47014" r="819" b="42177"/>
                  <a:stretch/>
                </pic:blipFill>
                <pic:spPr bwMode="auto">
                  <a:xfrm>
                    <a:off x="0" y="0"/>
                    <a:ext cx="8372989" cy="128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96682" w14:textId="77777777" w:rsidR="006F4CD7" w:rsidRDefault="006F4CD7"/>
  <w:p w14:paraId="39EE623E" w14:textId="77777777" w:rsidR="006F4CD7" w:rsidRDefault="006F4C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0701725"/>
    <w:multiLevelType w:val="hybridMultilevel"/>
    <w:tmpl w:val="21366C54"/>
    <w:lvl w:ilvl="0" w:tplc="573C30B0">
      <w:start w:val="1"/>
      <w:numFmt w:val="lowerLetter"/>
      <w:pStyle w:val="Bodynumbered-Level2"/>
      <w:lvlText w:val="%1."/>
      <w:lvlJc w:val="left"/>
      <w:pPr>
        <w:ind w:left="1400" w:hanging="360"/>
      </w:pPr>
      <w:rPr>
        <w:rFonts w:hint="default"/>
        <w:b/>
        <w:i w:val="0"/>
        <w:color w:val="900D10" w:themeColor="accent1" w:themeShade="80"/>
        <w:sz w:val="20"/>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4" w15:restartNumberingAfterBreak="0">
    <w:nsid w:val="20A477FC"/>
    <w:multiLevelType w:val="hybridMultilevel"/>
    <w:tmpl w:val="88908EDA"/>
    <w:lvl w:ilvl="0" w:tplc="7332BB4E">
      <w:start w:val="1"/>
      <w:numFmt w:val="lowerRoman"/>
      <w:pStyle w:val="Bodynumbered-Level3"/>
      <w:lvlText w:val="%1."/>
      <w:lvlJc w:val="left"/>
      <w:pPr>
        <w:ind w:left="1740" w:hanging="360"/>
      </w:pPr>
      <w:rPr>
        <w:rFonts w:hint="default"/>
        <w:color w:val="AB0F14" w:themeColor="text1"/>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15" w15:restartNumberingAfterBreak="0">
    <w:nsid w:val="25F3099A"/>
    <w:multiLevelType w:val="hybridMultilevel"/>
    <w:tmpl w:val="0828220E"/>
    <w:lvl w:ilvl="0" w:tplc="8020AF50">
      <w:start w:val="10"/>
      <w:numFmt w:val="low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16" w15:restartNumberingAfterBreak="0">
    <w:nsid w:val="26764520"/>
    <w:multiLevelType w:val="hybridMultilevel"/>
    <w:tmpl w:val="483CA03E"/>
    <w:lvl w:ilvl="0" w:tplc="8572FE1E">
      <w:start w:val="1"/>
      <w:numFmt w:val="lowerLetter"/>
      <w:pStyle w:val="Boxlist-Alpha"/>
      <w:lvlText w:val="%1."/>
      <w:lvlJc w:val="left"/>
      <w:pPr>
        <w:ind w:left="720" w:hanging="360"/>
      </w:pPr>
      <w:rPr>
        <w:rFonts w:hint="default"/>
        <w:b/>
        <w:i w:val="0"/>
        <w:color w:val="900D10" w:themeColor="accent1" w:themeShade="8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5A6BF4"/>
    <w:multiLevelType w:val="multilevel"/>
    <w:tmpl w:val="9C72651C"/>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9014198"/>
    <w:multiLevelType w:val="hybridMultilevel"/>
    <w:tmpl w:val="3F18F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FA1B61"/>
    <w:multiLevelType w:val="hybridMultilevel"/>
    <w:tmpl w:val="4BF6AD5A"/>
    <w:lvl w:ilvl="0" w:tplc="0BD6885C">
      <w:start w:val="1"/>
      <w:numFmt w:val="bullet"/>
      <w:pStyle w:val="Bodybullet-Level2"/>
      <w:lvlText w:val=""/>
      <w:lvlJc w:val="left"/>
      <w:pPr>
        <w:ind w:left="1060" w:hanging="360"/>
      </w:pPr>
      <w:rPr>
        <w:rFonts w:ascii="Symbol" w:hAnsi="Symbol" w:hint="default"/>
        <w:color w:val="auto"/>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0"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32620645"/>
    <w:multiLevelType w:val="hybridMultilevel"/>
    <w:tmpl w:val="CE70570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7991F13"/>
    <w:multiLevelType w:val="hybridMultilevel"/>
    <w:tmpl w:val="96280CC2"/>
    <w:lvl w:ilvl="0" w:tplc="DFEC05C2">
      <w:start w:val="1"/>
      <w:numFmt w:val="upperLetter"/>
      <w:pStyle w:val="BCRAppendicesHeading"/>
      <w:lvlText w:val="%1."/>
      <w:lvlJc w:val="left"/>
      <w:pPr>
        <w:ind w:left="-90" w:hanging="360"/>
      </w:pPr>
      <w:rPr>
        <w:rFonts w:hint="default"/>
      </w:rPr>
    </w:lvl>
    <w:lvl w:ilvl="1" w:tplc="0C090019" w:tentative="1">
      <w:start w:val="1"/>
      <w:numFmt w:val="lowerLetter"/>
      <w:lvlText w:val="%2."/>
      <w:lvlJc w:val="left"/>
      <w:pPr>
        <w:ind w:left="630" w:hanging="360"/>
      </w:pPr>
    </w:lvl>
    <w:lvl w:ilvl="2" w:tplc="0C09001B" w:tentative="1">
      <w:start w:val="1"/>
      <w:numFmt w:val="lowerRoman"/>
      <w:lvlText w:val="%3."/>
      <w:lvlJc w:val="right"/>
      <w:pPr>
        <w:ind w:left="1350" w:hanging="180"/>
      </w:pPr>
    </w:lvl>
    <w:lvl w:ilvl="3" w:tplc="0C09000F" w:tentative="1">
      <w:start w:val="1"/>
      <w:numFmt w:val="decimal"/>
      <w:lvlText w:val="%4."/>
      <w:lvlJc w:val="left"/>
      <w:pPr>
        <w:ind w:left="2070" w:hanging="360"/>
      </w:pPr>
    </w:lvl>
    <w:lvl w:ilvl="4" w:tplc="0C090019" w:tentative="1">
      <w:start w:val="1"/>
      <w:numFmt w:val="lowerLetter"/>
      <w:lvlText w:val="%5."/>
      <w:lvlJc w:val="left"/>
      <w:pPr>
        <w:ind w:left="2790" w:hanging="360"/>
      </w:pPr>
    </w:lvl>
    <w:lvl w:ilvl="5" w:tplc="0C09001B" w:tentative="1">
      <w:start w:val="1"/>
      <w:numFmt w:val="lowerRoman"/>
      <w:lvlText w:val="%6."/>
      <w:lvlJc w:val="right"/>
      <w:pPr>
        <w:ind w:left="3510" w:hanging="180"/>
      </w:pPr>
    </w:lvl>
    <w:lvl w:ilvl="6" w:tplc="0C09000F" w:tentative="1">
      <w:start w:val="1"/>
      <w:numFmt w:val="decimal"/>
      <w:lvlText w:val="%7."/>
      <w:lvlJc w:val="left"/>
      <w:pPr>
        <w:ind w:left="4230" w:hanging="360"/>
      </w:pPr>
    </w:lvl>
    <w:lvl w:ilvl="7" w:tplc="0C090019" w:tentative="1">
      <w:start w:val="1"/>
      <w:numFmt w:val="lowerLetter"/>
      <w:lvlText w:val="%8."/>
      <w:lvlJc w:val="left"/>
      <w:pPr>
        <w:ind w:left="4950" w:hanging="360"/>
      </w:pPr>
    </w:lvl>
    <w:lvl w:ilvl="8" w:tplc="0C09001B" w:tentative="1">
      <w:start w:val="1"/>
      <w:numFmt w:val="lowerRoman"/>
      <w:lvlText w:val="%9."/>
      <w:lvlJc w:val="right"/>
      <w:pPr>
        <w:ind w:left="5670" w:hanging="180"/>
      </w:pPr>
    </w:lvl>
  </w:abstractNum>
  <w:abstractNum w:abstractNumId="23" w15:restartNumberingAfterBreak="0">
    <w:nsid w:val="3C8F0AC3"/>
    <w:multiLevelType w:val="hybridMultilevel"/>
    <w:tmpl w:val="21006FDE"/>
    <w:lvl w:ilvl="0" w:tplc="7B5CFF08">
      <w:start w:val="1"/>
      <w:numFmt w:val="bullet"/>
      <w:pStyle w:val="Bodybullet-Level3"/>
      <w:lvlText w:val=""/>
      <w:lvlJc w:val="left"/>
      <w:pPr>
        <w:ind w:left="1400" w:hanging="360"/>
      </w:pPr>
      <w:rPr>
        <w:rFonts w:ascii="Symbol" w:hAnsi="Symbol" w:hint="default"/>
        <w:color w:val="AB0F14" w:themeColor="text1"/>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4" w15:restartNumberingAfterBreak="0">
    <w:nsid w:val="3E0E7018"/>
    <w:multiLevelType w:val="hybridMultilevel"/>
    <w:tmpl w:val="79B46F20"/>
    <w:lvl w:ilvl="0" w:tplc="5B7C27A6">
      <w:start w:val="10"/>
      <w:numFmt w:val="upperLetter"/>
      <w:lvlText w:val="%1."/>
      <w:lvlJc w:val="left"/>
      <w:pPr>
        <w:ind w:left="373" w:hanging="360"/>
      </w:pPr>
      <w:rPr>
        <w:rFonts w:hint="default"/>
      </w:rPr>
    </w:lvl>
    <w:lvl w:ilvl="1" w:tplc="0C090019" w:tentative="1">
      <w:start w:val="1"/>
      <w:numFmt w:val="lowerLetter"/>
      <w:lvlText w:val="%2."/>
      <w:lvlJc w:val="left"/>
      <w:pPr>
        <w:ind w:left="1093" w:hanging="360"/>
      </w:pPr>
    </w:lvl>
    <w:lvl w:ilvl="2" w:tplc="0C09001B" w:tentative="1">
      <w:start w:val="1"/>
      <w:numFmt w:val="lowerRoman"/>
      <w:lvlText w:val="%3."/>
      <w:lvlJc w:val="right"/>
      <w:pPr>
        <w:ind w:left="1813" w:hanging="180"/>
      </w:pPr>
    </w:lvl>
    <w:lvl w:ilvl="3" w:tplc="0C09000F" w:tentative="1">
      <w:start w:val="1"/>
      <w:numFmt w:val="decimal"/>
      <w:lvlText w:val="%4."/>
      <w:lvlJc w:val="left"/>
      <w:pPr>
        <w:ind w:left="2533" w:hanging="360"/>
      </w:pPr>
    </w:lvl>
    <w:lvl w:ilvl="4" w:tplc="0C090019" w:tentative="1">
      <w:start w:val="1"/>
      <w:numFmt w:val="lowerLetter"/>
      <w:lvlText w:val="%5."/>
      <w:lvlJc w:val="left"/>
      <w:pPr>
        <w:ind w:left="3253" w:hanging="360"/>
      </w:pPr>
    </w:lvl>
    <w:lvl w:ilvl="5" w:tplc="0C09001B" w:tentative="1">
      <w:start w:val="1"/>
      <w:numFmt w:val="lowerRoman"/>
      <w:lvlText w:val="%6."/>
      <w:lvlJc w:val="right"/>
      <w:pPr>
        <w:ind w:left="3973" w:hanging="180"/>
      </w:pPr>
    </w:lvl>
    <w:lvl w:ilvl="6" w:tplc="0C09000F" w:tentative="1">
      <w:start w:val="1"/>
      <w:numFmt w:val="decimal"/>
      <w:lvlText w:val="%7."/>
      <w:lvlJc w:val="left"/>
      <w:pPr>
        <w:ind w:left="4693" w:hanging="360"/>
      </w:pPr>
    </w:lvl>
    <w:lvl w:ilvl="7" w:tplc="0C090019" w:tentative="1">
      <w:start w:val="1"/>
      <w:numFmt w:val="lowerLetter"/>
      <w:lvlText w:val="%8."/>
      <w:lvlJc w:val="left"/>
      <w:pPr>
        <w:ind w:left="5413" w:hanging="360"/>
      </w:pPr>
    </w:lvl>
    <w:lvl w:ilvl="8" w:tplc="0C09001B" w:tentative="1">
      <w:start w:val="1"/>
      <w:numFmt w:val="lowerRoman"/>
      <w:lvlText w:val="%9."/>
      <w:lvlJc w:val="right"/>
      <w:pPr>
        <w:ind w:left="6133" w:hanging="180"/>
      </w:pPr>
    </w:lvl>
  </w:abstractNum>
  <w:abstractNum w:abstractNumId="25" w15:restartNumberingAfterBreak="0">
    <w:nsid w:val="3E6606BB"/>
    <w:multiLevelType w:val="multilevel"/>
    <w:tmpl w:val="F5927E24"/>
    <w:lvl w:ilvl="0">
      <w:start w:val="1"/>
      <w:numFmt w:val="decimal"/>
      <w:pStyle w:val="Bodynumbered-Level1"/>
      <w:lvlText w:val="%1."/>
      <w:lvlJc w:val="left"/>
      <w:pPr>
        <w:ind w:left="700" w:hanging="360"/>
      </w:pPr>
      <w:rPr>
        <w:rFonts w:hint="default"/>
        <w:b/>
        <w:bCs/>
        <w:i w:val="0"/>
        <w:iCs w:val="0"/>
        <w:color w:val="900D10" w:themeColor="accent1" w:themeShade="80"/>
        <w:sz w:val="20"/>
        <w:szCs w:val="22"/>
      </w:rPr>
    </w:lvl>
    <w:lvl w:ilvl="1">
      <w:start w:val="1"/>
      <w:numFmt w:val="lowerLetter"/>
      <w:lvlText w:val="%2."/>
      <w:lvlJc w:val="left"/>
      <w:pPr>
        <w:ind w:left="1020" w:hanging="340"/>
      </w:pPr>
      <w:rPr>
        <w:rFonts w:hint="default"/>
        <w:b/>
        <w:bCs/>
        <w:i w:val="0"/>
        <w:iCs w:val="0"/>
        <w:color w:val="0072B9"/>
        <w:sz w:val="22"/>
        <w:szCs w:val="22"/>
      </w:rPr>
    </w:lvl>
    <w:lvl w:ilvl="2">
      <w:start w:val="1"/>
      <w:numFmt w:val="lowerRoman"/>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6" w15:restartNumberingAfterBreak="0">
    <w:nsid w:val="442A2F3A"/>
    <w:multiLevelType w:val="hybridMultilevel"/>
    <w:tmpl w:val="0CACA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F77995"/>
    <w:multiLevelType w:val="multilevel"/>
    <w:tmpl w:val="FEE67744"/>
    <w:lvl w:ilvl="0">
      <w:start w:val="1"/>
      <w:numFmt w:val="bullet"/>
      <w:pStyle w:val="Bodybullet-Level1"/>
      <w:lvlText w:val=""/>
      <w:lvlJc w:val="left"/>
      <w:pPr>
        <w:ind w:left="340" w:hanging="340"/>
      </w:pPr>
      <w:rPr>
        <w:rFonts w:ascii="Symbol" w:hAnsi="Symbol" w:hint="default"/>
        <w:color w:val="00728F"/>
        <w:sz w:val="18"/>
      </w:rPr>
    </w:lvl>
    <w:lvl w:ilvl="1">
      <w:start w:val="1"/>
      <w:numFmt w:val="bullet"/>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8" w15:restartNumberingAfterBreak="0">
    <w:nsid w:val="5714650E"/>
    <w:multiLevelType w:val="multilevel"/>
    <w:tmpl w:val="AE580FCE"/>
    <w:styleLink w:val="Bulletlist"/>
    <w:lvl w:ilvl="0">
      <w:start w:val="1"/>
      <w:numFmt w:val="bullet"/>
      <w:lvlText w:val="&gt;"/>
      <w:lvlJc w:val="left"/>
      <w:pPr>
        <w:tabs>
          <w:tab w:val="num" w:pos="0"/>
        </w:tabs>
        <w:ind w:left="360" w:hanging="360"/>
      </w:pPr>
      <w:rPr>
        <w:rFonts w:ascii="Calibri" w:hAnsi="Calibri" w:hint="default"/>
        <w:color w:val="00647E"/>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9" w15:restartNumberingAfterBreak="0">
    <w:nsid w:val="5A496BE6"/>
    <w:multiLevelType w:val="hybridMultilevel"/>
    <w:tmpl w:val="DE8C1B1E"/>
    <w:lvl w:ilvl="0" w:tplc="CBD66022">
      <w:start w:val="1"/>
      <w:numFmt w:val="bullet"/>
      <w:pStyle w:val="BCR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E15E51"/>
    <w:multiLevelType w:val="multilevel"/>
    <w:tmpl w:val="F6C0C84E"/>
    <w:lvl w:ilvl="0">
      <w:start w:val="1"/>
      <w:numFmt w:val="bullet"/>
      <w:pStyle w:val="Tablebullet-Level1"/>
      <w:lvlText w:val=""/>
      <w:lvlJc w:val="left"/>
      <w:pPr>
        <w:ind w:left="360" w:hanging="360"/>
      </w:pPr>
      <w:rPr>
        <w:rFonts w:ascii="Symbol" w:hAnsi="Symbol" w:hint="default"/>
        <w:color w:val="AB0F14" w:themeColor="text1"/>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1" w15:restartNumberingAfterBreak="0">
    <w:nsid w:val="63917BB9"/>
    <w:multiLevelType w:val="multilevel"/>
    <w:tmpl w:val="4E5C847A"/>
    <w:name w:val="PwCListNumbers12"/>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32" w15:restartNumberingAfterBreak="0">
    <w:nsid w:val="6E1F7CC9"/>
    <w:multiLevelType w:val="hybridMultilevel"/>
    <w:tmpl w:val="1646C9A0"/>
    <w:lvl w:ilvl="0" w:tplc="B680BA64">
      <w:start w:val="1"/>
      <w:numFmt w:val="decimal"/>
      <w:pStyle w:val="Tablelist-Numbered"/>
      <w:lvlText w:val="%1."/>
      <w:lvlJc w:val="left"/>
      <w:pPr>
        <w:ind w:left="394" w:hanging="360"/>
      </w:pPr>
      <w:rPr>
        <w:rFonts w:hint="default"/>
        <w:b/>
        <w:i w:val="0"/>
        <w:color w:val="AB0F14"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pStyle w:val="Endmatter-Heading2"/>
      <w:lvlText w:val="%1.%2."/>
      <w:lvlJc w:val="left"/>
      <w:pPr>
        <w:ind w:left="907" w:hanging="907"/>
      </w:pPr>
      <w:rPr>
        <w:rFonts w:hint="default"/>
      </w:rPr>
    </w:lvl>
    <w:lvl w:ilvl="2">
      <w:start w:val="1"/>
      <w:numFmt w:val="decimal"/>
      <w:pStyle w:val="Endmatter-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8DF4546"/>
    <w:multiLevelType w:val="hybridMultilevel"/>
    <w:tmpl w:val="81C49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FE70DA"/>
    <w:multiLevelType w:val="hybridMultilevel"/>
    <w:tmpl w:val="455C6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285F09"/>
    <w:multiLevelType w:val="multilevel"/>
    <w:tmpl w:val="BEBCBB64"/>
    <w:styleLink w:val="BCRnumberedlist"/>
    <w:lvl w:ilvl="0">
      <w:start w:val="1"/>
      <w:numFmt w:val="decimal"/>
      <w:lvlText w:val="%1"/>
      <w:lvlJc w:val="left"/>
      <w:pPr>
        <w:ind w:left="720" w:hanging="360"/>
      </w:pPr>
      <w:rPr>
        <w:rFonts w:asciiTheme="minorHAnsi" w:hAnsiTheme="minorHAnsi" w:hint="default"/>
        <w:sz w:val="22"/>
      </w:rPr>
    </w:lvl>
    <w:lvl w:ilvl="1">
      <w:start w:val="1"/>
      <w:numFmt w:val="lowerLetter"/>
      <w:lvlText w:val="%2"/>
      <w:lvlJc w:val="left"/>
      <w:pPr>
        <w:ind w:left="1440" w:hanging="360"/>
      </w:pPr>
      <w:rPr>
        <w:rFonts w:asciiTheme="minorHAnsi" w:hAnsiTheme="minorHAnsi" w:cs="Courier New" w:hint="default"/>
        <w:sz w:val="22"/>
      </w:rPr>
    </w:lvl>
    <w:lvl w:ilvl="2">
      <w:start w:val="1"/>
      <w:numFmt w:val="lowerRoman"/>
      <w:lvlText w:val="%3"/>
      <w:lvlJc w:val="left"/>
      <w:pPr>
        <w:ind w:left="2160" w:hanging="360"/>
      </w:pPr>
      <w:rPr>
        <w:rFonts w:asciiTheme="minorHAnsi" w:hAnsiTheme="minorHAnsi" w:hint="default"/>
        <w:sz w:val="2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0"/>
  </w:num>
  <w:num w:numId="13">
    <w:abstractNumId w:val="25"/>
  </w:num>
  <w:num w:numId="14">
    <w:abstractNumId w:val="34"/>
  </w:num>
  <w:num w:numId="15">
    <w:abstractNumId w:val="32"/>
  </w:num>
  <w:num w:numId="16">
    <w:abstractNumId w:val="33"/>
  </w:num>
  <w:num w:numId="17">
    <w:abstractNumId w:val="10"/>
  </w:num>
  <w:num w:numId="18">
    <w:abstractNumId w:val="2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35"/>
  </w:num>
  <w:num w:numId="22">
    <w:abstractNumId w:val="11"/>
  </w:num>
  <w:num w:numId="23">
    <w:abstractNumId w:val="19"/>
  </w:num>
  <w:num w:numId="24">
    <w:abstractNumId w:val="14"/>
  </w:num>
  <w:num w:numId="25">
    <w:abstractNumId w:val="16"/>
  </w:num>
  <w:num w:numId="26">
    <w:abstractNumId w:val="23"/>
  </w:num>
  <w:num w:numId="27">
    <w:abstractNumId w:val="13"/>
  </w:num>
  <w:num w:numId="28">
    <w:abstractNumId w:val="28"/>
  </w:num>
  <w:num w:numId="29">
    <w:abstractNumId w:val="29"/>
  </w:num>
  <w:num w:numId="30">
    <w:abstractNumId w:val="31"/>
  </w:num>
  <w:num w:numId="31">
    <w:abstractNumId w:val="38"/>
  </w:num>
  <w:num w:numId="32">
    <w:abstractNumId w:val="18"/>
  </w:num>
  <w:num w:numId="33">
    <w:abstractNumId w:val="37"/>
  </w:num>
  <w:num w:numId="34">
    <w:abstractNumId w:val="26"/>
  </w:num>
  <w:num w:numId="35">
    <w:abstractNumId w:val="36"/>
  </w:num>
  <w:num w:numId="36">
    <w:abstractNumId w:val="21"/>
  </w:num>
  <w:num w:numId="37">
    <w:abstractNumId w:val="22"/>
  </w:num>
  <w:num w:numId="38">
    <w:abstractNumId w:val="15"/>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lickAndTypeStyle w:val="BodyText"/>
  <w:characterSpacingControl w:val="doNotCompress"/>
  <w:hdrShapeDefaults>
    <o:shapedefaults v:ext="edit" spidmax="18433"/>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586"/>
    <w:rsid w:val="0000179F"/>
    <w:rsid w:val="00002089"/>
    <w:rsid w:val="00002AA3"/>
    <w:rsid w:val="00002B0D"/>
    <w:rsid w:val="000047CD"/>
    <w:rsid w:val="00006E19"/>
    <w:rsid w:val="00006F87"/>
    <w:rsid w:val="0000704D"/>
    <w:rsid w:val="00007478"/>
    <w:rsid w:val="00007B8A"/>
    <w:rsid w:val="000100BE"/>
    <w:rsid w:val="00010C91"/>
    <w:rsid w:val="000110DE"/>
    <w:rsid w:val="0001191A"/>
    <w:rsid w:val="00012094"/>
    <w:rsid w:val="00012248"/>
    <w:rsid w:val="00012AE9"/>
    <w:rsid w:val="000131B2"/>
    <w:rsid w:val="00013855"/>
    <w:rsid w:val="00014393"/>
    <w:rsid w:val="000152CC"/>
    <w:rsid w:val="000159C9"/>
    <w:rsid w:val="00016127"/>
    <w:rsid w:val="000164FF"/>
    <w:rsid w:val="00017B31"/>
    <w:rsid w:val="00017C98"/>
    <w:rsid w:val="00017E32"/>
    <w:rsid w:val="00021E18"/>
    <w:rsid w:val="000223A5"/>
    <w:rsid w:val="00022B50"/>
    <w:rsid w:val="00023528"/>
    <w:rsid w:val="00023A8C"/>
    <w:rsid w:val="00024E7E"/>
    <w:rsid w:val="0002587A"/>
    <w:rsid w:val="00026060"/>
    <w:rsid w:val="0003075E"/>
    <w:rsid w:val="0003155B"/>
    <w:rsid w:val="00031ACA"/>
    <w:rsid w:val="00032710"/>
    <w:rsid w:val="00033C18"/>
    <w:rsid w:val="000360AD"/>
    <w:rsid w:val="00037AD6"/>
    <w:rsid w:val="00037CA9"/>
    <w:rsid w:val="000412CD"/>
    <w:rsid w:val="00041604"/>
    <w:rsid w:val="00042873"/>
    <w:rsid w:val="0004408C"/>
    <w:rsid w:val="0004449A"/>
    <w:rsid w:val="000462C1"/>
    <w:rsid w:val="00050750"/>
    <w:rsid w:val="0005092C"/>
    <w:rsid w:val="00050989"/>
    <w:rsid w:val="00051148"/>
    <w:rsid w:val="000521EF"/>
    <w:rsid w:val="00052217"/>
    <w:rsid w:val="00052EC8"/>
    <w:rsid w:val="00052F6B"/>
    <w:rsid w:val="0005309D"/>
    <w:rsid w:val="00053829"/>
    <w:rsid w:val="00053BDC"/>
    <w:rsid w:val="00054D3B"/>
    <w:rsid w:val="00054F1F"/>
    <w:rsid w:val="00055535"/>
    <w:rsid w:val="00056B35"/>
    <w:rsid w:val="00056B4A"/>
    <w:rsid w:val="000573A0"/>
    <w:rsid w:val="000603E6"/>
    <w:rsid w:val="00061F8D"/>
    <w:rsid w:val="0006249D"/>
    <w:rsid w:val="00062980"/>
    <w:rsid w:val="00063027"/>
    <w:rsid w:val="000637E2"/>
    <w:rsid w:val="00065352"/>
    <w:rsid w:val="0006653C"/>
    <w:rsid w:val="00066BB9"/>
    <w:rsid w:val="00067203"/>
    <w:rsid w:val="00067AD2"/>
    <w:rsid w:val="00067EEA"/>
    <w:rsid w:val="00070D7F"/>
    <w:rsid w:val="000720AB"/>
    <w:rsid w:val="0007225F"/>
    <w:rsid w:val="0007357C"/>
    <w:rsid w:val="00075D7A"/>
    <w:rsid w:val="00076380"/>
    <w:rsid w:val="0007787F"/>
    <w:rsid w:val="0008004E"/>
    <w:rsid w:val="00081606"/>
    <w:rsid w:val="00081631"/>
    <w:rsid w:val="000828B7"/>
    <w:rsid w:val="000837D7"/>
    <w:rsid w:val="00083BD0"/>
    <w:rsid w:val="0008417C"/>
    <w:rsid w:val="0008502C"/>
    <w:rsid w:val="000855F7"/>
    <w:rsid w:val="00086BE9"/>
    <w:rsid w:val="00087E23"/>
    <w:rsid w:val="00087E72"/>
    <w:rsid w:val="000905C3"/>
    <w:rsid w:val="0009060A"/>
    <w:rsid w:val="00090EDA"/>
    <w:rsid w:val="00091098"/>
    <w:rsid w:val="00091504"/>
    <w:rsid w:val="00091AB8"/>
    <w:rsid w:val="00092046"/>
    <w:rsid w:val="0009379A"/>
    <w:rsid w:val="000963A9"/>
    <w:rsid w:val="00096718"/>
    <w:rsid w:val="000974FD"/>
    <w:rsid w:val="00097EC1"/>
    <w:rsid w:val="000A13C3"/>
    <w:rsid w:val="000A2CCA"/>
    <w:rsid w:val="000A2EE5"/>
    <w:rsid w:val="000A3229"/>
    <w:rsid w:val="000A3632"/>
    <w:rsid w:val="000A36C3"/>
    <w:rsid w:val="000A4198"/>
    <w:rsid w:val="000A4478"/>
    <w:rsid w:val="000A545A"/>
    <w:rsid w:val="000A7F53"/>
    <w:rsid w:val="000B114C"/>
    <w:rsid w:val="000B3577"/>
    <w:rsid w:val="000B3A36"/>
    <w:rsid w:val="000B6D53"/>
    <w:rsid w:val="000B758F"/>
    <w:rsid w:val="000C0060"/>
    <w:rsid w:val="000C2441"/>
    <w:rsid w:val="000C26D2"/>
    <w:rsid w:val="000C28F5"/>
    <w:rsid w:val="000C29F5"/>
    <w:rsid w:val="000C3BB3"/>
    <w:rsid w:val="000C6BE4"/>
    <w:rsid w:val="000C6EA5"/>
    <w:rsid w:val="000D0D3B"/>
    <w:rsid w:val="000D1670"/>
    <w:rsid w:val="000D17E3"/>
    <w:rsid w:val="000D1844"/>
    <w:rsid w:val="000D18DD"/>
    <w:rsid w:val="000D1A93"/>
    <w:rsid w:val="000D41C2"/>
    <w:rsid w:val="000D4C2E"/>
    <w:rsid w:val="000D5283"/>
    <w:rsid w:val="000D5E3A"/>
    <w:rsid w:val="000D5E3B"/>
    <w:rsid w:val="000E01C6"/>
    <w:rsid w:val="000E03CD"/>
    <w:rsid w:val="000E0961"/>
    <w:rsid w:val="000E2323"/>
    <w:rsid w:val="000E30FC"/>
    <w:rsid w:val="000E33DB"/>
    <w:rsid w:val="000E4A7A"/>
    <w:rsid w:val="000E4FEC"/>
    <w:rsid w:val="000E739C"/>
    <w:rsid w:val="000E7483"/>
    <w:rsid w:val="000E74C3"/>
    <w:rsid w:val="000F0A6C"/>
    <w:rsid w:val="000F1795"/>
    <w:rsid w:val="000F2204"/>
    <w:rsid w:val="000F257B"/>
    <w:rsid w:val="000F2E50"/>
    <w:rsid w:val="000F30C3"/>
    <w:rsid w:val="000F31C5"/>
    <w:rsid w:val="000F429A"/>
    <w:rsid w:val="000F43F5"/>
    <w:rsid w:val="000F69E9"/>
    <w:rsid w:val="000F6A07"/>
    <w:rsid w:val="00100A92"/>
    <w:rsid w:val="0010272C"/>
    <w:rsid w:val="00102808"/>
    <w:rsid w:val="00102909"/>
    <w:rsid w:val="0010379E"/>
    <w:rsid w:val="001059EB"/>
    <w:rsid w:val="00107198"/>
    <w:rsid w:val="001103DB"/>
    <w:rsid w:val="00110510"/>
    <w:rsid w:val="001113F7"/>
    <w:rsid w:val="0011167D"/>
    <w:rsid w:val="00113957"/>
    <w:rsid w:val="00114A38"/>
    <w:rsid w:val="00115188"/>
    <w:rsid w:val="00116461"/>
    <w:rsid w:val="00116AA0"/>
    <w:rsid w:val="00116F10"/>
    <w:rsid w:val="00116FF7"/>
    <w:rsid w:val="0011700E"/>
    <w:rsid w:val="00117273"/>
    <w:rsid w:val="0012101A"/>
    <w:rsid w:val="00122D70"/>
    <w:rsid w:val="001240ED"/>
    <w:rsid w:val="0012427B"/>
    <w:rsid w:val="00125A47"/>
    <w:rsid w:val="001274F6"/>
    <w:rsid w:val="00130DCB"/>
    <w:rsid w:val="001310B2"/>
    <w:rsid w:val="001313C5"/>
    <w:rsid w:val="00131519"/>
    <w:rsid w:val="001326A9"/>
    <w:rsid w:val="00133178"/>
    <w:rsid w:val="00133D14"/>
    <w:rsid w:val="00134513"/>
    <w:rsid w:val="001348CD"/>
    <w:rsid w:val="00134A17"/>
    <w:rsid w:val="00135456"/>
    <w:rsid w:val="00136C8B"/>
    <w:rsid w:val="001373C7"/>
    <w:rsid w:val="001379ED"/>
    <w:rsid w:val="00137ADC"/>
    <w:rsid w:val="001406B6"/>
    <w:rsid w:val="00140C04"/>
    <w:rsid w:val="00141833"/>
    <w:rsid w:val="0014194F"/>
    <w:rsid w:val="00142167"/>
    <w:rsid w:val="00142D73"/>
    <w:rsid w:val="001435DB"/>
    <w:rsid w:val="00143825"/>
    <w:rsid w:val="00143C9B"/>
    <w:rsid w:val="001441A7"/>
    <w:rsid w:val="001446C8"/>
    <w:rsid w:val="00144809"/>
    <w:rsid w:val="00144838"/>
    <w:rsid w:val="00144DED"/>
    <w:rsid w:val="00145933"/>
    <w:rsid w:val="00146076"/>
    <w:rsid w:val="001471F5"/>
    <w:rsid w:val="00147A7A"/>
    <w:rsid w:val="00147E77"/>
    <w:rsid w:val="0015033C"/>
    <w:rsid w:val="001517A4"/>
    <w:rsid w:val="00152846"/>
    <w:rsid w:val="001571EB"/>
    <w:rsid w:val="00161D9F"/>
    <w:rsid w:val="00162282"/>
    <w:rsid w:val="00162724"/>
    <w:rsid w:val="001645D4"/>
    <w:rsid w:val="001648DF"/>
    <w:rsid w:val="00165B80"/>
    <w:rsid w:val="001660A0"/>
    <w:rsid w:val="0016610E"/>
    <w:rsid w:val="0016624A"/>
    <w:rsid w:val="0016625C"/>
    <w:rsid w:val="00171110"/>
    <w:rsid w:val="0017167C"/>
    <w:rsid w:val="00172565"/>
    <w:rsid w:val="001733DE"/>
    <w:rsid w:val="001737AC"/>
    <w:rsid w:val="001750E1"/>
    <w:rsid w:val="0017517F"/>
    <w:rsid w:val="00175547"/>
    <w:rsid w:val="00175B5B"/>
    <w:rsid w:val="00175E61"/>
    <w:rsid w:val="00177050"/>
    <w:rsid w:val="00180CE3"/>
    <w:rsid w:val="00181709"/>
    <w:rsid w:val="00183651"/>
    <w:rsid w:val="00185A6D"/>
    <w:rsid w:val="00185B74"/>
    <w:rsid w:val="00185BF3"/>
    <w:rsid w:val="001869BE"/>
    <w:rsid w:val="00192FC3"/>
    <w:rsid w:val="001945D7"/>
    <w:rsid w:val="00195094"/>
    <w:rsid w:val="00195A67"/>
    <w:rsid w:val="00196328"/>
    <w:rsid w:val="001968BF"/>
    <w:rsid w:val="001A08E0"/>
    <w:rsid w:val="001A357E"/>
    <w:rsid w:val="001A3739"/>
    <w:rsid w:val="001A5CDF"/>
    <w:rsid w:val="001A608F"/>
    <w:rsid w:val="001A6095"/>
    <w:rsid w:val="001A6448"/>
    <w:rsid w:val="001A694A"/>
    <w:rsid w:val="001A7825"/>
    <w:rsid w:val="001B12BE"/>
    <w:rsid w:val="001B3337"/>
    <w:rsid w:val="001B3A4C"/>
    <w:rsid w:val="001B6911"/>
    <w:rsid w:val="001B71B1"/>
    <w:rsid w:val="001B7A28"/>
    <w:rsid w:val="001B7EEF"/>
    <w:rsid w:val="001C08E2"/>
    <w:rsid w:val="001C28BD"/>
    <w:rsid w:val="001C3AF3"/>
    <w:rsid w:val="001C5E81"/>
    <w:rsid w:val="001C5FDD"/>
    <w:rsid w:val="001C61E7"/>
    <w:rsid w:val="001C7AF7"/>
    <w:rsid w:val="001C7F0B"/>
    <w:rsid w:val="001D0181"/>
    <w:rsid w:val="001D0602"/>
    <w:rsid w:val="001D0D2F"/>
    <w:rsid w:val="001D27C2"/>
    <w:rsid w:val="001D28B0"/>
    <w:rsid w:val="001D2D07"/>
    <w:rsid w:val="001D3C04"/>
    <w:rsid w:val="001D6C77"/>
    <w:rsid w:val="001D7096"/>
    <w:rsid w:val="001D7353"/>
    <w:rsid w:val="001D7699"/>
    <w:rsid w:val="001E0315"/>
    <w:rsid w:val="001E1570"/>
    <w:rsid w:val="001E2E05"/>
    <w:rsid w:val="001E4A27"/>
    <w:rsid w:val="001E5630"/>
    <w:rsid w:val="001E5833"/>
    <w:rsid w:val="001E6D48"/>
    <w:rsid w:val="001E703B"/>
    <w:rsid w:val="001F0A77"/>
    <w:rsid w:val="001F1CAC"/>
    <w:rsid w:val="001F2653"/>
    <w:rsid w:val="001F2ACC"/>
    <w:rsid w:val="001F36EA"/>
    <w:rsid w:val="001F400B"/>
    <w:rsid w:val="001F4346"/>
    <w:rsid w:val="001F54BE"/>
    <w:rsid w:val="001F5A2C"/>
    <w:rsid w:val="002000AB"/>
    <w:rsid w:val="002014E7"/>
    <w:rsid w:val="002026CC"/>
    <w:rsid w:val="002029A5"/>
    <w:rsid w:val="002031BD"/>
    <w:rsid w:val="002038E3"/>
    <w:rsid w:val="00203D85"/>
    <w:rsid w:val="0020457A"/>
    <w:rsid w:val="002051EC"/>
    <w:rsid w:val="00206373"/>
    <w:rsid w:val="0020753B"/>
    <w:rsid w:val="002109F3"/>
    <w:rsid w:val="0021168B"/>
    <w:rsid w:val="00211B11"/>
    <w:rsid w:val="00212C8F"/>
    <w:rsid w:val="00212D28"/>
    <w:rsid w:val="002131DB"/>
    <w:rsid w:val="002137D0"/>
    <w:rsid w:val="002140A8"/>
    <w:rsid w:val="00215247"/>
    <w:rsid w:val="0021574F"/>
    <w:rsid w:val="00215DB3"/>
    <w:rsid w:val="00216E9C"/>
    <w:rsid w:val="00217134"/>
    <w:rsid w:val="002212B4"/>
    <w:rsid w:val="00221456"/>
    <w:rsid w:val="002220D5"/>
    <w:rsid w:val="00224EA3"/>
    <w:rsid w:val="0022510C"/>
    <w:rsid w:val="00227647"/>
    <w:rsid w:val="00230003"/>
    <w:rsid w:val="002300C6"/>
    <w:rsid w:val="00230177"/>
    <w:rsid w:val="002304DE"/>
    <w:rsid w:val="00230F08"/>
    <w:rsid w:val="002324C0"/>
    <w:rsid w:val="0023275B"/>
    <w:rsid w:val="00232931"/>
    <w:rsid w:val="00233A44"/>
    <w:rsid w:val="00233F72"/>
    <w:rsid w:val="00235BBB"/>
    <w:rsid w:val="00235F66"/>
    <w:rsid w:val="00236409"/>
    <w:rsid w:val="002407FD"/>
    <w:rsid w:val="0024133E"/>
    <w:rsid w:val="002424AB"/>
    <w:rsid w:val="002434E8"/>
    <w:rsid w:val="002440EF"/>
    <w:rsid w:val="00244B19"/>
    <w:rsid w:val="002516FD"/>
    <w:rsid w:val="00251D8A"/>
    <w:rsid w:val="00254122"/>
    <w:rsid w:val="002542CE"/>
    <w:rsid w:val="0025457D"/>
    <w:rsid w:val="002547E2"/>
    <w:rsid w:val="002555CB"/>
    <w:rsid w:val="0025632B"/>
    <w:rsid w:val="002566E1"/>
    <w:rsid w:val="00256E94"/>
    <w:rsid w:val="00257840"/>
    <w:rsid w:val="00261078"/>
    <w:rsid w:val="00261DD8"/>
    <w:rsid w:val="002675D5"/>
    <w:rsid w:val="002703B5"/>
    <w:rsid w:val="002711E3"/>
    <w:rsid w:val="002714B8"/>
    <w:rsid w:val="00271B2E"/>
    <w:rsid w:val="00272918"/>
    <w:rsid w:val="00273A97"/>
    <w:rsid w:val="002740DD"/>
    <w:rsid w:val="00274AFF"/>
    <w:rsid w:val="002752C7"/>
    <w:rsid w:val="00275331"/>
    <w:rsid w:val="002760DC"/>
    <w:rsid w:val="0027624B"/>
    <w:rsid w:val="002766AA"/>
    <w:rsid w:val="002776C2"/>
    <w:rsid w:val="00280911"/>
    <w:rsid w:val="002810BE"/>
    <w:rsid w:val="00281192"/>
    <w:rsid w:val="00282BBA"/>
    <w:rsid w:val="00283FBD"/>
    <w:rsid w:val="0028442C"/>
    <w:rsid w:val="00284B24"/>
    <w:rsid w:val="00285022"/>
    <w:rsid w:val="0028527D"/>
    <w:rsid w:val="00287514"/>
    <w:rsid w:val="00287A6D"/>
    <w:rsid w:val="00290D1D"/>
    <w:rsid w:val="00290D6A"/>
    <w:rsid w:val="0029112D"/>
    <w:rsid w:val="00291E45"/>
    <w:rsid w:val="00292145"/>
    <w:rsid w:val="00292710"/>
    <w:rsid w:val="00293013"/>
    <w:rsid w:val="00294230"/>
    <w:rsid w:val="00296931"/>
    <w:rsid w:val="00297EC1"/>
    <w:rsid w:val="002A1752"/>
    <w:rsid w:val="002A1EDF"/>
    <w:rsid w:val="002A36F8"/>
    <w:rsid w:val="002A4425"/>
    <w:rsid w:val="002A49B4"/>
    <w:rsid w:val="002A52B3"/>
    <w:rsid w:val="002A69C4"/>
    <w:rsid w:val="002A6FA7"/>
    <w:rsid w:val="002A7854"/>
    <w:rsid w:val="002A7D93"/>
    <w:rsid w:val="002B02B0"/>
    <w:rsid w:val="002B0A4A"/>
    <w:rsid w:val="002B0E7C"/>
    <w:rsid w:val="002B1297"/>
    <w:rsid w:val="002B1D37"/>
    <w:rsid w:val="002B2622"/>
    <w:rsid w:val="002B2E0E"/>
    <w:rsid w:val="002B3724"/>
    <w:rsid w:val="002B3949"/>
    <w:rsid w:val="002B4380"/>
    <w:rsid w:val="002B50F0"/>
    <w:rsid w:val="002B59B1"/>
    <w:rsid w:val="002B654A"/>
    <w:rsid w:val="002B7DDF"/>
    <w:rsid w:val="002C0114"/>
    <w:rsid w:val="002C12C7"/>
    <w:rsid w:val="002C171C"/>
    <w:rsid w:val="002C196D"/>
    <w:rsid w:val="002C1CCD"/>
    <w:rsid w:val="002C246F"/>
    <w:rsid w:val="002C42F7"/>
    <w:rsid w:val="002C4DEC"/>
    <w:rsid w:val="002C6011"/>
    <w:rsid w:val="002C65F8"/>
    <w:rsid w:val="002C72F2"/>
    <w:rsid w:val="002D1E08"/>
    <w:rsid w:val="002D2394"/>
    <w:rsid w:val="002D3172"/>
    <w:rsid w:val="002D348C"/>
    <w:rsid w:val="002D4786"/>
    <w:rsid w:val="002D4ED5"/>
    <w:rsid w:val="002D6113"/>
    <w:rsid w:val="002D7397"/>
    <w:rsid w:val="002D7AD5"/>
    <w:rsid w:val="002E04F2"/>
    <w:rsid w:val="002E088C"/>
    <w:rsid w:val="002E0E62"/>
    <w:rsid w:val="002E14F8"/>
    <w:rsid w:val="002E187E"/>
    <w:rsid w:val="002E2136"/>
    <w:rsid w:val="002E259C"/>
    <w:rsid w:val="002E2AD1"/>
    <w:rsid w:val="002E3121"/>
    <w:rsid w:val="002E3839"/>
    <w:rsid w:val="002E3D09"/>
    <w:rsid w:val="002E4953"/>
    <w:rsid w:val="002E57C3"/>
    <w:rsid w:val="002E624D"/>
    <w:rsid w:val="002E66D9"/>
    <w:rsid w:val="002E6728"/>
    <w:rsid w:val="002E7C4C"/>
    <w:rsid w:val="002F0E26"/>
    <w:rsid w:val="002F2809"/>
    <w:rsid w:val="002F30D1"/>
    <w:rsid w:val="002F38B4"/>
    <w:rsid w:val="002F3D38"/>
    <w:rsid w:val="002F659A"/>
    <w:rsid w:val="002F730A"/>
    <w:rsid w:val="002F7DAC"/>
    <w:rsid w:val="00301762"/>
    <w:rsid w:val="00301886"/>
    <w:rsid w:val="00301BA1"/>
    <w:rsid w:val="00302513"/>
    <w:rsid w:val="0030267C"/>
    <w:rsid w:val="003027E8"/>
    <w:rsid w:val="003030C8"/>
    <w:rsid w:val="00303D8E"/>
    <w:rsid w:val="00303F9F"/>
    <w:rsid w:val="00305583"/>
    <w:rsid w:val="00305E9C"/>
    <w:rsid w:val="003077B3"/>
    <w:rsid w:val="003078B6"/>
    <w:rsid w:val="00311A3E"/>
    <w:rsid w:val="00312E25"/>
    <w:rsid w:val="003140DD"/>
    <w:rsid w:val="00314397"/>
    <w:rsid w:val="00315083"/>
    <w:rsid w:val="003150A7"/>
    <w:rsid w:val="00315A71"/>
    <w:rsid w:val="00316793"/>
    <w:rsid w:val="00316DF7"/>
    <w:rsid w:val="003179E4"/>
    <w:rsid w:val="00321FF4"/>
    <w:rsid w:val="003221D3"/>
    <w:rsid w:val="003222CA"/>
    <w:rsid w:val="00323603"/>
    <w:rsid w:val="00324FC0"/>
    <w:rsid w:val="00326AF6"/>
    <w:rsid w:val="0032777C"/>
    <w:rsid w:val="00331A2D"/>
    <w:rsid w:val="003328DC"/>
    <w:rsid w:val="00332A4E"/>
    <w:rsid w:val="00333235"/>
    <w:rsid w:val="0033352B"/>
    <w:rsid w:val="00337937"/>
    <w:rsid w:val="00340620"/>
    <w:rsid w:val="003412AE"/>
    <w:rsid w:val="003415DB"/>
    <w:rsid w:val="00341856"/>
    <w:rsid w:val="003429E8"/>
    <w:rsid w:val="00342E05"/>
    <w:rsid w:val="003436BE"/>
    <w:rsid w:val="00344579"/>
    <w:rsid w:val="00347F53"/>
    <w:rsid w:val="003501C3"/>
    <w:rsid w:val="00350F8A"/>
    <w:rsid w:val="00351922"/>
    <w:rsid w:val="00352C74"/>
    <w:rsid w:val="00354545"/>
    <w:rsid w:val="00355167"/>
    <w:rsid w:val="00355DBD"/>
    <w:rsid w:val="00355E1A"/>
    <w:rsid w:val="00356C39"/>
    <w:rsid w:val="003576AB"/>
    <w:rsid w:val="003600D8"/>
    <w:rsid w:val="00360600"/>
    <w:rsid w:val="00360955"/>
    <w:rsid w:val="00361DEB"/>
    <w:rsid w:val="0036256D"/>
    <w:rsid w:val="00362626"/>
    <w:rsid w:val="00363C16"/>
    <w:rsid w:val="00365577"/>
    <w:rsid w:val="00365856"/>
    <w:rsid w:val="00365D23"/>
    <w:rsid w:val="00366A90"/>
    <w:rsid w:val="0036795A"/>
    <w:rsid w:val="00371118"/>
    <w:rsid w:val="0037122D"/>
    <w:rsid w:val="00371507"/>
    <w:rsid w:val="003719C6"/>
    <w:rsid w:val="0037206C"/>
    <w:rsid w:val="003729BB"/>
    <w:rsid w:val="003732D6"/>
    <w:rsid w:val="00374865"/>
    <w:rsid w:val="003748B8"/>
    <w:rsid w:val="0037493F"/>
    <w:rsid w:val="00374BEE"/>
    <w:rsid w:val="003754DA"/>
    <w:rsid w:val="00375729"/>
    <w:rsid w:val="00375904"/>
    <w:rsid w:val="00375FD5"/>
    <w:rsid w:val="00376131"/>
    <w:rsid w:val="00377D08"/>
    <w:rsid w:val="00377E72"/>
    <w:rsid w:val="00381840"/>
    <w:rsid w:val="00382CF3"/>
    <w:rsid w:val="003836B2"/>
    <w:rsid w:val="00383FE5"/>
    <w:rsid w:val="00384030"/>
    <w:rsid w:val="003854EB"/>
    <w:rsid w:val="00386B32"/>
    <w:rsid w:val="0038703C"/>
    <w:rsid w:val="00387EDD"/>
    <w:rsid w:val="00387F77"/>
    <w:rsid w:val="0039172C"/>
    <w:rsid w:val="00395256"/>
    <w:rsid w:val="003965E6"/>
    <w:rsid w:val="00396851"/>
    <w:rsid w:val="00396C13"/>
    <w:rsid w:val="003A030B"/>
    <w:rsid w:val="003A2480"/>
    <w:rsid w:val="003A2847"/>
    <w:rsid w:val="003A460E"/>
    <w:rsid w:val="003A5812"/>
    <w:rsid w:val="003A6270"/>
    <w:rsid w:val="003A6C68"/>
    <w:rsid w:val="003A73F2"/>
    <w:rsid w:val="003B011F"/>
    <w:rsid w:val="003B07CC"/>
    <w:rsid w:val="003B09B4"/>
    <w:rsid w:val="003B10E7"/>
    <w:rsid w:val="003B4198"/>
    <w:rsid w:val="003B47A8"/>
    <w:rsid w:val="003B6B72"/>
    <w:rsid w:val="003B709A"/>
    <w:rsid w:val="003B7D1C"/>
    <w:rsid w:val="003C1689"/>
    <w:rsid w:val="003C1CEC"/>
    <w:rsid w:val="003C1EF9"/>
    <w:rsid w:val="003C1F63"/>
    <w:rsid w:val="003C2CCD"/>
    <w:rsid w:val="003C2EDC"/>
    <w:rsid w:val="003C317B"/>
    <w:rsid w:val="003C3B40"/>
    <w:rsid w:val="003C4572"/>
    <w:rsid w:val="003C59D2"/>
    <w:rsid w:val="003C6FB6"/>
    <w:rsid w:val="003C77BB"/>
    <w:rsid w:val="003D07F8"/>
    <w:rsid w:val="003D16EE"/>
    <w:rsid w:val="003D1FD8"/>
    <w:rsid w:val="003D3350"/>
    <w:rsid w:val="003D37ED"/>
    <w:rsid w:val="003D3E0C"/>
    <w:rsid w:val="003D5C20"/>
    <w:rsid w:val="003D7130"/>
    <w:rsid w:val="003D73A0"/>
    <w:rsid w:val="003D7469"/>
    <w:rsid w:val="003E054A"/>
    <w:rsid w:val="003E147D"/>
    <w:rsid w:val="003E2075"/>
    <w:rsid w:val="003E7204"/>
    <w:rsid w:val="003E76AE"/>
    <w:rsid w:val="003F008F"/>
    <w:rsid w:val="003F0B60"/>
    <w:rsid w:val="003F5F39"/>
    <w:rsid w:val="003F7019"/>
    <w:rsid w:val="003F7A06"/>
    <w:rsid w:val="004011CF"/>
    <w:rsid w:val="0040182E"/>
    <w:rsid w:val="00401868"/>
    <w:rsid w:val="0040197B"/>
    <w:rsid w:val="004023FF"/>
    <w:rsid w:val="0040407A"/>
    <w:rsid w:val="00404250"/>
    <w:rsid w:val="004047C7"/>
    <w:rsid w:val="00404CC5"/>
    <w:rsid w:val="00406B55"/>
    <w:rsid w:val="00407E9C"/>
    <w:rsid w:val="004115C4"/>
    <w:rsid w:val="004132D9"/>
    <w:rsid w:val="004144FC"/>
    <w:rsid w:val="004158C0"/>
    <w:rsid w:val="004158FE"/>
    <w:rsid w:val="00416259"/>
    <w:rsid w:val="00416890"/>
    <w:rsid w:val="00416983"/>
    <w:rsid w:val="00420201"/>
    <w:rsid w:val="00420512"/>
    <w:rsid w:val="00420A68"/>
    <w:rsid w:val="00420CF9"/>
    <w:rsid w:val="00420E17"/>
    <w:rsid w:val="0042318F"/>
    <w:rsid w:val="004233EF"/>
    <w:rsid w:val="00425D66"/>
    <w:rsid w:val="004265F1"/>
    <w:rsid w:val="00427C25"/>
    <w:rsid w:val="004314C5"/>
    <w:rsid w:val="004330E1"/>
    <w:rsid w:val="0043357A"/>
    <w:rsid w:val="0043428A"/>
    <w:rsid w:val="00436978"/>
    <w:rsid w:val="00442674"/>
    <w:rsid w:val="004430E0"/>
    <w:rsid w:val="00445E68"/>
    <w:rsid w:val="00446217"/>
    <w:rsid w:val="00450A62"/>
    <w:rsid w:val="00451A16"/>
    <w:rsid w:val="00451B36"/>
    <w:rsid w:val="004530F3"/>
    <w:rsid w:val="00454F49"/>
    <w:rsid w:val="00456454"/>
    <w:rsid w:val="00457679"/>
    <w:rsid w:val="00460C68"/>
    <w:rsid w:val="00460CCC"/>
    <w:rsid w:val="00460CF0"/>
    <w:rsid w:val="00462967"/>
    <w:rsid w:val="004630A5"/>
    <w:rsid w:val="00463403"/>
    <w:rsid w:val="0046384E"/>
    <w:rsid w:val="00463E24"/>
    <w:rsid w:val="00465197"/>
    <w:rsid w:val="0046573E"/>
    <w:rsid w:val="004668E5"/>
    <w:rsid w:val="00470BEF"/>
    <w:rsid w:val="00473033"/>
    <w:rsid w:val="00474C80"/>
    <w:rsid w:val="00474CFF"/>
    <w:rsid w:val="00475283"/>
    <w:rsid w:val="004752FD"/>
    <w:rsid w:val="004755A0"/>
    <w:rsid w:val="0047586F"/>
    <w:rsid w:val="00475B5A"/>
    <w:rsid w:val="00480FFE"/>
    <w:rsid w:val="00481CA5"/>
    <w:rsid w:val="0048290A"/>
    <w:rsid w:val="0048336F"/>
    <w:rsid w:val="00483640"/>
    <w:rsid w:val="00485D2F"/>
    <w:rsid w:val="00487B3C"/>
    <w:rsid w:val="00490073"/>
    <w:rsid w:val="004902C0"/>
    <w:rsid w:val="00490D83"/>
    <w:rsid w:val="004916C9"/>
    <w:rsid w:val="004919FA"/>
    <w:rsid w:val="00491E4D"/>
    <w:rsid w:val="00492917"/>
    <w:rsid w:val="00494196"/>
    <w:rsid w:val="00494C33"/>
    <w:rsid w:val="00494C6A"/>
    <w:rsid w:val="0049537C"/>
    <w:rsid w:val="00495556"/>
    <w:rsid w:val="00495850"/>
    <w:rsid w:val="00496966"/>
    <w:rsid w:val="00496B4A"/>
    <w:rsid w:val="00496CC6"/>
    <w:rsid w:val="00497190"/>
    <w:rsid w:val="004A0E30"/>
    <w:rsid w:val="004A12CB"/>
    <w:rsid w:val="004A2A58"/>
    <w:rsid w:val="004A2B0F"/>
    <w:rsid w:val="004A60DE"/>
    <w:rsid w:val="004A6B4F"/>
    <w:rsid w:val="004A7B90"/>
    <w:rsid w:val="004A7DC6"/>
    <w:rsid w:val="004B082C"/>
    <w:rsid w:val="004B123F"/>
    <w:rsid w:val="004B3462"/>
    <w:rsid w:val="004B38F4"/>
    <w:rsid w:val="004B47F1"/>
    <w:rsid w:val="004B5B79"/>
    <w:rsid w:val="004B6004"/>
    <w:rsid w:val="004C1B25"/>
    <w:rsid w:val="004C2009"/>
    <w:rsid w:val="004C42E0"/>
    <w:rsid w:val="004C5758"/>
    <w:rsid w:val="004C5E66"/>
    <w:rsid w:val="004C5F74"/>
    <w:rsid w:val="004C6FCE"/>
    <w:rsid w:val="004C7F98"/>
    <w:rsid w:val="004D0723"/>
    <w:rsid w:val="004D09FD"/>
    <w:rsid w:val="004D0C52"/>
    <w:rsid w:val="004D140F"/>
    <w:rsid w:val="004D1B22"/>
    <w:rsid w:val="004D1FBC"/>
    <w:rsid w:val="004D2FF8"/>
    <w:rsid w:val="004D410D"/>
    <w:rsid w:val="004D4F3B"/>
    <w:rsid w:val="004D68BA"/>
    <w:rsid w:val="004D7040"/>
    <w:rsid w:val="004D7662"/>
    <w:rsid w:val="004D7971"/>
    <w:rsid w:val="004E1F67"/>
    <w:rsid w:val="004E3D04"/>
    <w:rsid w:val="004E452B"/>
    <w:rsid w:val="004E4EE4"/>
    <w:rsid w:val="004E5017"/>
    <w:rsid w:val="004E5A10"/>
    <w:rsid w:val="004E74AD"/>
    <w:rsid w:val="004F013C"/>
    <w:rsid w:val="004F0874"/>
    <w:rsid w:val="004F144C"/>
    <w:rsid w:val="004F265C"/>
    <w:rsid w:val="004F2831"/>
    <w:rsid w:val="004F3115"/>
    <w:rsid w:val="004F3FEB"/>
    <w:rsid w:val="004F4A50"/>
    <w:rsid w:val="004F56AE"/>
    <w:rsid w:val="004F57C5"/>
    <w:rsid w:val="004F5EBC"/>
    <w:rsid w:val="004F61E6"/>
    <w:rsid w:val="004F73BF"/>
    <w:rsid w:val="004F7EFB"/>
    <w:rsid w:val="0050081C"/>
    <w:rsid w:val="0050310A"/>
    <w:rsid w:val="005034C8"/>
    <w:rsid w:val="005049FA"/>
    <w:rsid w:val="00504FFB"/>
    <w:rsid w:val="00505054"/>
    <w:rsid w:val="005051EA"/>
    <w:rsid w:val="00506799"/>
    <w:rsid w:val="00506886"/>
    <w:rsid w:val="00506E8B"/>
    <w:rsid w:val="00511985"/>
    <w:rsid w:val="00513EC0"/>
    <w:rsid w:val="00514D03"/>
    <w:rsid w:val="00515C61"/>
    <w:rsid w:val="00515FA1"/>
    <w:rsid w:val="00516109"/>
    <w:rsid w:val="0051735F"/>
    <w:rsid w:val="00521411"/>
    <w:rsid w:val="0052165F"/>
    <w:rsid w:val="0052231E"/>
    <w:rsid w:val="00523194"/>
    <w:rsid w:val="00523468"/>
    <w:rsid w:val="00525002"/>
    <w:rsid w:val="00525441"/>
    <w:rsid w:val="005262E9"/>
    <w:rsid w:val="0052764B"/>
    <w:rsid w:val="005276F2"/>
    <w:rsid w:val="0053034A"/>
    <w:rsid w:val="00530F16"/>
    <w:rsid w:val="00531FD0"/>
    <w:rsid w:val="005334C6"/>
    <w:rsid w:val="00533634"/>
    <w:rsid w:val="0053392B"/>
    <w:rsid w:val="00533A33"/>
    <w:rsid w:val="005340CD"/>
    <w:rsid w:val="005357E0"/>
    <w:rsid w:val="0053678D"/>
    <w:rsid w:val="00536851"/>
    <w:rsid w:val="00536B27"/>
    <w:rsid w:val="00536CD6"/>
    <w:rsid w:val="005375FF"/>
    <w:rsid w:val="005413EB"/>
    <w:rsid w:val="0054424D"/>
    <w:rsid w:val="00544835"/>
    <w:rsid w:val="00545856"/>
    <w:rsid w:val="00546FEE"/>
    <w:rsid w:val="00547219"/>
    <w:rsid w:val="00547891"/>
    <w:rsid w:val="005514CC"/>
    <w:rsid w:val="005519C8"/>
    <w:rsid w:val="00552075"/>
    <w:rsid w:val="005525AD"/>
    <w:rsid w:val="00552865"/>
    <w:rsid w:val="005528F4"/>
    <w:rsid w:val="005529F8"/>
    <w:rsid w:val="00552FDF"/>
    <w:rsid w:val="00553111"/>
    <w:rsid w:val="00553430"/>
    <w:rsid w:val="00554D27"/>
    <w:rsid w:val="0055556C"/>
    <w:rsid w:val="00555642"/>
    <w:rsid w:val="00555CC5"/>
    <w:rsid w:val="005568E1"/>
    <w:rsid w:val="0055786E"/>
    <w:rsid w:val="00557E28"/>
    <w:rsid w:val="005601A6"/>
    <w:rsid w:val="005605CA"/>
    <w:rsid w:val="005609CE"/>
    <w:rsid w:val="0056137E"/>
    <w:rsid w:val="00561469"/>
    <w:rsid w:val="0056147E"/>
    <w:rsid w:val="0056164F"/>
    <w:rsid w:val="0056234B"/>
    <w:rsid w:val="00562688"/>
    <w:rsid w:val="00565706"/>
    <w:rsid w:val="005657D6"/>
    <w:rsid w:val="005666EC"/>
    <w:rsid w:val="00566AF3"/>
    <w:rsid w:val="00566BE3"/>
    <w:rsid w:val="005670DA"/>
    <w:rsid w:val="00572734"/>
    <w:rsid w:val="00572F19"/>
    <w:rsid w:val="00573740"/>
    <w:rsid w:val="00573A23"/>
    <w:rsid w:val="00573E44"/>
    <w:rsid w:val="00576421"/>
    <w:rsid w:val="00576784"/>
    <w:rsid w:val="00580189"/>
    <w:rsid w:val="00581394"/>
    <w:rsid w:val="00581ED1"/>
    <w:rsid w:val="00582046"/>
    <w:rsid w:val="00582AEF"/>
    <w:rsid w:val="00582DDD"/>
    <w:rsid w:val="00583203"/>
    <w:rsid w:val="00583EFE"/>
    <w:rsid w:val="00584E4D"/>
    <w:rsid w:val="00585261"/>
    <w:rsid w:val="0058580F"/>
    <w:rsid w:val="00585983"/>
    <w:rsid w:val="00586A1D"/>
    <w:rsid w:val="00586B8F"/>
    <w:rsid w:val="0058764D"/>
    <w:rsid w:val="00587CB3"/>
    <w:rsid w:val="005910BC"/>
    <w:rsid w:val="00592A8C"/>
    <w:rsid w:val="005931D5"/>
    <w:rsid w:val="00593A5A"/>
    <w:rsid w:val="00593D17"/>
    <w:rsid w:val="00593FCB"/>
    <w:rsid w:val="005940E4"/>
    <w:rsid w:val="00595214"/>
    <w:rsid w:val="0059604A"/>
    <w:rsid w:val="005A1504"/>
    <w:rsid w:val="005A1F51"/>
    <w:rsid w:val="005A2111"/>
    <w:rsid w:val="005A2133"/>
    <w:rsid w:val="005A2471"/>
    <w:rsid w:val="005A2FCC"/>
    <w:rsid w:val="005A50CC"/>
    <w:rsid w:val="005A51D1"/>
    <w:rsid w:val="005A5C22"/>
    <w:rsid w:val="005A61C2"/>
    <w:rsid w:val="005A74DD"/>
    <w:rsid w:val="005A7FB1"/>
    <w:rsid w:val="005B0317"/>
    <w:rsid w:val="005B0642"/>
    <w:rsid w:val="005B066E"/>
    <w:rsid w:val="005B0B07"/>
    <w:rsid w:val="005B0D63"/>
    <w:rsid w:val="005B13D8"/>
    <w:rsid w:val="005B1A71"/>
    <w:rsid w:val="005B3C93"/>
    <w:rsid w:val="005B590A"/>
    <w:rsid w:val="005B5AD7"/>
    <w:rsid w:val="005B63A4"/>
    <w:rsid w:val="005B6974"/>
    <w:rsid w:val="005B7C7C"/>
    <w:rsid w:val="005C010B"/>
    <w:rsid w:val="005C0AA2"/>
    <w:rsid w:val="005C1353"/>
    <w:rsid w:val="005C15AD"/>
    <w:rsid w:val="005C2DF9"/>
    <w:rsid w:val="005C3B80"/>
    <w:rsid w:val="005C469B"/>
    <w:rsid w:val="005C4C80"/>
    <w:rsid w:val="005C4E76"/>
    <w:rsid w:val="005C512C"/>
    <w:rsid w:val="005C521F"/>
    <w:rsid w:val="005C5D6F"/>
    <w:rsid w:val="005D0620"/>
    <w:rsid w:val="005D24F7"/>
    <w:rsid w:val="005D2CEF"/>
    <w:rsid w:val="005D37A4"/>
    <w:rsid w:val="005D3ED8"/>
    <w:rsid w:val="005D458A"/>
    <w:rsid w:val="005D5928"/>
    <w:rsid w:val="005D6905"/>
    <w:rsid w:val="005D69D5"/>
    <w:rsid w:val="005D6F29"/>
    <w:rsid w:val="005D78B3"/>
    <w:rsid w:val="005D7A4D"/>
    <w:rsid w:val="005E08D9"/>
    <w:rsid w:val="005E1D3F"/>
    <w:rsid w:val="005E2A2B"/>
    <w:rsid w:val="005E3D36"/>
    <w:rsid w:val="005E3D8B"/>
    <w:rsid w:val="005E46F8"/>
    <w:rsid w:val="005E675E"/>
    <w:rsid w:val="005E7961"/>
    <w:rsid w:val="005F0C9F"/>
    <w:rsid w:val="005F14E2"/>
    <w:rsid w:val="005F2095"/>
    <w:rsid w:val="005F4397"/>
    <w:rsid w:val="005F4CC1"/>
    <w:rsid w:val="005F4EA9"/>
    <w:rsid w:val="005F5909"/>
    <w:rsid w:val="005F5D5F"/>
    <w:rsid w:val="005F5EC5"/>
    <w:rsid w:val="005F6006"/>
    <w:rsid w:val="005F703E"/>
    <w:rsid w:val="005F7142"/>
    <w:rsid w:val="005F76E9"/>
    <w:rsid w:val="0060009F"/>
    <w:rsid w:val="006000EA"/>
    <w:rsid w:val="00600295"/>
    <w:rsid w:val="00600543"/>
    <w:rsid w:val="0060071D"/>
    <w:rsid w:val="0060094F"/>
    <w:rsid w:val="006019ED"/>
    <w:rsid w:val="00603136"/>
    <w:rsid w:val="006031B6"/>
    <w:rsid w:val="0060459D"/>
    <w:rsid w:val="0060536F"/>
    <w:rsid w:val="00606672"/>
    <w:rsid w:val="0060740C"/>
    <w:rsid w:val="006075E3"/>
    <w:rsid w:val="00607EAB"/>
    <w:rsid w:val="00610EA1"/>
    <w:rsid w:val="00612BAF"/>
    <w:rsid w:val="006133FB"/>
    <w:rsid w:val="006138EA"/>
    <w:rsid w:val="006139F5"/>
    <w:rsid w:val="0061574C"/>
    <w:rsid w:val="006164B2"/>
    <w:rsid w:val="006164F4"/>
    <w:rsid w:val="00616E8C"/>
    <w:rsid w:val="00617129"/>
    <w:rsid w:val="0061796E"/>
    <w:rsid w:val="006179FC"/>
    <w:rsid w:val="00617F84"/>
    <w:rsid w:val="006208DC"/>
    <w:rsid w:val="006208E3"/>
    <w:rsid w:val="00621282"/>
    <w:rsid w:val="00622248"/>
    <w:rsid w:val="006225B5"/>
    <w:rsid w:val="00623C20"/>
    <w:rsid w:val="006241BB"/>
    <w:rsid w:val="0062447E"/>
    <w:rsid w:val="00625C5B"/>
    <w:rsid w:val="0062669F"/>
    <w:rsid w:val="00627D35"/>
    <w:rsid w:val="00631047"/>
    <w:rsid w:val="00631D69"/>
    <w:rsid w:val="00632867"/>
    <w:rsid w:val="00632F8D"/>
    <w:rsid w:val="0063405D"/>
    <w:rsid w:val="006347A1"/>
    <w:rsid w:val="0063701C"/>
    <w:rsid w:val="006370AA"/>
    <w:rsid w:val="00637263"/>
    <w:rsid w:val="006416FF"/>
    <w:rsid w:val="006428F3"/>
    <w:rsid w:val="00643C9F"/>
    <w:rsid w:val="006440B6"/>
    <w:rsid w:val="006452D6"/>
    <w:rsid w:val="006455A8"/>
    <w:rsid w:val="00645929"/>
    <w:rsid w:val="0064709C"/>
    <w:rsid w:val="0064787A"/>
    <w:rsid w:val="006516E6"/>
    <w:rsid w:val="006518A7"/>
    <w:rsid w:val="006529A5"/>
    <w:rsid w:val="006529BA"/>
    <w:rsid w:val="00652CFE"/>
    <w:rsid w:val="006534BB"/>
    <w:rsid w:val="00654CF1"/>
    <w:rsid w:val="00654FD9"/>
    <w:rsid w:val="006554D5"/>
    <w:rsid w:val="00657CE7"/>
    <w:rsid w:val="00657CF5"/>
    <w:rsid w:val="00660079"/>
    <w:rsid w:val="00660206"/>
    <w:rsid w:val="00660256"/>
    <w:rsid w:val="00660CAE"/>
    <w:rsid w:val="00660D51"/>
    <w:rsid w:val="00660F6D"/>
    <w:rsid w:val="00661402"/>
    <w:rsid w:val="006622AD"/>
    <w:rsid w:val="0066274F"/>
    <w:rsid w:val="00663FC3"/>
    <w:rsid w:val="00663FDE"/>
    <w:rsid w:val="00664C5D"/>
    <w:rsid w:val="00665016"/>
    <w:rsid w:val="00666562"/>
    <w:rsid w:val="00667070"/>
    <w:rsid w:val="006675E3"/>
    <w:rsid w:val="0066765E"/>
    <w:rsid w:val="00667BCC"/>
    <w:rsid w:val="00670428"/>
    <w:rsid w:val="00670AA8"/>
    <w:rsid w:val="00671B82"/>
    <w:rsid w:val="0067276D"/>
    <w:rsid w:val="00672D96"/>
    <w:rsid w:val="00673AED"/>
    <w:rsid w:val="00673ECD"/>
    <w:rsid w:val="00674539"/>
    <w:rsid w:val="006760A8"/>
    <w:rsid w:val="0067614A"/>
    <w:rsid w:val="00676B0C"/>
    <w:rsid w:val="00677870"/>
    <w:rsid w:val="0068058D"/>
    <w:rsid w:val="00680980"/>
    <w:rsid w:val="00682EB9"/>
    <w:rsid w:val="0068335F"/>
    <w:rsid w:val="00684306"/>
    <w:rsid w:val="006849EC"/>
    <w:rsid w:val="0068566E"/>
    <w:rsid w:val="00686586"/>
    <w:rsid w:val="006867ED"/>
    <w:rsid w:val="00686D28"/>
    <w:rsid w:val="0068731A"/>
    <w:rsid w:val="006917CB"/>
    <w:rsid w:val="00692A54"/>
    <w:rsid w:val="006943E2"/>
    <w:rsid w:val="00694A08"/>
    <w:rsid w:val="006A0A12"/>
    <w:rsid w:val="006A0C6D"/>
    <w:rsid w:val="006A1A29"/>
    <w:rsid w:val="006A239B"/>
    <w:rsid w:val="006A2A0D"/>
    <w:rsid w:val="006A3186"/>
    <w:rsid w:val="006A48BC"/>
    <w:rsid w:val="006A530A"/>
    <w:rsid w:val="006A583E"/>
    <w:rsid w:val="006A723B"/>
    <w:rsid w:val="006B0869"/>
    <w:rsid w:val="006B0B3D"/>
    <w:rsid w:val="006B1919"/>
    <w:rsid w:val="006B30A7"/>
    <w:rsid w:val="006B4835"/>
    <w:rsid w:val="006B71B1"/>
    <w:rsid w:val="006C0739"/>
    <w:rsid w:val="006C121E"/>
    <w:rsid w:val="006C1E20"/>
    <w:rsid w:val="006C2458"/>
    <w:rsid w:val="006C276D"/>
    <w:rsid w:val="006C31C1"/>
    <w:rsid w:val="006C3F75"/>
    <w:rsid w:val="006C444C"/>
    <w:rsid w:val="006C4B85"/>
    <w:rsid w:val="006C4DCC"/>
    <w:rsid w:val="006C4F73"/>
    <w:rsid w:val="006C51A3"/>
    <w:rsid w:val="006C5977"/>
    <w:rsid w:val="006C6336"/>
    <w:rsid w:val="006C67C1"/>
    <w:rsid w:val="006C7184"/>
    <w:rsid w:val="006D03DF"/>
    <w:rsid w:val="006D0EE3"/>
    <w:rsid w:val="006D2118"/>
    <w:rsid w:val="006D257D"/>
    <w:rsid w:val="006D3754"/>
    <w:rsid w:val="006D37F1"/>
    <w:rsid w:val="006D3E2B"/>
    <w:rsid w:val="006D4BB8"/>
    <w:rsid w:val="006D538F"/>
    <w:rsid w:val="006D5B66"/>
    <w:rsid w:val="006D63FF"/>
    <w:rsid w:val="006D68D7"/>
    <w:rsid w:val="006E0A37"/>
    <w:rsid w:val="006E0F03"/>
    <w:rsid w:val="006E4438"/>
    <w:rsid w:val="006E4CAF"/>
    <w:rsid w:val="006E675C"/>
    <w:rsid w:val="006F0637"/>
    <w:rsid w:val="006F14F5"/>
    <w:rsid w:val="006F1744"/>
    <w:rsid w:val="006F27A7"/>
    <w:rsid w:val="006F34AD"/>
    <w:rsid w:val="006F3F9C"/>
    <w:rsid w:val="006F4932"/>
    <w:rsid w:val="006F4CD7"/>
    <w:rsid w:val="006F55F2"/>
    <w:rsid w:val="006F56CF"/>
    <w:rsid w:val="006F5DC4"/>
    <w:rsid w:val="006F609A"/>
    <w:rsid w:val="006F60C4"/>
    <w:rsid w:val="006F6B18"/>
    <w:rsid w:val="006F709E"/>
    <w:rsid w:val="006F732F"/>
    <w:rsid w:val="006F75ED"/>
    <w:rsid w:val="006F7EE6"/>
    <w:rsid w:val="00701840"/>
    <w:rsid w:val="00702F4E"/>
    <w:rsid w:val="00704692"/>
    <w:rsid w:val="00705279"/>
    <w:rsid w:val="007068B6"/>
    <w:rsid w:val="00706B31"/>
    <w:rsid w:val="00707186"/>
    <w:rsid w:val="00707C16"/>
    <w:rsid w:val="00711228"/>
    <w:rsid w:val="00711B92"/>
    <w:rsid w:val="00711EDC"/>
    <w:rsid w:val="00711FBB"/>
    <w:rsid w:val="0071237E"/>
    <w:rsid w:val="0071244A"/>
    <w:rsid w:val="00712494"/>
    <w:rsid w:val="00713058"/>
    <w:rsid w:val="00713069"/>
    <w:rsid w:val="00714467"/>
    <w:rsid w:val="00715CCC"/>
    <w:rsid w:val="0071737A"/>
    <w:rsid w:val="00720996"/>
    <w:rsid w:val="00721523"/>
    <w:rsid w:val="007228E5"/>
    <w:rsid w:val="00722D56"/>
    <w:rsid w:val="00724411"/>
    <w:rsid w:val="00724766"/>
    <w:rsid w:val="007248D0"/>
    <w:rsid w:val="0072514A"/>
    <w:rsid w:val="00726FD7"/>
    <w:rsid w:val="00727A68"/>
    <w:rsid w:val="00730106"/>
    <w:rsid w:val="007307AE"/>
    <w:rsid w:val="00731BC9"/>
    <w:rsid w:val="007321A6"/>
    <w:rsid w:val="00732349"/>
    <w:rsid w:val="00733B33"/>
    <w:rsid w:val="00734179"/>
    <w:rsid w:val="00735A2E"/>
    <w:rsid w:val="00736183"/>
    <w:rsid w:val="0073618D"/>
    <w:rsid w:val="00736904"/>
    <w:rsid w:val="007375B8"/>
    <w:rsid w:val="007412CC"/>
    <w:rsid w:val="00741998"/>
    <w:rsid w:val="00741D04"/>
    <w:rsid w:val="0074299B"/>
    <w:rsid w:val="00742AC1"/>
    <w:rsid w:val="007433F5"/>
    <w:rsid w:val="00743406"/>
    <w:rsid w:val="00744554"/>
    <w:rsid w:val="007448AD"/>
    <w:rsid w:val="00744B79"/>
    <w:rsid w:val="00744FC1"/>
    <w:rsid w:val="007452E2"/>
    <w:rsid w:val="007453BE"/>
    <w:rsid w:val="00745B19"/>
    <w:rsid w:val="00745D2C"/>
    <w:rsid w:val="00747D41"/>
    <w:rsid w:val="00750C0D"/>
    <w:rsid w:val="00750E87"/>
    <w:rsid w:val="00751D32"/>
    <w:rsid w:val="00752334"/>
    <w:rsid w:val="007529AF"/>
    <w:rsid w:val="00753ED8"/>
    <w:rsid w:val="00754116"/>
    <w:rsid w:val="007541B3"/>
    <w:rsid w:val="00754685"/>
    <w:rsid w:val="00754D97"/>
    <w:rsid w:val="007558FE"/>
    <w:rsid w:val="00757088"/>
    <w:rsid w:val="00757667"/>
    <w:rsid w:val="00757985"/>
    <w:rsid w:val="00757E19"/>
    <w:rsid w:val="00760546"/>
    <w:rsid w:val="00761490"/>
    <w:rsid w:val="007618B1"/>
    <w:rsid w:val="00761C27"/>
    <w:rsid w:val="007635CF"/>
    <w:rsid w:val="00763CB1"/>
    <w:rsid w:val="00765D4C"/>
    <w:rsid w:val="00766D1A"/>
    <w:rsid w:val="0076719D"/>
    <w:rsid w:val="0076744B"/>
    <w:rsid w:val="00771A66"/>
    <w:rsid w:val="00772BC7"/>
    <w:rsid w:val="00773EE6"/>
    <w:rsid w:val="00774128"/>
    <w:rsid w:val="00775063"/>
    <w:rsid w:val="00775AFD"/>
    <w:rsid w:val="00775ED3"/>
    <w:rsid w:val="007763AF"/>
    <w:rsid w:val="00776D36"/>
    <w:rsid w:val="00776EBF"/>
    <w:rsid w:val="007776A5"/>
    <w:rsid w:val="0078043C"/>
    <w:rsid w:val="00783B04"/>
    <w:rsid w:val="0078447F"/>
    <w:rsid w:val="00785009"/>
    <w:rsid w:val="00785226"/>
    <w:rsid w:val="0078563F"/>
    <w:rsid w:val="00787CC9"/>
    <w:rsid w:val="00790268"/>
    <w:rsid w:val="007904CB"/>
    <w:rsid w:val="0079152F"/>
    <w:rsid w:val="007925FF"/>
    <w:rsid w:val="00793493"/>
    <w:rsid w:val="0079365F"/>
    <w:rsid w:val="00793C6B"/>
    <w:rsid w:val="00793D02"/>
    <w:rsid w:val="00793DC9"/>
    <w:rsid w:val="007940E0"/>
    <w:rsid w:val="00794CC5"/>
    <w:rsid w:val="00795C56"/>
    <w:rsid w:val="00795C66"/>
    <w:rsid w:val="00797523"/>
    <w:rsid w:val="007A1010"/>
    <w:rsid w:val="007A43D8"/>
    <w:rsid w:val="007A4990"/>
    <w:rsid w:val="007A5091"/>
    <w:rsid w:val="007A5BBF"/>
    <w:rsid w:val="007A5C0F"/>
    <w:rsid w:val="007A5D7A"/>
    <w:rsid w:val="007A626A"/>
    <w:rsid w:val="007B2BBA"/>
    <w:rsid w:val="007B3232"/>
    <w:rsid w:val="007B36D9"/>
    <w:rsid w:val="007B3C81"/>
    <w:rsid w:val="007B451A"/>
    <w:rsid w:val="007B46C2"/>
    <w:rsid w:val="007B6AFA"/>
    <w:rsid w:val="007B72F4"/>
    <w:rsid w:val="007B7408"/>
    <w:rsid w:val="007C00A3"/>
    <w:rsid w:val="007C1013"/>
    <w:rsid w:val="007C1A87"/>
    <w:rsid w:val="007C1C9D"/>
    <w:rsid w:val="007C2233"/>
    <w:rsid w:val="007C2953"/>
    <w:rsid w:val="007C3012"/>
    <w:rsid w:val="007C5C5D"/>
    <w:rsid w:val="007C66E2"/>
    <w:rsid w:val="007C78F6"/>
    <w:rsid w:val="007C7BB2"/>
    <w:rsid w:val="007D0D31"/>
    <w:rsid w:val="007D30AE"/>
    <w:rsid w:val="007D4647"/>
    <w:rsid w:val="007D4898"/>
    <w:rsid w:val="007D4D9F"/>
    <w:rsid w:val="007D4F68"/>
    <w:rsid w:val="007D6751"/>
    <w:rsid w:val="007D6EC3"/>
    <w:rsid w:val="007D7AB4"/>
    <w:rsid w:val="007E01B6"/>
    <w:rsid w:val="007E04AA"/>
    <w:rsid w:val="007E12AF"/>
    <w:rsid w:val="007E1F48"/>
    <w:rsid w:val="007E24E9"/>
    <w:rsid w:val="007E399D"/>
    <w:rsid w:val="007E3BF4"/>
    <w:rsid w:val="007E3F57"/>
    <w:rsid w:val="007E4240"/>
    <w:rsid w:val="007E5162"/>
    <w:rsid w:val="007E5270"/>
    <w:rsid w:val="007E559E"/>
    <w:rsid w:val="007E631B"/>
    <w:rsid w:val="007E6F10"/>
    <w:rsid w:val="007E77FD"/>
    <w:rsid w:val="007F1685"/>
    <w:rsid w:val="007F172C"/>
    <w:rsid w:val="007F2842"/>
    <w:rsid w:val="007F2BEF"/>
    <w:rsid w:val="007F3335"/>
    <w:rsid w:val="007F42AD"/>
    <w:rsid w:val="007F501C"/>
    <w:rsid w:val="007F52B8"/>
    <w:rsid w:val="007F695F"/>
    <w:rsid w:val="007F734C"/>
    <w:rsid w:val="008006A2"/>
    <w:rsid w:val="008009C1"/>
    <w:rsid w:val="00801599"/>
    <w:rsid w:val="00801938"/>
    <w:rsid w:val="00801B9F"/>
    <w:rsid w:val="00801BF4"/>
    <w:rsid w:val="008034E2"/>
    <w:rsid w:val="008042EC"/>
    <w:rsid w:val="0080561B"/>
    <w:rsid w:val="00806A0D"/>
    <w:rsid w:val="00807802"/>
    <w:rsid w:val="00807B07"/>
    <w:rsid w:val="00811D35"/>
    <w:rsid w:val="00811F2B"/>
    <w:rsid w:val="00812379"/>
    <w:rsid w:val="008123BE"/>
    <w:rsid w:val="00815C15"/>
    <w:rsid w:val="00816FC5"/>
    <w:rsid w:val="008207B7"/>
    <w:rsid w:val="008215C6"/>
    <w:rsid w:val="00822D48"/>
    <w:rsid w:val="008275F8"/>
    <w:rsid w:val="008277E0"/>
    <w:rsid w:val="008314F3"/>
    <w:rsid w:val="00831DD3"/>
    <w:rsid w:val="00832B32"/>
    <w:rsid w:val="00832E6C"/>
    <w:rsid w:val="00833D13"/>
    <w:rsid w:val="00834673"/>
    <w:rsid w:val="008346A1"/>
    <w:rsid w:val="00834AC7"/>
    <w:rsid w:val="008361FF"/>
    <w:rsid w:val="00836D12"/>
    <w:rsid w:val="008374C6"/>
    <w:rsid w:val="00837BDD"/>
    <w:rsid w:val="00840685"/>
    <w:rsid w:val="00840E11"/>
    <w:rsid w:val="008412F4"/>
    <w:rsid w:val="0084209E"/>
    <w:rsid w:val="008426B8"/>
    <w:rsid w:val="00842F47"/>
    <w:rsid w:val="008434DF"/>
    <w:rsid w:val="00843B74"/>
    <w:rsid w:val="008444AE"/>
    <w:rsid w:val="00844B44"/>
    <w:rsid w:val="00845806"/>
    <w:rsid w:val="00845FC1"/>
    <w:rsid w:val="00846DDD"/>
    <w:rsid w:val="008477D9"/>
    <w:rsid w:val="00850AE0"/>
    <w:rsid w:val="0085129E"/>
    <w:rsid w:val="00851EF1"/>
    <w:rsid w:val="00854B75"/>
    <w:rsid w:val="00855EC7"/>
    <w:rsid w:val="00855F18"/>
    <w:rsid w:val="00856660"/>
    <w:rsid w:val="00860D5B"/>
    <w:rsid w:val="0086427F"/>
    <w:rsid w:val="00864A1D"/>
    <w:rsid w:val="00865175"/>
    <w:rsid w:val="00866A71"/>
    <w:rsid w:val="00866C13"/>
    <w:rsid w:val="00870078"/>
    <w:rsid w:val="00873A91"/>
    <w:rsid w:val="008741A3"/>
    <w:rsid w:val="00874602"/>
    <w:rsid w:val="00876805"/>
    <w:rsid w:val="00877121"/>
    <w:rsid w:val="0087712F"/>
    <w:rsid w:val="008771E7"/>
    <w:rsid w:val="0088042C"/>
    <w:rsid w:val="008822B8"/>
    <w:rsid w:val="008825AB"/>
    <w:rsid w:val="008828C2"/>
    <w:rsid w:val="00883CD1"/>
    <w:rsid w:val="0088434E"/>
    <w:rsid w:val="008845F2"/>
    <w:rsid w:val="00884B44"/>
    <w:rsid w:val="008856F3"/>
    <w:rsid w:val="008868DD"/>
    <w:rsid w:val="0088699A"/>
    <w:rsid w:val="008906E0"/>
    <w:rsid w:val="00890918"/>
    <w:rsid w:val="00891B01"/>
    <w:rsid w:val="00892230"/>
    <w:rsid w:val="008935CF"/>
    <w:rsid w:val="00894026"/>
    <w:rsid w:val="00894099"/>
    <w:rsid w:val="00894463"/>
    <w:rsid w:val="00894CA6"/>
    <w:rsid w:val="008954CD"/>
    <w:rsid w:val="008960A4"/>
    <w:rsid w:val="008979D0"/>
    <w:rsid w:val="008A045F"/>
    <w:rsid w:val="008A135A"/>
    <w:rsid w:val="008A1A86"/>
    <w:rsid w:val="008A2C1D"/>
    <w:rsid w:val="008A2E55"/>
    <w:rsid w:val="008A4138"/>
    <w:rsid w:val="008A4299"/>
    <w:rsid w:val="008A4C87"/>
    <w:rsid w:val="008A4CCA"/>
    <w:rsid w:val="008A5663"/>
    <w:rsid w:val="008A5A1F"/>
    <w:rsid w:val="008A5F9E"/>
    <w:rsid w:val="008A6569"/>
    <w:rsid w:val="008A688B"/>
    <w:rsid w:val="008A726B"/>
    <w:rsid w:val="008A7886"/>
    <w:rsid w:val="008B0F3B"/>
    <w:rsid w:val="008B5061"/>
    <w:rsid w:val="008B5201"/>
    <w:rsid w:val="008B5292"/>
    <w:rsid w:val="008B5AC6"/>
    <w:rsid w:val="008B5AE4"/>
    <w:rsid w:val="008B5C55"/>
    <w:rsid w:val="008B6181"/>
    <w:rsid w:val="008B64C6"/>
    <w:rsid w:val="008B663D"/>
    <w:rsid w:val="008C0EDA"/>
    <w:rsid w:val="008C1E44"/>
    <w:rsid w:val="008C2565"/>
    <w:rsid w:val="008C2FF8"/>
    <w:rsid w:val="008C328F"/>
    <w:rsid w:val="008C4962"/>
    <w:rsid w:val="008C5217"/>
    <w:rsid w:val="008C6265"/>
    <w:rsid w:val="008C62B3"/>
    <w:rsid w:val="008C6446"/>
    <w:rsid w:val="008C71A2"/>
    <w:rsid w:val="008C7365"/>
    <w:rsid w:val="008D04C8"/>
    <w:rsid w:val="008D0A94"/>
    <w:rsid w:val="008D3C32"/>
    <w:rsid w:val="008D5429"/>
    <w:rsid w:val="008D5CD2"/>
    <w:rsid w:val="008D6296"/>
    <w:rsid w:val="008D6C13"/>
    <w:rsid w:val="008D734D"/>
    <w:rsid w:val="008E0426"/>
    <w:rsid w:val="008E093E"/>
    <w:rsid w:val="008E1F28"/>
    <w:rsid w:val="008E3784"/>
    <w:rsid w:val="008E4011"/>
    <w:rsid w:val="008E54A3"/>
    <w:rsid w:val="008E5B3A"/>
    <w:rsid w:val="008E6714"/>
    <w:rsid w:val="008E698A"/>
    <w:rsid w:val="008E7037"/>
    <w:rsid w:val="008E7135"/>
    <w:rsid w:val="008F0466"/>
    <w:rsid w:val="008F1751"/>
    <w:rsid w:val="008F202E"/>
    <w:rsid w:val="008F23A9"/>
    <w:rsid w:val="008F2563"/>
    <w:rsid w:val="008F3090"/>
    <w:rsid w:val="008F3116"/>
    <w:rsid w:val="008F3A84"/>
    <w:rsid w:val="008F56C8"/>
    <w:rsid w:val="008F57AB"/>
    <w:rsid w:val="008F67C9"/>
    <w:rsid w:val="008F769E"/>
    <w:rsid w:val="008F79D5"/>
    <w:rsid w:val="009011CC"/>
    <w:rsid w:val="009011FD"/>
    <w:rsid w:val="0090275E"/>
    <w:rsid w:val="009027A7"/>
    <w:rsid w:val="0090298D"/>
    <w:rsid w:val="00903209"/>
    <w:rsid w:val="00903332"/>
    <w:rsid w:val="00903F2C"/>
    <w:rsid w:val="009044A1"/>
    <w:rsid w:val="00905338"/>
    <w:rsid w:val="009056F4"/>
    <w:rsid w:val="00905857"/>
    <w:rsid w:val="00905C1A"/>
    <w:rsid w:val="009079E8"/>
    <w:rsid w:val="00907B8F"/>
    <w:rsid w:val="0091032C"/>
    <w:rsid w:val="00910CF3"/>
    <w:rsid w:val="00911334"/>
    <w:rsid w:val="00911D68"/>
    <w:rsid w:val="00912F44"/>
    <w:rsid w:val="00913A28"/>
    <w:rsid w:val="0091401C"/>
    <w:rsid w:val="00914DE7"/>
    <w:rsid w:val="009153B8"/>
    <w:rsid w:val="00915DCA"/>
    <w:rsid w:val="009161F8"/>
    <w:rsid w:val="009166DF"/>
    <w:rsid w:val="009178D5"/>
    <w:rsid w:val="00917D6E"/>
    <w:rsid w:val="00917F43"/>
    <w:rsid w:val="009213C8"/>
    <w:rsid w:val="00921C60"/>
    <w:rsid w:val="00921E6E"/>
    <w:rsid w:val="00922601"/>
    <w:rsid w:val="009230B9"/>
    <w:rsid w:val="00923247"/>
    <w:rsid w:val="009241F7"/>
    <w:rsid w:val="009245E7"/>
    <w:rsid w:val="00924705"/>
    <w:rsid w:val="009257A9"/>
    <w:rsid w:val="00925898"/>
    <w:rsid w:val="00930118"/>
    <w:rsid w:val="00931636"/>
    <w:rsid w:val="00934E3E"/>
    <w:rsid w:val="00935738"/>
    <w:rsid w:val="009367DA"/>
    <w:rsid w:val="0094033C"/>
    <w:rsid w:val="009405EE"/>
    <w:rsid w:val="009436A5"/>
    <w:rsid w:val="009439F5"/>
    <w:rsid w:val="009462B0"/>
    <w:rsid w:val="00946AB7"/>
    <w:rsid w:val="00950909"/>
    <w:rsid w:val="00950CF0"/>
    <w:rsid w:val="00950EB2"/>
    <w:rsid w:val="00952DDB"/>
    <w:rsid w:val="00953DF6"/>
    <w:rsid w:val="0095424F"/>
    <w:rsid w:val="009558F5"/>
    <w:rsid w:val="00956926"/>
    <w:rsid w:val="009576F6"/>
    <w:rsid w:val="00957AC4"/>
    <w:rsid w:val="009613C1"/>
    <w:rsid w:val="00963640"/>
    <w:rsid w:val="00965F4F"/>
    <w:rsid w:val="00966C35"/>
    <w:rsid w:val="00967A10"/>
    <w:rsid w:val="009704C4"/>
    <w:rsid w:val="0097080C"/>
    <w:rsid w:val="00974C74"/>
    <w:rsid w:val="00974F7C"/>
    <w:rsid w:val="009757C4"/>
    <w:rsid w:val="00975EDB"/>
    <w:rsid w:val="00975F79"/>
    <w:rsid w:val="00975FF9"/>
    <w:rsid w:val="009769CD"/>
    <w:rsid w:val="009770DF"/>
    <w:rsid w:val="00977631"/>
    <w:rsid w:val="00977A1B"/>
    <w:rsid w:val="00977C55"/>
    <w:rsid w:val="00977DD5"/>
    <w:rsid w:val="009807B6"/>
    <w:rsid w:val="00980D67"/>
    <w:rsid w:val="00982AB6"/>
    <w:rsid w:val="00982AFF"/>
    <w:rsid w:val="009860E9"/>
    <w:rsid w:val="0099003C"/>
    <w:rsid w:val="00990C67"/>
    <w:rsid w:val="00991019"/>
    <w:rsid w:val="00991352"/>
    <w:rsid w:val="00992BF5"/>
    <w:rsid w:val="00992DD1"/>
    <w:rsid w:val="00993247"/>
    <w:rsid w:val="0099429C"/>
    <w:rsid w:val="00994C08"/>
    <w:rsid w:val="00994D92"/>
    <w:rsid w:val="00995309"/>
    <w:rsid w:val="0099539A"/>
    <w:rsid w:val="00995756"/>
    <w:rsid w:val="009957AE"/>
    <w:rsid w:val="00995C8F"/>
    <w:rsid w:val="00995D2D"/>
    <w:rsid w:val="00997443"/>
    <w:rsid w:val="009A0772"/>
    <w:rsid w:val="009A07A6"/>
    <w:rsid w:val="009A2198"/>
    <w:rsid w:val="009A2ADC"/>
    <w:rsid w:val="009A502E"/>
    <w:rsid w:val="009A7EFC"/>
    <w:rsid w:val="009B0C0D"/>
    <w:rsid w:val="009B1144"/>
    <w:rsid w:val="009B1F97"/>
    <w:rsid w:val="009B25C7"/>
    <w:rsid w:val="009B32C8"/>
    <w:rsid w:val="009B3DEC"/>
    <w:rsid w:val="009B3F29"/>
    <w:rsid w:val="009B4A31"/>
    <w:rsid w:val="009B78E1"/>
    <w:rsid w:val="009C00A7"/>
    <w:rsid w:val="009C12BD"/>
    <w:rsid w:val="009C1549"/>
    <w:rsid w:val="009C1F11"/>
    <w:rsid w:val="009C2270"/>
    <w:rsid w:val="009C2553"/>
    <w:rsid w:val="009C327E"/>
    <w:rsid w:val="009C3294"/>
    <w:rsid w:val="009C455B"/>
    <w:rsid w:val="009C48ED"/>
    <w:rsid w:val="009C5A23"/>
    <w:rsid w:val="009C637F"/>
    <w:rsid w:val="009C63BB"/>
    <w:rsid w:val="009C6C5C"/>
    <w:rsid w:val="009C73A1"/>
    <w:rsid w:val="009C7D05"/>
    <w:rsid w:val="009D1122"/>
    <w:rsid w:val="009D1195"/>
    <w:rsid w:val="009D1CF5"/>
    <w:rsid w:val="009D2B76"/>
    <w:rsid w:val="009D3FD3"/>
    <w:rsid w:val="009D4257"/>
    <w:rsid w:val="009D43D2"/>
    <w:rsid w:val="009D544E"/>
    <w:rsid w:val="009D611E"/>
    <w:rsid w:val="009D74F1"/>
    <w:rsid w:val="009D75C7"/>
    <w:rsid w:val="009D7D1B"/>
    <w:rsid w:val="009D7E84"/>
    <w:rsid w:val="009D7EA8"/>
    <w:rsid w:val="009E262F"/>
    <w:rsid w:val="009E37E6"/>
    <w:rsid w:val="009E3F79"/>
    <w:rsid w:val="009E4FE6"/>
    <w:rsid w:val="009E62F1"/>
    <w:rsid w:val="009E697F"/>
    <w:rsid w:val="009E6F37"/>
    <w:rsid w:val="009E7988"/>
    <w:rsid w:val="009F002D"/>
    <w:rsid w:val="009F1735"/>
    <w:rsid w:val="009F1D8A"/>
    <w:rsid w:val="009F2E6D"/>
    <w:rsid w:val="009F33BC"/>
    <w:rsid w:val="009F37A7"/>
    <w:rsid w:val="009F4DAD"/>
    <w:rsid w:val="009F4E28"/>
    <w:rsid w:val="009F5056"/>
    <w:rsid w:val="009F6305"/>
    <w:rsid w:val="00A00909"/>
    <w:rsid w:val="00A01342"/>
    <w:rsid w:val="00A0161F"/>
    <w:rsid w:val="00A02144"/>
    <w:rsid w:val="00A0215F"/>
    <w:rsid w:val="00A0350D"/>
    <w:rsid w:val="00A038F9"/>
    <w:rsid w:val="00A0420F"/>
    <w:rsid w:val="00A04EC4"/>
    <w:rsid w:val="00A0507C"/>
    <w:rsid w:val="00A052AF"/>
    <w:rsid w:val="00A05B0F"/>
    <w:rsid w:val="00A05B1F"/>
    <w:rsid w:val="00A063E8"/>
    <w:rsid w:val="00A06B99"/>
    <w:rsid w:val="00A06DA4"/>
    <w:rsid w:val="00A070DD"/>
    <w:rsid w:val="00A0772D"/>
    <w:rsid w:val="00A100B3"/>
    <w:rsid w:val="00A11B38"/>
    <w:rsid w:val="00A11CC1"/>
    <w:rsid w:val="00A12BF2"/>
    <w:rsid w:val="00A12DD3"/>
    <w:rsid w:val="00A141AC"/>
    <w:rsid w:val="00A154AE"/>
    <w:rsid w:val="00A17716"/>
    <w:rsid w:val="00A1777E"/>
    <w:rsid w:val="00A20DA2"/>
    <w:rsid w:val="00A212AC"/>
    <w:rsid w:val="00A21C9F"/>
    <w:rsid w:val="00A21D07"/>
    <w:rsid w:val="00A21F0B"/>
    <w:rsid w:val="00A22CEB"/>
    <w:rsid w:val="00A2383F"/>
    <w:rsid w:val="00A23D00"/>
    <w:rsid w:val="00A243CD"/>
    <w:rsid w:val="00A24DDD"/>
    <w:rsid w:val="00A273E9"/>
    <w:rsid w:val="00A30782"/>
    <w:rsid w:val="00A30B5B"/>
    <w:rsid w:val="00A31136"/>
    <w:rsid w:val="00A311B3"/>
    <w:rsid w:val="00A31BB7"/>
    <w:rsid w:val="00A322C9"/>
    <w:rsid w:val="00A3268C"/>
    <w:rsid w:val="00A33F09"/>
    <w:rsid w:val="00A34761"/>
    <w:rsid w:val="00A35A67"/>
    <w:rsid w:val="00A36189"/>
    <w:rsid w:val="00A376B6"/>
    <w:rsid w:val="00A37E0D"/>
    <w:rsid w:val="00A37E12"/>
    <w:rsid w:val="00A4034F"/>
    <w:rsid w:val="00A40B9A"/>
    <w:rsid w:val="00A40D4A"/>
    <w:rsid w:val="00A410AC"/>
    <w:rsid w:val="00A433D1"/>
    <w:rsid w:val="00A460D9"/>
    <w:rsid w:val="00A4689C"/>
    <w:rsid w:val="00A46955"/>
    <w:rsid w:val="00A46963"/>
    <w:rsid w:val="00A4711D"/>
    <w:rsid w:val="00A471F0"/>
    <w:rsid w:val="00A47819"/>
    <w:rsid w:val="00A47F37"/>
    <w:rsid w:val="00A50B23"/>
    <w:rsid w:val="00A50CCA"/>
    <w:rsid w:val="00A513CC"/>
    <w:rsid w:val="00A51CC8"/>
    <w:rsid w:val="00A5254D"/>
    <w:rsid w:val="00A52637"/>
    <w:rsid w:val="00A5358F"/>
    <w:rsid w:val="00A537C7"/>
    <w:rsid w:val="00A545AC"/>
    <w:rsid w:val="00A54DFA"/>
    <w:rsid w:val="00A550DE"/>
    <w:rsid w:val="00A5558F"/>
    <w:rsid w:val="00A55B5F"/>
    <w:rsid w:val="00A55CA8"/>
    <w:rsid w:val="00A57436"/>
    <w:rsid w:val="00A57CAB"/>
    <w:rsid w:val="00A57FCF"/>
    <w:rsid w:val="00A57FFE"/>
    <w:rsid w:val="00A600C4"/>
    <w:rsid w:val="00A60119"/>
    <w:rsid w:val="00A61238"/>
    <w:rsid w:val="00A622DC"/>
    <w:rsid w:val="00A6258B"/>
    <w:rsid w:val="00A64A33"/>
    <w:rsid w:val="00A66655"/>
    <w:rsid w:val="00A67DEB"/>
    <w:rsid w:val="00A67FF8"/>
    <w:rsid w:val="00A71364"/>
    <w:rsid w:val="00A71572"/>
    <w:rsid w:val="00A71585"/>
    <w:rsid w:val="00A72ACA"/>
    <w:rsid w:val="00A74BA2"/>
    <w:rsid w:val="00A74C67"/>
    <w:rsid w:val="00A75653"/>
    <w:rsid w:val="00A75916"/>
    <w:rsid w:val="00A75925"/>
    <w:rsid w:val="00A76828"/>
    <w:rsid w:val="00A802CF"/>
    <w:rsid w:val="00A8031E"/>
    <w:rsid w:val="00A80D9B"/>
    <w:rsid w:val="00A810F1"/>
    <w:rsid w:val="00A8293B"/>
    <w:rsid w:val="00A840BC"/>
    <w:rsid w:val="00A84525"/>
    <w:rsid w:val="00A84613"/>
    <w:rsid w:val="00A854C2"/>
    <w:rsid w:val="00A86A8B"/>
    <w:rsid w:val="00A87036"/>
    <w:rsid w:val="00A87186"/>
    <w:rsid w:val="00A872E5"/>
    <w:rsid w:val="00A900A6"/>
    <w:rsid w:val="00A91E61"/>
    <w:rsid w:val="00A930C3"/>
    <w:rsid w:val="00A93A5A"/>
    <w:rsid w:val="00A94483"/>
    <w:rsid w:val="00A96226"/>
    <w:rsid w:val="00A97383"/>
    <w:rsid w:val="00A978AB"/>
    <w:rsid w:val="00A97F09"/>
    <w:rsid w:val="00AA1B17"/>
    <w:rsid w:val="00AA2566"/>
    <w:rsid w:val="00AA2E90"/>
    <w:rsid w:val="00AA3702"/>
    <w:rsid w:val="00AA6C11"/>
    <w:rsid w:val="00AA75A5"/>
    <w:rsid w:val="00AB0E44"/>
    <w:rsid w:val="00AB0EF0"/>
    <w:rsid w:val="00AB4359"/>
    <w:rsid w:val="00AC1CBC"/>
    <w:rsid w:val="00AC213E"/>
    <w:rsid w:val="00AC28BA"/>
    <w:rsid w:val="00AC37E5"/>
    <w:rsid w:val="00AC48F0"/>
    <w:rsid w:val="00AC5D19"/>
    <w:rsid w:val="00AD1AA8"/>
    <w:rsid w:val="00AD2B55"/>
    <w:rsid w:val="00AD35A1"/>
    <w:rsid w:val="00AD4C2F"/>
    <w:rsid w:val="00AD7234"/>
    <w:rsid w:val="00AE0BFA"/>
    <w:rsid w:val="00AE0DF6"/>
    <w:rsid w:val="00AE1E6F"/>
    <w:rsid w:val="00AE21C7"/>
    <w:rsid w:val="00AE2262"/>
    <w:rsid w:val="00AE239B"/>
    <w:rsid w:val="00AE23A9"/>
    <w:rsid w:val="00AE55AD"/>
    <w:rsid w:val="00AE60E7"/>
    <w:rsid w:val="00AE62DB"/>
    <w:rsid w:val="00AE7CFE"/>
    <w:rsid w:val="00AF0419"/>
    <w:rsid w:val="00AF0562"/>
    <w:rsid w:val="00AF162F"/>
    <w:rsid w:val="00AF1965"/>
    <w:rsid w:val="00AF23F3"/>
    <w:rsid w:val="00AF298A"/>
    <w:rsid w:val="00AF2A1B"/>
    <w:rsid w:val="00AF3554"/>
    <w:rsid w:val="00AF3BB6"/>
    <w:rsid w:val="00AF413C"/>
    <w:rsid w:val="00AF4445"/>
    <w:rsid w:val="00AF47A7"/>
    <w:rsid w:val="00AF512C"/>
    <w:rsid w:val="00AF65F4"/>
    <w:rsid w:val="00AF6696"/>
    <w:rsid w:val="00AF7211"/>
    <w:rsid w:val="00AF73EF"/>
    <w:rsid w:val="00AF7766"/>
    <w:rsid w:val="00AF7917"/>
    <w:rsid w:val="00AF7BA9"/>
    <w:rsid w:val="00B003CB"/>
    <w:rsid w:val="00B014C9"/>
    <w:rsid w:val="00B0183B"/>
    <w:rsid w:val="00B02EE2"/>
    <w:rsid w:val="00B035DE"/>
    <w:rsid w:val="00B03759"/>
    <w:rsid w:val="00B0388E"/>
    <w:rsid w:val="00B03C82"/>
    <w:rsid w:val="00B03E72"/>
    <w:rsid w:val="00B04199"/>
    <w:rsid w:val="00B04CDF"/>
    <w:rsid w:val="00B06961"/>
    <w:rsid w:val="00B06A1C"/>
    <w:rsid w:val="00B06C59"/>
    <w:rsid w:val="00B07ED2"/>
    <w:rsid w:val="00B11651"/>
    <w:rsid w:val="00B127A3"/>
    <w:rsid w:val="00B12BE8"/>
    <w:rsid w:val="00B133B8"/>
    <w:rsid w:val="00B1447A"/>
    <w:rsid w:val="00B14C18"/>
    <w:rsid w:val="00B14E98"/>
    <w:rsid w:val="00B152D2"/>
    <w:rsid w:val="00B172E1"/>
    <w:rsid w:val="00B17926"/>
    <w:rsid w:val="00B17D5F"/>
    <w:rsid w:val="00B21510"/>
    <w:rsid w:val="00B21B72"/>
    <w:rsid w:val="00B223C0"/>
    <w:rsid w:val="00B22D51"/>
    <w:rsid w:val="00B22EF6"/>
    <w:rsid w:val="00B233A1"/>
    <w:rsid w:val="00B2349B"/>
    <w:rsid w:val="00B23578"/>
    <w:rsid w:val="00B23E66"/>
    <w:rsid w:val="00B2553E"/>
    <w:rsid w:val="00B25990"/>
    <w:rsid w:val="00B26D42"/>
    <w:rsid w:val="00B27A52"/>
    <w:rsid w:val="00B27DAD"/>
    <w:rsid w:val="00B30731"/>
    <w:rsid w:val="00B31BF2"/>
    <w:rsid w:val="00B33002"/>
    <w:rsid w:val="00B346FE"/>
    <w:rsid w:val="00B3478C"/>
    <w:rsid w:val="00B348DC"/>
    <w:rsid w:val="00B36E57"/>
    <w:rsid w:val="00B37B25"/>
    <w:rsid w:val="00B41C5B"/>
    <w:rsid w:val="00B4285D"/>
    <w:rsid w:val="00B43F41"/>
    <w:rsid w:val="00B44954"/>
    <w:rsid w:val="00B45650"/>
    <w:rsid w:val="00B46E1B"/>
    <w:rsid w:val="00B47A97"/>
    <w:rsid w:val="00B505F2"/>
    <w:rsid w:val="00B50A1B"/>
    <w:rsid w:val="00B53749"/>
    <w:rsid w:val="00B54B7A"/>
    <w:rsid w:val="00B56793"/>
    <w:rsid w:val="00B60BBF"/>
    <w:rsid w:val="00B61251"/>
    <w:rsid w:val="00B62525"/>
    <w:rsid w:val="00B63ABF"/>
    <w:rsid w:val="00B63F1B"/>
    <w:rsid w:val="00B642C7"/>
    <w:rsid w:val="00B66C6F"/>
    <w:rsid w:val="00B66D26"/>
    <w:rsid w:val="00B670E7"/>
    <w:rsid w:val="00B67C68"/>
    <w:rsid w:val="00B71052"/>
    <w:rsid w:val="00B722ED"/>
    <w:rsid w:val="00B72FD3"/>
    <w:rsid w:val="00B733FC"/>
    <w:rsid w:val="00B736A7"/>
    <w:rsid w:val="00B76001"/>
    <w:rsid w:val="00B7650E"/>
    <w:rsid w:val="00B7679D"/>
    <w:rsid w:val="00B77906"/>
    <w:rsid w:val="00B8018E"/>
    <w:rsid w:val="00B8027D"/>
    <w:rsid w:val="00B826BA"/>
    <w:rsid w:val="00B8322F"/>
    <w:rsid w:val="00B833C6"/>
    <w:rsid w:val="00B84D41"/>
    <w:rsid w:val="00B8530F"/>
    <w:rsid w:val="00B8562D"/>
    <w:rsid w:val="00B872C3"/>
    <w:rsid w:val="00B87772"/>
    <w:rsid w:val="00B87870"/>
    <w:rsid w:val="00B87F77"/>
    <w:rsid w:val="00B87FDD"/>
    <w:rsid w:val="00B91616"/>
    <w:rsid w:val="00B91642"/>
    <w:rsid w:val="00B916AD"/>
    <w:rsid w:val="00B92730"/>
    <w:rsid w:val="00B92EF9"/>
    <w:rsid w:val="00B940EE"/>
    <w:rsid w:val="00B943F6"/>
    <w:rsid w:val="00B96191"/>
    <w:rsid w:val="00B9699A"/>
    <w:rsid w:val="00B96D9F"/>
    <w:rsid w:val="00B97440"/>
    <w:rsid w:val="00B9770E"/>
    <w:rsid w:val="00BA02D7"/>
    <w:rsid w:val="00BA04AE"/>
    <w:rsid w:val="00BA1274"/>
    <w:rsid w:val="00BA16FA"/>
    <w:rsid w:val="00BA1ECB"/>
    <w:rsid w:val="00BA3989"/>
    <w:rsid w:val="00BA3D5A"/>
    <w:rsid w:val="00BA5622"/>
    <w:rsid w:val="00BA7E60"/>
    <w:rsid w:val="00BB042C"/>
    <w:rsid w:val="00BB10FC"/>
    <w:rsid w:val="00BB356D"/>
    <w:rsid w:val="00BB4354"/>
    <w:rsid w:val="00BB4612"/>
    <w:rsid w:val="00BB525C"/>
    <w:rsid w:val="00BB5EA5"/>
    <w:rsid w:val="00BB671B"/>
    <w:rsid w:val="00BB7189"/>
    <w:rsid w:val="00BC02A7"/>
    <w:rsid w:val="00BC0AB0"/>
    <w:rsid w:val="00BC1100"/>
    <w:rsid w:val="00BC1308"/>
    <w:rsid w:val="00BC1530"/>
    <w:rsid w:val="00BC1611"/>
    <w:rsid w:val="00BC1719"/>
    <w:rsid w:val="00BC25BD"/>
    <w:rsid w:val="00BC25FD"/>
    <w:rsid w:val="00BC2E86"/>
    <w:rsid w:val="00BC3B73"/>
    <w:rsid w:val="00BC43CF"/>
    <w:rsid w:val="00BC4A16"/>
    <w:rsid w:val="00BC5C29"/>
    <w:rsid w:val="00BC5CE0"/>
    <w:rsid w:val="00BC723C"/>
    <w:rsid w:val="00BC728F"/>
    <w:rsid w:val="00BC77CA"/>
    <w:rsid w:val="00BD00E9"/>
    <w:rsid w:val="00BD1623"/>
    <w:rsid w:val="00BD1E06"/>
    <w:rsid w:val="00BD39A9"/>
    <w:rsid w:val="00BD6EDC"/>
    <w:rsid w:val="00BD6F0E"/>
    <w:rsid w:val="00BD7755"/>
    <w:rsid w:val="00BE08E5"/>
    <w:rsid w:val="00BE0C1E"/>
    <w:rsid w:val="00BE0E0B"/>
    <w:rsid w:val="00BE2159"/>
    <w:rsid w:val="00BE38D9"/>
    <w:rsid w:val="00BE3DA1"/>
    <w:rsid w:val="00BE434E"/>
    <w:rsid w:val="00BE44ED"/>
    <w:rsid w:val="00BE4D43"/>
    <w:rsid w:val="00BE5303"/>
    <w:rsid w:val="00BE6FBF"/>
    <w:rsid w:val="00BE7041"/>
    <w:rsid w:val="00BE71FF"/>
    <w:rsid w:val="00BE75C7"/>
    <w:rsid w:val="00BE7CDF"/>
    <w:rsid w:val="00BE7F01"/>
    <w:rsid w:val="00BF014B"/>
    <w:rsid w:val="00BF026D"/>
    <w:rsid w:val="00BF07A6"/>
    <w:rsid w:val="00BF0A0B"/>
    <w:rsid w:val="00BF0D1A"/>
    <w:rsid w:val="00BF1FF9"/>
    <w:rsid w:val="00BF24C4"/>
    <w:rsid w:val="00BF2879"/>
    <w:rsid w:val="00BF2E25"/>
    <w:rsid w:val="00BF3664"/>
    <w:rsid w:val="00BF457B"/>
    <w:rsid w:val="00BF4689"/>
    <w:rsid w:val="00BF4C59"/>
    <w:rsid w:val="00BF600B"/>
    <w:rsid w:val="00BF6341"/>
    <w:rsid w:val="00C007F3"/>
    <w:rsid w:val="00C00A58"/>
    <w:rsid w:val="00C016CA"/>
    <w:rsid w:val="00C0294E"/>
    <w:rsid w:val="00C03BEC"/>
    <w:rsid w:val="00C04984"/>
    <w:rsid w:val="00C04D9D"/>
    <w:rsid w:val="00C0537D"/>
    <w:rsid w:val="00C06045"/>
    <w:rsid w:val="00C062DA"/>
    <w:rsid w:val="00C06ACC"/>
    <w:rsid w:val="00C06B36"/>
    <w:rsid w:val="00C07132"/>
    <w:rsid w:val="00C1117E"/>
    <w:rsid w:val="00C11853"/>
    <w:rsid w:val="00C12350"/>
    <w:rsid w:val="00C12734"/>
    <w:rsid w:val="00C12B41"/>
    <w:rsid w:val="00C1340F"/>
    <w:rsid w:val="00C1511F"/>
    <w:rsid w:val="00C1552A"/>
    <w:rsid w:val="00C17109"/>
    <w:rsid w:val="00C17D55"/>
    <w:rsid w:val="00C20B4C"/>
    <w:rsid w:val="00C20D02"/>
    <w:rsid w:val="00C22718"/>
    <w:rsid w:val="00C236D1"/>
    <w:rsid w:val="00C237F5"/>
    <w:rsid w:val="00C25571"/>
    <w:rsid w:val="00C25C85"/>
    <w:rsid w:val="00C25F43"/>
    <w:rsid w:val="00C262EE"/>
    <w:rsid w:val="00C2636A"/>
    <w:rsid w:val="00C265ED"/>
    <w:rsid w:val="00C26C27"/>
    <w:rsid w:val="00C26D44"/>
    <w:rsid w:val="00C3069B"/>
    <w:rsid w:val="00C307DF"/>
    <w:rsid w:val="00C3116F"/>
    <w:rsid w:val="00C31A60"/>
    <w:rsid w:val="00C31D00"/>
    <w:rsid w:val="00C32C27"/>
    <w:rsid w:val="00C33AD9"/>
    <w:rsid w:val="00C357DC"/>
    <w:rsid w:val="00C35DCC"/>
    <w:rsid w:val="00C35F22"/>
    <w:rsid w:val="00C36DEC"/>
    <w:rsid w:val="00C37065"/>
    <w:rsid w:val="00C3727B"/>
    <w:rsid w:val="00C37D91"/>
    <w:rsid w:val="00C40AC5"/>
    <w:rsid w:val="00C42416"/>
    <w:rsid w:val="00C42B67"/>
    <w:rsid w:val="00C42D34"/>
    <w:rsid w:val="00C43012"/>
    <w:rsid w:val="00C433F6"/>
    <w:rsid w:val="00C45572"/>
    <w:rsid w:val="00C45E57"/>
    <w:rsid w:val="00C5070C"/>
    <w:rsid w:val="00C5073E"/>
    <w:rsid w:val="00C50882"/>
    <w:rsid w:val="00C50B03"/>
    <w:rsid w:val="00C50CB7"/>
    <w:rsid w:val="00C50E1D"/>
    <w:rsid w:val="00C51459"/>
    <w:rsid w:val="00C51A51"/>
    <w:rsid w:val="00C51C05"/>
    <w:rsid w:val="00C528C1"/>
    <w:rsid w:val="00C52B85"/>
    <w:rsid w:val="00C52E54"/>
    <w:rsid w:val="00C5319B"/>
    <w:rsid w:val="00C53473"/>
    <w:rsid w:val="00C542AA"/>
    <w:rsid w:val="00C546F0"/>
    <w:rsid w:val="00C554BF"/>
    <w:rsid w:val="00C5621C"/>
    <w:rsid w:val="00C56770"/>
    <w:rsid w:val="00C61801"/>
    <w:rsid w:val="00C62412"/>
    <w:rsid w:val="00C638B0"/>
    <w:rsid w:val="00C638BE"/>
    <w:rsid w:val="00C63A5F"/>
    <w:rsid w:val="00C63EB5"/>
    <w:rsid w:val="00C64B4E"/>
    <w:rsid w:val="00C66251"/>
    <w:rsid w:val="00C667EC"/>
    <w:rsid w:val="00C67A0D"/>
    <w:rsid w:val="00C70008"/>
    <w:rsid w:val="00C70721"/>
    <w:rsid w:val="00C70745"/>
    <w:rsid w:val="00C7191F"/>
    <w:rsid w:val="00C71A2A"/>
    <w:rsid w:val="00C71D1B"/>
    <w:rsid w:val="00C731A8"/>
    <w:rsid w:val="00C7495C"/>
    <w:rsid w:val="00C75186"/>
    <w:rsid w:val="00C75676"/>
    <w:rsid w:val="00C75A2F"/>
    <w:rsid w:val="00C76F78"/>
    <w:rsid w:val="00C77844"/>
    <w:rsid w:val="00C8052F"/>
    <w:rsid w:val="00C80837"/>
    <w:rsid w:val="00C80861"/>
    <w:rsid w:val="00C80A7C"/>
    <w:rsid w:val="00C80ABD"/>
    <w:rsid w:val="00C811F8"/>
    <w:rsid w:val="00C8377E"/>
    <w:rsid w:val="00C83A3E"/>
    <w:rsid w:val="00C840DA"/>
    <w:rsid w:val="00C8553B"/>
    <w:rsid w:val="00C8565E"/>
    <w:rsid w:val="00C85AA4"/>
    <w:rsid w:val="00C8643E"/>
    <w:rsid w:val="00C86692"/>
    <w:rsid w:val="00C86F29"/>
    <w:rsid w:val="00C911A4"/>
    <w:rsid w:val="00C92D2C"/>
    <w:rsid w:val="00C9343A"/>
    <w:rsid w:val="00C93FCD"/>
    <w:rsid w:val="00C94160"/>
    <w:rsid w:val="00CA015A"/>
    <w:rsid w:val="00CA0385"/>
    <w:rsid w:val="00CA32DC"/>
    <w:rsid w:val="00CA40B3"/>
    <w:rsid w:val="00CA4E44"/>
    <w:rsid w:val="00CA5643"/>
    <w:rsid w:val="00CA59A5"/>
    <w:rsid w:val="00CA5B86"/>
    <w:rsid w:val="00CA5CA7"/>
    <w:rsid w:val="00CA62B7"/>
    <w:rsid w:val="00CA73F7"/>
    <w:rsid w:val="00CB0F22"/>
    <w:rsid w:val="00CB18E1"/>
    <w:rsid w:val="00CB2686"/>
    <w:rsid w:val="00CB5FC5"/>
    <w:rsid w:val="00CB676E"/>
    <w:rsid w:val="00CB6C4F"/>
    <w:rsid w:val="00CB7232"/>
    <w:rsid w:val="00CC1499"/>
    <w:rsid w:val="00CC22BB"/>
    <w:rsid w:val="00CC3077"/>
    <w:rsid w:val="00CC5C2C"/>
    <w:rsid w:val="00CC6205"/>
    <w:rsid w:val="00CC6EC9"/>
    <w:rsid w:val="00CC72E5"/>
    <w:rsid w:val="00CD0ED9"/>
    <w:rsid w:val="00CD1911"/>
    <w:rsid w:val="00CD1C09"/>
    <w:rsid w:val="00CD2D5C"/>
    <w:rsid w:val="00CD36E3"/>
    <w:rsid w:val="00CD3EC1"/>
    <w:rsid w:val="00CD7C11"/>
    <w:rsid w:val="00CE04BC"/>
    <w:rsid w:val="00CE0C49"/>
    <w:rsid w:val="00CE1342"/>
    <w:rsid w:val="00CE1663"/>
    <w:rsid w:val="00CE1669"/>
    <w:rsid w:val="00CE26C7"/>
    <w:rsid w:val="00CE337B"/>
    <w:rsid w:val="00CE4A39"/>
    <w:rsid w:val="00CE5583"/>
    <w:rsid w:val="00CE5AEB"/>
    <w:rsid w:val="00CE6329"/>
    <w:rsid w:val="00CE7786"/>
    <w:rsid w:val="00CE7797"/>
    <w:rsid w:val="00CE7A94"/>
    <w:rsid w:val="00CF0584"/>
    <w:rsid w:val="00CF1308"/>
    <w:rsid w:val="00CF1F43"/>
    <w:rsid w:val="00CF25A6"/>
    <w:rsid w:val="00CF27EC"/>
    <w:rsid w:val="00CF3D6E"/>
    <w:rsid w:val="00CF3E80"/>
    <w:rsid w:val="00CF56DF"/>
    <w:rsid w:val="00CF5AFD"/>
    <w:rsid w:val="00CF5E87"/>
    <w:rsid w:val="00CF63BF"/>
    <w:rsid w:val="00D002B1"/>
    <w:rsid w:val="00D010CC"/>
    <w:rsid w:val="00D033A3"/>
    <w:rsid w:val="00D03D0D"/>
    <w:rsid w:val="00D05450"/>
    <w:rsid w:val="00D0550B"/>
    <w:rsid w:val="00D06FB7"/>
    <w:rsid w:val="00D0737E"/>
    <w:rsid w:val="00D07DDF"/>
    <w:rsid w:val="00D116B2"/>
    <w:rsid w:val="00D12483"/>
    <w:rsid w:val="00D13BC9"/>
    <w:rsid w:val="00D1434F"/>
    <w:rsid w:val="00D146A0"/>
    <w:rsid w:val="00D153EC"/>
    <w:rsid w:val="00D15BEC"/>
    <w:rsid w:val="00D172B9"/>
    <w:rsid w:val="00D1772C"/>
    <w:rsid w:val="00D1773B"/>
    <w:rsid w:val="00D209B2"/>
    <w:rsid w:val="00D20A6B"/>
    <w:rsid w:val="00D20F81"/>
    <w:rsid w:val="00D21444"/>
    <w:rsid w:val="00D216E2"/>
    <w:rsid w:val="00D23C1F"/>
    <w:rsid w:val="00D24521"/>
    <w:rsid w:val="00D24D34"/>
    <w:rsid w:val="00D25D04"/>
    <w:rsid w:val="00D260E9"/>
    <w:rsid w:val="00D263BE"/>
    <w:rsid w:val="00D26BBC"/>
    <w:rsid w:val="00D277E6"/>
    <w:rsid w:val="00D30256"/>
    <w:rsid w:val="00D30C9A"/>
    <w:rsid w:val="00D3154B"/>
    <w:rsid w:val="00D31F05"/>
    <w:rsid w:val="00D322A5"/>
    <w:rsid w:val="00D33388"/>
    <w:rsid w:val="00D34A8D"/>
    <w:rsid w:val="00D35AE5"/>
    <w:rsid w:val="00D3664A"/>
    <w:rsid w:val="00D378FE"/>
    <w:rsid w:val="00D40C6F"/>
    <w:rsid w:val="00D41CC2"/>
    <w:rsid w:val="00D41D85"/>
    <w:rsid w:val="00D4382C"/>
    <w:rsid w:val="00D4444E"/>
    <w:rsid w:val="00D445A1"/>
    <w:rsid w:val="00D44B7C"/>
    <w:rsid w:val="00D44E92"/>
    <w:rsid w:val="00D45032"/>
    <w:rsid w:val="00D453D9"/>
    <w:rsid w:val="00D454D4"/>
    <w:rsid w:val="00D46435"/>
    <w:rsid w:val="00D46CA2"/>
    <w:rsid w:val="00D47D84"/>
    <w:rsid w:val="00D501D0"/>
    <w:rsid w:val="00D50256"/>
    <w:rsid w:val="00D50B5A"/>
    <w:rsid w:val="00D51A03"/>
    <w:rsid w:val="00D524D2"/>
    <w:rsid w:val="00D52AC5"/>
    <w:rsid w:val="00D52C5A"/>
    <w:rsid w:val="00D540C1"/>
    <w:rsid w:val="00D54A00"/>
    <w:rsid w:val="00D550BC"/>
    <w:rsid w:val="00D556C4"/>
    <w:rsid w:val="00D574FF"/>
    <w:rsid w:val="00D575E9"/>
    <w:rsid w:val="00D60869"/>
    <w:rsid w:val="00D6274B"/>
    <w:rsid w:val="00D62790"/>
    <w:rsid w:val="00D65EA9"/>
    <w:rsid w:val="00D6688B"/>
    <w:rsid w:val="00D66C63"/>
    <w:rsid w:val="00D7040D"/>
    <w:rsid w:val="00D711D0"/>
    <w:rsid w:val="00D721D9"/>
    <w:rsid w:val="00D722C0"/>
    <w:rsid w:val="00D7575D"/>
    <w:rsid w:val="00D75FFA"/>
    <w:rsid w:val="00D767FD"/>
    <w:rsid w:val="00D7727B"/>
    <w:rsid w:val="00D81349"/>
    <w:rsid w:val="00D82C82"/>
    <w:rsid w:val="00D83AE4"/>
    <w:rsid w:val="00D843A3"/>
    <w:rsid w:val="00D8538E"/>
    <w:rsid w:val="00D8596D"/>
    <w:rsid w:val="00D8749B"/>
    <w:rsid w:val="00D8777D"/>
    <w:rsid w:val="00D901B3"/>
    <w:rsid w:val="00D907E7"/>
    <w:rsid w:val="00D90A66"/>
    <w:rsid w:val="00D91197"/>
    <w:rsid w:val="00D9324D"/>
    <w:rsid w:val="00D93BC6"/>
    <w:rsid w:val="00D93C80"/>
    <w:rsid w:val="00D945FC"/>
    <w:rsid w:val="00D95823"/>
    <w:rsid w:val="00D95EC9"/>
    <w:rsid w:val="00D96C25"/>
    <w:rsid w:val="00DA0223"/>
    <w:rsid w:val="00DA0D66"/>
    <w:rsid w:val="00DA0FD2"/>
    <w:rsid w:val="00DA28BC"/>
    <w:rsid w:val="00DA2F89"/>
    <w:rsid w:val="00DA3EBD"/>
    <w:rsid w:val="00DA4768"/>
    <w:rsid w:val="00DA4DAA"/>
    <w:rsid w:val="00DA5C34"/>
    <w:rsid w:val="00DA6D7C"/>
    <w:rsid w:val="00DA710C"/>
    <w:rsid w:val="00DA749B"/>
    <w:rsid w:val="00DA7907"/>
    <w:rsid w:val="00DB067A"/>
    <w:rsid w:val="00DB5F83"/>
    <w:rsid w:val="00DB6C43"/>
    <w:rsid w:val="00DB74E0"/>
    <w:rsid w:val="00DC0D41"/>
    <w:rsid w:val="00DC154E"/>
    <w:rsid w:val="00DC2A1E"/>
    <w:rsid w:val="00DC2BD3"/>
    <w:rsid w:val="00DC31F4"/>
    <w:rsid w:val="00DC3533"/>
    <w:rsid w:val="00DC46D7"/>
    <w:rsid w:val="00DC48A7"/>
    <w:rsid w:val="00DC4AE2"/>
    <w:rsid w:val="00DC51D8"/>
    <w:rsid w:val="00DC542E"/>
    <w:rsid w:val="00DC5764"/>
    <w:rsid w:val="00DC5B8C"/>
    <w:rsid w:val="00DC6189"/>
    <w:rsid w:val="00DC6759"/>
    <w:rsid w:val="00DC68EF"/>
    <w:rsid w:val="00DC6F6F"/>
    <w:rsid w:val="00DC7515"/>
    <w:rsid w:val="00DD00F5"/>
    <w:rsid w:val="00DD08AF"/>
    <w:rsid w:val="00DD21B7"/>
    <w:rsid w:val="00DD247A"/>
    <w:rsid w:val="00DD2775"/>
    <w:rsid w:val="00DD44F2"/>
    <w:rsid w:val="00DD4FC1"/>
    <w:rsid w:val="00DD5955"/>
    <w:rsid w:val="00DD5E31"/>
    <w:rsid w:val="00DE011D"/>
    <w:rsid w:val="00DE0ADF"/>
    <w:rsid w:val="00DE0BE7"/>
    <w:rsid w:val="00DE186F"/>
    <w:rsid w:val="00DE1A82"/>
    <w:rsid w:val="00DE3FC8"/>
    <w:rsid w:val="00DE42F9"/>
    <w:rsid w:val="00DE44E7"/>
    <w:rsid w:val="00DE5FE7"/>
    <w:rsid w:val="00DE7361"/>
    <w:rsid w:val="00DE7830"/>
    <w:rsid w:val="00DE7A51"/>
    <w:rsid w:val="00DF0206"/>
    <w:rsid w:val="00DF0360"/>
    <w:rsid w:val="00DF0885"/>
    <w:rsid w:val="00DF0BAB"/>
    <w:rsid w:val="00DF19AE"/>
    <w:rsid w:val="00DF26A0"/>
    <w:rsid w:val="00DF3F9C"/>
    <w:rsid w:val="00DF59DC"/>
    <w:rsid w:val="00DF6ADE"/>
    <w:rsid w:val="00DF7C5F"/>
    <w:rsid w:val="00E00781"/>
    <w:rsid w:val="00E00D32"/>
    <w:rsid w:val="00E00D68"/>
    <w:rsid w:val="00E012DA"/>
    <w:rsid w:val="00E013DC"/>
    <w:rsid w:val="00E03BF3"/>
    <w:rsid w:val="00E0441D"/>
    <w:rsid w:val="00E0467C"/>
    <w:rsid w:val="00E04D49"/>
    <w:rsid w:val="00E04F74"/>
    <w:rsid w:val="00E0506D"/>
    <w:rsid w:val="00E050A5"/>
    <w:rsid w:val="00E066B6"/>
    <w:rsid w:val="00E072EF"/>
    <w:rsid w:val="00E10802"/>
    <w:rsid w:val="00E11BF3"/>
    <w:rsid w:val="00E11EFF"/>
    <w:rsid w:val="00E125FA"/>
    <w:rsid w:val="00E12B9C"/>
    <w:rsid w:val="00E139F5"/>
    <w:rsid w:val="00E143B1"/>
    <w:rsid w:val="00E15ADD"/>
    <w:rsid w:val="00E17D78"/>
    <w:rsid w:val="00E20944"/>
    <w:rsid w:val="00E224FA"/>
    <w:rsid w:val="00E23146"/>
    <w:rsid w:val="00E238A2"/>
    <w:rsid w:val="00E24CE0"/>
    <w:rsid w:val="00E25936"/>
    <w:rsid w:val="00E25BF0"/>
    <w:rsid w:val="00E25D98"/>
    <w:rsid w:val="00E3120B"/>
    <w:rsid w:val="00E31A13"/>
    <w:rsid w:val="00E31EB0"/>
    <w:rsid w:val="00E32055"/>
    <w:rsid w:val="00E322BA"/>
    <w:rsid w:val="00E34FA7"/>
    <w:rsid w:val="00E35D69"/>
    <w:rsid w:val="00E35D88"/>
    <w:rsid w:val="00E36351"/>
    <w:rsid w:val="00E37146"/>
    <w:rsid w:val="00E41B81"/>
    <w:rsid w:val="00E44173"/>
    <w:rsid w:val="00E463D8"/>
    <w:rsid w:val="00E47D60"/>
    <w:rsid w:val="00E50D0E"/>
    <w:rsid w:val="00E50D47"/>
    <w:rsid w:val="00E51048"/>
    <w:rsid w:val="00E53DAF"/>
    <w:rsid w:val="00E53E40"/>
    <w:rsid w:val="00E561A0"/>
    <w:rsid w:val="00E561DB"/>
    <w:rsid w:val="00E56378"/>
    <w:rsid w:val="00E56C5F"/>
    <w:rsid w:val="00E578AA"/>
    <w:rsid w:val="00E57E96"/>
    <w:rsid w:val="00E6193A"/>
    <w:rsid w:val="00E62AF4"/>
    <w:rsid w:val="00E63059"/>
    <w:rsid w:val="00E64905"/>
    <w:rsid w:val="00E65B3A"/>
    <w:rsid w:val="00E65EB9"/>
    <w:rsid w:val="00E70B6F"/>
    <w:rsid w:val="00E71105"/>
    <w:rsid w:val="00E7115E"/>
    <w:rsid w:val="00E7162D"/>
    <w:rsid w:val="00E71E42"/>
    <w:rsid w:val="00E731A1"/>
    <w:rsid w:val="00E7386A"/>
    <w:rsid w:val="00E738DB"/>
    <w:rsid w:val="00E7497A"/>
    <w:rsid w:val="00E75754"/>
    <w:rsid w:val="00E8199A"/>
    <w:rsid w:val="00E824D3"/>
    <w:rsid w:val="00E824FD"/>
    <w:rsid w:val="00E82C70"/>
    <w:rsid w:val="00E84712"/>
    <w:rsid w:val="00E85F8A"/>
    <w:rsid w:val="00E87E89"/>
    <w:rsid w:val="00E910EF"/>
    <w:rsid w:val="00E91975"/>
    <w:rsid w:val="00E93325"/>
    <w:rsid w:val="00E93E4B"/>
    <w:rsid w:val="00E94009"/>
    <w:rsid w:val="00E94078"/>
    <w:rsid w:val="00E95708"/>
    <w:rsid w:val="00E95D4D"/>
    <w:rsid w:val="00E95F03"/>
    <w:rsid w:val="00E965E5"/>
    <w:rsid w:val="00E97B42"/>
    <w:rsid w:val="00EA018F"/>
    <w:rsid w:val="00EA0F32"/>
    <w:rsid w:val="00EA1D25"/>
    <w:rsid w:val="00EA27A8"/>
    <w:rsid w:val="00EA351F"/>
    <w:rsid w:val="00EA3C2C"/>
    <w:rsid w:val="00EA454E"/>
    <w:rsid w:val="00EA5006"/>
    <w:rsid w:val="00EA7944"/>
    <w:rsid w:val="00EB0CFB"/>
    <w:rsid w:val="00EB0D19"/>
    <w:rsid w:val="00EB2311"/>
    <w:rsid w:val="00EB4BC3"/>
    <w:rsid w:val="00EB4D52"/>
    <w:rsid w:val="00EB4F11"/>
    <w:rsid w:val="00EB5BC9"/>
    <w:rsid w:val="00EB5D5E"/>
    <w:rsid w:val="00EB6B90"/>
    <w:rsid w:val="00EB759B"/>
    <w:rsid w:val="00EC017F"/>
    <w:rsid w:val="00EC0635"/>
    <w:rsid w:val="00EC0FA3"/>
    <w:rsid w:val="00EC1153"/>
    <w:rsid w:val="00EC1819"/>
    <w:rsid w:val="00EC22D7"/>
    <w:rsid w:val="00EC4412"/>
    <w:rsid w:val="00EC4803"/>
    <w:rsid w:val="00EC5045"/>
    <w:rsid w:val="00EC5882"/>
    <w:rsid w:val="00EC64AB"/>
    <w:rsid w:val="00EC7772"/>
    <w:rsid w:val="00EC7862"/>
    <w:rsid w:val="00EC7888"/>
    <w:rsid w:val="00ED20EB"/>
    <w:rsid w:val="00ED2190"/>
    <w:rsid w:val="00ED25DE"/>
    <w:rsid w:val="00ED2D34"/>
    <w:rsid w:val="00ED2E7A"/>
    <w:rsid w:val="00ED313B"/>
    <w:rsid w:val="00ED33DD"/>
    <w:rsid w:val="00ED3989"/>
    <w:rsid w:val="00ED3A37"/>
    <w:rsid w:val="00ED3B7E"/>
    <w:rsid w:val="00ED4655"/>
    <w:rsid w:val="00ED4899"/>
    <w:rsid w:val="00ED5049"/>
    <w:rsid w:val="00ED5AC9"/>
    <w:rsid w:val="00ED62DD"/>
    <w:rsid w:val="00ED6FC0"/>
    <w:rsid w:val="00ED75AA"/>
    <w:rsid w:val="00ED79A4"/>
    <w:rsid w:val="00EE0460"/>
    <w:rsid w:val="00EE2E08"/>
    <w:rsid w:val="00EE3210"/>
    <w:rsid w:val="00EE3628"/>
    <w:rsid w:val="00EE4B2E"/>
    <w:rsid w:val="00EE5148"/>
    <w:rsid w:val="00EE5560"/>
    <w:rsid w:val="00EE622A"/>
    <w:rsid w:val="00EE6DD6"/>
    <w:rsid w:val="00EE7D37"/>
    <w:rsid w:val="00EF0AC9"/>
    <w:rsid w:val="00EF1240"/>
    <w:rsid w:val="00EF1F4F"/>
    <w:rsid w:val="00EF24A8"/>
    <w:rsid w:val="00EF27A5"/>
    <w:rsid w:val="00EF3043"/>
    <w:rsid w:val="00EF34A9"/>
    <w:rsid w:val="00EF3C45"/>
    <w:rsid w:val="00EF4469"/>
    <w:rsid w:val="00F01429"/>
    <w:rsid w:val="00F01862"/>
    <w:rsid w:val="00F01C70"/>
    <w:rsid w:val="00F02480"/>
    <w:rsid w:val="00F03487"/>
    <w:rsid w:val="00F03BC8"/>
    <w:rsid w:val="00F055DF"/>
    <w:rsid w:val="00F05D2D"/>
    <w:rsid w:val="00F077CF"/>
    <w:rsid w:val="00F10DB2"/>
    <w:rsid w:val="00F11159"/>
    <w:rsid w:val="00F12534"/>
    <w:rsid w:val="00F13019"/>
    <w:rsid w:val="00F13502"/>
    <w:rsid w:val="00F144EF"/>
    <w:rsid w:val="00F1476D"/>
    <w:rsid w:val="00F1483E"/>
    <w:rsid w:val="00F1492D"/>
    <w:rsid w:val="00F14995"/>
    <w:rsid w:val="00F15646"/>
    <w:rsid w:val="00F17F48"/>
    <w:rsid w:val="00F20120"/>
    <w:rsid w:val="00F2063D"/>
    <w:rsid w:val="00F2278D"/>
    <w:rsid w:val="00F22B06"/>
    <w:rsid w:val="00F23101"/>
    <w:rsid w:val="00F23AA1"/>
    <w:rsid w:val="00F23CC4"/>
    <w:rsid w:val="00F23F33"/>
    <w:rsid w:val="00F25BF3"/>
    <w:rsid w:val="00F25D21"/>
    <w:rsid w:val="00F2655F"/>
    <w:rsid w:val="00F2696E"/>
    <w:rsid w:val="00F27C2A"/>
    <w:rsid w:val="00F30028"/>
    <w:rsid w:val="00F317AF"/>
    <w:rsid w:val="00F31FE4"/>
    <w:rsid w:val="00F3202C"/>
    <w:rsid w:val="00F32A48"/>
    <w:rsid w:val="00F3348A"/>
    <w:rsid w:val="00F34F36"/>
    <w:rsid w:val="00F364AE"/>
    <w:rsid w:val="00F375BF"/>
    <w:rsid w:val="00F37FA2"/>
    <w:rsid w:val="00F40053"/>
    <w:rsid w:val="00F40086"/>
    <w:rsid w:val="00F41987"/>
    <w:rsid w:val="00F420D9"/>
    <w:rsid w:val="00F429CA"/>
    <w:rsid w:val="00F4375D"/>
    <w:rsid w:val="00F443F5"/>
    <w:rsid w:val="00F44DC3"/>
    <w:rsid w:val="00F45210"/>
    <w:rsid w:val="00F4566C"/>
    <w:rsid w:val="00F45F3C"/>
    <w:rsid w:val="00F4686A"/>
    <w:rsid w:val="00F46BBC"/>
    <w:rsid w:val="00F47645"/>
    <w:rsid w:val="00F47924"/>
    <w:rsid w:val="00F51FF0"/>
    <w:rsid w:val="00F5215A"/>
    <w:rsid w:val="00F52EBD"/>
    <w:rsid w:val="00F5308A"/>
    <w:rsid w:val="00F53697"/>
    <w:rsid w:val="00F53BD2"/>
    <w:rsid w:val="00F53C52"/>
    <w:rsid w:val="00F53DA2"/>
    <w:rsid w:val="00F56C5F"/>
    <w:rsid w:val="00F56D9D"/>
    <w:rsid w:val="00F578C4"/>
    <w:rsid w:val="00F57BAC"/>
    <w:rsid w:val="00F57DF1"/>
    <w:rsid w:val="00F602ED"/>
    <w:rsid w:val="00F60B00"/>
    <w:rsid w:val="00F6154E"/>
    <w:rsid w:val="00F61806"/>
    <w:rsid w:val="00F62CD0"/>
    <w:rsid w:val="00F63286"/>
    <w:rsid w:val="00F6392A"/>
    <w:rsid w:val="00F650C2"/>
    <w:rsid w:val="00F65293"/>
    <w:rsid w:val="00F66023"/>
    <w:rsid w:val="00F66A90"/>
    <w:rsid w:val="00F66FB4"/>
    <w:rsid w:val="00F67898"/>
    <w:rsid w:val="00F701C8"/>
    <w:rsid w:val="00F712B6"/>
    <w:rsid w:val="00F71483"/>
    <w:rsid w:val="00F71636"/>
    <w:rsid w:val="00F722D2"/>
    <w:rsid w:val="00F72E43"/>
    <w:rsid w:val="00F74078"/>
    <w:rsid w:val="00F7447E"/>
    <w:rsid w:val="00F753F5"/>
    <w:rsid w:val="00F761FD"/>
    <w:rsid w:val="00F7664F"/>
    <w:rsid w:val="00F770B1"/>
    <w:rsid w:val="00F816CE"/>
    <w:rsid w:val="00F818F8"/>
    <w:rsid w:val="00F81E6B"/>
    <w:rsid w:val="00F8358E"/>
    <w:rsid w:val="00F8444B"/>
    <w:rsid w:val="00F84DB8"/>
    <w:rsid w:val="00F8539B"/>
    <w:rsid w:val="00F85DA5"/>
    <w:rsid w:val="00F8642A"/>
    <w:rsid w:val="00F87C11"/>
    <w:rsid w:val="00F900DD"/>
    <w:rsid w:val="00F912FE"/>
    <w:rsid w:val="00F914C3"/>
    <w:rsid w:val="00F93940"/>
    <w:rsid w:val="00F9544C"/>
    <w:rsid w:val="00F9565B"/>
    <w:rsid w:val="00F96020"/>
    <w:rsid w:val="00F97096"/>
    <w:rsid w:val="00FA025B"/>
    <w:rsid w:val="00FA0B94"/>
    <w:rsid w:val="00FA0EB3"/>
    <w:rsid w:val="00FA0F77"/>
    <w:rsid w:val="00FA1D44"/>
    <w:rsid w:val="00FA21C6"/>
    <w:rsid w:val="00FA229F"/>
    <w:rsid w:val="00FA28A3"/>
    <w:rsid w:val="00FA3688"/>
    <w:rsid w:val="00FA6010"/>
    <w:rsid w:val="00FA69E6"/>
    <w:rsid w:val="00FA7864"/>
    <w:rsid w:val="00FB03C2"/>
    <w:rsid w:val="00FB07B0"/>
    <w:rsid w:val="00FB1BFB"/>
    <w:rsid w:val="00FB1E06"/>
    <w:rsid w:val="00FB2719"/>
    <w:rsid w:val="00FB2E0A"/>
    <w:rsid w:val="00FB38EB"/>
    <w:rsid w:val="00FB4B68"/>
    <w:rsid w:val="00FB4D3A"/>
    <w:rsid w:val="00FB53C2"/>
    <w:rsid w:val="00FB571B"/>
    <w:rsid w:val="00FB727A"/>
    <w:rsid w:val="00FB78C9"/>
    <w:rsid w:val="00FC07F2"/>
    <w:rsid w:val="00FC14C0"/>
    <w:rsid w:val="00FC1857"/>
    <w:rsid w:val="00FC18B3"/>
    <w:rsid w:val="00FC2302"/>
    <w:rsid w:val="00FC2867"/>
    <w:rsid w:val="00FC2FA1"/>
    <w:rsid w:val="00FC3687"/>
    <w:rsid w:val="00FC51B0"/>
    <w:rsid w:val="00FC524D"/>
    <w:rsid w:val="00FC550C"/>
    <w:rsid w:val="00FC5B7D"/>
    <w:rsid w:val="00FC5D2F"/>
    <w:rsid w:val="00FC6BE8"/>
    <w:rsid w:val="00FD00B2"/>
    <w:rsid w:val="00FD084C"/>
    <w:rsid w:val="00FD152A"/>
    <w:rsid w:val="00FD160A"/>
    <w:rsid w:val="00FD2110"/>
    <w:rsid w:val="00FD2973"/>
    <w:rsid w:val="00FD3693"/>
    <w:rsid w:val="00FE191B"/>
    <w:rsid w:val="00FE1C2F"/>
    <w:rsid w:val="00FE290D"/>
    <w:rsid w:val="00FE34B6"/>
    <w:rsid w:val="00FE3FE9"/>
    <w:rsid w:val="00FE4DDC"/>
    <w:rsid w:val="00FE517C"/>
    <w:rsid w:val="00FE6CC7"/>
    <w:rsid w:val="00FE7A0C"/>
    <w:rsid w:val="00FF198C"/>
    <w:rsid w:val="00FF233C"/>
    <w:rsid w:val="00FF417F"/>
    <w:rsid w:val="00FF4E1F"/>
    <w:rsid w:val="00FF6D74"/>
    <w:rsid w:val="00FF70E1"/>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7D5A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240" w:after="120"/>
        <w:ind w:left="1021" w:hanging="10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F9544C"/>
    <w:pPr>
      <w:spacing w:after="0"/>
      <w:ind w:left="0" w:firstLine="0"/>
    </w:pPr>
    <w:rPr>
      <w:rFonts w:ascii="Calibri" w:hAnsi="Calibri"/>
    </w:rPr>
  </w:style>
  <w:style w:type="paragraph" w:styleId="Heading1">
    <w:name w:val="heading 1"/>
    <w:basedOn w:val="Normal"/>
    <w:next w:val="BodyText"/>
    <w:link w:val="Heading1Char"/>
    <w:uiPriority w:val="9"/>
    <w:qFormat/>
    <w:rsid w:val="00855F18"/>
    <w:pPr>
      <w:keepNext/>
      <w:keepLines/>
      <w:numPr>
        <w:numId w:val="20"/>
      </w:numPr>
      <w:spacing w:after="120" w:line="400" w:lineRule="atLeast"/>
      <w:outlineLvl w:val="0"/>
    </w:pPr>
    <w:rPr>
      <w:rFonts w:ascii="Cambria" w:eastAsiaTheme="majorEastAsia" w:hAnsi="Cambria" w:cstheme="majorBidi"/>
      <w:bCs/>
      <w:color w:val="900D10" w:themeColor="accent1" w:themeShade="80"/>
      <w:sz w:val="36"/>
      <w:szCs w:val="28"/>
    </w:rPr>
  </w:style>
  <w:style w:type="paragraph" w:styleId="Heading2">
    <w:name w:val="heading 2"/>
    <w:basedOn w:val="Normal"/>
    <w:next w:val="BodyText"/>
    <w:link w:val="Heading2Char"/>
    <w:uiPriority w:val="9"/>
    <w:qFormat/>
    <w:rsid w:val="00855F18"/>
    <w:pPr>
      <w:keepNext/>
      <w:keepLines/>
      <w:numPr>
        <w:ilvl w:val="1"/>
        <w:numId w:val="20"/>
      </w:numPr>
      <w:spacing w:after="200" w:line="280" w:lineRule="atLeast"/>
      <w:outlineLvl w:val="1"/>
    </w:pPr>
    <w:rPr>
      <w:rFonts w:ascii="Cambria" w:eastAsiaTheme="majorEastAsia" w:hAnsi="Cambria" w:cstheme="majorBidi"/>
      <w:bCs/>
      <w:color w:val="900D10" w:themeColor="accent1" w:themeShade="80"/>
      <w:sz w:val="26"/>
      <w:szCs w:val="26"/>
    </w:rPr>
  </w:style>
  <w:style w:type="paragraph" w:styleId="Heading3">
    <w:name w:val="heading 3"/>
    <w:basedOn w:val="Normal"/>
    <w:next w:val="BodyText"/>
    <w:link w:val="Heading3Char"/>
    <w:uiPriority w:val="9"/>
    <w:qFormat/>
    <w:rsid w:val="00874602"/>
    <w:pPr>
      <w:keepNext/>
      <w:keepLines/>
      <w:numPr>
        <w:ilvl w:val="2"/>
        <w:numId w:val="20"/>
      </w:numPr>
      <w:spacing w:before="200" w:after="120"/>
      <w:outlineLvl w:val="2"/>
    </w:pPr>
    <w:rPr>
      <w:rFonts w:ascii="Cambria" w:eastAsiaTheme="majorEastAsia" w:hAnsi="Cambria" w:cstheme="majorBidi"/>
      <w:b/>
      <w:bCs/>
      <w:color w:val="5F5F5F" w:themeColor="text2"/>
    </w:rPr>
  </w:style>
  <w:style w:type="paragraph" w:styleId="Heading4">
    <w:name w:val="heading 4"/>
    <w:basedOn w:val="Normal"/>
    <w:next w:val="BodyText"/>
    <w:link w:val="Heading4Char"/>
    <w:uiPriority w:val="9"/>
    <w:qFormat/>
    <w:rsid w:val="004E1F67"/>
    <w:pPr>
      <w:keepNext/>
      <w:keepLines/>
      <w:numPr>
        <w:ilvl w:val="3"/>
        <w:numId w:val="20"/>
      </w:numPr>
      <w:spacing w:before="200" w:after="120"/>
      <w:outlineLvl w:val="3"/>
    </w:pPr>
    <w:rPr>
      <w:rFonts w:ascii="Cambria" w:eastAsiaTheme="majorEastAsia" w:hAnsi="Cambria" w:cstheme="majorBidi"/>
      <w:b/>
      <w:bCs/>
      <w:iCs/>
    </w:rPr>
  </w:style>
  <w:style w:type="paragraph" w:styleId="Heading5">
    <w:name w:val="heading 5"/>
    <w:basedOn w:val="Normal"/>
    <w:next w:val="BodyText"/>
    <w:uiPriority w:val="9"/>
    <w:qFormat/>
    <w:rsid w:val="00874602"/>
    <w:pPr>
      <w:keepNext/>
      <w:keepLines/>
      <w:numPr>
        <w:ilvl w:val="4"/>
        <w:numId w:val="20"/>
      </w:numPr>
      <w:spacing w:before="200" w:after="120"/>
      <w:outlineLvl w:val="4"/>
    </w:pPr>
    <w:rPr>
      <w:rFonts w:ascii="Cambria" w:eastAsiaTheme="majorEastAsia" w:hAnsi="Cambria" w:cstheme="majorBidi"/>
    </w:rPr>
  </w:style>
  <w:style w:type="paragraph" w:styleId="Heading6">
    <w:name w:val="heading 6"/>
    <w:basedOn w:val="Normal"/>
    <w:next w:val="Normal"/>
    <w:uiPriority w:val="9"/>
    <w:unhideWhenUsed/>
    <w:qFormat/>
    <w:rsid w:val="00F9544C"/>
    <w:pPr>
      <w:keepNext/>
      <w:keepLines/>
      <w:numPr>
        <w:ilvl w:val="5"/>
        <w:numId w:val="18"/>
      </w:numPr>
      <w:spacing w:before="200"/>
      <w:outlineLvl w:val="5"/>
    </w:pPr>
    <w:rPr>
      <w:rFonts w:asciiTheme="majorHAnsi" w:eastAsiaTheme="majorEastAsia" w:hAnsiTheme="majorHAnsi" w:cstheme="majorBidi"/>
      <w:i/>
      <w:iCs/>
      <w:color w:val="900D10" w:themeColor="accent1" w:themeShade="80"/>
    </w:rPr>
  </w:style>
  <w:style w:type="paragraph" w:styleId="Heading7">
    <w:name w:val="heading 7"/>
    <w:basedOn w:val="Normal"/>
    <w:next w:val="Normal"/>
    <w:uiPriority w:val="9"/>
    <w:semiHidden/>
    <w:unhideWhenUsed/>
    <w:qFormat/>
    <w:rsid w:val="00855F18"/>
    <w:pPr>
      <w:keepNext/>
      <w:keepLines/>
      <w:numPr>
        <w:ilvl w:val="6"/>
        <w:numId w:val="18"/>
      </w:numPr>
      <w:spacing w:before="200"/>
      <w:outlineLvl w:val="6"/>
    </w:pPr>
    <w:rPr>
      <w:rFonts w:asciiTheme="majorHAnsi" w:eastAsiaTheme="majorEastAsia" w:hAnsiTheme="majorHAnsi" w:cstheme="majorBidi"/>
      <w:i/>
      <w:iCs/>
      <w:color w:val="AB0F14" w:themeColor="text1"/>
    </w:rPr>
  </w:style>
  <w:style w:type="paragraph" w:styleId="Heading8">
    <w:name w:val="heading 8"/>
    <w:basedOn w:val="Normal"/>
    <w:next w:val="Normal"/>
    <w:uiPriority w:val="9"/>
    <w:semiHidden/>
    <w:unhideWhenUsed/>
    <w:qFormat/>
    <w:rsid w:val="00A0420F"/>
    <w:pPr>
      <w:keepNext/>
      <w:keepLines/>
      <w:numPr>
        <w:ilvl w:val="7"/>
        <w:numId w:val="18"/>
      </w:numPr>
      <w:spacing w:before="200"/>
      <w:outlineLvl w:val="7"/>
    </w:pPr>
    <w:rPr>
      <w:rFonts w:asciiTheme="majorHAnsi" w:eastAsiaTheme="majorEastAsia" w:hAnsiTheme="majorHAnsi" w:cstheme="majorBidi"/>
      <w:color w:val="EB1F25" w:themeColor="text1" w:themeTint="BF"/>
      <w:sz w:val="20"/>
      <w:szCs w:val="20"/>
    </w:rPr>
  </w:style>
  <w:style w:type="paragraph" w:styleId="Heading9">
    <w:name w:val="heading 9"/>
    <w:basedOn w:val="Normal"/>
    <w:next w:val="Normal"/>
    <w:uiPriority w:val="9"/>
    <w:semiHidden/>
    <w:unhideWhenUsed/>
    <w:qFormat/>
    <w:rsid w:val="00A0420F"/>
    <w:pPr>
      <w:keepNext/>
      <w:keepLines/>
      <w:numPr>
        <w:ilvl w:val="8"/>
        <w:numId w:val="18"/>
      </w:numPr>
      <w:spacing w:before="200"/>
      <w:outlineLvl w:val="8"/>
    </w:pPr>
    <w:rPr>
      <w:rFonts w:asciiTheme="majorHAnsi" w:eastAsiaTheme="majorEastAsia" w:hAnsiTheme="majorHAnsi" w:cstheme="majorBidi"/>
      <w:i/>
      <w:iCs/>
      <w:color w:val="EB1F25"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rsid w:val="00012248"/>
    <w:pPr>
      <w:spacing w:after="240"/>
    </w:pPr>
    <w:rPr>
      <w:color w:val="2F2F2F" w:themeColor="text2" w:themeShade="80"/>
    </w:rPr>
  </w:style>
  <w:style w:type="paragraph" w:customStyle="1" w:styleId="Titleheading">
    <w:name w:val="Title heading"/>
    <w:basedOn w:val="BodyText"/>
    <w:next w:val="BodyText"/>
    <w:link w:val="TitleheadingChar"/>
    <w:uiPriority w:val="15"/>
    <w:qFormat/>
    <w:rsid w:val="00007478"/>
    <w:pPr>
      <w:spacing w:before="480" w:after="360" w:line="440" w:lineRule="atLeast"/>
    </w:pPr>
    <w:rPr>
      <w:rFonts w:ascii="Calibri Light" w:hAnsi="Calibri Light"/>
      <w:color w:val="FFFFFF" w:themeColor="background1"/>
      <w:sz w:val="72"/>
    </w:rPr>
  </w:style>
  <w:style w:type="paragraph" w:customStyle="1" w:styleId="Tablecellheading">
    <w:name w:val="Table cell heading"/>
    <w:basedOn w:val="Tabletext"/>
    <w:uiPriority w:val="12"/>
    <w:qFormat/>
    <w:rsid w:val="006C4B85"/>
    <w:pPr>
      <w:keepNext/>
    </w:pPr>
    <w:rPr>
      <w:bCs/>
    </w:rPr>
  </w:style>
  <w:style w:type="paragraph" w:customStyle="1" w:styleId="Tabletext">
    <w:name w:val="Table text"/>
    <w:basedOn w:val="BodyText"/>
    <w:uiPriority w:val="12"/>
    <w:qFormat/>
    <w:rsid w:val="00763CB1"/>
    <w:pPr>
      <w:spacing w:before="120" w:after="120"/>
    </w:pPr>
    <w:rPr>
      <w:rFonts w:eastAsia="Calibri" w:cs="Times New Roman"/>
      <w:sz w:val="21"/>
      <w:lang w:eastAsia="en-AU"/>
    </w:rPr>
  </w:style>
  <w:style w:type="paragraph" w:styleId="Caption">
    <w:name w:val="caption"/>
    <w:basedOn w:val="Normal"/>
    <w:next w:val="Normal"/>
    <w:uiPriority w:val="35"/>
    <w:qFormat/>
    <w:rsid w:val="0052764B"/>
    <w:pPr>
      <w:tabs>
        <w:tab w:val="left" w:pos="1021"/>
      </w:tabs>
      <w:spacing w:after="120"/>
      <w:ind w:left="1021" w:hanging="1021"/>
    </w:pPr>
    <w:rPr>
      <w:b/>
      <w:bCs/>
      <w:color w:val="00728F"/>
      <w:sz w:val="18"/>
      <w:szCs w:val="18"/>
    </w:rPr>
  </w:style>
  <w:style w:type="paragraph" w:customStyle="1" w:styleId="Tablecaption">
    <w:name w:val="Table caption"/>
    <w:basedOn w:val="Caption"/>
    <w:next w:val="Tabledescription"/>
    <w:uiPriority w:val="11"/>
    <w:qFormat/>
    <w:rsid w:val="00B722ED"/>
    <w:pPr>
      <w:keepNext/>
      <w:tabs>
        <w:tab w:val="clear" w:pos="1021"/>
        <w:tab w:val="left" w:pos="0"/>
      </w:tabs>
      <w:ind w:left="0" w:firstLine="0"/>
    </w:pPr>
    <w:rPr>
      <w:color w:val="474747" w:themeColor="text2" w:themeShade="BF"/>
    </w:rPr>
  </w:style>
  <w:style w:type="character" w:styleId="Strong">
    <w:name w:val="Strong"/>
    <w:basedOn w:val="DefaultParagraphFont"/>
    <w:uiPriority w:val="2"/>
    <w:qFormat/>
    <w:rsid w:val="00BF014B"/>
    <w:rPr>
      <w:b/>
      <w:bCs/>
    </w:rPr>
  </w:style>
  <w:style w:type="paragraph" w:styleId="BalloonText">
    <w:name w:val="Balloon Text"/>
    <w:basedOn w:val="Normal"/>
    <w:link w:val="BalloonTextChar"/>
    <w:uiPriority w:val="99"/>
    <w:semiHidden/>
    <w:rsid w:val="00A66655"/>
    <w:rPr>
      <w:rFonts w:ascii="Tahoma" w:hAnsi="Tahoma" w:cs="Tahoma"/>
      <w:sz w:val="16"/>
      <w:szCs w:val="16"/>
    </w:rPr>
  </w:style>
  <w:style w:type="character" w:styleId="Hyperlink">
    <w:name w:val="Hyperlink"/>
    <w:basedOn w:val="DefaultParagraphFont"/>
    <w:uiPriority w:val="99"/>
    <w:unhideWhenUsed/>
    <w:rsid w:val="00054D3B"/>
    <w:rPr>
      <w:color w:val="1E587C" w:themeColor="accent5"/>
      <w:u w:val="single"/>
    </w:rPr>
  </w:style>
  <w:style w:type="paragraph" w:customStyle="1" w:styleId="Tablebullet-Level1">
    <w:name w:val="Table bullet - Level 1"/>
    <w:basedOn w:val="Tabletext"/>
    <w:uiPriority w:val="13"/>
    <w:qFormat/>
    <w:rsid w:val="00EB5D5E"/>
    <w:pPr>
      <w:numPr>
        <w:numId w:val="12"/>
      </w:numPr>
    </w:pPr>
  </w:style>
  <w:style w:type="paragraph" w:customStyle="1" w:styleId="Tabledescription">
    <w:name w:val="Table description"/>
    <w:basedOn w:val="Tablecaption"/>
    <w:uiPriority w:val="11"/>
    <w:qFormat/>
    <w:rsid w:val="0052764B"/>
    <w:pPr>
      <w:spacing w:before="120" w:after="240"/>
    </w:pPr>
    <w:rPr>
      <w:b w:val="0"/>
      <w:color w:val="auto"/>
    </w:rPr>
  </w:style>
  <w:style w:type="paragraph" w:customStyle="1" w:styleId="Endmatter-Heading1">
    <w:name w:val="End matter - Heading 1"/>
    <w:basedOn w:val="Heading1"/>
    <w:next w:val="BodyText"/>
    <w:uiPriority w:val="19"/>
    <w:qFormat/>
    <w:rsid w:val="00FC3687"/>
    <w:pPr>
      <w:pageBreakBefore/>
      <w:numPr>
        <w:numId w:val="21"/>
      </w:numPr>
    </w:pPr>
  </w:style>
  <w:style w:type="paragraph" w:styleId="TOCHeading">
    <w:name w:val="TOC Heading"/>
    <w:basedOn w:val="Heading1"/>
    <w:next w:val="BodyText"/>
    <w:uiPriority w:val="39"/>
    <w:qFormat/>
    <w:rsid w:val="00054D3B"/>
    <w:pPr>
      <w:numPr>
        <w:numId w:val="0"/>
      </w:numPr>
      <w:spacing w:after="360"/>
      <w:outlineLvl w:val="9"/>
    </w:pPr>
    <w:rPr>
      <w:rFonts w:asciiTheme="minorHAnsi" w:hAnsiTheme="minorHAnsi"/>
    </w:rPr>
  </w:style>
  <w:style w:type="paragraph" w:styleId="TOC1">
    <w:name w:val="toc 1"/>
    <w:aliases w:val="BCR TOC"/>
    <w:basedOn w:val="Normal"/>
    <w:next w:val="Normal"/>
    <w:autoRedefine/>
    <w:uiPriority w:val="39"/>
    <w:rsid w:val="00AA1B17"/>
    <w:pPr>
      <w:tabs>
        <w:tab w:val="left" w:pos="567"/>
        <w:tab w:val="right" w:leader="dot" w:pos="8364"/>
      </w:tabs>
      <w:spacing w:before="120" w:after="100"/>
      <w:ind w:left="567" w:right="662" w:hanging="567"/>
    </w:pPr>
    <w:rPr>
      <w:b/>
      <w:noProof/>
      <w:sz w:val="24"/>
    </w:rPr>
  </w:style>
  <w:style w:type="paragraph" w:styleId="TOC2">
    <w:name w:val="toc 2"/>
    <w:basedOn w:val="Normal"/>
    <w:next w:val="Normal"/>
    <w:autoRedefine/>
    <w:uiPriority w:val="39"/>
    <w:rsid w:val="003B10E7"/>
    <w:pPr>
      <w:tabs>
        <w:tab w:val="left" w:pos="1134"/>
        <w:tab w:val="right" w:leader="dot" w:pos="9029"/>
      </w:tabs>
      <w:spacing w:before="0" w:after="100"/>
      <w:ind w:left="1134" w:right="662" w:hanging="567"/>
    </w:pPr>
  </w:style>
  <w:style w:type="paragraph" w:styleId="TOC3">
    <w:name w:val="toc 3"/>
    <w:basedOn w:val="Normal"/>
    <w:next w:val="Normal"/>
    <w:autoRedefine/>
    <w:uiPriority w:val="39"/>
    <w:rsid w:val="00AA1B17"/>
    <w:pPr>
      <w:tabs>
        <w:tab w:val="left" w:pos="1134"/>
        <w:tab w:val="right" w:leader="dot" w:pos="8364"/>
      </w:tabs>
      <w:spacing w:before="0" w:after="100"/>
      <w:ind w:left="440" w:right="662"/>
    </w:pPr>
  </w:style>
  <w:style w:type="paragraph" w:customStyle="1" w:styleId="Titlesub-heading">
    <w:name w:val="Title sub-heading"/>
    <w:basedOn w:val="Normal"/>
    <w:next w:val="BodyText"/>
    <w:uiPriority w:val="15"/>
    <w:qFormat/>
    <w:rsid w:val="00EB5D5E"/>
    <w:pPr>
      <w:spacing w:after="120" w:line="440" w:lineRule="atLeast"/>
      <w:contextualSpacing/>
    </w:pPr>
    <w:rPr>
      <w:rFonts w:ascii="Cambria" w:eastAsiaTheme="majorEastAsia" w:hAnsi="Cambria" w:cstheme="majorBidi"/>
      <w:color w:val="5F5F5F" w:themeColor="text2"/>
      <w:kern w:val="28"/>
      <w:sz w:val="36"/>
      <w:szCs w:val="52"/>
    </w:rPr>
  </w:style>
  <w:style w:type="paragraph" w:customStyle="1" w:styleId="Endmatter-Heading2">
    <w:name w:val="End matter - Heading 2"/>
    <w:basedOn w:val="Heading2"/>
    <w:next w:val="BodyText"/>
    <w:uiPriority w:val="19"/>
    <w:qFormat/>
    <w:rsid w:val="00FC3687"/>
    <w:pPr>
      <w:numPr>
        <w:numId w:val="21"/>
      </w:numPr>
    </w:pPr>
  </w:style>
  <w:style w:type="paragraph" w:styleId="Header">
    <w:name w:val="header"/>
    <w:basedOn w:val="Normal"/>
    <w:link w:val="HeaderChar"/>
    <w:uiPriority w:val="99"/>
    <w:rsid w:val="00EB5D5E"/>
    <w:pPr>
      <w:tabs>
        <w:tab w:val="center" w:pos="4513"/>
        <w:tab w:val="right" w:pos="9026"/>
      </w:tabs>
      <w:spacing w:before="0"/>
    </w:pPr>
    <w:rPr>
      <w:color w:val="1E587C" w:themeColor="accent5"/>
      <w:sz w:val="20"/>
    </w:rPr>
  </w:style>
  <w:style w:type="paragraph" w:styleId="Footer">
    <w:name w:val="footer"/>
    <w:basedOn w:val="Normal"/>
    <w:link w:val="FooterChar"/>
    <w:uiPriority w:val="99"/>
    <w:rsid w:val="00D33388"/>
    <w:pPr>
      <w:tabs>
        <w:tab w:val="center" w:pos="4513"/>
        <w:tab w:val="right" w:pos="9026"/>
      </w:tabs>
    </w:pPr>
    <w:rPr>
      <w:color w:val="FFFFFF" w:themeColor="background1"/>
      <w:sz w:val="20"/>
    </w:rPr>
  </w:style>
  <w:style w:type="paragraph" w:customStyle="1" w:styleId="Bodybullet-Level1">
    <w:name w:val="Body bullet - Level 1"/>
    <w:basedOn w:val="BodyText"/>
    <w:uiPriority w:val="1"/>
    <w:qFormat/>
    <w:rsid w:val="00793DC9"/>
    <w:pPr>
      <w:numPr>
        <w:numId w:val="11"/>
      </w:numPr>
      <w:spacing w:before="120" w:after="180"/>
    </w:pPr>
  </w:style>
  <w:style w:type="paragraph" w:customStyle="1" w:styleId="Bodybullet-Level2">
    <w:name w:val="Body bullet - Level 2"/>
    <w:basedOn w:val="Bodybullet-Level1"/>
    <w:uiPriority w:val="1"/>
    <w:qFormat/>
    <w:rsid w:val="00EB5D5E"/>
    <w:pPr>
      <w:numPr>
        <w:numId w:val="23"/>
      </w:numPr>
    </w:pPr>
  </w:style>
  <w:style w:type="paragraph" w:customStyle="1" w:styleId="Bodybullet-Level3">
    <w:name w:val="Body bullet - Level 3"/>
    <w:basedOn w:val="Bodybullet-Level1"/>
    <w:uiPriority w:val="1"/>
    <w:qFormat/>
    <w:rsid w:val="00617129"/>
    <w:pPr>
      <w:numPr>
        <w:numId w:val="26"/>
      </w:numPr>
    </w:pPr>
  </w:style>
  <w:style w:type="paragraph" w:customStyle="1" w:styleId="Tablebullet-Level2">
    <w:name w:val="Table bullet - Level 2"/>
    <w:basedOn w:val="Tablebullet-Level1"/>
    <w:uiPriority w:val="13"/>
    <w:qFormat/>
    <w:rsid w:val="00AC37E5"/>
    <w:pPr>
      <w:numPr>
        <w:ilvl w:val="1"/>
      </w:numPr>
    </w:pPr>
  </w:style>
  <w:style w:type="paragraph" w:customStyle="1" w:styleId="Figurecaption">
    <w:name w:val="Figure caption"/>
    <w:basedOn w:val="Caption"/>
    <w:next w:val="Normal"/>
    <w:link w:val="FigurecaptionCharChar"/>
    <w:uiPriority w:val="10"/>
    <w:qFormat/>
    <w:rsid w:val="00B722ED"/>
    <w:pPr>
      <w:keepNext/>
      <w:tabs>
        <w:tab w:val="clear" w:pos="1021"/>
        <w:tab w:val="left" w:pos="0"/>
      </w:tabs>
      <w:ind w:left="0" w:firstLine="0"/>
    </w:pPr>
    <w:rPr>
      <w:color w:val="AB0F14" w:themeColor="text1"/>
    </w:rPr>
  </w:style>
  <w:style w:type="character" w:styleId="PageNumber">
    <w:name w:val="page number"/>
    <w:basedOn w:val="DefaultParagraphFont"/>
    <w:uiPriority w:val="49"/>
    <w:rsid w:val="00054D3B"/>
    <w:rPr>
      <w:color w:val="FFFFFF" w:themeColor="background1"/>
      <w:sz w:val="22"/>
    </w:rPr>
  </w:style>
  <w:style w:type="paragraph" w:customStyle="1" w:styleId="Bodynumbered-Level1">
    <w:name w:val="Body numbered - Level 1"/>
    <w:basedOn w:val="BodyText"/>
    <w:uiPriority w:val="1"/>
    <w:qFormat/>
    <w:rsid w:val="00087E72"/>
    <w:pPr>
      <w:numPr>
        <w:numId w:val="13"/>
      </w:numPr>
      <w:spacing w:before="120" w:after="180"/>
    </w:pPr>
  </w:style>
  <w:style w:type="paragraph" w:customStyle="1" w:styleId="Bodynumbered-Level2">
    <w:name w:val="Body numbered - Level 2"/>
    <w:basedOn w:val="Bodynumbered-Level1"/>
    <w:uiPriority w:val="1"/>
    <w:qFormat/>
    <w:rsid w:val="0055556C"/>
    <w:pPr>
      <w:numPr>
        <w:numId w:val="27"/>
      </w:numPr>
    </w:pPr>
  </w:style>
  <w:style w:type="paragraph" w:customStyle="1" w:styleId="Bodynumbered-Level3">
    <w:name w:val="Body numbered - Level 3"/>
    <w:basedOn w:val="Bodynumbered-Level1"/>
    <w:uiPriority w:val="1"/>
    <w:qFormat/>
    <w:rsid w:val="00A6258B"/>
    <w:pPr>
      <w:numPr>
        <w:numId w:val="24"/>
      </w:numPr>
    </w:pPr>
  </w:style>
  <w:style w:type="paragraph" w:customStyle="1" w:styleId="Preliminaries-Heading1">
    <w:name w:val="Preliminaries - Heading 1"/>
    <w:basedOn w:val="Heading1"/>
    <w:next w:val="BodyText"/>
    <w:uiPriority w:val="18"/>
    <w:qFormat/>
    <w:rsid w:val="007E77FD"/>
    <w:pPr>
      <w:numPr>
        <w:numId w:val="0"/>
      </w:numPr>
    </w:pPr>
  </w:style>
  <w:style w:type="paragraph" w:customStyle="1" w:styleId="Preliminaries-Heading2">
    <w:name w:val="Preliminaries - Heading 2"/>
    <w:basedOn w:val="Heading2"/>
    <w:next w:val="BodyText"/>
    <w:uiPriority w:val="18"/>
    <w:qFormat/>
    <w:rsid w:val="00EB5D5E"/>
    <w:pPr>
      <w:numPr>
        <w:ilvl w:val="0"/>
        <w:numId w:val="0"/>
      </w:numPr>
    </w:pPr>
  </w:style>
  <w:style w:type="paragraph" w:customStyle="1" w:styleId="Preliminaries-Heading3">
    <w:name w:val="Preliminaries - Heading 3"/>
    <w:basedOn w:val="Heading3"/>
    <w:next w:val="BodyText"/>
    <w:uiPriority w:val="18"/>
    <w:qFormat/>
    <w:rsid w:val="007E77FD"/>
    <w:pPr>
      <w:numPr>
        <w:ilvl w:val="0"/>
        <w:numId w:val="0"/>
      </w:numPr>
    </w:pPr>
  </w:style>
  <w:style w:type="paragraph" w:styleId="FootnoteText">
    <w:name w:val="footnote text"/>
    <w:basedOn w:val="Normal"/>
    <w:link w:val="FootnoteTextChar"/>
    <w:uiPriority w:val="99"/>
    <w:rsid w:val="008D0A94"/>
    <w:rPr>
      <w:sz w:val="20"/>
      <w:szCs w:val="20"/>
    </w:rPr>
  </w:style>
  <w:style w:type="character" w:styleId="FootnoteReference">
    <w:name w:val="footnote reference"/>
    <w:basedOn w:val="DefaultParagraphFont"/>
    <w:uiPriority w:val="99"/>
    <w:rsid w:val="008D0A94"/>
    <w:rPr>
      <w:vertAlign w:val="superscript"/>
    </w:rPr>
  </w:style>
  <w:style w:type="paragraph" w:customStyle="1" w:styleId="Bodytext-Indent">
    <w:name w:val="Body text - Indent"/>
    <w:basedOn w:val="BodyText"/>
    <w:next w:val="BodyText"/>
    <w:qFormat/>
    <w:rsid w:val="00DF7C5F"/>
    <w:pPr>
      <w:ind w:left="340"/>
    </w:pPr>
  </w:style>
  <w:style w:type="paragraph" w:customStyle="1" w:styleId="Boxtext">
    <w:name w:val="Box text"/>
    <w:basedOn w:val="BodyText"/>
    <w:uiPriority w:val="14"/>
    <w:qFormat/>
    <w:rsid w:val="00B152D2"/>
    <w:pPr>
      <w:pBdr>
        <w:top w:val="single" w:sz="4" w:space="8" w:color="C29900" w:themeColor="accent3" w:themeShade="BF"/>
        <w:left w:val="single" w:sz="4" w:space="8" w:color="C29900" w:themeColor="accent3" w:themeShade="BF"/>
        <w:bottom w:val="single" w:sz="4" w:space="8" w:color="C29900" w:themeColor="accent3" w:themeShade="BF"/>
        <w:right w:val="single" w:sz="4" w:space="0" w:color="C29900" w:themeColor="accent3" w:themeShade="BF"/>
      </w:pBdr>
      <w:shd w:val="clear" w:color="auto" w:fill="FFF4CD" w:themeFill="accent3" w:themeFillTint="33"/>
      <w:ind w:left="198"/>
    </w:pPr>
  </w:style>
  <w:style w:type="paragraph" w:customStyle="1" w:styleId="Boxheading">
    <w:name w:val="Box heading"/>
    <w:basedOn w:val="Boxtext"/>
    <w:next w:val="Boxtext"/>
    <w:uiPriority w:val="14"/>
    <w:qFormat/>
    <w:rsid w:val="00855F18"/>
    <w:pPr>
      <w:spacing w:after="120"/>
    </w:pPr>
    <w:rPr>
      <w:rFonts w:asciiTheme="majorHAnsi" w:hAnsiTheme="majorHAnsi"/>
      <w:color w:val="900D10" w:themeColor="accent1" w:themeShade="80"/>
      <w:sz w:val="28"/>
    </w:rPr>
  </w:style>
  <w:style w:type="paragraph" w:customStyle="1" w:styleId="Boxbullet">
    <w:name w:val="Box bullet"/>
    <w:basedOn w:val="Boxtext"/>
    <w:uiPriority w:val="15"/>
    <w:qFormat/>
    <w:rsid w:val="00F01429"/>
    <w:pPr>
      <w:numPr>
        <w:numId w:val="14"/>
      </w:numPr>
      <w:spacing w:before="0" w:after="180"/>
      <w:ind w:left="652" w:hanging="454"/>
    </w:pPr>
  </w:style>
  <w:style w:type="paragraph" w:customStyle="1" w:styleId="Boxsub-heading">
    <w:name w:val="Box sub-heading"/>
    <w:basedOn w:val="Boxtext"/>
    <w:next w:val="Boxtext"/>
    <w:uiPriority w:val="14"/>
    <w:qFormat/>
    <w:rsid w:val="00874602"/>
    <w:pPr>
      <w:pBdr>
        <w:top w:val="single" w:sz="4" w:space="8" w:color="FFE99B" w:themeColor="accent3" w:themeTint="66"/>
        <w:left w:val="single" w:sz="4" w:space="8" w:color="FFE99B" w:themeColor="accent3" w:themeTint="66"/>
        <w:bottom w:val="single" w:sz="4" w:space="8" w:color="FFE99B" w:themeColor="accent3" w:themeTint="66"/>
        <w:right w:val="single" w:sz="4" w:space="0" w:color="FFE99B" w:themeColor="accent3" w:themeTint="66"/>
      </w:pBdr>
    </w:pPr>
    <w:rPr>
      <w:b/>
      <w:color w:val="AB0F14" w:themeColor="text1"/>
    </w:rPr>
  </w:style>
  <w:style w:type="paragraph" w:customStyle="1" w:styleId="SourceNotes">
    <w:name w:val="Source/Notes"/>
    <w:basedOn w:val="BodyText"/>
    <w:next w:val="BodyText"/>
    <w:uiPriority w:val="10"/>
    <w:qFormat/>
    <w:rsid w:val="007D6EC3"/>
    <w:pPr>
      <w:spacing w:before="0"/>
    </w:pPr>
    <w:rPr>
      <w:sz w:val="20"/>
    </w:rPr>
  </w:style>
  <w:style w:type="paragraph" w:customStyle="1" w:styleId="Boxcaption">
    <w:name w:val="Box caption"/>
    <w:basedOn w:val="Caption"/>
    <w:uiPriority w:val="14"/>
    <w:qFormat/>
    <w:rsid w:val="00EB5D5E"/>
    <w:rPr>
      <w:color w:val="474747" w:themeColor="text2" w:themeShade="BF"/>
    </w:rPr>
  </w:style>
  <w:style w:type="paragraph" w:customStyle="1" w:styleId="Endmatter-Heading3">
    <w:name w:val="End matter - Heading 3"/>
    <w:basedOn w:val="Heading3"/>
    <w:next w:val="BodyText"/>
    <w:uiPriority w:val="19"/>
    <w:qFormat/>
    <w:rsid w:val="00FC3687"/>
    <w:pPr>
      <w:numPr>
        <w:numId w:val="21"/>
      </w:numPr>
    </w:pPr>
  </w:style>
  <w:style w:type="paragraph" w:customStyle="1" w:styleId="Titledate">
    <w:name w:val="Title date"/>
    <w:basedOn w:val="Normal"/>
    <w:uiPriority w:val="16"/>
    <w:qFormat/>
    <w:rsid w:val="00EB5D5E"/>
    <w:pPr>
      <w:spacing w:before="80" w:after="120" w:line="460" w:lineRule="atLeast"/>
      <w:contextualSpacing/>
    </w:pPr>
    <w:rPr>
      <w:rFonts w:ascii="Cambria" w:eastAsiaTheme="majorEastAsia" w:hAnsi="Cambria" w:cstheme="majorBidi"/>
      <w:b/>
      <w:color w:val="5F5F5F" w:themeColor="text2"/>
      <w:kern w:val="28"/>
      <w:sz w:val="32"/>
      <w:szCs w:val="52"/>
    </w:rPr>
  </w:style>
  <w:style w:type="paragraph" w:customStyle="1" w:styleId="Boxlist-Numbered">
    <w:name w:val="Box list - Numbered"/>
    <w:basedOn w:val="Titledate"/>
    <w:uiPriority w:val="15"/>
    <w:qFormat/>
    <w:rsid w:val="00EB5D5E"/>
    <w:rPr>
      <w:sz w:val="24"/>
    </w:rPr>
  </w:style>
  <w:style w:type="paragraph" w:customStyle="1" w:styleId="Boxlist-Alpha">
    <w:name w:val="Box list - Alpha"/>
    <w:basedOn w:val="Boxtext"/>
    <w:uiPriority w:val="15"/>
    <w:qFormat/>
    <w:rsid w:val="00F9544C"/>
    <w:pPr>
      <w:numPr>
        <w:numId w:val="25"/>
      </w:numPr>
      <w:spacing w:before="120" w:after="0"/>
    </w:pPr>
  </w:style>
  <w:style w:type="paragraph" w:customStyle="1" w:styleId="Chartandfiguresheading">
    <w:name w:val="Chart and figures heading"/>
    <w:basedOn w:val="H2"/>
    <w:next w:val="BodyText"/>
    <w:link w:val="ChartandfiguresheadingChar"/>
    <w:qFormat/>
    <w:rsid w:val="00F9544C"/>
  </w:style>
  <w:style w:type="paragraph" w:customStyle="1" w:styleId="Tablelist-Numbered">
    <w:name w:val="Table list - Numbered"/>
    <w:basedOn w:val="Tabletext"/>
    <w:uiPriority w:val="13"/>
    <w:qFormat/>
    <w:rsid w:val="00EB5D5E"/>
    <w:pPr>
      <w:numPr>
        <w:numId w:val="15"/>
      </w:numPr>
    </w:pPr>
  </w:style>
  <w:style w:type="paragraph" w:customStyle="1" w:styleId="Tablecellsub-heading">
    <w:name w:val="Table cell sub-heading"/>
    <w:basedOn w:val="Tablecellheading"/>
    <w:uiPriority w:val="12"/>
    <w:qFormat/>
    <w:rsid w:val="00133178"/>
    <w:rPr>
      <w:color w:val="000000"/>
      <w14:textFill>
        <w14:solidFill>
          <w14:srgbClr w14:val="000000">
            <w14:lumMod w14:val="50000"/>
          </w14:srgbClr>
        </w14:solidFill>
      </w14:textFill>
    </w:rPr>
  </w:style>
  <w:style w:type="character" w:styleId="Emphasis">
    <w:name w:val="Emphasis"/>
    <w:basedOn w:val="DefaultParagraphFont"/>
    <w:uiPriority w:val="20"/>
    <w:qFormat/>
    <w:rsid w:val="00D52C5A"/>
    <w:rPr>
      <w:i/>
      <w:iCs/>
    </w:rPr>
  </w:style>
  <w:style w:type="character" w:styleId="CommentReference">
    <w:name w:val="annotation reference"/>
    <w:basedOn w:val="DefaultParagraphFont"/>
    <w:uiPriority w:val="99"/>
    <w:rsid w:val="008F23A9"/>
    <w:rPr>
      <w:sz w:val="16"/>
      <w:szCs w:val="16"/>
    </w:rPr>
  </w:style>
  <w:style w:type="paragraph" w:styleId="CommentText">
    <w:name w:val="annotation text"/>
    <w:basedOn w:val="Normal"/>
    <w:link w:val="CommentTextChar"/>
    <w:uiPriority w:val="99"/>
    <w:rsid w:val="008F23A9"/>
    <w:rPr>
      <w:sz w:val="20"/>
      <w:szCs w:val="20"/>
    </w:rPr>
  </w:style>
  <w:style w:type="paragraph" w:styleId="CommentSubject">
    <w:name w:val="annotation subject"/>
    <w:basedOn w:val="CommentText"/>
    <w:next w:val="CommentText"/>
    <w:link w:val="CommentSubjectChar"/>
    <w:uiPriority w:val="99"/>
    <w:semiHidden/>
    <w:rsid w:val="008F23A9"/>
    <w:rPr>
      <w:b/>
      <w:bCs/>
    </w:rPr>
  </w:style>
  <w:style w:type="numbering" w:styleId="111111">
    <w:name w:val="Outline List 2"/>
    <w:basedOn w:val="NoList"/>
    <w:uiPriority w:val="99"/>
    <w:semiHidden/>
    <w:unhideWhenUsed/>
    <w:rsid w:val="00A0420F"/>
    <w:pPr>
      <w:numPr>
        <w:numId w:val="16"/>
      </w:numPr>
    </w:pPr>
  </w:style>
  <w:style w:type="numbering" w:styleId="1ai">
    <w:name w:val="Outline List 1"/>
    <w:basedOn w:val="NoList"/>
    <w:uiPriority w:val="99"/>
    <w:semiHidden/>
    <w:unhideWhenUsed/>
    <w:rsid w:val="00A0420F"/>
    <w:pPr>
      <w:numPr>
        <w:numId w:val="17"/>
      </w:numPr>
    </w:pPr>
  </w:style>
  <w:style w:type="numbering" w:styleId="ArticleSection">
    <w:name w:val="Outline List 3"/>
    <w:basedOn w:val="NoList"/>
    <w:uiPriority w:val="99"/>
    <w:semiHidden/>
    <w:unhideWhenUsed/>
    <w:rsid w:val="00A0420F"/>
    <w:pPr>
      <w:numPr>
        <w:numId w:val="18"/>
      </w:numPr>
    </w:pPr>
  </w:style>
  <w:style w:type="paragraph" w:styleId="Bibliography">
    <w:name w:val="Bibliography"/>
    <w:basedOn w:val="Normal"/>
    <w:next w:val="Normal"/>
    <w:uiPriority w:val="37"/>
    <w:semiHidden/>
    <w:unhideWhenUsed/>
    <w:rsid w:val="00A0420F"/>
  </w:style>
  <w:style w:type="paragraph" w:styleId="BlockText">
    <w:name w:val="Block Text"/>
    <w:basedOn w:val="Normal"/>
    <w:uiPriority w:val="99"/>
    <w:semiHidden/>
    <w:rsid w:val="00A0420F"/>
    <w:pPr>
      <w:pBdr>
        <w:top w:val="single" w:sz="2" w:space="10" w:color="EF4C51" w:themeColor="accent1" w:shadow="1" w:frame="1"/>
        <w:left w:val="single" w:sz="2" w:space="10" w:color="EF4C51" w:themeColor="accent1" w:shadow="1" w:frame="1"/>
        <w:bottom w:val="single" w:sz="2" w:space="10" w:color="EF4C51" w:themeColor="accent1" w:shadow="1" w:frame="1"/>
        <w:right w:val="single" w:sz="2" w:space="10" w:color="EF4C51" w:themeColor="accent1" w:shadow="1" w:frame="1"/>
      </w:pBdr>
      <w:ind w:left="1152" w:right="1152"/>
    </w:pPr>
    <w:rPr>
      <w:rFonts w:asciiTheme="minorHAnsi" w:eastAsiaTheme="minorEastAsia" w:hAnsiTheme="minorHAnsi"/>
      <w:i/>
      <w:iCs/>
      <w:color w:val="EF4C51" w:themeColor="accent1"/>
    </w:rPr>
  </w:style>
  <w:style w:type="paragraph" w:styleId="BodyText2">
    <w:name w:val="Body Text 2"/>
    <w:basedOn w:val="Normal"/>
    <w:uiPriority w:val="99"/>
    <w:semiHidden/>
    <w:rsid w:val="00A0420F"/>
    <w:pPr>
      <w:spacing w:after="120" w:line="480" w:lineRule="auto"/>
    </w:pPr>
  </w:style>
  <w:style w:type="paragraph" w:styleId="BodyText3">
    <w:name w:val="Body Text 3"/>
    <w:basedOn w:val="Normal"/>
    <w:uiPriority w:val="99"/>
    <w:semiHidden/>
    <w:rsid w:val="00A0420F"/>
    <w:pPr>
      <w:spacing w:after="120"/>
    </w:pPr>
    <w:rPr>
      <w:sz w:val="16"/>
      <w:szCs w:val="16"/>
    </w:rPr>
  </w:style>
  <w:style w:type="paragraph" w:styleId="BodyTextFirstIndent">
    <w:name w:val="Body Text First Indent"/>
    <w:basedOn w:val="BodyText"/>
    <w:uiPriority w:val="99"/>
    <w:semiHidden/>
    <w:rsid w:val="00A0420F"/>
    <w:pPr>
      <w:spacing w:before="0" w:after="0"/>
      <w:ind w:firstLine="360"/>
    </w:pPr>
  </w:style>
  <w:style w:type="paragraph" w:styleId="BodyTextIndent">
    <w:name w:val="Body Text Indent"/>
    <w:basedOn w:val="Normal"/>
    <w:uiPriority w:val="99"/>
    <w:semiHidden/>
    <w:rsid w:val="00A0420F"/>
    <w:pPr>
      <w:spacing w:after="120"/>
      <w:ind w:left="283"/>
    </w:pPr>
  </w:style>
  <w:style w:type="paragraph" w:styleId="BodyTextFirstIndent2">
    <w:name w:val="Body Text First Indent 2"/>
    <w:basedOn w:val="BodyTextIndent"/>
    <w:uiPriority w:val="99"/>
    <w:semiHidden/>
    <w:rsid w:val="00A0420F"/>
    <w:pPr>
      <w:spacing w:after="0"/>
      <w:ind w:left="360" w:firstLine="360"/>
    </w:pPr>
  </w:style>
  <w:style w:type="paragraph" w:styleId="BodyTextIndent2">
    <w:name w:val="Body Text Indent 2"/>
    <w:basedOn w:val="Normal"/>
    <w:uiPriority w:val="99"/>
    <w:semiHidden/>
    <w:rsid w:val="00A0420F"/>
    <w:pPr>
      <w:spacing w:after="120" w:line="480" w:lineRule="auto"/>
      <w:ind w:left="283"/>
    </w:pPr>
  </w:style>
  <w:style w:type="paragraph" w:styleId="BodyTextIndent3">
    <w:name w:val="Body Text Indent 3"/>
    <w:basedOn w:val="Normal"/>
    <w:uiPriority w:val="99"/>
    <w:semiHidden/>
    <w:rsid w:val="00A0420F"/>
    <w:pPr>
      <w:spacing w:after="120"/>
      <w:ind w:left="283"/>
    </w:pPr>
    <w:rPr>
      <w:sz w:val="16"/>
      <w:szCs w:val="16"/>
    </w:rPr>
  </w:style>
  <w:style w:type="character" w:styleId="BookTitle">
    <w:name w:val="Book Title"/>
    <w:basedOn w:val="DefaultParagraphFont"/>
    <w:uiPriority w:val="33"/>
    <w:qFormat/>
    <w:rsid w:val="00A0420F"/>
    <w:rPr>
      <w:b/>
      <w:bCs/>
      <w:smallCaps/>
      <w:spacing w:val="5"/>
    </w:rPr>
  </w:style>
  <w:style w:type="paragraph" w:styleId="Closing">
    <w:name w:val="Closing"/>
    <w:basedOn w:val="Normal"/>
    <w:link w:val="ClosingChar"/>
    <w:uiPriority w:val="99"/>
    <w:semiHidden/>
    <w:rsid w:val="00A0420F"/>
    <w:pPr>
      <w:ind w:left="4252"/>
    </w:pPr>
  </w:style>
  <w:style w:type="character" w:customStyle="1" w:styleId="ClosingChar">
    <w:name w:val="Closing Char"/>
    <w:basedOn w:val="DefaultParagraphFont"/>
    <w:link w:val="Closing"/>
    <w:uiPriority w:val="99"/>
    <w:semiHidden/>
    <w:rsid w:val="00A0420F"/>
    <w:rPr>
      <w:rFonts w:ascii="Calibri" w:hAnsi="Calibri"/>
    </w:rPr>
  </w:style>
  <w:style w:type="paragraph" w:styleId="Date">
    <w:name w:val="Date"/>
    <w:basedOn w:val="Normal"/>
    <w:next w:val="Normal"/>
    <w:link w:val="DateChar"/>
    <w:uiPriority w:val="99"/>
    <w:semiHidden/>
    <w:rsid w:val="00A0420F"/>
  </w:style>
  <w:style w:type="character" w:customStyle="1" w:styleId="DateChar">
    <w:name w:val="Date Char"/>
    <w:basedOn w:val="DefaultParagraphFont"/>
    <w:link w:val="Date"/>
    <w:uiPriority w:val="99"/>
    <w:semiHidden/>
    <w:rsid w:val="00A0420F"/>
    <w:rPr>
      <w:rFonts w:ascii="Calibri" w:hAnsi="Calibri"/>
    </w:rPr>
  </w:style>
  <w:style w:type="paragraph" w:styleId="DocumentMap">
    <w:name w:val="Document Map"/>
    <w:basedOn w:val="Normal"/>
    <w:link w:val="DocumentMapChar"/>
    <w:uiPriority w:val="99"/>
    <w:semiHidden/>
    <w:rsid w:val="00A0420F"/>
    <w:rPr>
      <w:rFonts w:ascii="Tahoma" w:hAnsi="Tahoma" w:cs="Tahoma"/>
      <w:sz w:val="16"/>
      <w:szCs w:val="16"/>
    </w:rPr>
  </w:style>
  <w:style w:type="character" w:customStyle="1" w:styleId="DocumentMapChar">
    <w:name w:val="Document Map Char"/>
    <w:basedOn w:val="DefaultParagraphFont"/>
    <w:link w:val="DocumentMap"/>
    <w:uiPriority w:val="99"/>
    <w:semiHidden/>
    <w:rsid w:val="00A0420F"/>
    <w:rPr>
      <w:rFonts w:ascii="Tahoma" w:hAnsi="Tahoma" w:cs="Tahoma"/>
      <w:sz w:val="16"/>
      <w:szCs w:val="16"/>
    </w:rPr>
  </w:style>
  <w:style w:type="paragraph" w:styleId="E-mailSignature">
    <w:name w:val="E-mail Signature"/>
    <w:basedOn w:val="Normal"/>
    <w:link w:val="E-mailSignatureChar"/>
    <w:rsid w:val="00A0420F"/>
  </w:style>
  <w:style w:type="character" w:customStyle="1" w:styleId="E-mailSignatureChar">
    <w:name w:val="E-mail Signature Char"/>
    <w:basedOn w:val="DefaultParagraphFont"/>
    <w:link w:val="E-mailSignature"/>
    <w:rsid w:val="00A0420F"/>
    <w:rPr>
      <w:rFonts w:ascii="Calibri" w:hAnsi="Calibri"/>
    </w:rPr>
  </w:style>
  <w:style w:type="character" w:styleId="EndnoteReference">
    <w:name w:val="endnote reference"/>
    <w:basedOn w:val="DefaultParagraphFont"/>
    <w:uiPriority w:val="99"/>
    <w:semiHidden/>
    <w:unhideWhenUsed/>
    <w:rsid w:val="00A0420F"/>
    <w:rPr>
      <w:vertAlign w:val="superscript"/>
    </w:rPr>
  </w:style>
  <w:style w:type="paragraph" w:styleId="EndnoteText">
    <w:name w:val="endnote text"/>
    <w:basedOn w:val="Normal"/>
    <w:link w:val="EndnoteTextChar"/>
    <w:uiPriority w:val="99"/>
    <w:semiHidden/>
    <w:unhideWhenUsed/>
    <w:rsid w:val="00A0420F"/>
    <w:rPr>
      <w:sz w:val="20"/>
      <w:szCs w:val="20"/>
    </w:rPr>
  </w:style>
  <w:style w:type="character" w:customStyle="1" w:styleId="EndnoteTextChar">
    <w:name w:val="Endnote Text Char"/>
    <w:basedOn w:val="DefaultParagraphFont"/>
    <w:link w:val="EndnoteText"/>
    <w:uiPriority w:val="99"/>
    <w:semiHidden/>
    <w:rsid w:val="00A0420F"/>
    <w:rPr>
      <w:rFonts w:ascii="Calibri" w:hAnsi="Calibri"/>
      <w:sz w:val="20"/>
      <w:szCs w:val="20"/>
    </w:rPr>
  </w:style>
  <w:style w:type="paragraph" w:styleId="EnvelopeAddress">
    <w:name w:val="envelope address"/>
    <w:basedOn w:val="Normal"/>
    <w:uiPriority w:val="99"/>
    <w:semiHidden/>
    <w:rsid w:val="00A0420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0420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A0420F"/>
    <w:rPr>
      <w:color w:val="FFCB05" w:themeColor="followedHyperlink"/>
      <w:u w:val="single"/>
    </w:rPr>
  </w:style>
  <w:style w:type="character" w:styleId="HTMLAcronym">
    <w:name w:val="HTML Acronym"/>
    <w:basedOn w:val="DefaultParagraphFont"/>
    <w:uiPriority w:val="99"/>
    <w:semiHidden/>
    <w:rsid w:val="00A0420F"/>
  </w:style>
  <w:style w:type="paragraph" w:styleId="HTMLAddress">
    <w:name w:val="HTML Address"/>
    <w:basedOn w:val="Normal"/>
    <w:link w:val="HTMLAddressChar"/>
    <w:uiPriority w:val="99"/>
    <w:semiHidden/>
    <w:rsid w:val="00A0420F"/>
    <w:rPr>
      <w:i/>
      <w:iCs/>
    </w:rPr>
  </w:style>
  <w:style w:type="character" w:customStyle="1" w:styleId="HTMLAddressChar">
    <w:name w:val="HTML Address Char"/>
    <w:basedOn w:val="DefaultParagraphFont"/>
    <w:link w:val="HTMLAddress"/>
    <w:uiPriority w:val="99"/>
    <w:semiHidden/>
    <w:rsid w:val="00A0420F"/>
    <w:rPr>
      <w:rFonts w:ascii="Calibri" w:hAnsi="Calibri"/>
      <w:i/>
      <w:iCs/>
    </w:rPr>
  </w:style>
  <w:style w:type="character" w:styleId="HTMLCite">
    <w:name w:val="HTML Cite"/>
    <w:basedOn w:val="DefaultParagraphFont"/>
    <w:uiPriority w:val="99"/>
    <w:semiHidden/>
    <w:rsid w:val="00A0420F"/>
    <w:rPr>
      <w:i/>
      <w:iCs/>
    </w:rPr>
  </w:style>
  <w:style w:type="character" w:styleId="HTMLCode">
    <w:name w:val="HTML Code"/>
    <w:basedOn w:val="DefaultParagraphFont"/>
    <w:uiPriority w:val="99"/>
    <w:semiHidden/>
    <w:rsid w:val="00A0420F"/>
    <w:rPr>
      <w:rFonts w:ascii="Consolas" w:hAnsi="Consolas" w:cs="Consolas"/>
      <w:sz w:val="20"/>
      <w:szCs w:val="20"/>
    </w:rPr>
  </w:style>
  <w:style w:type="character" w:styleId="HTMLDefinition">
    <w:name w:val="HTML Definition"/>
    <w:basedOn w:val="DefaultParagraphFont"/>
    <w:uiPriority w:val="99"/>
    <w:semiHidden/>
    <w:rsid w:val="00A0420F"/>
    <w:rPr>
      <w:i/>
      <w:iCs/>
    </w:rPr>
  </w:style>
  <w:style w:type="character" w:styleId="HTMLKeyboard">
    <w:name w:val="HTML Keyboard"/>
    <w:basedOn w:val="DefaultParagraphFont"/>
    <w:uiPriority w:val="99"/>
    <w:semiHidden/>
    <w:rsid w:val="00A0420F"/>
    <w:rPr>
      <w:rFonts w:ascii="Consolas" w:hAnsi="Consolas" w:cs="Consolas"/>
      <w:sz w:val="20"/>
      <w:szCs w:val="20"/>
    </w:rPr>
  </w:style>
  <w:style w:type="paragraph" w:styleId="HTMLPreformatted">
    <w:name w:val="HTML Preformatted"/>
    <w:basedOn w:val="Normal"/>
    <w:link w:val="HTMLPreformattedChar"/>
    <w:uiPriority w:val="99"/>
    <w:semiHidden/>
    <w:rsid w:val="00A0420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420F"/>
    <w:rPr>
      <w:rFonts w:ascii="Consolas" w:hAnsi="Consolas" w:cs="Consolas"/>
      <w:sz w:val="20"/>
      <w:szCs w:val="20"/>
    </w:rPr>
  </w:style>
  <w:style w:type="character" w:styleId="HTMLSample">
    <w:name w:val="HTML Sample"/>
    <w:basedOn w:val="DefaultParagraphFont"/>
    <w:uiPriority w:val="99"/>
    <w:semiHidden/>
    <w:rsid w:val="00A0420F"/>
    <w:rPr>
      <w:rFonts w:ascii="Consolas" w:hAnsi="Consolas" w:cs="Consolas"/>
      <w:sz w:val="24"/>
      <w:szCs w:val="24"/>
    </w:rPr>
  </w:style>
  <w:style w:type="character" w:styleId="HTMLTypewriter">
    <w:name w:val="HTML Typewriter"/>
    <w:basedOn w:val="DefaultParagraphFont"/>
    <w:uiPriority w:val="99"/>
    <w:semiHidden/>
    <w:rsid w:val="00A0420F"/>
    <w:rPr>
      <w:rFonts w:ascii="Consolas" w:hAnsi="Consolas" w:cs="Consolas"/>
      <w:sz w:val="20"/>
      <w:szCs w:val="20"/>
    </w:rPr>
  </w:style>
  <w:style w:type="character" w:styleId="HTMLVariable">
    <w:name w:val="HTML Variable"/>
    <w:basedOn w:val="DefaultParagraphFont"/>
    <w:uiPriority w:val="99"/>
    <w:semiHidden/>
    <w:rsid w:val="00A0420F"/>
    <w:rPr>
      <w:i/>
      <w:iCs/>
    </w:rPr>
  </w:style>
  <w:style w:type="paragraph" w:styleId="Index1">
    <w:name w:val="index 1"/>
    <w:basedOn w:val="Normal"/>
    <w:next w:val="Normal"/>
    <w:autoRedefine/>
    <w:uiPriority w:val="99"/>
    <w:semiHidden/>
    <w:rsid w:val="00A0420F"/>
    <w:pPr>
      <w:ind w:left="220" w:hanging="220"/>
    </w:pPr>
  </w:style>
  <w:style w:type="paragraph" w:styleId="Index2">
    <w:name w:val="index 2"/>
    <w:basedOn w:val="Normal"/>
    <w:next w:val="Normal"/>
    <w:autoRedefine/>
    <w:uiPriority w:val="99"/>
    <w:semiHidden/>
    <w:rsid w:val="00A0420F"/>
    <w:pPr>
      <w:ind w:left="440" w:hanging="220"/>
    </w:pPr>
  </w:style>
  <w:style w:type="paragraph" w:styleId="Index3">
    <w:name w:val="index 3"/>
    <w:basedOn w:val="Normal"/>
    <w:next w:val="Normal"/>
    <w:autoRedefine/>
    <w:uiPriority w:val="99"/>
    <w:semiHidden/>
    <w:rsid w:val="00A0420F"/>
    <w:pPr>
      <w:ind w:left="660" w:hanging="220"/>
    </w:pPr>
  </w:style>
  <w:style w:type="paragraph" w:styleId="Index4">
    <w:name w:val="index 4"/>
    <w:basedOn w:val="Normal"/>
    <w:next w:val="Normal"/>
    <w:autoRedefine/>
    <w:uiPriority w:val="99"/>
    <w:semiHidden/>
    <w:rsid w:val="00A0420F"/>
    <w:pPr>
      <w:ind w:left="880" w:hanging="220"/>
    </w:pPr>
  </w:style>
  <w:style w:type="paragraph" w:styleId="Index5">
    <w:name w:val="index 5"/>
    <w:basedOn w:val="Normal"/>
    <w:next w:val="Normal"/>
    <w:autoRedefine/>
    <w:uiPriority w:val="99"/>
    <w:semiHidden/>
    <w:rsid w:val="00A0420F"/>
    <w:pPr>
      <w:ind w:left="1100" w:hanging="220"/>
    </w:pPr>
  </w:style>
  <w:style w:type="paragraph" w:styleId="Index6">
    <w:name w:val="index 6"/>
    <w:basedOn w:val="Normal"/>
    <w:next w:val="Normal"/>
    <w:autoRedefine/>
    <w:uiPriority w:val="99"/>
    <w:semiHidden/>
    <w:rsid w:val="00A0420F"/>
    <w:pPr>
      <w:ind w:left="1320" w:hanging="220"/>
    </w:pPr>
  </w:style>
  <w:style w:type="paragraph" w:styleId="Index7">
    <w:name w:val="index 7"/>
    <w:basedOn w:val="Normal"/>
    <w:next w:val="Normal"/>
    <w:autoRedefine/>
    <w:uiPriority w:val="99"/>
    <w:semiHidden/>
    <w:rsid w:val="00A0420F"/>
    <w:pPr>
      <w:ind w:left="1540" w:hanging="220"/>
    </w:pPr>
  </w:style>
  <w:style w:type="paragraph" w:styleId="Index8">
    <w:name w:val="index 8"/>
    <w:basedOn w:val="Normal"/>
    <w:next w:val="Normal"/>
    <w:autoRedefine/>
    <w:uiPriority w:val="99"/>
    <w:semiHidden/>
    <w:rsid w:val="00A0420F"/>
    <w:pPr>
      <w:ind w:left="1760" w:hanging="220"/>
    </w:pPr>
  </w:style>
  <w:style w:type="paragraph" w:styleId="Index9">
    <w:name w:val="index 9"/>
    <w:basedOn w:val="Normal"/>
    <w:next w:val="Normal"/>
    <w:autoRedefine/>
    <w:uiPriority w:val="99"/>
    <w:semiHidden/>
    <w:rsid w:val="00A0420F"/>
    <w:pPr>
      <w:ind w:left="1980" w:hanging="220"/>
    </w:pPr>
  </w:style>
  <w:style w:type="paragraph" w:styleId="IndexHeading">
    <w:name w:val="index heading"/>
    <w:basedOn w:val="Normal"/>
    <w:next w:val="Index1"/>
    <w:uiPriority w:val="99"/>
    <w:semiHidden/>
    <w:rsid w:val="00A0420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0420F"/>
    <w:rPr>
      <w:b/>
      <w:bCs/>
      <w:i/>
      <w:iCs/>
      <w:color w:val="EF4C51" w:themeColor="accent1"/>
    </w:rPr>
  </w:style>
  <w:style w:type="paragraph" w:styleId="IntenseQuote">
    <w:name w:val="Intense Quote"/>
    <w:basedOn w:val="Normal"/>
    <w:next w:val="Normal"/>
    <w:link w:val="IntenseQuoteChar"/>
    <w:uiPriority w:val="30"/>
    <w:semiHidden/>
    <w:qFormat/>
    <w:rsid w:val="00A0420F"/>
    <w:pPr>
      <w:pBdr>
        <w:bottom w:val="single" w:sz="4" w:space="4" w:color="EF4C51" w:themeColor="accent1"/>
      </w:pBdr>
      <w:spacing w:before="200" w:after="280"/>
      <w:ind w:left="936" w:right="936"/>
    </w:pPr>
    <w:rPr>
      <w:b/>
      <w:bCs/>
      <w:i/>
      <w:iCs/>
      <w:color w:val="EF4C51" w:themeColor="accent1"/>
    </w:rPr>
  </w:style>
  <w:style w:type="character" w:customStyle="1" w:styleId="IntenseQuoteChar">
    <w:name w:val="Intense Quote Char"/>
    <w:basedOn w:val="DefaultParagraphFont"/>
    <w:link w:val="IntenseQuote"/>
    <w:uiPriority w:val="30"/>
    <w:semiHidden/>
    <w:rsid w:val="00A0420F"/>
    <w:rPr>
      <w:rFonts w:ascii="Calibri" w:hAnsi="Calibri"/>
      <w:b/>
      <w:bCs/>
      <w:i/>
      <w:iCs/>
      <w:color w:val="EF4C51" w:themeColor="accent1"/>
    </w:rPr>
  </w:style>
  <w:style w:type="character" w:styleId="IntenseReference">
    <w:name w:val="Intense Reference"/>
    <w:basedOn w:val="DefaultParagraphFont"/>
    <w:uiPriority w:val="32"/>
    <w:semiHidden/>
    <w:qFormat/>
    <w:rsid w:val="00A0420F"/>
    <w:rPr>
      <w:b/>
      <w:bCs/>
      <w:smallCaps/>
      <w:color w:val="F89621" w:themeColor="accent2"/>
      <w:spacing w:val="5"/>
      <w:u w:val="single"/>
    </w:rPr>
  </w:style>
  <w:style w:type="character" w:styleId="LineNumber">
    <w:name w:val="line number"/>
    <w:basedOn w:val="DefaultParagraphFont"/>
    <w:uiPriority w:val="99"/>
    <w:semiHidden/>
    <w:rsid w:val="00A0420F"/>
  </w:style>
  <w:style w:type="paragraph" w:styleId="List">
    <w:name w:val="List"/>
    <w:basedOn w:val="Normal"/>
    <w:uiPriority w:val="99"/>
    <w:semiHidden/>
    <w:rsid w:val="00A0420F"/>
    <w:pPr>
      <w:ind w:left="283" w:hanging="283"/>
      <w:contextualSpacing/>
    </w:pPr>
  </w:style>
  <w:style w:type="paragraph" w:styleId="List2">
    <w:name w:val="List 2"/>
    <w:basedOn w:val="Normal"/>
    <w:uiPriority w:val="99"/>
    <w:semiHidden/>
    <w:rsid w:val="00A0420F"/>
    <w:pPr>
      <w:ind w:left="566" w:hanging="283"/>
      <w:contextualSpacing/>
    </w:pPr>
  </w:style>
  <w:style w:type="paragraph" w:styleId="List3">
    <w:name w:val="List 3"/>
    <w:basedOn w:val="Normal"/>
    <w:uiPriority w:val="99"/>
    <w:semiHidden/>
    <w:rsid w:val="00A0420F"/>
    <w:pPr>
      <w:ind w:left="849" w:hanging="283"/>
      <w:contextualSpacing/>
    </w:pPr>
  </w:style>
  <w:style w:type="paragraph" w:styleId="List4">
    <w:name w:val="List 4"/>
    <w:basedOn w:val="Normal"/>
    <w:uiPriority w:val="99"/>
    <w:semiHidden/>
    <w:rsid w:val="00A0420F"/>
    <w:pPr>
      <w:ind w:left="1132" w:hanging="283"/>
      <w:contextualSpacing/>
    </w:pPr>
  </w:style>
  <w:style w:type="paragraph" w:styleId="List5">
    <w:name w:val="List 5"/>
    <w:basedOn w:val="Normal"/>
    <w:uiPriority w:val="99"/>
    <w:semiHidden/>
    <w:rsid w:val="00A0420F"/>
    <w:pPr>
      <w:ind w:left="1415" w:hanging="283"/>
      <w:contextualSpacing/>
    </w:pPr>
  </w:style>
  <w:style w:type="paragraph" w:styleId="ListBullet">
    <w:name w:val="List Bullet"/>
    <w:basedOn w:val="Normal"/>
    <w:link w:val="ListBulletChar"/>
    <w:uiPriority w:val="99"/>
    <w:semiHidden/>
    <w:rsid w:val="00A0420F"/>
    <w:pPr>
      <w:numPr>
        <w:numId w:val="1"/>
      </w:numPr>
      <w:contextualSpacing/>
    </w:pPr>
  </w:style>
  <w:style w:type="paragraph" w:styleId="ListBullet2">
    <w:name w:val="List Bullet 2"/>
    <w:basedOn w:val="Normal"/>
    <w:uiPriority w:val="99"/>
    <w:semiHidden/>
    <w:rsid w:val="00A0420F"/>
    <w:pPr>
      <w:numPr>
        <w:numId w:val="2"/>
      </w:numPr>
      <w:contextualSpacing/>
    </w:pPr>
  </w:style>
  <w:style w:type="paragraph" w:styleId="ListBullet3">
    <w:name w:val="List Bullet 3"/>
    <w:basedOn w:val="Normal"/>
    <w:uiPriority w:val="99"/>
    <w:semiHidden/>
    <w:rsid w:val="00A0420F"/>
    <w:pPr>
      <w:numPr>
        <w:numId w:val="3"/>
      </w:numPr>
      <w:contextualSpacing/>
    </w:pPr>
  </w:style>
  <w:style w:type="paragraph" w:styleId="ListBullet4">
    <w:name w:val="List Bullet 4"/>
    <w:basedOn w:val="Normal"/>
    <w:uiPriority w:val="99"/>
    <w:semiHidden/>
    <w:rsid w:val="00A0420F"/>
    <w:pPr>
      <w:numPr>
        <w:numId w:val="4"/>
      </w:numPr>
      <w:contextualSpacing/>
    </w:pPr>
  </w:style>
  <w:style w:type="paragraph" w:styleId="ListBullet5">
    <w:name w:val="List Bullet 5"/>
    <w:basedOn w:val="Normal"/>
    <w:uiPriority w:val="99"/>
    <w:semiHidden/>
    <w:rsid w:val="00A0420F"/>
    <w:pPr>
      <w:numPr>
        <w:numId w:val="5"/>
      </w:numPr>
      <w:contextualSpacing/>
    </w:pPr>
  </w:style>
  <w:style w:type="paragraph" w:styleId="ListContinue">
    <w:name w:val="List Continue"/>
    <w:basedOn w:val="Normal"/>
    <w:uiPriority w:val="99"/>
    <w:semiHidden/>
    <w:rsid w:val="00A0420F"/>
    <w:pPr>
      <w:spacing w:after="120"/>
      <w:ind w:left="283"/>
      <w:contextualSpacing/>
    </w:pPr>
  </w:style>
  <w:style w:type="paragraph" w:styleId="ListContinue2">
    <w:name w:val="List Continue 2"/>
    <w:basedOn w:val="Normal"/>
    <w:uiPriority w:val="99"/>
    <w:semiHidden/>
    <w:rsid w:val="00A0420F"/>
    <w:pPr>
      <w:spacing w:after="120"/>
      <w:ind w:left="566"/>
      <w:contextualSpacing/>
    </w:pPr>
  </w:style>
  <w:style w:type="paragraph" w:styleId="ListContinue3">
    <w:name w:val="List Continue 3"/>
    <w:basedOn w:val="Normal"/>
    <w:uiPriority w:val="99"/>
    <w:semiHidden/>
    <w:rsid w:val="00A0420F"/>
    <w:pPr>
      <w:spacing w:after="120"/>
      <w:ind w:left="849"/>
      <w:contextualSpacing/>
    </w:pPr>
  </w:style>
  <w:style w:type="paragraph" w:styleId="ListContinue4">
    <w:name w:val="List Continue 4"/>
    <w:basedOn w:val="Normal"/>
    <w:uiPriority w:val="99"/>
    <w:semiHidden/>
    <w:rsid w:val="00A0420F"/>
    <w:pPr>
      <w:spacing w:after="120"/>
      <w:ind w:left="1132"/>
      <w:contextualSpacing/>
    </w:pPr>
  </w:style>
  <w:style w:type="paragraph" w:styleId="ListContinue5">
    <w:name w:val="List Continue 5"/>
    <w:basedOn w:val="Normal"/>
    <w:uiPriority w:val="99"/>
    <w:semiHidden/>
    <w:rsid w:val="00A0420F"/>
    <w:pPr>
      <w:spacing w:after="120"/>
      <w:ind w:left="1415"/>
      <w:contextualSpacing/>
    </w:pPr>
  </w:style>
  <w:style w:type="paragraph" w:styleId="ListNumber">
    <w:name w:val="List Number"/>
    <w:basedOn w:val="Normal"/>
    <w:uiPriority w:val="99"/>
    <w:semiHidden/>
    <w:rsid w:val="00A0420F"/>
    <w:pPr>
      <w:numPr>
        <w:numId w:val="6"/>
      </w:numPr>
      <w:contextualSpacing/>
    </w:pPr>
  </w:style>
  <w:style w:type="paragraph" w:styleId="ListNumber2">
    <w:name w:val="List Number 2"/>
    <w:basedOn w:val="Normal"/>
    <w:uiPriority w:val="99"/>
    <w:semiHidden/>
    <w:rsid w:val="00A0420F"/>
    <w:pPr>
      <w:numPr>
        <w:numId w:val="7"/>
      </w:numPr>
      <w:contextualSpacing/>
    </w:pPr>
  </w:style>
  <w:style w:type="paragraph" w:styleId="ListNumber3">
    <w:name w:val="List Number 3"/>
    <w:basedOn w:val="Normal"/>
    <w:uiPriority w:val="99"/>
    <w:semiHidden/>
    <w:rsid w:val="00A0420F"/>
    <w:pPr>
      <w:numPr>
        <w:numId w:val="8"/>
      </w:numPr>
      <w:contextualSpacing/>
    </w:pPr>
  </w:style>
  <w:style w:type="paragraph" w:styleId="ListNumber4">
    <w:name w:val="List Number 4"/>
    <w:basedOn w:val="Normal"/>
    <w:uiPriority w:val="99"/>
    <w:semiHidden/>
    <w:rsid w:val="00A0420F"/>
    <w:pPr>
      <w:numPr>
        <w:numId w:val="9"/>
      </w:numPr>
      <w:contextualSpacing/>
    </w:pPr>
  </w:style>
  <w:style w:type="paragraph" w:styleId="ListNumber5">
    <w:name w:val="List Number 5"/>
    <w:basedOn w:val="Normal"/>
    <w:uiPriority w:val="99"/>
    <w:semiHidden/>
    <w:rsid w:val="00A0420F"/>
    <w:pPr>
      <w:numPr>
        <w:numId w:val="10"/>
      </w:numPr>
      <w:contextualSpacing/>
    </w:pPr>
  </w:style>
  <w:style w:type="paragraph" w:styleId="ListParagraph">
    <w:name w:val="List Paragraph"/>
    <w:aliases w:val="List Paragraph1,Recommendation,bullet point list"/>
    <w:basedOn w:val="Normal"/>
    <w:link w:val="ListParagraphChar"/>
    <w:uiPriority w:val="34"/>
    <w:qFormat/>
    <w:rsid w:val="00A0420F"/>
    <w:pPr>
      <w:ind w:left="720"/>
      <w:contextualSpacing/>
    </w:pPr>
  </w:style>
  <w:style w:type="paragraph" w:styleId="MacroText">
    <w:name w:val="macro"/>
    <w:link w:val="MacroTextChar"/>
    <w:uiPriority w:val="99"/>
    <w:semiHidden/>
    <w:rsid w:val="00A04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420F"/>
    <w:rPr>
      <w:rFonts w:ascii="Consolas" w:hAnsi="Consolas" w:cs="Consolas"/>
      <w:sz w:val="20"/>
      <w:szCs w:val="20"/>
    </w:rPr>
  </w:style>
  <w:style w:type="paragraph" w:styleId="MessageHeader">
    <w:name w:val="Message Header"/>
    <w:basedOn w:val="Normal"/>
    <w:link w:val="MessageHeaderChar"/>
    <w:uiPriority w:val="99"/>
    <w:semiHidden/>
    <w:rsid w:val="00A042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420F"/>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0420F"/>
    <w:pPr>
      <w:spacing w:after="0"/>
    </w:pPr>
    <w:rPr>
      <w:rFonts w:ascii="Calibri" w:hAnsi="Calibri"/>
    </w:rPr>
  </w:style>
  <w:style w:type="paragraph" w:styleId="NormalWeb">
    <w:name w:val="Normal (Web)"/>
    <w:basedOn w:val="Normal"/>
    <w:uiPriority w:val="99"/>
    <w:semiHidden/>
    <w:rsid w:val="00A0420F"/>
    <w:rPr>
      <w:rFonts w:ascii="Times New Roman" w:hAnsi="Times New Roman" w:cs="Times New Roman"/>
      <w:sz w:val="24"/>
      <w:szCs w:val="24"/>
    </w:rPr>
  </w:style>
  <w:style w:type="paragraph" w:styleId="NormalIndent">
    <w:name w:val="Normal Indent"/>
    <w:basedOn w:val="Normal"/>
    <w:uiPriority w:val="99"/>
    <w:semiHidden/>
    <w:rsid w:val="00A0420F"/>
    <w:pPr>
      <w:ind w:left="720"/>
    </w:pPr>
  </w:style>
  <w:style w:type="paragraph" w:styleId="NoteHeading">
    <w:name w:val="Note Heading"/>
    <w:basedOn w:val="Normal"/>
    <w:next w:val="Normal"/>
    <w:link w:val="NoteHeadingChar"/>
    <w:uiPriority w:val="99"/>
    <w:semiHidden/>
    <w:rsid w:val="00A0420F"/>
  </w:style>
  <w:style w:type="character" w:customStyle="1" w:styleId="NoteHeadingChar">
    <w:name w:val="Note Heading Char"/>
    <w:basedOn w:val="DefaultParagraphFont"/>
    <w:link w:val="NoteHeading"/>
    <w:uiPriority w:val="99"/>
    <w:semiHidden/>
    <w:rsid w:val="00A0420F"/>
    <w:rPr>
      <w:rFonts w:ascii="Calibri" w:hAnsi="Calibri"/>
    </w:rPr>
  </w:style>
  <w:style w:type="character" w:styleId="PlaceholderText">
    <w:name w:val="Placeholder Text"/>
    <w:basedOn w:val="DefaultParagraphFont"/>
    <w:uiPriority w:val="99"/>
    <w:semiHidden/>
    <w:rsid w:val="00A0420F"/>
    <w:rPr>
      <w:color w:val="808080"/>
    </w:rPr>
  </w:style>
  <w:style w:type="paragraph" w:styleId="PlainText">
    <w:name w:val="Plain Text"/>
    <w:basedOn w:val="Normal"/>
    <w:link w:val="PlainTextChar"/>
    <w:uiPriority w:val="99"/>
    <w:semiHidden/>
    <w:rsid w:val="00A0420F"/>
    <w:rPr>
      <w:rFonts w:ascii="Consolas" w:hAnsi="Consolas" w:cs="Consolas"/>
      <w:sz w:val="21"/>
      <w:szCs w:val="21"/>
    </w:rPr>
  </w:style>
  <w:style w:type="character" w:customStyle="1" w:styleId="PlainTextChar">
    <w:name w:val="Plain Text Char"/>
    <w:basedOn w:val="DefaultParagraphFont"/>
    <w:link w:val="PlainText"/>
    <w:uiPriority w:val="99"/>
    <w:semiHidden/>
    <w:rsid w:val="00A0420F"/>
    <w:rPr>
      <w:rFonts w:ascii="Consolas" w:hAnsi="Consolas" w:cs="Consolas"/>
      <w:sz w:val="21"/>
      <w:szCs w:val="21"/>
    </w:rPr>
  </w:style>
  <w:style w:type="paragraph" w:styleId="Quote">
    <w:name w:val="Quote"/>
    <w:basedOn w:val="Normal"/>
    <w:next w:val="Normal"/>
    <w:link w:val="QuoteChar"/>
    <w:uiPriority w:val="29"/>
    <w:semiHidden/>
    <w:qFormat/>
    <w:rsid w:val="00A0420F"/>
    <w:rPr>
      <w:i/>
      <w:iCs/>
      <w:color w:val="AB0F14" w:themeColor="text1"/>
    </w:rPr>
  </w:style>
  <w:style w:type="character" w:customStyle="1" w:styleId="QuoteChar">
    <w:name w:val="Quote Char"/>
    <w:basedOn w:val="DefaultParagraphFont"/>
    <w:link w:val="Quote"/>
    <w:uiPriority w:val="29"/>
    <w:semiHidden/>
    <w:rsid w:val="00A0420F"/>
    <w:rPr>
      <w:rFonts w:ascii="Calibri" w:hAnsi="Calibri"/>
      <w:i/>
      <w:iCs/>
      <w:color w:val="AB0F14" w:themeColor="text1"/>
    </w:rPr>
  </w:style>
  <w:style w:type="paragraph" w:styleId="Salutation">
    <w:name w:val="Salutation"/>
    <w:basedOn w:val="Normal"/>
    <w:next w:val="Normal"/>
    <w:link w:val="SalutationChar"/>
    <w:uiPriority w:val="99"/>
    <w:semiHidden/>
    <w:rsid w:val="00A0420F"/>
  </w:style>
  <w:style w:type="character" w:customStyle="1" w:styleId="SalutationChar">
    <w:name w:val="Salutation Char"/>
    <w:basedOn w:val="DefaultParagraphFont"/>
    <w:link w:val="Salutation"/>
    <w:uiPriority w:val="99"/>
    <w:semiHidden/>
    <w:rsid w:val="00A0420F"/>
    <w:rPr>
      <w:rFonts w:ascii="Calibri" w:hAnsi="Calibri"/>
    </w:rPr>
  </w:style>
  <w:style w:type="paragraph" w:styleId="Signature">
    <w:name w:val="Signature"/>
    <w:basedOn w:val="Normal"/>
    <w:link w:val="SignatureChar"/>
    <w:uiPriority w:val="99"/>
    <w:semiHidden/>
    <w:rsid w:val="00A0420F"/>
    <w:pPr>
      <w:ind w:left="4252"/>
    </w:pPr>
  </w:style>
  <w:style w:type="character" w:customStyle="1" w:styleId="SignatureChar">
    <w:name w:val="Signature Char"/>
    <w:basedOn w:val="DefaultParagraphFont"/>
    <w:link w:val="Signature"/>
    <w:uiPriority w:val="99"/>
    <w:semiHidden/>
    <w:rsid w:val="00A0420F"/>
    <w:rPr>
      <w:rFonts w:ascii="Calibri" w:hAnsi="Calibri"/>
    </w:rPr>
  </w:style>
  <w:style w:type="paragraph" w:styleId="Subtitle">
    <w:name w:val="Subtitle"/>
    <w:basedOn w:val="Normal"/>
    <w:next w:val="Normal"/>
    <w:link w:val="SubtitleChar"/>
    <w:uiPriority w:val="15"/>
    <w:semiHidden/>
    <w:qFormat/>
    <w:rsid w:val="00A0420F"/>
    <w:pPr>
      <w:numPr>
        <w:ilvl w:val="1"/>
      </w:numPr>
      <w:ind w:left="1021" w:hanging="1021"/>
    </w:pPr>
    <w:rPr>
      <w:rFonts w:asciiTheme="majorHAnsi" w:eastAsiaTheme="majorEastAsia" w:hAnsiTheme="majorHAnsi" w:cstheme="majorBidi"/>
      <w:i/>
      <w:iCs/>
      <w:color w:val="EF4C51" w:themeColor="accent1"/>
      <w:spacing w:val="15"/>
      <w:sz w:val="24"/>
      <w:szCs w:val="24"/>
    </w:rPr>
  </w:style>
  <w:style w:type="character" w:customStyle="1" w:styleId="SubtitleChar">
    <w:name w:val="Subtitle Char"/>
    <w:basedOn w:val="DefaultParagraphFont"/>
    <w:link w:val="Subtitle"/>
    <w:uiPriority w:val="15"/>
    <w:semiHidden/>
    <w:rsid w:val="00A0420F"/>
    <w:rPr>
      <w:rFonts w:asciiTheme="majorHAnsi" w:eastAsiaTheme="majorEastAsia" w:hAnsiTheme="majorHAnsi" w:cstheme="majorBidi"/>
      <w:i/>
      <w:iCs/>
      <w:color w:val="EF4C51" w:themeColor="accent1"/>
      <w:spacing w:val="15"/>
      <w:sz w:val="24"/>
      <w:szCs w:val="24"/>
    </w:rPr>
  </w:style>
  <w:style w:type="character" w:styleId="SubtleEmphasis">
    <w:name w:val="Subtle Emphasis"/>
    <w:basedOn w:val="DefaultParagraphFont"/>
    <w:uiPriority w:val="19"/>
    <w:semiHidden/>
    <w:qFormat/>
    <w:rsid w:val="00A0420F"/>
    <w:rPr>
      <w:i/>
      <w:iCs/>
      <w:color w:val="F26A6E" w:themeColor="text1" w:themeTint="7F"/>
    </w:rPr>
  </w:style>
  <w:style w:type="character" w:styleId="SubtleReference">
    <w:name w:val="Subtle Reference"/>
    <w:basedOn w:val="DefaultParagraphFont"/>
    <w:uiPriority w:val="31"/>
    <w:semiHidden/>
    <w:qFormat/>
    <w:rsid w:val="00A0420F"/>
    <w:rPr>
      <w:smallCaps/>
      <w:color w:val="F89621" w:themeColor="accent2"/>
      <w:u w:val="single"/>
    </w:rPr>
  </w:style>
  <w:style w:type="table" w:styleId="Table3Deffects1">
    <w:name w:val="Table 3D effects 1"/>
    <w:basedOn w:val="TableNormal"/>
    <w:uiPriority w:val="99"/>
    <w:semiHidden/>
    <w:unhideWhenUsed/>
    <w:rsid w:val="00A0420F"/>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0420F"/>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0420F"/>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0420F"/>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0420F"/>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0420F"/>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0420F"/>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0420F"/>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0420F"/>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0420F"/>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0420F"/>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0420F"/>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0420F"/>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0420F"/>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0420F"/>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0420F"/>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0420F"/>
    <w:pPr>
      <w:ind w:left="220" w:hanging="220"/>
    </w:pPr>
  </w:style>
  <w:style w:type="paragraph" w:styleId="TableofFigures">
    <w:name w:val="table of figures"/>
    <w:basedOn w:val="Normal"/>
    <w:next w:val="Normal"/>
    <w:uiPriority w:val="99"/>
    <w:semiHidden/>
    <w:rsid w:val="00A0420F"/>
  </w:style>
  <w:style w:type="table" w:styleId="TableProfessional">
    <w:name w:val="Table Professional"/>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0420F"/>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0420F"/>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0420F"/>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0420F"/>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042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0420F"/>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0420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0420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0420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0420F"/>
    <w:pPr>
      <w:spacing w:after="100"/>
      <w:ind w:left="660"/>
    </w:pPr>
  </w:style>
  <w:style w:type="paragraph" w:styleId="TOC5">
    <w:name w:val="toc 5"/>
    <w:basedOn w:val="Normal"/>
    <w:next w:val="Normal"/>
    <w:autoRedefine/>
    <w:uiPriority w:val="39"/>
    <w:semiHidden/>
    <w:unhideWhenUsed/>
    <w:rsid w:val="00A0420F"/>
    <w:pPr>
      <w:spacing w:after="100"/>
      <w:ind w:left="880"/>
    </w:pPr>
  </w:style>
  <w:style w:type="paragraph" w:styleId="TOC6">
    <w:name w:val="toc 6"/>
    <w:basedOn w:val="Normal"/>
    <w:next w:val="Normal"/>
    <w:autoRedefine/>
    <w:uiPriority w:val="39"/>
    <w:semiHidden/>
    <w:unhideWhenUsed/>
    <w:rsid w:val="00A0420F"/>
    <w:pPr>
      <w:spacing w:after="100"/>
      <w:ind w:left="1100"/>
    </w:pPr>
  </w:style>
  <w:style w:type="paragraph" w:styleId="TOC7">
    <w:name w:val="toc 7"/>
    <w:basedOn w:val="Normal"/>
    <w:next w:val="Normal"/>
    <w:autoRedefine/>
    <w:uiPriority w:val="39"/>
    <w:semiHidden/>
    <w:unhideWhenUsed/>
    <w:rsid w:val="00A0420F"/>
    <w:pPr>
      <w:spacing w:after="100"/>
      <w:ind w:left="1320"/>
    </w:pPr>
  </w:style>
  <w:style w:type="paragraph" w:styleId="TOC8">
    <w:name w:val="toc 8"/>
    <w:basedOn w:val="Normal"/>
    <w:next w:val="Normal"/>
    <w:autoRedefine/>
    <w:uiPriority w:val="39"/>
    <w:semiHidden/>
    <w:unhideWhenUsed/>
    <w:rsid w:val="00A0420F"/>
    <w:pPr>
      <w:spacing w:after="100"/>
      <w:ind w:left="1540"/>
    </w:pPr>
  </w:style>
  <w:style w:type="paragraph" w:styleId="TOC9">
    <w:name w:val="toc 9"/>
    <w:basedOn w:val="Normal"/>
    <w:next w:val="Normal"/>
    <w:autoRedefine/>
    <w:uiPriority w:val="39"/>
    <w:semiHidden/>
    <w:unhideWhenUsed/>
    <w:rsid w:val="00A0420F"/>
    <w:pPr>
      <w:spacing w:after="100"/>
      <w:ind w:left="1760"/>
    </w:pPr>
  </w:style>
  <w:style w:type="paragraph" w:customStyle="1" w:styleId="Definitiontext">
    <w:name w:val="Definition text"/>
    <w:basedOn w:val="BodyText"/>
    <w:uiPriority w:val="20"/>
    <w:qFormat/>
    <w:rsid w:val="00C80837"/>
    <w:pPr>
      <w:spacing w:before="120"/>
    </w:pPr>
  </w:style>
  <w:style w:type="paragraph" w:customStyle="1" w:styleId="Definitionterm">
    <w:name w:val="Definition term"/>
    <w:basedOn w:val="Definitiontext"/>
    <w:next w:val="Definitiontext"/>
    <w:uiPriority w:val="20"/>
    <w:qFormat/>
    <w:rsid w:val="00A34761"/>
    <w:pPr>
      <w:spacing w:before="240" w:after="120"/>
    </w:pPr>
    <w:rPr>
      <w:b/>
    </w:rPr>
  </w:style>
  <w:style w:type="table" w:customStyle="1" w:styleId="ColorfulGrid1">
    <w:name w:val="Colorful Grid1"/>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9C3C4" w:themeFill="text1" w:themeFillTint="33"/>
    </w:tcPr>
    <w:tblStylePr w:type="firstRow">
      <w:rPr>
        <w:b/>
        <w:bCs/>
      </w:rPr>
      <w:tblPr/>
      <w:tcPr>
        <w:shd w:val="clear" w:color="auto" w:fill="F4878B" w:themeFill="text1" w:themeFillTint="66"/>
      </w:tcPr>
    </w:tblStylePr>
    <w:tblStylePr w:type="lastRow">
      <w:rPr>
        <w:b/>
        <w:bCs/>
        <w:color w:val="AB0F14" w:themeColor="text1"/>
      </w:rPr>
      <w:tblPr/>
      <w:tcPr>
        <w:shd w:val="clear" w:color="auto" w:fill="F4878B" w:themeFill="text1" w:themeFillTint="66"/>
      </w:tcPr>
    </w:tblStylePr>
    <w:tblStylePr w:type="firstCol">
      <w:rPr>
        <w:color w:val="FFFFFF" w:themeColor="background1"/>
      </w:rPr>
      <w:tblPr/>
      <w:tcPr>
        <w:shd w:val="clear" w:color="auto" w:fill="7F0B0E" w:themeFill="text1" w:themeFillShade="BF"/>
      </w:tcPr>
    </w:tblStylePr>
    <w:tblStylePr w:type="lastCol">
      <w:rPr>
        <w:color w:val="FFFFFF" w:themeColor="background1"/>
      </w:rPr>
      <w:tblPr/>
      <w:tcPr>
        <w:shd w:val="clear" w:color="auto" w:fill="7F0B0E" w:themeFill="text1" w:themeFillShade="BF"/>
      </w:tcPr>
    </w:tblStylePr>
    <w:tblStylePr w:type="band1Vert">
      <w:tblPr/>
      <w:tcPr>
        <w:shd w:val="clear" w:color="auto" w:fill="F26A6E" w:themeFill="text1" w:themeFillTint="7F"/>
      </w:tcPr>
    </w:tblStylePr>
    <w:tblStylePr w:type="band1Horz">
      <w:tblPr/>
      <w:tcPr>
        <w:shd w:val="clear" w:color="auto" w:fill="F26A6E" w:themeFill="text1" w:themeFillTint="7F"/>
      </w:tcPr>
    </w:tblStylePr>
  </w:style>
  <w:style w:type="table" w:styleId="ColorfulGrid-Accent1">
    <w:name w:val="Colorful Grid Accent 1"/>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BDBDC" w:themeFill="accent1" w:themeFillTint="33"/>
    </w:tcPr>
    <w:tblStylePr w:type="firstRow">
      <w:rPr>
        <w:b/>
        <w:bCs/>
      </w:rPr>
      <w:tblPr/>
      <w:tcPr>
        <w:shd w:val="clear" w:color="auto" w:fill="F8B7B9" w:themeFill="accent1" w:themeFillTint="66"/>
      </w:tcPr>
    </w:tblStylePr>
    <w:tblStylePr w:type="lastRow">
      <w:rPr>
        <w:b/>
        <w:bCs/>
        <w:color w:val="AB0F14" w:themeColor="text1"/>
      </w:rPr>
      <w:tblPr/>
      <w:tcPr>
        <w:shd w:val="clear" w:color="auto" w:fill="F8B7B9" w:themeFill="accent1" w:themeFillTint="66"/>
      </w:tcPr>
    </w:tblStylePr>
    <w:tblStylePr w:type="firstCol">
      <w:rPr>
        <w:color w:val="FFFFFF" w:themeColor="background1"/>
      </w:rPr>
      <w:tblPr/>
      <w:tcPr>
        <w:shd w:val="clear" w:color="auto" w:fill="D81318" w:themeFill="accent1" w:themeFillShade="BF"/>
      </w:tcPr>
    </w:tblStylePr>
    <w:tblStylePr w:type="lastCol">
      <w:rPr>
        <w:color w:val="FFFFFF" w:themeColor="background1"/>
      </w:rPr>
      <w:tblPr/>
      <w:tcPr>
        <w:shd w:val="clear" w:color="auto" w:fill="D81318" w:themeFill="accent1" w:themeFillShade="BF"/>
      </w:tcPr>
    </w:tblStylePr>
    <w:tblStylePr w:type="band1Vert">
      <w:tblPr/>
      <w:tcPr>
        <w:shd w:val="clear" w:color="auto" w:fill="F7A5A7" w:themeFill="accent1" w:themeFillTint="7F"/>
      </w:tcPr>
    </w:tblStylePr>
    <w:tblStylePr w:type="band1Horz">
      <w:tblPr/>
      <w:tcPr>
        <w:shd w:val="clear" w:color="auto" w:fill="F7A5A7" w:themeFill="accent1" w:themeFillTint="7F"/>
      </w:tcPr>
    </w:tblStylePr>
  </w:style>
  <w:style w:type="table" w:styleId="ColorfulGrid-Accent2">
    <w:name w:val="Colorful Grid Accent 2"/>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DE9D2" w:themeFill="accent2" w:themeFillTint="33"/>
    </w:tcPr>
    <w:tblStylePr w:type="firstRow">
      <w:rPr>
        <w:b/>
        <w:bCs/>
      </w:rPr>
      <w:tblPr/>
      <w:tcPr>
        <w:shd w:val="clear" w:color="auto" w:fill="FCD4A6" w:themeFill="accent2" w:themeFillTint="66"/>
      </w:tcPr>
    </w:tblStylePr>
    <w:tblStylePr w:type="lastRow">
      <w:rPr>
        <w:b/>
        <w:bCs/>
        <w:color w:val="AB0F14" w:themeColor="text1"/>
      </w:rPr>
      <w:tblPr/>
      <w:tcPr>
        <w:shd w:val="clear" w:color="auto" w:fill="FCD4A6" w:themeFill="accent2" w:themeFillTint="66"/>
      </w:tcPr>
    </w:tblStylePr>
    <w:tblStylePr w:type="firstCol">
      <w:rPr>
        <w:color w:val="FFFFFF" w:themeColor="background1"/>
      </w:rPr>
      <w:tblPr/>
      <w:tcPr>
        <w:shd w:val="clear" w:color="auto" w:fill="CB7106" w:themeFill="accent2" w:themeFillShade="BF"/>
      </w:tcPr>
    </w:tblStylePr>
    <w:tblStylePr w:type="lastCol">
      <w:rPr>
        <w:color w:val="FFFFFF" w:themeColor="background1"/>
      </w:rPr>
      <w:tblPr/>
      <w:tcPr>
        <w:shd w:val="clear" w:color="auto" w:fill="CB7106" w:themeFill="accent2" w:themeFillShade="BF"/>
      </w:tcPr>
    </w:tblStylePr>
    <w:tblStylePr w:type="band1Vert">
      <w:tblPr/>
      <w:tcPr>
        <w:shd w:val="clear" w:color="auto" w:fill="FBCA90" w:themeFill="accent2" w:themeFillTint="7F"/>
      </w:tcPr>
    </w:tblStylePr>
    <w:tblStylePr w:type="band1Horz">
      <w:tblPr/>
      <w:tcPr>
        <w:shd w:val="clear" w:color="auto" w:fill="FBCA90" w:themeFill="accent2" w:themeFillTint="7F"/>
      </w:tcPr>
    </w:tblStylePr>
  </w:style>
  <w:style w:type="table" w:styleId="ColorfulGrid-Accent3">
    <w:name w:val="Colorful Grid Accent 3"/>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FF4CD" w:themeFill="accent3" w:themeFillTint="33"/>
    </w:tcPr>
    <w:tblStylePr w:type="firstRow">
      <w:rPr>
        <w:b/>
        <w:bCs/>
      </w:rPr>
      <w:tblPr/>
      <w:tcPr>
        <w:shd w:val="clear" w:color="auto" w:fill="FFE99B" w:themeFill="accent3" w:themeFillTint="66"/>
      </w:tcPr>
    </w:tblStylePr>
    <w:tblStylePr w:type="lastRow">
      <w:rPr>
        <w:b/>
        <w:bCs/>
        <w:color w:val="AB0F14" w:themeColor="text1"/>
      </w:rPr>
      <w:tblPr/>
      <w:tcPr>
        <w:shd w:val="clear" w:color="auto" w:fill="FFE99B" w:themeFill="accent3" w:themeFillTint="66"/>
      </w:tcPr>
    </w:tblStylePr>
    <w:tblStylePr w:type="firstCol">
      <w:rPr>
        <w:color w:val="FFFFFF" w:themeColor="background1"/>
      </w:rPr>
      <w:tblPr/>
      <w:tcPr>
        <w:shd w:val="clear" w:color="auto" w:fill="C29900" w:themeFill="accent3" w:themeFillShade="BF"/>
      </w:tcPr>
    </w:tblStylePr>
    <w:tblStylePr w:type="lastCol">
      <w:rPr>
        <w:color w:val="FFFFFF" w:themeColor="background1"/>
      </w:rPr>
      <w:tblPr/>
      <w:tcPr>
        <w:shd w:val="clear" w:color="auto" w:fill="C29900" w:themeFill="accent3" w:themeFillShade="BF"/>
      </w:tcPr>
    </w:tblStylePr>
    <w:tblStylePr w:type="band1Vert">
      <w:tblPr/>
      <w:tcPr>
        <w:shd w:val="clear" w:color="auto" w:fill="FFE482" w:themeFill="accent3" w:themeFillTint="7F"/>
      </w:tcPr>
    </w:tblStylePr>
    <w:tblStylePr w:type="band1Horz">
      <w:tblPr/>
      <w:tcPr>
        <w:shd w:val="clear" w:color="auto" w:fill="FFE482" w:themeFill="accent3" w:themeFillTint="7F"/>
      </w:tcPr>
    </w:tblStylePr>
  </w:style>
  <w:style w:type="table" w:styleId="ColorfulGrid-Accent4">
    <w:name w:val="Colorful Grid Accent 4"/>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9C3C4" w:themeFill="accent4" w:themeFillTint="33"/>
    </w:tcPr>
    <w:tblStylePr w:type="firstRow">
      <w:rPr>
        <w:b/>
        <w:bCs/>
      </w:rPr>
      <w:tblPr/>
      <w:tcPr>
        <w:shd w:val="clear" w:color="auto" w:fill="F4878B" w:themeFill="accent4" w:themeFillTint="66"/>
      </w:tcPr>
    </w:tblStylePr>
    <w:tblStylePr w:type="lastRow">
      <w:rPr>
        <w:b/>
        <w:bCs/>
        <w:color w:val="AB0F14" w:themeColor="text1"/>
      </w:rPr>
      <w:tblPr/>
      <w:tcPr>
        <w:shd w:val="clear" w:color="auto" w:fill="F4878B" w:themeFill="accent4" w:themeFillTint="66"/>
      </w:tcPr>
    </w:tblStylePr>
    <w:tblStylePr w:type="firstCol">
      <w:rPr>
        <w:color w:val="FFFFFF" w:themeColor="background1"/>
      </w:rPr>
      <w:tblPr/>
      <w:tcPr>
        <w:shd w:val="clear" w:color="auto" w:fill="7F0B0E" w:themeFill="accent4" w:themeFillShade="BF"/>
      </w:tcPr>
    </w:tblStylePr>
    <w:tblStylePr w:type="lastCol">
      <w:rPr>
        <w:color w:val="FFFFFF" w:themeColor="background1"/>
      </w:rPr>
      <w:tblPr/>
      <w:tcPr>
        <w:shd w:val="clear" w:color="auto" w:fill="7F0B0E" w:themeFill="accent4" w:themeFillShade="BF"/>
      </w:tcPr>
    </w:tblStylePr>
    <w:tblStylePr w:type="band1Vert">
      <w:tblPr/>
      <w:tcPr>
        <w:shd w:val="clear" w:color="auto" w:fill="F26A6E" w:themeFill="accent4" w:themeFillTint="7F"/>
      </w:tcPr>
    </w:tblStylePr>
    <w:tblStylePr w:type="band1Horz">
      <w:tblPr/>
      <w:tcPr>
        <w:shd w:val="clear" w:color="auto" w:fill="F26A6E" w:themeFill="accent4" w:themeFillTint="7F"/>
      </w:tcPr>
    </w:tblStylePr>
  </w:style>
  <w:style w:type="table" w:styleId="ColorfulGrid-Accent5">
    <w:name w:val="Colorful Grid Accent 5"/>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C5E0F1" w:themeFill="accent5" w:themeFillTint="33"/>
    </w:tcPr>
    <w:tblStylePr w:type="firstRow">
      <w:rPr>
        <w:b/>
        <w:bCs/>
      </w:rPr>
      <w:tblPr/>
      <w:tcPr>
        <w:shd w:val="clear" w:color="auto" w:fill="8CC1E3" w:themeFill="accent5" w:themeFillTint="66"/>
      </w:tcPr>
    </w:tblStylePr>
    <w:tblStylePr w:type="lastRow">
      <w:rPr>
        <w:b/>
        <w:bCs/>
        <w:color w:val="AB0F14" w:themeColor="text1"/>
      </w:rPr>
      <w:tblPr/>
      <w:tcPr>
        <w:shd w:val="clear" w:color="auto" w:fill="8CC1E3" w:themeFill="accent5" w:themeFillTint="66"/>
      </w:tcPr>
    </w:tblStylePr>
    <w:tblStylePr w:type="firstCol">
      <w:rPr>
        <w:color w:val="FFFFFF" w:themeColor="background1"/>
      </w:rPr>
      <w:tblPr/>
      <w:tcPr>
        <w:shd w:val="clear" w:color="auto" w:fill="16415C" w:themeFill="accent5" w:themeFillShade="BF"/>
      </w:tcPr>
    </w:tblStylePr>
    <w:tblStylePr w:type="lastCol">
      <w:rPr>
        <w:color w:val="FFFFFF" w:themeColor="background1"/>
      </w:rPr>
      <w:tblPr/>
      <w:tcPr>
        <w:shd w:val="clear" w:color="auto" w:fill="16415C" w:themeFill="accent5" w:themeFillShade="BF"/>
      </w:tcPr>
    </w:tblStylePr>
    <w:tblStylePr w:type="band1Vert">
      <w:tblPr/>
      <w:tcPr>
        <w:shd w:val="clear" w:color="auto" w:fill="70B2DC" w:themeFill="accent5" w:themeFillTint="7F"/>
      </w:tcPr>
    </w:tblStylePr>
    <w:tblStylePr w:type="band1Horz">
      <w:tblPr/>
      <w:tcPr>
        <w:shd w:val="clear" w:color="auto" w:fill="70B2DC" w:themeFill="accent5" w:themeFillTint="7F"/>
      </w:tcPr>
    </w:tblStylePr>
  </w:style>
  <w:style w:type="table" w:styleId="ColorfulGrid-Accent6">
    <w:name w:val="Colorful Grid Accent 6"/>
    <w:basedOn w:val="TableNormal"/>
    <w:uiPriority w:val="99"/>
    <w:semiHidden/>
    <w:rsid w:val="00361DEB"/>
    <w:pPr>
      <w:spacing w:after="0"/>
    </w:pPr>
    <w:rPr>
      <w:color w:val="AB0F14" w:themeColor="text1"/>
    </w:rPr>
    <w:tblPr>
      <w:tblStyleRowBandSize w:val="1"/>
      <w:tblStyleColBandSize w:val="1"/>
      <w:tblBorders>
        <w:insideH w:val="single" w:sz="4" w:space="0" w:color="FFFFFF" w:themeColor="background1"/>
      </w:tblBorders>
    </w:tblPr>
    <w:tcPr>
      <w:shd w:val="clear" w:color="auto" w:fill="F6DAD1" w:themeFill="accent6" w:themeFillTint="33"/>
    </w:tcPr>
    <w:tblStylePr w:type="firstRow">
      <w:rPr>
        <w:b/>
        <w:bCs/>
      </w:rPr>
      <w:tblPr/>
      <w:tcPr>
        <w:shd w:val="clear" w:color="auto" w:fill="EDB5A5" w:themeFill="accent6" w:themeFillTint="66"/>
      </w:tcPr>
    </w:tblStylePr>
    <w:tblStylePr w:type="lastRow">
      <w:rPr>
        <w:b/>
        <w:bCs/>
        <w:color w:val="AB0F14" w:themeColor="text1"/>
      </w:rPr>
      <w:tblPr/>
      <w:tcPr>
        <w:shd w:val="clear" w:color="auto" w:fill="EDB5A5" w:themeFill="accent6" w:themeFillTint="66"/>
      </w:tcPr>
    </w:tblStylePr>
    <w:tblStylePr w:type="firstCol">
      <w:rPr>
        <w:color w:val="FFFFFF" w:themeColor="background1"/>
      </w:rPr>
      <w:tblPr/>
      <w:tcPr>
        <w:shd w:val="clear" w:color="auto" w:fill="98381D" w:themeFill="accent6" w:themeFillShade="BF"/>
      </w:tcPr>
    </w:tblStylePr>
    <w:tblStylePr w:type="lastCol">
      <w:rPr>
        <w:color w:val="FFFFFF" w:themeColor="background1"/>
      </w:rPr>
      <w:tblPr/>
      <w:tcPr>
        <w:shd w:val="clear" w:color="auto" w:fill="98381D" w:themeFill="accent6" w:themeFillShade="BF"/>
      </w:tcPr>
    </w:tblStylePr>
    <w:tblStylePr w:type="band1Vert">
      <w:tblPr/>
      <w:tcPr>
        <w:shd w:val="clear" w:color="auto" w:fill="E9A38F" w:themeFill="accent6" w:themeFillTint="7F"/>
      </w:tcPr>
    </w:tblStylePr>
    <w:tblStylePr w:type="band1Horz">
      <w:tblPr/>
      <w:tcPr>
        <w:shd w:val="clear" w:color="auto" w:fill="E9A38F" w:themeFill="accent6" w:themeFillTint="7F"/>
      </w:tcPr>
    </w:tblStylePr>
  </w:style>
  <w:style w:type="table" w:customStyle="1" w:styleId="ColorfulList1">
    <w:name w:val="Colorful List1"/>
    <w:basedOn w:val="TableNormal"/>
    <w:uiPriority w:val="99"/>
    <w:semiHidden/>
    <w:rsid w:val="00361DEB"/>
    <w:pPr>
      <w:spacing w:after="0"/>
    </w:pPr>
    <w:rPr>
      <w:color w:val="AB0F14" w:themeColor="text1"/>
    </w:rPr>
    <w:tblPr>
      <w:tblStyleRowBandSize w:val="1"/>
      <w:tblStyleColBandSize w:val="1"/>
    </w:tblPr>
    <w:tcPr>
      <w:shd w:val="clear" w:color="auto" w:fill="FCE1E2" w:themeFill="text1" w:themeFillTint="19"/>
    </w:tcPr>
    <w:tblStylePr w:type="firstRow">
      <w:rPr>
        <w:b/>
        <w:bCs/>
        <w:color w:val="FFFFFF" w:themeColor="background1"/>
      </w:rPr>
      <w:tblPr/>
      <w:tcPr>
        <w:tcBorders>
          <w:bottom w:val="single" w:sz="12" w:space="0" w:color="FFFFFF" w:themeColor="background1"/>
        </w:tcBorders>
        <w:shd w:val="clear" w:color="auto" w:fill="D97907" w:themeFill="accent2" w:themeFillShade="CC"/>
      </w:tcPr>
    </w:tblStylePr>
    <w:tblStylePr w:type="lastRow">
      <w:rPr>
        <w:b/>
        <w:bCs/>
        <w:color w:val="D97907" w:themeColor="accent2"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5B7" w:themeFill="text1" w:themeFillTint="3F"/>
      </w:tcPr>
    </w:tblStylePr>
    <w:tblStylePr w:type="band1Horz">
      <w:tblPr/>
      <w:tcPr>
        <w:shd w:val="clear" w:color="auto" w:fill="F9C3C4" w:themeFill="text1" w:themeFillTint="33"/>
      </w:tcPr>
    </w:tblStylePr>
  </w:style>
  <w:style w:type="table" w:styleId="ColorfulList-Accent1">
    <w:name w:val="Colorful List Accent 1"/>
    <w:basedOn w:val="TableNormal"/>
    <w:uiPriority w:val="99"/>
    <w:semiHidden/>
    <w:rsid w:val="00361DEB"/>
    <w:pPr>
      <w:spacing w:after="0"/>
    </w:pPr>
    <w:rPr>
      <w:color w:val="AB0F14"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97907" w:themeFill="accent2" w:themeFillShade="CC"/>
      </w:tcPr>
    </w:tblStylePr>
    <w:tblStylePr w:type="lastRow">
      <w:rPr>
        <w:b/>
        <w:bCs/>
        <w:color w:val="D97907" w:themeColor="accent2"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D3" w:themeFill="accent1" w:themeFillTint="3F"/>
      </w:tcPr>
    </w:tblStylePr>
    <w:tblStylePr w:type="band1Horz">
      <w:tblPr/>
      <w:tcPr>
        <w:shd w:val="clear" w:color="auto" w:fill="FBDBDC" w:themeFill="accent1" w:themeFillTint="33"/>
      </w:tcPr>
    </w:tblStylePr>
  </w:style>
  <w:style w:type="table" w:styleId="ColorfulList-Accent2">
    <w:name w:val="Colorful List Accent 2"/>
    <w:basedOn w:val="TableNormal"/>
    <w:uiPriority w:val="99"/>
    <w:semiHidden/>
    <w:rsid w:val="00361DEB"/>
    <w:pPr>
      <w:spacing w:after="0"/>
    </w:pPr>
    <w:rPr>
      <w:color w:val="AB0F14" w:themeColor="text1"/>
    </w:rPr>
    <w:tblPr>
      <w:tblStyleRowBandSize w:val="1"/>
      <w:tblStyleColBandSize w:val="1"/>
    </w:tblPr>
    <w:tcPr>
      <w:shd w:val="clear" w:color="auto" w:fill="FEF4E9" w:themeFill="accent2" w:themeFillTint="19"/>
    </w:tcPr>
    <w:tblStylePr w:type="firstRow">
      <w:rPr>
        <w:b/>
        <w:bCs/>
        <w:color w:val="FFFFFF" w:themeColor="background1"/>
      </w:rPr>
      <w:tblPr/>
      <w:tcPr>
        <w:tcBorders>
          <w:bottom w:val="single" w:sz="12" w:space="0" w:color="FFFFFF" w:themeColor="background1"/>
        </w:tcBorders>
        <w:shd w:val="clear" w:color="auto" w:fill="D97907" w:themeFill="accent2" w:themeFillShade="CC"/>
      </w:tcPr>
    </w:tblStylePr>
    <w:tblStylePr w:type="lastRow">
      <w:rPr>
        <w:b/>
        <w:bCs/>
        <w:color w:val="D97907" w:themeColor="accent2"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8" w:themeFill="accent2" w:themeFillTint="3F"/>
      </w:tcPr>
    </w:tblStylePr>
    <w:tblStylePr w:type="band1Horz">
      <w:tblPr/>
      <w:tcPr>
        <w:shd w:val="clear" w:color="auto" w:fill="FDE9D2" w:themeFill="accent2" w:themeFillTint="33"/>
      </w:tcPr>
    </w:tblStylePr>
  </w:style>
  <w:style w:type="table" w:styleId="ColorfulList-Accent3">
    <w:name w:val="Colorful List Accent 3"/>
    <w:basedOn w:val="TableNormal"/>
    <w:uiPriority w:val="99"/>
    <w:semiHidden/>
    <w:rsid w:val="00361DEB"/>
    <w:pPr>
      <w:spacing w:after="0"/>
    </w:pPr>
    <w:rPr>
      <w:color w:val="AB0F14" w:themeColor="text1"/>
    </w:rPr>
    <w:tblPr>
      <w:tblStyleRowBandSize w:val="1"/>
      <w:tblStyleColBandSize w:val="1"/>
    </w:tblPr>
    <w:tcPr>
      <w:shd w:val="clear" w:color="auto" w:fill="FFF9E6" w:themeFill="accent3" w:themeFillTint="19"/>
    </w:tcPr>
    <w:tblStylePr w:type="firstRow">
      <w:rPr>
        <w:b/>
        <w:bCs/>
        <w:color w:val="FFFFFF" w:themeColor="background1"/>
      </w:rPr>
      <w:tblPr/>
      <w:tcPr>
        <w:tcBorders>
          <w:bottom w:val="single" w:sz="12" w:space="0" w:color="FFFFFF" w:themeColor="background1"/>
        </w:tcBorders>
        <w:shd w:val="clear" w:color="auto" w:fill="880C10" w:themeFill="accent4" w:themeFillShade="CC"/>
      </w:tcPr>
    </w:tblStylePr>
    <w:tblStylePr w:type="lastRow">
      <w:rPr>
        <w:b/>
        <w:bCs/>
        <w:color w:val="880C10" w:themeColor="accent4"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C1" w:themeFill="accent3" w:themeFillTint="3F"/>
      </w:tcPr>
    </w:tblStylePr>
    <w:tblStylePr w:type="band1Horz">
      <w:tblPr/>
      <w:tcPr>
        <w:shd w:val="clear" w:color="auto" w:fill="FFF4CD" w:themeFill="accent3" w:themeFillTint="33"/>
      </w:tcPr>
    </w:tblStylePr>
  </w:style>
  <w:style w:type="table" w:styleId="ColorfulList-Accent4">
    <w:name w:val="Colorful List Accent 4"/>
    <w:basedOn w:val="TableNormal"/>
    <w:uiPriority w:val="99"/>
    <w:semiHidden/>
    <w:rsid w:val="00361DEB"/>
    <w:pPr>
      <w:spacing w:after="0"/>
    </w:pPr>
    <w:rPr>
      <w:color w:val="AB0F14" w:themeColor="text1"/>
    </w:rPr>
    <w:tblPr>
      <w:tblStyleRowBandSize w:val="1"/>
      <w:tblStyleColBandSize w:val="1"/>
    </w:tblPr>
    <w:tcPr>
      <w:shd w:val="clear" w:color="auto" w:fill="FCE1E2" w:themeFill="accent4" w:themeFillTint="19"/>
    </w:tcPr>
    <w:tblStylePr w:type="firstRow">
      <w:rPr>
        <w:b/>
        <w:bCs/>
        <w:color w:val="FFFFFF" w:themeColor="background1"/>
      </w:rPr>
      <w:tblPr/>
      <w:tcPr>
        <w:tcBorders>
          <w:bottom w:val="single" w:sz="12" w:space="0" w:color="FFFFFF" w:themeColor="background1"/>
        </w:tcBorders>
        <w:shd w:val="clear" w:color="auto" w:fill="D0A300" w:themeFill="accent3" w:themeFillShade="CC"/>
      </w:tcPr>
    </w:tblStylePr>
    <w:tblStylePr w:type="lastRow">
      <w:rPr>
        <w:b/>
        <w:bCs/>
        <w:color w:val="D0A300" w:themeColor="accent3"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B5B7" w:themeFill="accent4" w:themeFillTint="3F"/>
      </w:tcPr>
    </w:tblStylePr>
    <w:tblStylePr w:type="band1Horz">
      <w:tblPr/>
      <w:tcPr>
        <w:shd w:val="clear" w:color="auto" w:fill="F9C3C4" w:themeFill="accent4" w:themeFillTint="33"/>
      </w:tcPr>
    </w:tblStylePr>
  </w:style>
  <w:style w:type="table" w:styleId="ColorfulList-Accent5">
    <w:name w:val="Colorful List Accent 5"/>
    <w:basedOn w:val="TableNormal"/>
    <w:uiPriority w:val="99"/>
    <w:semiHidden/>
    <w:rsid w:val="00361DEB"/>
    <w:pPr>
      <w:spacing w:after="0"/>
    </w:pPr>
    <w:rPr>
      <w:color w:val="AB0F14" w:themeColor="text1"/>
    </w:rPr>
    <w:tblPr>
      <w:tblStyleRowBandSize w:val="1"/>
      <w:tblStyleColBandSize w:val="1"/>
    </w:tblPr>
    <w:tcPr>
      <w:shd w:val="clear" w:color="auto" w:fill="E2F0F8" w:themeFill="accent5" w:themeFillTint="19"/>
    </w:tcPr>
    <w:tblStylePr w:type="firstRow">
      <w:rPr>
        <w:b/>
        <w:bCs/>
        <w:color w:val="FFFFFF" w:themeColor="background1"/>
      </w:rPr>
      <w:tblPr/>
      <w:tcPr>
        <w:tcBorders>
          <w:bottom w:val="single" w:sz="12" w:space="0" w:color="FFFFFF" w:themeColor="background1"/>
        </w:tcBorders>
        <w:shd w:val="clear" w:color="auto" w:fill="A33C1F" w:themeFill="accent6" w:themeFillShade="CC"/>
      </w:tcPr>
    </w:tblStylePr>
    <w:tblStylePr w:type="lastRow">
      <w:rPr>
        <w:b/>
        <w:bCs/>
        <w:color w:val="A33C1F" w:themeColor="accent6"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9ED" w:themeFill="accent5" w:themeFillTint="3F"/>
      </w:tcPr>
    </w:tblStylePr>
    <w:tblStylePr w:type="band1Horz">
      <w:tblPr/>
      <w:tcPr>
        <w:shd w:val="clear" w:color="auto" w:fill="C5E0F1" w:themeFill="accent5" w:themeFillTint="33"/>
      </w:tcPr>
    </w:tblStylePr>
  </w:style>
  <w:style w:type="table" w:styleId="ColorfulList-Accent6">
    <w:name w:val="Colorful List Accent 6"/>
    <w:basedOn w:val="TableNormal"/>
    <w:uiPriority w:val="99"/>
    <w:semiHidden/>
    <w:rsid w:val="00361DEB"/>
    <w:pPr>
      <w:spacing w:after="0"/>
    </w:pPr>
    <w:rPr>
      <w:color w:val="AB0F14" w:themeColor="text1"/>
    </w:rPr>
    <w:tblPr>
      <w:tblStyleRowBandSize w:val="1"/>
      <w:tblStyleColBandSize w:val="1"/>
    </w:tblPr>
    <w:tcPr>
      <w:shd w:val="clear" w:color="auto" w:fill="FAECE8" w:themeFill="accent6" w:themeFillTint="19"/>
    </w:tcPr>
    <w:tblStylePr w:type="firstRow">
      <w:rPr>
        <w:b/>
        <w:bCs/>
        <w:color w:val="FFFFFF" w:themeColor="background1"/>
      </w:rPr>
      <w:tblPr/>
      <w:tcPr>
        <w:tcBorders>
          <w:bottom w:val="single" w:sz="12" w:space="0" w:color="FFFFFF" w:themeColor="background1"/>
        </w:tcBorders>
        <w:shd w:val="clear" w:color="auto" w:fill="184663" w:themeFill="accent5" w:themeFillShade="CC"/>
      </w:tcPr>
    </w:tblStylePr>
    <w:tblStylePr w:type="lastRow">
      <w:rPr>
        <w:b/>
        <w:bCs/>
        <w:color w:val="184663" w:themeColor="accent5" w:themeShade="CC"/>
      </w:rPr>
      <w:tblPr/>
      <w:tcPr>
        <w:tcBorders>
          <w:top w:val="single" w:sz="12" w:space="0" w:color="AB0F1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C7" w:themeFill="accent6" w:themeFillTint="3F"/>
      </w:tcPr>
    </w:tblStylePr>
    <w:tblStylePr w:type="band1Horz">
      <w:tblPr/>
      <w:tcPr>
        <w:shd w:val="clear" w:color="auto" w:fill="F6DAD1" w:themeFill="accent6" w:themeFillTint="33"/>
      </w:tcPr>
    </w:tblStylePr>
  </w:style>
  <w:style w:type="table" w:customStyle="1" w:styleId="ColorfulShading1">
    <w:name w:val="Colorful Shading1"/>
    <w:basedOn w:val="TableNormal"/>
    <w:uiPriority w:val="99"/>
    <w:semiHidden/>
    <w:rsid w:val="00361DEB"/>
    <w:pPr>
      <w:spacing w:after="0"/>
    </w:pPr>
    <w:rPr>
      <w:color w:val="AB0F14" w:themeColor="text1"/>
    </w:rPr>
    <w:tblPr>
      <w:tblStyleRowBandSize w:val="1"/>
      <w:tblStyleColBandSize w:val="1"/>
      <w:tblBorders>
        <w:top w:val="single" w:sz="24" w:space="0" w:color="F89621" w:themeColor="accent2"/>
        <w:left w:val="single" w:sz="4" w:space="0" w:color="AB0F14" w:themeColor="text1"/>
        <w:bottom w:val="single" w:sz="4" w:space="0" w:color="AB0F14" w:themeColor="text1"/>
        <w:right w:val="single" w:sz="4" w:space="0" w:color="AB0F14" w:themeColor="text1"/>
        <w:insideH w:val="single" w:sz="4" w:space="0" w:color="FFFFFF" w:themeColor="background1"/>
        <w:insideV w:val="single" w:sz="4" w:space="0" w:color="FFFFFF" w:themeColor="background1"/>
      </w:tblBorders>
    </w:tblPr>
    <w:tcPr>
      <w:shd w:val="clear" w:color="auto" w:fill="FCE1E2" w:themeFill="text1" w:themeFillTint="19"/>
    </w:tcPr>
    <w:tblStylePr w:type="firstRow">
      <w:rPr>
        <w:b/>
        <w:bCs/>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090B" w:themeFill="text1" w:themeFillShade="99"/>
      </w:tcPr>
    </w:tblStylePr>
    <w:tblStylePr w:type="firstCol">
      <w:rPr>
        <w:color w:val="FFFFFF" w:themeColor="background1"/>
      </w:rPr>
      <w:tblPr/>
      <w:tcPr>
        <w:tcBorders>
          <w:top w:val="nil"/>
          <w:left w:val="nil"/>
          <w:bottom w:val="nil"/>
          <w:right w:val="nil"/>
          <w:insideH w:val="single" w:sz="4" w:space="0" w:color="66090B" w:themeColor="text1" w:themeShade="99"/>
          <w:insideV w:val="nil"/>
        </w:tcBorders>
        <w:shd w:val="clear" w:color="auto" w:fill="66090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7F0B0E" w:themeFill="text1" w:themeFillShade="BF"/>
      </w:tcPr>
    </w:tblStylePr>
    <w:tblStylePr w:type="band1Vert">
      <w:tblPr/>
      <w:tcPr>
        <w:shd w:val="clear" w:color="auto" w:fill="F4878B" w:themeFill="text1" w:themeFillTint="66"/>
      </w:tcPr>
    </w:tblStylePr>
    <w:tblStylePr w:type="band1Horz">
      <w:tblPr/>
      <w:tcPr>
        <w:shd w:val="clear" w:color="auto" w:fill="F26A6E" w:themeFill="text1" w:themeFillTint="7F"/>
      </w:tcPr>
    </w:tblStylePr>
    <w:tblStylePr w:type="neCell">
      <w:rPr>
        <w:color w:val="AB0F14" w:themeColor="text1"/>
      </w:rPr>
    </w:tblStylePr>
    <w:tblStylePr w:type="nwCell">
      <w:rPr>
        <w:color w:val="AB0F14" w:themeColor="text1"/>
      </w:rPr>
    </w:tblStylePr>
  </w:style>
  <w:style w:type="table" w:styleId="ColorfulShading-Accent1">
    <w:name w:val="Colorful Shading Accent 1"/>
    <w:basedOn w:val="TableNormal"/>
    <w:uiPriority w:val="99"/>
    <w:semiHidden/>
    <w:rsid w:val="00361DEB"/>
    <w:pPr>
      <w:spacing w:after="0"/>
    </w:pPr>
    <w:rPr>
      <w:color w:val="AB0F14" w:themeColor="text1"/>
    </w:rPr>
    <w:tblPr>
      <w:tblStyleRowBandSize w:val="1"/>
      <w:tblStyleColBandSize w:val="1"/>
      <w:tblBorders>
        <w:top w:val="single" w:sz="24" w:space="0" w:color="F89621" w:themeColor="accent2"/>
        <w:left w:val="single" w:sz="4" w:space="0" w:color="EF4C51" w:themeColor="accent1"/>
        <w:bottom w:val="single" w:sz="4" w:space="0" w:color="EF4C51" w:themeColor="accent1"/>
        <w:right w:val="single" w:sz="4" w:space="0" w:color="EF4C51"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0F13" w:themeFill="accent1" w:themeFillShade="99"/>
      </w:tcPr>
    </w:tblStylePr>
    <w:tblStylePr w:type="firstCol">
      <w:rPr>
        <w:color w:val="FFFFFF" w:themeColor="background1"/>
      </w:rPr>
      <w:tblPr/>
      <w:tcPr>
        <w:tcBorders>
          <w:top w:val="nil"/>
          <w:left w:val="nil"/>
          <w:bottom w:val="nil"/>
          <w:right w:val="nil"/>
          <w:insideH w:val="single" w:sz="4" w:space="0" w:color="AD0F13" w:themeColor="accent1" w:themeShade="99"/>
          <w:insideV w:val="nil"/>
        </w:tcBorders>
        <w:shd w:val="clear" w:color="auto" w:fill="AD0F1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D0F13" w:themeFill="accent1" w:themeFillShade="99"/>
      </w:tcPr>
    </w:tblStylePr>
    <w:tblStylePr w:type="band1Vert">
      <w:tblPr/>
      <w:tcPr>
        <w:shd w:val="clear" w:color="auto" w:fill="F8B7B9" w:themeFill="accent1" w:themeFillTint="66"/>
      </w:tcPr>
    </w:tblStylePr>
    <w:tblStylePr w:type="band1Horz">
      <w:tblPr/>
      <w:tcPr>
        <w:shd w:val="clear" w:color="auto" w:fill="F7A5A7" w:themeFill="accent1" w:themeFillTint="7F"/>
      </w:tcPr>
    </w:tblStylePr>
    <w:tblStylePr w:type="neCell">
      <w:rPr>
        <w:color w:val="AB0F14" w:themeColor="text1"/>
      </w:rPr>
    </w:tblStylePr>
    <w:tblStylePr w:type="nwCell">
      <w:rPr>
        <w:color w:val="AB0F14" w:themeColor="text1"/>
      </w:rPr>
    </w:tblStylePr>
  </w:style>
  <w:style w:type="table" w:styleId="ColorfulShading-Accent2">
    <w:name w:val="Colorful Shading Accent 2"/>
    <w:basedOn w:val="TableNormal"/>
    <w:uiPriority w:val="99"/>
    <w:semiHidden/>
    <w:rsid w:val="00361DEB"/>
    <w:pPr>
      <w:spacing w:after="0"/>
    </w:pPr>
    <w:rPr>
      <w:color w:val="AB0F14" w:themeColor="text1"/>
    </w:rPr>
    <w:tblPr>
      <w:tblStyleRowBandSize w:val="1"/>
      <w:tblStyleColBandSize w:val="1"/>
      <w:tblBorders>
        <w:top w:val="single" w:sz="24" w:space="0" w:color="F89621" w:themeColor="accent2"/>
        <w:left w:val="single" w:sz="4" w:space="0" w:color="F89621" w:themeColor="accent2"/>
        <w:bottom w:val="single" w:sz="4" w:space="0" w:color="F89621" w:themeColor="accent2"/>
        <w:right w:val="single" w:sz="4" w:space="0" w:color="F89621" w:themeColor="accent2"/>
        <w:insideH w:val="single" w:sz="4" w:space="0" w:color="FFFFFF" w:themeColor="background1"/>
        <w:insideV w:val="single" w:sz="4" w:space="0" w:color="FFFFFF" w:themeColor="background1"/>
      </w:tblBorders>
    </w:tblPr>
    <w:tcPr>
      <w:shd w:val="clear" w:color="auto" w:fill="FEF4E9" w:themeFill="accent2" w:themeFillTint="19"/>
    </w:tcPr>
    <w:tblStylePr w:type="firstRow">
      <w:rPr>
        <w:b/>
        <w:bCs/>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5A05" w:themeFill="accent2" w:themeFillShade="99"/>
      </w:tcPr>
    </w:tblStylePr>
    <w:tblStylePr w:type="firstCol">
      <w:rPr>
        <w:color w:val="FFFFFF" w:themeColor="background1"/>
      </w:rPr>
      <w:tblPr/>
      <w:tcPr>
        <w:tcBorders>
          <w:top w:val="nil"/>
          <w:left w:val="nil"/>
          <w:bottom w:val="nil"/>
          <w:right w:val="nil"/>
          <w:insideH w:val="single" w:sz="4" w:space="0" w:color="A35A05" w:themeColor="accent2" w:themeShade="99"/>
          <w:insideV w:val="nil"/>
        </w:tcBorders>
        <w:shd w:val="clear" w:color="auto" w:fill="A35A0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35A05" w:themeFill="accent2" w:themeFillShade="99"/>
      </w:tcPr>
    </w:tblStylePr>
    <w:tblStylePr w:type="band1Vert">
      <w:tblPr/>
      <w:tcPr>
        <w:shd w:val="clear" w:color="auto" w:fill="FCD4A6" w:themeFill="accent2" w:themeFillTint="66"/>
      </w:tcPr>
    </w:tblStylePr>
    <w:tblStylePr w:type="band1Horz">
      <w:tblPr/>
      <w:tcPr>
        <w:shd w:val="clear" w:color="auto" w:fill="FBCA90" w:themeFill="accent2" w:themeFillTint="7F"/>
      </w:tcPr>
    </w:tblStylePr>
    <w:tblStylePr w:type="neCell">
      <w:rPr>
        <w:color w:val="AB0F14" w:themeColor="text1"/>
      </w:rPr>
    </w:tblStylePr>
    <w:tblStylePr w:type="nwCell">
      <w:rPr>
        <w:color w:val="AB0F14" w:themeColor="text1"/>
      </w:rPr>
    </w:tblStylePr>
  </w:style>
  <w:style w:type="table" w:styleId="ColorfulShading-Accent3">
    <w:name w:val="Colorful Shading Accent 3"/>
    <w:basedOn w:val="TableNormal"/>
    <w:uiPriority w:val="99"/>
    <w:semiHidden/>
    <w:rsid w:val="00361DEB"/>
    <w:pPr>
      <w:spacing w:after="0"/>
    </w:pPr>
    <w:rPr>
      <w:color w:val="AB0F14" w:themeColor="text1"/>
    </w:rPr>
    <w:tblPr>
      <w:tblStyleRowBandSize w:val="1"/>
      <w:tblStyleColBandSize w:val="1"/>
      <w:tblBorders>
        <w:top w:val="single" w:sz="24" w:space="0" w:color="AB0F14" w:themeColor="accent4"/>
        <w:left w:val="single" w:sz="4" w:space="0" w:color="FFCB05" w:themeColor="accent3"/>
        <w:bottom w:val="single" w:sz="4" w:space="0" w:color="FFCB05" w:themeColor="accent3"/>
        <w:right w:val="single" w:sz="4" w:space="0" w:color="FFCB05" w:themeColor="accent3"/>
        <w:insideH w:val="single" w:sz="4" w:space="0" w:color="FFFFFF" w:themeColor="background1"/>
        <w:insideV w:val="single" w:sz="4" w:space="0" w:color="FFFFFF" w:themeColor="background1"/>
      </w:tblBorders>
    </w:tblPr>
    <w:tcPr>
      <w:shd w:val="clear" w:color="auto" w:fill="FFF9E6" w:themeFill="accent3" w:themeFillTint="19"/>
    </w:tcPr>
    <w:tblStylePr w:type="firstRow">
      <w:rPr>
        <w:b/>
        <w:bCs/>
      </w:rPr>
      <w:tblPr/>
      <w:tcPr>
        <w:tcBorders>
          <w:top w:val="nil"/>
          <w:left w:val="nil"/>
          <w:bottom w:val="single" w:sz="24" w:space="0" w:color="AB0F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7A00" w:themeFill="accent3" w:themeFillShade="99"/>
      </w:tcPr>
    </w:tblStylePr>
    <w:tblStylePr w:type="firstCol">
      <w:rPr>
        <w:color w:val="FFFFFF" w:themeColor="background1"/>
      </w:rPr>
      <w:tblPr/>
      <w:tcPr>
        <w:tcBorders>
          <w:top w:val="nil"/>
          <w:left w:val="nil"/>
          <w:bottom w:val="nil"/>
          <w:right w:val="nil"/>
          <w:insideH w:val="single" w:sz="4" w:space="0" w:color="9C7A00" w:themeColor="accent3" w:themeShade="99"/>
          <w:insideV w:val="nil"/>
        </w:tcBorders>
        <w:shd w:val="clear" w:color="auto" w:fill="9C7A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7A00" w:themeFill="accent3" w:themeFillShade="99"/>
      </w:tcPr>
    </w:tblStylePr>
    <w:tblStylePr w:type="band1Vert">
      <w:tblPr/>
      <w:tcPr>
        <w:shd w:val="clear" w:color="auto" w:fill="FFE99B" w:themeFill="accent3" w:themeFillTint="66"/>
      </w:tcPr>
    </w:tblStylePr>
    <w:tblStylePr w:type="band1Horz">
      <w:tblPr/>
      <w:tcPr>
        <w:shd w:val="clear" w:color="auto" w:fill="FFE482" w:themeFill="accent3" w:themeFillTint="7F"/>
      </w:tcPr>
    </w:tblStylePr>
  </w:style>
  <w:style w:type="table" w:styleId="ColorfulShading-Accent4">
    <w:name w:val="Colorful Shading Accent 4"/>
    <w:basedOn w:val="TableNormal"/>
    <w:uiPriority w:val="99"/>
    <w:semiHidden/>
    <w:rsid w:val="00361DEB"/>
    <w:pPr>
      <w:spacing w:after="0"/>
    </w:pPr>
    <w:rPr>
      <w:color w:val="AB0F14" w:themeColor="text1"/>
    </w:rPr>
    <w:tblPr>
      <w:tblStyleRowBandSize w:val="1"/>
      <w:tblStyleColBandSize w:val="1"/>
      <w:tblBorders>
        <w:top w:val="single" w:sz="24" w:space="0" w:color="FFCB05" w:themeColor="accent3"/>
        <w:left w:val="single" w:sz="4" w:space="0" w:color="AB0F14" w:themeColor="accent4"/>
        <w:bottom w:val="single" w:sz="4" w:space="0" w:color="AB0F14" w:themeColor="accent4"/>
        <w:right w:val="single" w:sz="4" w:space="0" w:color="AB0F14" w:themeColor="accent4"/>
        <w:insideH w:val="single" w:sz="4" w:space="0" w:color="FFFFFF" w:themeColor="background1"/>
        <w:insideV w:val="single" w:sz="4" w:space="0" w:color="FFFFFF" w:themeColor="background1"/>
      </w:tblBorders>
    </w:tblPr>
    <w:tcPr>
      <w:shd w:val="clear" w:color="auto" w:fill="FCE1E2" w:themeFill="accent4" w:themeFillTint="19"/>
    </w:tcPr>
    <w:tblStylePr w:type="firstRow">
      <w:rPr>
        <w:b/>
        <w:bCs/>
      </w:rPr>
      <w:tblPr/>
      <w:tcPr>
        <w:tcBorders>
          <w:top w:val="nil"/>
          <w:left w:val="nil"/>
          <w:bottom w:val="single" w:sz="24" w:space="0" w:color="FFCB0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090B" w:themeFill="accent4" w:themeFillShade="99"/>
      </w:tcPr>
    </w:tblStylePr>
    <w:tblStylePr w:type="firstCol">
      <w:rPr>
        <w:color w:val="FFFFFF" w:themeColor="background1"/>
      </w:rPr>
      <w:tblPr/>
      <w:tcPr>
        <w:tcBorders>
          <w:top w:val="nil"/>
          <w:left w:val="nil"/>
          <w:bottom w:val="nil"/>
          <w:right w:val="nil"/>
          <w:insideH w:val="single" w:sz="4" w:space="0" w:color="66090B" w:themeColor="accent4" w:themeShade="99"/>
          <w:insideV w:val="nil"/>
        </w:tcBorders>
        <w:shd w:val="clear" w:color="auto" w:fill="6609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090B" w:themeFill="accent4" w:themeFillShade="99"/>
      </w:tcPr>
    </w:tblStylePr>
    <w:tblStylePr w:type="band1Vert">
      <w:tblPr/>
      <w:tcPr>
        <w:shd w:val="clear" w:color="auto" w:fill="F4878B" w:themeFill="accent4" w:themeFillTint="66"/>
      </w:tcPr>
    </w:tblStylePr>
    <w:tblStylePr w:type="band1Horz">
      <w:tblPr/>
      <w:tcPr>
        <w:shd w:val="clear" w:color="auto" w:fill="F26A6E" w:themeFill="accent4" w:themeFillTint="7F"/>
      </w:tcPr>
    </w:tblStylePr>
    <w:tblStylePr w:type="neCell">
      <w:rPr>
        <w:color w:val="AB0F14" w:themeColor="text1"/>
      </w:rPr>
    </w:tblStylePr>
    <w:tblStylePr w:type="nwCell">
      <w:rPr>
        <w:color w:val="AB0F14" w:themeColor="text1"/>
      </w:rPr>
    </w:tblStylePr>
  </w:style>
  <w:style w:type="table" w:styleId="ColorfulShading-Accent5">
    <w:name w:val="Colorful Shading Accent 5"/>
    <w:basedOn w:val="TableNormal"/>
    <w:uiPriority w:val="99"/>
    <w:semiHidden/>
    <w:rsid w:val="00361DEB"/>
    <w:pPr>
      <w:spacing w:after="0"/>
    </w:pPr>
    <w:rPr>
      <w:color w:val="AB0F14" w:themeColor="text1"/>
    </w:rPr>
    <w:tblPr>
      <w:tblStyleRowBandSize w:val="1"/>
      <w:tblStyleColBandSize w:val="1"/>
      <w:tblBorders>
        <w:top w:val="single" w:sz="24" w:space="0" w:color="CC4C27" w:themeColor="accent6"/>
        <w:left w:val="single" w:sz="4" w:space="0" w:color="1E587C" w:themeColor="accent5"/>
        <w:bottom w:val="single" w:sz="4" w:space="0" w:color="1E587C" w:themeColor="accent5"/>
        <w:right w:val="single" w:sz="4" w:space="0" w:color="1E587C" w:themeColor="accent5"/>
        <w:insideH w:val="single" w:sz="4" w:space="0" w:color="FFFFFF" w:themeColor="background1"/>
        <w:insideV w:val="single" w:sz="4" w:space="0" w:color="FFFFFF" w:themeColor="background1"/>
      </w:tblBorders>
    </w:tblPr>
    <w:tcPr>
      <w:shd w:val="clear" w:color="auto" w:fill="E2F0F8" w:themeFill="accent5" w:themeFillTint="19"/>
    </w:tcPr>
    <w:tblStylePr w:type="firstRow">
      <w:rPr>
        <w:b/>
        <w:bCs/>
      </w:rPr>
      <w:tblPr/>
      <w:tcPr>
        <w:tcBorders>
          <w:top w:val="nil"/>
          <w:left w:val="nil"/>
          <w:bottom w:val="single" w:sz="24" w:space="0" w:color="CC4C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344A" w:themeFill="accent5" w:themeFillShade="99"/>
      </w:tcPr>
    </w:tblStylePr>
    <w:tblStylePr w:type="firstCol">
      <w:rPr>
        <w:color w:val="FFFFFF" w:themeColor="background1"/>
      </w:rPr>
      <w:tblPr/>
      <w:tcPr>
        <w:tcBorders>
          <w:top w:val="nil"/>
          <w:left w:val="nil"/>
          <w:bottom w:val="nil"/>
          <w:right w:val="nil"/>
          <w:insideH w:val="single" w:sz="4" w:space="0" w:color="12344A" w:themeColor="accent5" w:themeShade="99"/>
          <w:insideV w:val="nil"/>
        </w:tcBorders>
        <w:shd w:val="clear" w:color="auto" w:fill="12344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2344A" w:themeFill="accent5" w:themeFillShade="99"/>
      </w:tcPr>
    </w:tblStylePr>
    <w:tblStylePr w:type="band1Vert">
      <w:tblPr/>
      <w:tcPr>
        <w:shd w:val="clear" w:color="auto" w:fill="8CC1E3" w:themeFill="accent5" w:themeFillTint="66"/>
      </w:tcPr>
    </w:tblStylePr>
    <w:tblStylePr w:type="band1Horz">
      <w:tblPr/>
      <w:tcPr>
        <w:shd w:val="clear" w:color="auto" w:fill="70B2DC" w:themeFill="accent5" w:themeFillTint="7F"/>
      </w:tcPr>
    </w:tblStylePr>
    <w:tblStylePr w:type="neCell">
      <w:rPr>
        <w:color w:val="AB0F14" w:themeColor="text1"/>
      </w:rPr>
    </w:tblStylePr>
    <w:tblStylePr w:type="nwCell">
      <w:rPr>
        <w:color w:val="AB0F14" w:themeColor="text1"/>
      </w:rPr>
    </w:tblStylePr>
  </w:style>
  <w:style w:type="table" w:styleId="ColorfulShading-Accent6">
    <w:name w:val="Colorful Shading Accent 6"/>
    <w:basedOn w:val="TableNormal"/>
    <w:uiPriority w:val="99"/>
    <w:semiHidden/>
    <w:rsid w:val="00361DEB"/>
    <w:pPr>
      <w:spacing w:after="0"/>
    </w:pPr>
    <w:rPr>
      <w:color w:val="AB0F14" w:themeColor="text1"/>
    </w:rPr>
    <w:tblPr>
      <w:tblStyleRowBandSize w:val="1"/>
      <w:tblStyleColBandSize w:val="1"/>
      <w:tblBorders>
        <w:top w:val="single" w:sz="24" w:space="0" w:color="1E587C" w:themeColor="accent5"/>
        <w:left w:val="single" w:sz="4" w:space="0" w:color="CC4C27" w:themeColor="accent6"/>
        <w:bottom w:val="single" w:sz="4" w:space="0" w:color="CC4C27" w:themeColor="accent6"/>
        <w:right w:val="single" w:sz="4" w:space="0" w:color="CC4C27" w:themeColor="accent6"/>
        <w:insideH w:val="single" w:sz="4" w:space="0" w:color="FFFFFF" w:themeColor="background1"/>
        <w:insideV w:val="single" w:sz="4" w:space="0" w:color="FFFFFF" w:themeColor="background1"/>
      </w:tblBorders>
    </w:tblPr>
    <w:tcPr>
      <w:shd w:val="clear" w:color="auto" w:fill="FAECE8" w:themeFill="accent6" w:themeFillTint="19"/>
    </w:tcPr>
    <w:tblStylePr w:type="firstRow">
      <w:rPr>
        <w:b/>
        <w:bCs/>
      </w:rPr>
      <w:tblPr/>
      <w:tcPr>
        <w:tcBorders>
          <w:top w:val="nil"/>
          <w:left w:val="nil"/>
          <w:bottom w:val="single" w:sz="24" w:space="0" w:color="1E587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D17" w:themeFill="accent6" w:themeFillShade="99"/>
      </w:tcPr>
    </w:tblStylePr>
    <w:tblStylePr w:type="firstCol">
      <w:rPr>
        <w:color w:val="FFFFFF" w:themeColor="background1"/>
      </w:rPr>
      <w:tblPr/>
      <w:tcPr>
        <w:tcBorders>
          <w:top w:val="nil"/>
          <w:left w:val="nil"/>
          <w:bottom w:val="nil"/>
          <w:right w:val="nil"/>
          <w:insideH w:val="single" w:sz="4" w:space="0" w:color="7A2D17" w:themeColor="accent6" w:themeShade="99"/>
          <w:insideV w:val="nil"/>
        </w:tcBorders>
        <w:shd w:val="clear" w:color="auto" w:fill="7A2D1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2D17" w:themeFill="accent6" w:themeFillShade="99"/>
      </w:tcPr>
    </w:tblStylePr>
    <w:tblStylePr w:type="band1Vert">
      <w:tblPr/>
      <w:tcPr>
        <w:shd w:val="clear" w:color="auto" w:fill="EDB5A5" w:themeFill="accent6" w:themeFillTint="66"/>
      </w:tcPr>
    </w:tblStylePr>
    <w:tblStylePr w:type="band1Horz">
      <w:tblPr/>
      <w:tcPr>
        <w:shd w:val="clear" w:color="auto" w:fill="E9A38F" w:themeFill="accent6" w:themeFillTint="7F"/>
      </w:tcPr>
    </w:tblStylePr>
    <w:tblStylePr w:type="neCell">
      <w:rPr>
        <w:color w:val="AB0F14" w:themeColor="text1"/>
      </w:rPr>
    </w:tblStylePr>
    <w:tblStylePr w:type="nwCell">
      <w:rPr>
        <w:color w:val="AB0F14" w:themeColor="text1"/>
      </w:rPr>
    </w:tblStylePr>
  </w:style>
  <w:style w:type="table" w:customStyle="1" w:styleId="DarkList1">
    <w:name w:val="Dark List1"/>
    <w:basedOn w:val="TableNormal"/>
    <w:uiPriority w:val="99"/>
    <w:semiHidden/>
    <w:rsid w:val="00361DEB"/>
    <w:pPr>
      <w:spacing w:after="0"/>
    </w:pPr>
    <w:rPr>
      <w:color w:val="FFFFFF" w:themeColor="background1"/>
    </w:rPr>
    <w:tblPr>
      <w:tblStyleRowBandSize w:val="1"/>
      <w:tblStyleColBandSize w:val="1"/>
    </w:tblPr>
    <w:tcPr>
      <w:shd w:val="clear" w:color="auto" w:fill="AB0F14" w:themeFill="text1"/>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54070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7F0B0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7F0B0E" w:themeFill="text1" w:themeFillShade="BF"/>
      </w:tcPr>
    </w:tblStylePr>
    <w:tblStylePr w:type="band1Vert">
      <w:tblPr/>
      <w:tcPr>
        <w:tcBorders>
          <w:top w:val="nil"/>
          <w:left w:val="nil"/>
          <w:bottom w:val="nil"/>
          <w:right w:val="nil"/>
          <w:insideH w:val="nil"/>
          <w:insideV w:val="nil"/>
        </w:tcBorders>
        <w:shd w:val="clear" w:color="auto" w:fill="7F0B0E" w:themeFill="text1" w:themeFillShade="BF"/>
      </w:tcPr>
    </w:tblStylePr>
    <w:tblStylePr w:type="band1Horz">
      <w:tblPr/>
      <w:tcPr>
        <w:tcBorders>
          <w:top w:val="nil"/>
          <w:left w:val="nil"/>
          <w:bottom w:val="nil"/>
          <w:right w:val="nil"/>
          <w:insideH w:val="nil"/>
          <w:insideV w:val="nil"/>
        </w:tcBorders>
        <w:shd w:val="clear" w:color="auto" w:fill="7F0B0E" w:themeFill="text1" w:themeFillShade="BF"/>
      </w:tcPr>
    </w:tblStylePr>
  </w:style>
  <w:style w:type="table" w:styleId="DarkList-Accent1">
    <w:name w:val="Dark List Accent 1"/>
    <w:basedOn w:val="TableNormal"/>
    <w:uiPriority w:val="99"/>
    <w:semiHidden/>
    <w:rsid w:val="00361DEB"/>
    <w:pPr>
      <w:spacing w:after="0"/>
    </w:pPr>
    <w:rPr>
      <w:color w:val="FFFFFF" w:themeColor="background1"/>
    </w:rPr>
    <w:tblPr>
      <w:tblStyleRowBandSize w:val="1"/>
      <w:tblStyleColBandSize w:val="1"/>
    </w:tblPr>
    <w:tcPr>
      <w:shd w:val="clear" w:color="auto" w:fill="EF4C5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8F0D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813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81318" w:themeFill="accent1" w:themeFillShade="BF"/>
      </w:tcPr>
    </w:tblStylePr>
    <w:tblStylePr w:type="band1Vert">
      <w:tblPr/>
      <w:tcPr>
        <w:tcBorders>
          <w:top w:val="nil"/>
          <w:left w:val="nil"/>
          <w:bottom w:val="nil"/>
          <w:right w:val="nil"/>
          <w:insideH w:val="nil"/>
          <w:insideV w:val="nil"/>
        </w:tcBorders>
        <w:shd w:val="clear" w:color="auto" w:fill="D81318" w:themeFill="accent1" w:themeFillShade="BF"/>
      </w:tcPr>
    </w:tblStylePr>
    <w:tblStylePr w:type="band1Horz">
      <w:tblPr/>
      <w:tcPr>
        <w:tcBorders>
          <w:top w:val="nil"/>
          <w:left w:val="nil"/>
          <w:bottom w:val="nil"/>
          <w:right w:val="nil"/>
          <w:insideH w:val="nil"/>
          <w:insideV w:val="nil"/>
        </w:tcBorders>
        <w:shd w:val="clear" w:color="auto" w:fill="D81318" w:themeFill="accent1" w:themeFillShade="BF"/>
      </w:tcPr>
    </w:tblStylePr>
  </w:style>
  <w:style w:type="table" w:styleId="DarkList-Accent2">
    <w:name w:val="Dark List Accent 2"/>
    <w:basedOn w:val="TableNormal"/>
    <w:uiPriority w:val="99"/>
    <w:semiHidden/>
    <w:rsid w:val="00361DEB"/>
    <w:pPr>
      <w:spacing w:after="0"/>
    </w:pPr>
    <w:rPr>
      <w:color w:val="FFFFFF" w:themeColor="background1"/>
    </w:rPr>
    <w:tblPr>
      <w:tblStyleRowBandSize w:val="1"/>
      <w:tblStyleColBandSize w:val="1"/>
    </w:tblPr>
    <w:tcPr>
      <w:shd w:val="clear" w:color="auto" w:fill="F896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874B0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B710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B7106" w:themeFill="accent2" w:themeFillShade="BF"/>
      </w:tcPr>
    </w:tblStylePr>
    <w:tblStylePr w:type="band1Vert">
      <w:tblPr/>
      <w:tcPr>
        <w:tcBorders>
          <w:top w:val="nil"/>
          <w:left w:val="nil"/>
          <w:bottom w:val="nil"/>
          <w:right w:val="nil"/>
          <w:insideH w:val="nil"/>
          <w:insideV w:val="nil"/>
        </w:tcBorders>
        <w:shd w:val="clear" w:color="auto" w:fill="CB7106" w:themeFill="accent2" w:themeFillShade="BF"/>
      </w:tcPr>
    </w:tblStylePr>
    <w:tblStylePr w:type="band1Horz">
      <w:tblPr/>
      <w:tcPr>
        <w:tcBorders>
          <w:top w:val="nil"/>
          <w:left w:val="nil"/>
          <w:bottom w:val="nil"/>
          <w:right w:val="nil"/>
          <w:insideH w:val="nil"/>
          <w:insideV w:val="nil"/>
        </w:tcBorders>
        <w:shd w:val="clear" w:color="auto" w:fill="CB7106" w:themeFill="accent2" w:themeFillShade="BF"/>
      </w:tcPr>
    </w:tblStylePr>
  </w:style>
  <w:style w:type="table" w:styleId="DarkList-Accent3">
    <w:name w:val="Dark List Accent 3"/>
    <w:basedOn w:val="TableNormal"/>
    <w:uiPriority w:val="99"/>
    <w:semiHidden/>
    <w:rsid w:val="00361DEB"/>
    <w:pPr>
      <w:spacing w:after="0"/>
    </w:pPr>
    <w:rPr>
      <w:color w:val="FFFFFF" w:themeColor="background1"/>
    </w:rPr>
    <w:tblPr>
      <w:tblStyleRowBandSize w:val="1"/>
      <w:tblStyleColBandSize w:val="1"/>
    </w:tblPr>
    <w:tcPr>
      <w:shd w:val="clear" w:color="auto" w:fill="FFCB0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8165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299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29900" w:themeFill="accent3" w:themeFillShade="BF"/>
      </w:tcPr>
    </w:tblStylePr>
    <w:tblStylePr w:type="band1Vert">
      <w:tblPr/>
      <w:tcPr>
        <w:tcBorders>
          <w:top w:val="nil"/>
          <w:left w:val="nil"/>
          <w:bottom w:val="nil"/>
          <w:right w:val="nil"/>
          <w:insideH w:val="nil"/>
          <w:insideV w:val="nil"/>
        </w:tcBorders>
        <w:shd w:val="clear" w:color="auto" w:fill="C29900" w:themeFill="accent3" w:themeFillShade="BF"/>
      </w:tcPr>
    </w:tblStylePr>
    <w:tblStylePr w:type="band1Horz">
      <w:tblPr/>
      <w:tcPr>
        <w:tcBorders>
          <w:top w:val="nil"/>
          <w:left w:val="nil"/>
          <w:bottom w:val="nil"/>
          <w:right w:val="nil"/>
          <w:insideH w:val="nil"/>
          <w:insideV w:val="nil"/>
        </w:tcBorders>
        <w:shd w:val="clear" w:color="auto" w:fill="C29900" w:themeFill="accent3" w:themeFillShade="BF"/>
      </w:tcPr>
    </w:tblStylePr>
  </w:style>
  <w:style w:type="table" w:styleId="DarkList-Accent4">
    <w:name w:val="Dark List Accent 4"/>
    <w:basedOn w:val="TableNormal"/>
    <w:uiPriority w:val="99"/>
    <w:semiHidden/>
    <w:rsid w:val="00361DEB"/>
    <w:pPr>
      <w:spacing w:after="0"/>
    </w:pPr>
    <w:rPr>
      <w:color w:val="FFFFFF" w:themeColor="background1"/>
    </w:rPr>
    <w:tblPr>
      <w:tblStyleRowBandSize w:val="1"/>
      <w:tblStyleColBandSize w:val="1"/>
    </w:tblPr>
    <w:tcPr>
      <w:shd w:val="clear" w:color="auto" w:fill="AB0F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5407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F0B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F0B0E" w:themeFill="accent4" w:themeFillShade="BF"/>
      </w:tcPr>
    </w:tblStylePr>
    <w:tblStylePr w:type="band1Vert">
      <w:tblPr/>
      <w:tcPr>
        <w:tcBorders>
          <w:top w:val="nil"/>
          <w:left w:val="nil"/>
          <w:bottom w:val="nil"/>
          <w:right w:val="nil"/>
          <w:insideH w:val="nil"/>
          <w:insideV w:val="nil"/>
        </w:tcBorders>
        <w:shd w:val="clear" w:color="auto" w:fill="7F0B0E" w:themeFill="accent4" w:themeFillShade="BF"/>
      </w:tcPr>
    </w:tblStylePr>
    <w:tblStylePr w:type="band1Horz">
      <w:tblPr/>
      <w:tcPr>
        <w:tcBorders>
          <w:top w:val="nil"/>
          <w:left w:val="nil"/>
          <w:bottom w:val="nil"/>
          <w:right w:val="nil"/>
          <w:insideH w:val="nil"/>
          <w:insideV w:val="nil"/>
        </w:tcBorders>
        <w:shd w:val="clear" w:color="auto" w:fill="7F0B0E" w:themeFill="accent4" w:themeFillShade="BF"/>
      </w:tcPr>
    </w:tblStylePr>
  </w:style>
  <w:style w:type="table" w:styleId="DarkList-Accent5">
    <w:name w:val="Dark List Accent 5"/>
    <w:basedOn w:val="TableNormal"/>
    <w:uiPriority w:val="99"/>
    <w:semiHidden/>
    <w:rsid w:val="00361DEB"/>
    <w:pPr>
      <w:spacing w:after="0"/>
    </w:pPr>
    <w:rPr>
      <w:color w:val="FFFFFF" w:themeColor="background1"/>
    </w:rPr>
    <w:tblPr>
      <w:tblStyleRowBandSize w:val="1"/>
      <w:tblStyleColBandSize w:val="1"/>
    </w:tblPr>
    <w:tcPr>
      <w:shd w:val="clear" w:color="auto" w:fill="1E587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0F2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6415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6415C" w:themeFill="accent5" w:themeFillShade="BF"/>
      </w:tcPr>
    </w:tblStylePr>
    <w:tblStylePr w:type="band1Vert">
      <w:tblPr/>
      <w:tcPr>
        <w:tcBorders>
          <w:top w:val="nil"/>
          <w:left w:val="nil"/>
          <w:bottom w:val="nil"/>
          <w:right w:val="nil"/>
          <w:insideH w:val="nil"/>
          <w:insideV w:val="nil"/>
        </w:tcBorders>
        <w:shd w:val="clear" w:color="auto" w:fill="16415C" w:themeFill="accent5" w:themeFillShade="BF"/>
      </w:tcPr>
    </w:tblStylePr>
    <w:tblStylePr w:type="band1Horz">
      <w:tblPr/>
      <w:tcPr>
        <w:tcBorders>
          <w:top w:val="nil"/>
          <w:left w:val="nil"/>
          <w:bottom w:val="nil"/>
          <w:right w:val="nil"/>
          <w:insideH w:val="nil"/>
          <w:insideV w:val="nil"/>
        </w:tcBorders>
        <w:shd w:val="clear" w:color="auto" w:fill="16415C" w:themeFill="accent5" w:themeFillShade="BF"/>
      </w:tcPr>
    </w:tblStylePr>
  </w:style>
  <w:style w:type="table" w:styleId="DarkList-Accent6">
    <w:name w:val="Dark List Accent 6"/>
    <w:basedOn w:val="TableNormal"/>
    <w:uiPriority w:val="99"/>
    <w:semiHidden/>
    <w:rsid w:val="00361DEB"/>
    <w:pPr>
      <w:spacing w:after="0"/>
    </w:pPr>
    <w:rPr>
      <w:color w:val="FFFFFF" w:themeColor="background1"/>
    </w:rPr>
    <w:tblPr>
      <w:tblStyleRowBandSize w:val="1"/>
      <w:tblStyleColBandSize w:val="1"/>
    </w:tblPr>
    <w:tcPr>
      <w:shd w:val="clear" w:color="auto" w:fill="CC4C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AB0F14" w:themeFill="text1"/>
      </w:tcPr>
    </w:tblStylePr>
    <w:tblStylePr w:type="lastRow">
      <w:tblPr/>
      <w:tcPr>
        <w:tcBorders>
          <w:top w:val="single" w:sz="18" w:space="0" w:color="FFFFFF" w:themeColor="background1"/>
          <w:left w:val="nil"/>
          <w:bottom w:val="nil"/>
          <w:right w:val="nil"/>
          <w:insideH w:val="nil"/>
          <w:insideV w:val="nil"/>
        </w:tcBorders>
        <w:shd w:val="clear" w:color="auto" w:fill="6525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83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8381D" w:themeFill="accent6" w:themeFillShade="BF"/>
      </w:tcPr>
    </w:tblStylePr>
    <w:tblStylePr w:type="band1Vert">
      <w:tblPr/>
      <w:tcPr>
        <w:tcBorders>
          <w:top w:val="nil"/>
          <w:left w:val="nil"/>
          <w:bottom w:val="nil"/>
          <w:right w:val="nil"/>
          <w:insideH w:val="nil"/>
          <w:insideV w:val="nil"/>
        </w:tcBorders>
        <w:shd w:val="clear" w:color="auto" w:fill="98381D" w:themeFill="accent6" w:themeFillShade="BF"/>
      </w:tcPr>
    </w:tblStylePr>
    <w:tblStylePr w:type="band1Horz">
      <w:tblPr/>
      <w:tcPr>
        <w:tcBorders>
          <w:top w:val="nil"/>
          <w:left w:val="nil"/>
          <w:bottom w:val="nil"/>
          <w:right w:val="nil"/>
          <w:insideH w:val="nil"/>
          <w:insideV w:val="nil"/>
        </w:tcBorders>
        <w:shd w:val="clear" w:color="auto" w:fill="98381D" w:themeFill="accent6" w:themeFillShade="BF"/>
      </w:tcPr>
    </w:tblStylePr>
  </w:style>
  <w:style w:type="table" w:customStyle="1" w:styleId="LightGrid1">
    <w:name w:val="Light Grid1"/>
    <w:basedOn w:val="TableNormal"/>
    <w:uiPriority w:val="99"/>
    <w:semiHidden/>
    <w:rsid w:val="00361DEB"/>
    <w:pPr>
      <w:spacing w:after="0"/>
    </w:p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insideH w:val="single" w:sz="8" w:space="0" w:color="AB0F14" w:themeColor="text1"/>
        <w:insideV w:val="single" w:sz="8" w:space="0" w:color="AB0F1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0F14" w:themeColor="text1"/>
          <w:left w:val="single" w:sz="8" w:space="0" w:color="AB0F14" w:themeColor="text1"/>
          <w:bottom w:val="single" w:sz="18" w:space="0" w:color="AB0F14" w:themeColor="text1"/>
          <w:right w:val="single" w:sz="8" w:space="0" w:color="AB0F14" w:themeColor="text1"/>
          <w:insideH w:val="nil"/>
          <w:insideV w:val="single" w:sz="8" w:space="0" w:color="AB0F1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0F14" w:themeColor="text1"/>
          <w:left w:val="single" w:sz="8" w:space="0" w:color="AB0F14" w:themeColor="text1"/>
          <w:bottom w:val="single" w:sz="8" w:space="0" w:color="AB0F14" w:themeColor="text1"/>
          <w:right w:val="single" w:sz="8" w:space="0" w:color="AB0F14" w:themeColor="text1"/>
          <w:insideH w:val="nil"/>
          <w:insideV w:val="single" w:sz="8" w:space="0" w:color="AB0F1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0F14" w:themeColor="text1"/>
          <w:left w:val="single" w:sz="8" w:space="0" w:color="AB0F14" w:themeColor="text1"/>
          <w:bottom w:val="single" w:sz="8" w:space="0" w:color="AB0F14" w:themeColor="text1"/>
          <w:right w:val="single" w:sz="8" w:space="0" w:color="AB0F14" w:themeColor="text1"/>
        </w:tcBorders>
      </w:tcPr>
    </w:tblStylePr>
    <w:tblStylePr w:type="band1Vert">
      <w:tblPr/>
      <w:tcPr>
        <w:tcBorders>
          <w:top w:val="single" w:sz="8" w:space="0" w:color="AB0F14" w:themeColor="text1"/>
          <w:left w:val="single" w:sz="8" w:space="0" w:color="AB0F14" w:themeColor="text1"/>
          <w:bottom w:val="single" w:sz="8" w:space="0" w:color="AB0F14" w:themeColor="text1"/>
          <w:right w:val="single" w:sz="8" w:space="0" w:color="AB0F14" w:themeColor="text1"/>
        </w:tcBorders>
        <w:shd w:val="clear" w:color="auto" w:fill="F8B5B7" w:themeFill="text1" w:themeFillTint="3F"/>
      </w:tcPr>
    </w:tblStylePr>
    <w:tblStylePr w:type="band1Horz">
      <w:tblPr/>
      <w:tcPr>
        <w:tcBorders>
          <w:top w:val="single" w:sz="8" w:space="0" w:color="AB0F14" w:themeColor="text1"/>
          <w:left w:val="single" w:sz="8" w:space="0" w:color="AB0F14" w:themeColor="text1"/>
          <w:bottom w:val="single" w:sz="8" w:space="0" w:color="AB0F14" w:themeColor="text1"/>
          <w:right w:val="single" w:sz="8" w:space="0" w:color="AB0F14" w:themeColor="text1"/>
          <w:insideV w:val="single" w:sz="8" w:space="0" w:color="AB0F14" w:themeColor="text1"/>
        </w:tcBorders>
        <w:shd w:val="clear" w:color="auto" w:fill="F8B5B7" w:themeFill="text1" w:themeFillTint="3F"/>
      </w:tcPr>
    </w:tblStylePr>
    <w:tblStylePr w:type="band2Horz">
      <w:tblPr/>
      <w:tcPr>
        <w:tcBorders>
          <w:top w:val="single" w:sz="8" w:space="0" w:color="AB0F14" w:themeColor="text1"/>
          <w:left w:val="single" w:sz="8" w:space="0" w:color="AB0F14" w:themeColor="text1"/>
          <w:bottom w:val="single" w:sz="8" w:space="0" w:color="AB0F14" w:themeColor="text1"/>
          <w:right w:val="single" w:sz="8" w:space="0" w:color="AB0F14" w:themeColor="text1"/>
          <w:insideV w:val="single" w:sz="8" w:space="0" w:color="AB0F14" w:themeColor="text1"/>
        </w:tcBorders>
      </w:tcPr>
    </w:tblStylePr>
  </w:style>
  <w:style w:type="table" w:customStyle="1" w:styleId="LightGrid-Accent11">
    <w:name w:val="Light Grid - Accent 11"/>
    <w:basedOn w:val="TableNormal"/>
    <w:uiPriority w:val="99"/>
    <w:semiHidden/>
    <w:rsid w:val="00361DEB"/>
    <w:pPr>
      <w:spacing w:after="0"/>
    </w:p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insideH w:val="single" w:sz="8" w:space="0" w:color="EF4C51" w:themeColor="accent1"/>
        <w:insideV w:val="single" w:sz="8" w:space="0" w:color="EF4C5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4C51" w:themeColor="accent1"/>
          <w:left w:val="single" w:sz="8" w:space="0" w:color="EF4C51" w:themeColor="accent1"/>
          <w:bottom w:val="single" w:sz="18" w:space="0" w:color="EF4C51" w:themeColor="accent1"/>
          <w:right w:val="single" w:sz="8" w:space="0" w:color="EF4C51" w:themeColor="accent1"/>
          <w:insideH w:val="nil"/>
          <w:insideV w:val="single" w:sz="8" w:space="0" w:color="EF4C5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4C51" w:themeColor="accent1"/>
          <w:left w:val="single" w:sz="8" w:space="0" w:color="EF4C51" w:themeColor="accent1"/>
          <w:bottom w:val="single" w:sz="8" w:space="0" w:color="EF4C51" w:themeColor="accent1"/>
          <w:right w:val="single" w:sz="8" w:space="0" w:color="EF4C51" w:themeColor="accent1"/>
          <w:insideH w:val="nil"/>
          <w:insideV w:val="single" w:sz="8" w:space="0" w:color="EF4C5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tblStylePr w:type="band1Vert">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shd w:val="clear" w:color="auto" w:fill="FBD2D3" w:themeFill="accent1" w:themeFillTint="3F"/>
      </w:tcPr>
    </w:tblStylePr>
    <w:tblStylePr w:type="band1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insideV w:val="single" w:sz="8" w:space="0" w:color="EF4C51" w:themeColor="accent1"/>
        </w:tcBorders>
        <w:shd w:val="clear" w:color="auto" w:fill="FBD2D3" w:themeFill="accent1" w:themeFillTint="3F"/>
      </w:tcPr>
    </w:tblStylePr>
    <w:tblStylePr w:type="band2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insideV w:val="single" w:sz="8" w:space="0" w:color="EF4C51" w:themeColor="accent1"/>
        </w:tcBorders>
      </w:tcPr>
    </w:tblStylePr>
  </w:style>
  <w:style w:type="table" w:styleId="LightGrid-Accent2">
    <w:name w:val="Light Grid Accent 2"/>
    <w:basedOn w:val="TableNormal"/>
    <w:uiPriority w:val="99"/>
    <w:semiHidden/>
    <w:rsid w:val="00361DEB"/>
    <w:pPr>
      <w:spacing w:after="0"/>
    </w:p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insideH w:val="single" w:sz="8" w:space="0" w:color="F89621" w:themeColor="accent2"/>
        <w:insideV w:val="single" w:sz="8" w:space="0" w:color="F896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621" w:themeColor="accent2"/>
          <w:left w:val="single" w:sz="8" w:space="0" w:color="F89621" w:themeColor="accent2"/>
          <w:bottom w:val="single" w:sz="18" w:space="0" w:color="F89621" w:themeColor="accent2"/>
          <w:right w:val="single" w:sz="8" w:space="0" w:color="F89621" w:themeColor="accent2"/>
          <w:insideH w:val="nil"/>
          <w:insideV w:val="single" w:sz="8" w:space="0" w:color="F896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621" w:themeColor="accent2"/>
          <w:left w:val="single" w:sz="8" w:space="0" w:color="F89621" w:themeColor="accent2"/>
          <w:bottom w:val="single" w:sz="8" w:space="0" w:color="F89621" w:themeColor="accent2"/>
          <w:right w:val="single" w:sz="8" w:space="0" w:color="F89621" w:themeColor="accent2"/>
          <w:insideH w:val="nil"/>
          <w:insideV w:val="single" w:sz="8" w:space="0" w:color="F896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tcPr>
    </w:tblStylePr>
    <w:tblStylePr w:type="band1Vert">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shd w:val="clear" w:color="auto" w:fill="FDE4C8" w:themeFill="accent2" w:themeFillTint="3F"/>
      </w:tcPr>
    </w:tblStylePr>
    <w:tblStylePr w:type="band1Horz">
      <w:tblPr/>
      <w:tcPr>
        <w:tcBorders>
          <w:top w:val="single" w:sz="8" w:space="0" w:color="F89621" w:themeColor="accent2"/>
          <w:left w:val="single" w:sz="8" w:space="0" w:color="F89621" w:themeColor="accent2"/>
          <w:bottom w:val="single" w:sz="8" w:space="0" w:color="F89621" w:themeColor="accent2"/>
          <w:right w:val="single" w:sz="8" w:space="0" w:color="F89621" w:themeColor="accent2"/>
          <w:insideV w:val="single" w:sz="8" w:space="0" w:color="F89621" w:themeColor="accent2"/>
        </w:tcBorders>
        <w:shd w:val="clear" w:color="auto" w:fill="FDE4C8" w:themeFill="accent2" w:themeFillTint="3F"/>
      </w:tcPr>
    </w:tblStylePr>
    <w:tblStylePr w:type="band2Horz">
      <w:tblPr/>
      <w:tcPr>
        <w:tcBorders>
          <w:top w:val="single" w:sz="8" w:space="0" w:color="F89621" w:themeColor="accent2"/>
          <w:left w:val="single" w:sz="8" w:space="0" w:color="F89621" w:themeColor="accent2"/>
          <w:bottom w:val="single" w:sz="8" w:space="0" w:color="F89621" w:themeColor="accent2"/>
          <w:right w:val="single" w:sz="8" w:space="0" w:color="F89621" w:themeColor="accent2"/>
          <w:insideV w:val="single" w:sz="8" w:space="0" w:color="F89621" w:themeColor="accent2"/>
        </w:tcBorders>
      </w:tcPr>
    </w:tblStylePr>
  </w:style>
  <w:style w:type="table" w:styleId="LightGrid-Accent3">
    <w:name w:val="Light Grid Accent 3"/>
    <w:basedOn w:val="TableNormal"/>
    <w:uiPriority w:val="99"/>
    <w:semiHidden/>
    <w:rsid w:val="00361DEB"/>
    <w:pPr>
      <w:spacing w:after="0"/>
    </w:p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insideH w:val="single" w:sz="8" w:space="0" w:color="FFCB05" w:themeColor="accent3"/>
        <w:insideV w:val="single" w:sz="8" w:space="0" w:color="FFCB0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B05" w:themeColor="accent3"/>
          <w:left w:val="single" w:sz="8" w:space="0" w:color="FFCB05" w:themeColor="accent3"/>
          <w:bottom w:val="single" w:sz="18" w:space="0" w:color="FFCB05" w:themeColor="accent3"/>
          <w:right w:val="single" w:sz="8" w:space="0" w:color="FFCB05" w:themeColor="accent3"/>
          <w:insideH w:val="nil"/>
          <w:insideV w:val="single" w:sz="8" w:space="0" w:color="FFCB0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B05" w:themeColor="accent3"/>
          <w:left w:val="single" w:sz="8" w:space="0" w:color="FFCB05" w:themeColor="accent3"/>
          <w:bottom w:val="single" w:sz="8" w:space="0" w:color="FFCB05" w:themeColor="accent3"/>
          <w:right w:val="single" w:sz="8" w:space="0" w:color="FFCB05" w:themeColor="accent3"/>
          <w:insideH w:val="nil"/>
          <w:insideV w:val="single" w:sz="8" w:space="0" w:color="FFCB0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tcPr>
    </w:tblStylePr>
    <w:tblStylePr w:type="band1Vert">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shd w:val="clear" w:color="auto" w:fill="FFF1C1" w:themeFill="accent3" w:themeFillTint="3F"/>
      </w:tcPr>
    </w:tblStylePr>
    <w:tblStylePr w:type="band1Horz">
      <w:tblPr/>
      <w:tcPr>
        <w:tcBorders>
          <w:top w:val="single" w:sz="8" w:space="0" w:color="FFCB05" w:themeColor="accent3"/>
          <w:left w:val="single" w:sz="8" w:space="0" w:color="FFCB05" w:themeColor="accent3"/>
          <w:bottom w:val="single" w:sz="8" w:space="0" w:color="FFCB05" w:themeColor="accent3"/>
          <w:right w:val="single" w:sz="8" w:space="0" w:color="FFCB05" w:themeColor="accent3"/>
          <w:insideV w:val="single" w:sz="8" w:space="0" w:color="FFCB05" w:themeColor="accent3"/>
        </w:tcBorders>
        <w:shd w:val="clear" w:color="auto" w:fill="FFF1C1" w:themeFill="accent3" w:themeFillTint="3F"/>
      </w:tcPr>
    </w:tblStylePr>
    <w:tblStylePr w:type="band2Horz">
      <w:tblPr/>
      <w:tcPr>
        <w:tcBorders>
          <w:top w:val="single" w:sz="8" w:space="0" w:color="FFCB05" w:themeColor="accent3"/>
          <w:left w:val="single" w:sz="8" w:space="0" w:color="FFCB05" w:themeColor="accent3"/>
          <w:bottom w:val="single" w:sz="8" w:space="0" w:color="FFCB05" w:themeColor="accent3"/>
          <w:right w:val="single" w:sz="8" w:space="0" w:color="FFCB05" w:themeColor="accent3"/>
          <w:insideV w:val="single" w:sz="8" w:space="0" w:color="FFCB05" w:themeColor="accent3"/>
        </w:tcBorders>
      </w:tcPr>
    </w:tblStylePr>
  </w:style>
  <w:style w:type="table" w:styleId="LightGrid-Accent4">
    <w:name w:val="Light Grid Accent 4"/>
    <w:basedOn w:val="TableNormal"/>
    <w:uiPriority w:val="99"/>
    <w:semiHidden/>
    <w:rsid w:val="00361DEB"/>
    <w:pPr>
      <w:spacing w:after="0"/>
    </w:p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insideH w:val="single" w:sz="8" w:space="0" w:color="AB0F14" w:themeColor="accent4"/>
        <w:insideV w:val="single" w:sz="8" w:space="0" w:color="AB0F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0F14" w:themeColor="accent4"/>
          <w:left w:val="single" w:sz="8" w:space="0" w:color="AB0F14" w:themeColor="accent4"/>
          <w:bottom w:val="single" w:sz="18" w:space="0" w:color="AB0F14" w:themeColor="accent4"/>
          <w:right w:val="single" w:sz="8" w:space="0" w:color="AB0F14" w:themeColor="accent4"/>
          <w:insideH w:val="nil"/>
          <w:insideV w:val="single" w:sz="8" w:space="0" w:color="AB0F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0F14" w:themeColor="accent4"/>
          <w:left w:val="single" w:sz="8" w:space="0" w:color="AB0F14" w:themeColor="accent4"/>
          <w:bottom w:val="single" w:sz="8" w:space="0" w:color="AB0F14" w:themeColor="accent4"/>
          <w:right w:val="single" w:sz="8" w:space="0" w:color="AB0F14" w:themeColor="accent4"/>
          <w:insideH w:val="nil"/>
          <w:insideV w:val="single" w:sz="8" w:space="0" w:color="AB0F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tcPr>
    </w:tblStylePr>
    <w:tblStylePr w:type="band1Vert">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shd w:val="clear" w:color="auto" w:fill="F8B5B7" w:themeFill="accent4" w:themeFillTint="3F"/>
      </w:tcPr>
    </w:tblStylePr>
    <w:tblStylePr w:type="band1Horz">
      <w:tblPr/>
      <w:tcPr>
        <w:tcBorders>
          <w:top w:val="single" w:sz="8" w:space="0" w:color="AB0F14" w:themeColor="accent4"/>
          <w:left w:val="single" w:sz="8" w:space="0" w:color="AB0F14" w:themeColor="accent4"/>
          <w:bottom w:val="single" w:sz="8" w:space="0" w:color="AB0F14" w:themeColor="accent4"/>
          <w:right w:val="single" w:sz="8" w:space="0" w:color="AB0F14" w:themeColor="accent4"/>
          <w:insideV w:val="single" w:sz="8" w:space="0" w:color="AB0F14" w:themeColor="accent4"/>
        </w:tcBorders>
        <w:shd w:val="clear" w:color="auto" w:fill="F8B5B7" w:themeFill="accent4" w:themeFillTint="3F"/>
      </w:tcPr>
    </w:tblStylePr>
    <w:tblStylePr w:type="band2Horz">
      <w:tblPr/>
      <w:tcPr>
        <w:tcBorders>
          <w:top w:val="single" w:sz="8" w:space="0" w:color="AB0F14" w:themeColor="accent4"/>
          <w:left w:val="single" w:sz="8" w:space="0" w:color="AB0F14" w:themeColor="accent4"/>
          <w:bottom w:val="single" w:sz="8" w:space="0" w:color="AB0F14" w:themeColor="accent4"/>
          <w:right w:val="single" w:sz="8" w:space="0" w:color="AB0F14" w:themeColor="accent4"/>
          <w:insideV w:val="single" w:sz="8" w:space="0" w:color="AB0F14" w:themeColor="accent4"/>
        </w:tcBorders>
      </w:tcPr>
    </w:tblStylePr>
  </w:style>
  <w:style w:type="table" w:styleId="LightGrid-Accent5">
    <w:name w:val="Light Grid Accent 5"/>
    <w:basedOn w:val="TableNormal"/>
    <w:uiPriority w:val="99"/>
    <w:semiHidden/>
    <w:rsid w:val="00361DEB"/>
    <w:pPr>
      <w:spacing w:after="0"/>
    </w:p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insideH w:val="single" w:sz="8" w:space="0" w:color="1E587C" w:themeColor="accent5"/>
        <w:insideV w:val="single" w:sz="8" w:space="0" w:color="1E587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587C" w:themeColor="accent5"/>
          <w:left w:val="single" w:sz="8" w:space="0" w:color="1E587C" w:themeColor="accent5"/>
          <w:bottom w:val="single" w:sz="18" w:space="0" w:color="1E587C" w:themeColor="accent5"/>
          <w:right w:val="single" w:sz="8" w:space="0" w:color="1E587C" w:themeColor="accent5"/>
          <w:insideH w:val="nil"/>
          <w:insideV w:val="single" w:sz="8" w:space="0" w:color="1E587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587C" w:themeColor="accent5"/>
          <w:left w:val="single" w:sz="8" w:space="0" w:color="1E587C" w:themeColor="accent5"/>
          <w:bottom w:val="single" w:sz="8" w:space="0" w:color="1E587C" w:themeColor="accent5"/>
          <w:right w:val="single" w:sz="8" w:space="0" w:color="1E587C" w:themeColor="accent5"/>
          <w:insideH w:val="nil"/>
          <w:insideV w:val="single" w:sz="8" w:space="0" w:color="1E587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tcPr>
    </w:tblStylePr>
    <w:tblStylePr w:type="band1Vert">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shd w:val="clear" w:color="auto" w:fill="B8D9ED" w:themeFill="accent5" w:themeFillTint="3F"/>
      </w:tcPr>
    </w:tblStylePr>
    <w:tblStylePr w:type="band1Horz">
      <w:tblPr/>
      <w:tcPr>
        <w:tcBorders>
          <w:top w:val="single" w:sz="8" w:space="0" w:color="1E587C" w:themeColor="accent5"/>
          <w:left w:val="single" w:sz="8" w:space="0" w:color="1E587C" w:themeColor="accent5"/>
          <w:bottom w:val="single" w:sz="8" w:space="0" w:color="1E587C" w:themeColor="accent5"/>
          <w:right w:val="single" w:sz="8" w:space="0" w:color="1E587C" w:themeColor="accent5"/>
          <w:insideV w:val="single" w:sz="8" w:space="0" w:color="1E587C" w:themeColor="accent5"/>
        </w:tcBorders>
        <w:shd w:val="clear" w:color="auto" w:fill="B8D9ED" w:themeFill="accent5" w:themeFillTint="3F"/>
      </w:tcPr>
    </w:tblStylePr>
    <w:tblStylePr w:type="band2Horz">
      <w:tblPr/>
      <w:tcPr>
        <w:tcBorders>
          <w:top w:val="single" w:sz="8" w:space="0" w:color="1E587C" w:themeColor="accent5"/>
          <w:left w:val="single" w:sz="8" w:space="0" w:color="1E587C" w:themeColor="accent5"/>
          <w:bottom w:val="single" w:sz="8" w:space="0" w:color="1E587C" w:themeColor="accent5"/>
          <w:right w:val="single" w:sz="8" w:space="0" w:color="1E587C" w:themeColor="accent5"/>
          <w:insideV w:val="single" w:sz="8" w:space="0" w:color="1E587C" w:themeColor="accent5"/>
        </w:tcBorders>
      </w:tcPr>
    </w:tblStylePr>
  </w:style>
  <w:style w:type="table" w:styleId="LightGrid-Accent6">
    <w:name w:val="Light Grid Accent 6"/>
    <w:basedOn w:val="TableNormal"/>
    <w:uiPriority w:val="99"/>
    <w:semiHidden/>
    <w:rsid w:val="00361DEB"/>
    <w:pPr>
      <w:spacing w:after="0"/>
    </w:p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insideH w:val="single" w:sz="8" w:space="0" w:color="CC4C27" w:themeColor="accent6"/>
        <w:insideV w:val="single" w:sz="8" w:space="0" w:color="CC4C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4C27" w:themeColor="accent6"/>
          <w:left w:val="single" w:sz="8" w:space="0" w:color="CC4C27" w:themeColor="accent6"/>
          <w:bottom w:val="single" w:sz="18" w:space="0" w:color="CC4C27" w:themeColor="accent6"/>
          <w:right w:val="single" w:sz="8" w:space="0" w:color="CC4C27" w:themeColor="accent6"/>
          <w:insideH w:val="nil"/>
          <w:insideV w:val="single" w:sz="8" w:space="0" w:color="CC4C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4C27" w:themeColor="accent6"/>
          <w:left w:val="single" w:sz="8" w:space="0" w:color="CC4C27" w:themeColor="accent6"/>
          <w:bottom w:val="single" w:sz="8" w:space="0" w:color="CC4C27" w:themeColor="accent6"/>
          <w:right w:val="single" w:sz="8" w:space="0" w:color="CC4C27" w:themeColor="accent6"/>
          <w:insideH w:val="nil"/>
          <w:insideV w:val="single" w:sz="8" w:space="0" w:color="CC4C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tcPr>
    </w:tblStylePr>
    <w:tblStylePr w:type="band1Vert">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shd w:val="clear" w:color="auto" w:fill="F4D1C7" w:themeFill="accent6" w:themeFillTint="3F"/>
      </w:tcPr>
    </w:tblStylePr>
    <w:tblStylePr w:type="band1Horz">
      <w:tblPr/>
      <w:tcPr>
        <w:tcBorders>
          <w:top w:val="single" w:sz="8" w:space="0" w:color="CC4C27" w:themeColor="accent6"/>
          <w:left w:val="single" w:sz="8" w:space="0" w:color="CC4C27" w:themeColor="accent6"/>
          <w:bottom w:val="single" w:sz="8" w:space="0" w:color="CC4C27" w:themeColor="accent6"/>
          <w:right w:val="single" w:sz="8" w:space="0" w:color="CC4C27" w:themeColor="accent6"/>
          <w:insideV w:val="single" w:sz="8" w:space="0" w:color="CC4C27" w:themeColor="accent6"/>
        </w:tcBorders>
        <w:shd w:val="clear" w:color="auto" w:fill="F4D1C7" w:themeFill="accent6" w:themeFillTint="3F"/>
      </w:tcPr>
    </w:tblStylePr>
    <w:tblStylePr w:type="band2Horz">
      <w:tblPr/>
      <w:tcPr>
        <w:tcBorders>
          <w:top w:val="single" w:sz="8" w:space="0" w:color="CC4C27" w:themeColor="accent6"/>
          <w:left w:val="single" w:sz="8" w:space="0" w:color="CC4C27" w:themeColor="accent6"/>
          <w:bottom w:val="single" w:sz="8" w:space="0" w:color="CC4C27" w:themeColor="accent6"/>
          <w:right w:val="single" w:sz="8" w:space="0" w:color="CC4C27" w:themeColor="accent6"/>
          <w:insideV w:val="single" w:sz="8" w:space="0" w:color="CC4C27" w:themeColor="accent6"/>
        </w:tcBorders>
      </w:tcPr>
    </w:tblStylePr>
  </w:style>
  <w:style w:type="table" w:customStyle="1" w:styleId="LightList1">
    <w:name w:val="Light List1"/>
    <w:basedOn w:val="TableNormal"/>
    <w:uiPriority w:val="99"/>
    <w:semiHidden/>
    <w:rsid w:val="00361DEB"/>
    <w:pPr>
      <w:spacing w:after="0"/>
    </w:p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tblBorders>
    </w:tblPr>
    <w:tblStylePr w:type="firstRow">
      <w:pPr>
        <w:spacing w:before="0" w:after="0" w:line="240" w:lineRule="auto"/>
      </w:pPr>
      <w:rPr>
        <w:b/>
        <w:bCs/>
        <w:color w:val="FFFFFF" w:themeColor="background1"/>
      </w:rPr>
      <w:tblPr/>
      <w:tcPr>
        <w:shd w:val="clear" w:color="auto" w:fill="AB0F14" w:themeFill="text1"/>
      </w:tcPr>
    </w:tblStylePr>
    <w:tblStylePr w:type="lastRow">
      <w:pPr>
        <w:spacing w:before="0" w:after="0" w:line="240" w:lineRule="auto"/>
      </w:pPr>
      <w:rPr>
        <w:b/>
        <w:bCs/>
      </w:rPr>
      <w:tblPr/>
      <w:tcPr>
        <w:tcBorders>
          <w:top w:val="double" w:sz="6" w:space="0" w:color="AB0F14" w:themeColor="text1"/>
          <w:left w:val="single" w:sz="8" w:space="0" w:color="AB0F14" w:themeColor="text1"/>
          <w:bottom w:val="single" w:sz="8" w:space="0" w:color="AB0F14" w:themeColor="text1"/>
          <w:right w:val="single" w:sz="8" w:space="0" w:color="AB0F14" w:themeColor="text1"/>
        </w:tcBorders>
      </w:tcPr>
    </w:tblStylePr>
    <w:tblStylePr w:type="firstCol">
      <w:rPr>
        <w:b/>
        <w:bCs/>
      </w:rPr>
    </w:tblStylePr>
    <w:tblStylePr w:type="lastCol">
      <w:rPr>
        <w:b/>
        <w:bCs/>
      </w:rPr>
    </w:tblStylePr>
    <w:tblStylePr w:type="band1Vert">
      <w:tblPr/>
      <w:tcPr>
        <w:tcBorders>
          <w:top w:val="single" w:sz="8" w:space="0" w:color="AB0F14" w:themeColor="text1"/>
          <w:left w:val="single" w:sz="8" w:space="0" w:color="AB0F14" w:themeColor="text1"/>
          <w:bottom w:val="single" w:sz="8" w:space="0" w:color="AB0F14" w:themeColor="text1"/>
          <w:right w:val="single" w:sz="8" w:space="0" w:color="AB0F14" w:themeColor="text1"/>
        </w:tcBorders>
      </w:tcPr>
    </w:tblStylePr>
    <w:tblStylePr w:type="band1Horz">
      <w:tblPr/>
      <w:tcPr>
        <w:tcBorders>
          <w:top w:val="single" w:sz="8" w:space="0" w:color="AB0F14" w:themeColor="text1"/>
          <w:left w:val="single" w:sz="8" w:space="0" w:color="AB0F14" w:themeColor="text1"/>
          <w:bottom w:val="single" w:sz="8" w:space="0" w:color="AB0F14" w:themeColor="text1"/>
          <w:right w:val="single" w:sz="8" w:space="0" w:color="AB0F14" w:themeColor="text1"/>
        </w:tcBorders>
      </w:tcPr>
    </w:tblStylePr>
  </w:style>
  <w:style w:type="table" w:customStyle="1" w:styleId="LightList-Accent11">
    <w:name w:val="Light List - Accent 11"/>
    <w:basedOn w:val="TableNormal"/>
    <w:uiPriority w:val="99"/>
    <w:semiHidden/>
    <w:rsid w:val="00361DEB"/>
    <w:pPr>
      <w:spacing w:after="0"/>
    </w:p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tblBorders>
    </w:tblPr>
    <w:tblStylePr w:type="firstRow">
      <w:pPr>
        <w:spacing w:before="0" w:after="0" w:line="240" w:lineRule="auto"/>
      </w:pPr>
      <w:rPr>
        <w:b/>
        <w:bCs/>
        <w:color w:val="FFFFFF" w:themeColor="background1"/>
      </w:rPr>
      <w:tblPr/>
      <w:tcPr>
        <w:shd w:val="clear" w:color="auto" w:fill="EF4C51" w:themeFill="accent1"/>
      </w:tcPr>
    </w:tblStylePr>
    <w:tblStylePr w:type="lastRow">
      <w:pPr>
        <w:spacing w:before="0" w:after="0" w:line="240" w:lineRule="auto"/>
      </w:pPr>
      <w:rPr>
        <w:b/>
        <w:bCs/>
      </w:rPr>
      <w:tblPr/>
      <w:tcPr>
        <w:tcBorders>
          <w:top w:val="double" w:sz="6" w:space="0" w:color="EF4C51" w:themeColor="accent1"/>
          <w:left w:val="single" w:sz="8" w:space="0" w:color="EF4C51" w:themeColor="accent1"/>
          <w:bottom w:val="single" w:sz="8" w:space="0" w:color="EF4C51" w:themeColor="accent1"/>
          <w:right w:val="single" w:sz="8" w:space="0" w:color="EF4C51" w:themeColor="accent1"/>
        </w:tcBorders>
      </w:tcPr>
    </w:tblStylePr>
    <w:tblStylePr w:type="firstCol">
      <w:rPr>
        <w:b/>
        <w:bCs/>
      </w:rPr>
    </w:tblStylePr>
    <w:tblStylePr w:type="lastCol">
      <w:rPr>
        <w:b/>
        <w:bCs/>
      </w:rPr>
    </w:tblStylePr>
    <w:tblStylePr w:type="band1Vert">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tblStylePr w:type="band1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style>
  <w:style w:type="table" w:styleId="LightList-Accent2">
    <w:name w:val="Light List Accent 2"/>
    <w:basedOn w:val="TableNormal"/>
    <w:uiPriority w:val="99"/>
    <w:semiHidden/>
    <w:rsid w:val="00361DEB"/>
    <w:pPr>
      <w:spacing w:after="0"/>
    </w:p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tblBorders>
    </w:tblPr>
    <w:tblStylePr w:type="firstRow">
      <w:pPr>
        <w:spacing w:before="0" w:after="0" w:line="240" w:lineRule="auto"/>
      </w:pPr>
      <w:rPr>
        <w:b/>
        <w:bCs/>
        <w:color w:val="FFFFFF" w:themeColor="background1"/>
      </w:rPr>
      <w:tblPr/>
      <w:tcPr>
        <w:shd w:val="clear" w:color="auto" w:fill="F89621" w:themeFill="accent2"/>
      </w:tcPr>
    </w:tblStylePr>
    <w:tblStylePr w:type="lastRow">
      <w:pPr>
        <w:spacing w:before="0" w:after="0" w:line="240" w:lineRule="auto"/>
      </w:pPr>
      <w:rPr>
        <w:b/>
        <w:bCs/>
      </w:rPr>
      <w:tblPr/>
      <w:tcPr>
        <w:tcBorders>
          <w:top w:val="double" w:sz="6" w:space="0" w:color="F89621" w:themeColor="accent2"/>
          <w:left w:val="single" w:sz="8" w:space="0" w:color="F89621" w:themeColor="accent2"/>
          <w:bottom w:val="single" w:sz="8" w:space="0" w:color="F89621" w:themeColor="accent2"/>
          <w:right w:val="single" w:sz="8" w:space="0" w:color="F89621" w:themeColor="accent2"/>
        </w:tcBorders>
      </w:tcPr>
    </w:tblStylePr>
    <w:tblStylePr w:type="firstCol">
      <w:rPr>
        <w:b/>
        <w:bCs/>
      </w:rPr>
    </w:tblStylePr>
    <w:tblStylePr w:type="lastCol">
      <w:rPr>
        <w:b/>
        <w:bCs/>
      </w:rPr>
    </w:tblStylePr>
    <w:tblStylePr w:type="band1Vert">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tcPr>
    </w:tblStylePr>
    <w:tblStylePr w:type="band1Horz">
      <w:tblPr/>
      <w:tcPr>
        <w:tcBorders>
          <w:top w:val="single" w:sz="8" w:space="0" w:color="F89621" w:themeColor="accent2"/>
          <w:left w:val="single" w:sz="8" w:space="0" w:color="F89621" w:themeColor="accent2"/>
          <w:bottom w:val="single" w:sz="8" w:space="0" w:color="F89621" w:themeColor="accent2"/>
          <w:right w:val="single" w:sz="8" w:space="0" w:color="F89621" w:themeColor="accent2"/>
        </w:tcBorders>
      </w:tcPr>
    </w:tblStylePr>
  </w:style>
  <w:style w:type="table" w:styleId="LightList-Accent3">
    <w:name w:val="Light List Accent 3"/>
    <w:basedOn w:val="TableNormal"/>
    <w:uiPriority w:val="99"/>
    <w:semiHidden/>
    <w:rsid w:val="00361DEB"/>
    <w:pPr>
      <w:spacing w:after="0"/>
    </w:p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tblBorders>
    </w:tblPr>
    <w:tblStylePr w:type="firstRow">
      <w:pPr>
        <w:spacing w:before="0" w:after="0" w:line="240" w:lineRule="auto"/>
      </w:pPr>
      <w:rPr>
        <w:b/>
        <w:bCs/>
        <w:color w:val="FFFFFF" w:themeColor="background1"/>
      </w:rPr>
      <w:tblPr/>
      <w:tcPr>
        <w:shd w:val="clear" w:color="auto" w:fill="FFCB05" w:themeFill="accent3"/>
      </w:tcPr>
    </w:tblStylePr>
    <w:tblStylePr w:type="lastRow">
      <w:pPr>
        <w:spacing w:before="0" w:after="0" w:line="240" w:lineRule="auto"/>
      </w:pPr>
      <w:rPr>
        <w:b/>
        <w:bCs/>
      </w:rPr>
      <w:tblPr/>
      <w:tcPr>
        <w:tcBorders>
          <w:top w:val="double" w:sz="6" w:space="0" w:color="FFCB05" w:themeColor="accent3"/>
          <w:left w:val="single" w:sz="8" w:space="0" w:color="FFCB05" w:themeColor="accent3"/>
          <w:bottom w:val="single" w:sz="8" w:space="0" w:color="FFCB05" w:themeColor="accent3"/>
          <w:right w:val="single" w:sz="8" w:space="0" w:color="FFCB05" w:themeColor="accent3"/>
        </w:tcBorders>
      </w:tcPr>
    </w:tblStylePr>
    <w:tblStylePr w:type="firstCol">
      <w:rPr>
        <w:b/>
        <w:bCs/>
      </w:rPr>
    </w:tblStylePr>
    <w:tblStylePr w:type="lastCol">
      <w:rPr>
        <w:b/>
        <w:bCs/>
      </w:rPr>
    </w:tblStylePr>
    <w:tblStylePr w:type="band1Vert">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tcPr>
    </w:tblStylePr>
    <w:tblStylePr w:type="band1Horz">
      <w:tblPr/>
      <w:tcPr>
        <w:tcBorders>
          <w:top w:val="single" w:sz="8" w:space="0" w:color="FFCB05" w:themeColor="accent3"/>
          <w:left w:val="single" w:sz="8" w:space="0" w:color="FFCB05" w:themeColor="accent3"/>
          <w:bottom w:val="single" w:sz="8" w:space="0" w:color="FFCB05" w:themeColor="accent3"/>
          <w:right w:val="single" w:sz="8" w:space="0" w:color="FFCB05" w:themeColor="accent3"/>
        </w:tcBorders>
      </w:tcPr>
    </w:tblStylePr>
  </w:style>
  <w:style w:type="table" w:styleId="LightList-Accent4">
    <w:name w:val="Light List Accent 4"/>
    <w:basedOn w:val="TableNormal"/>
    <w:uiPriority w:val="99"/>
    <w:semiHidden/>
    <w:rsid w:val="00361DEB"/>
    <w:pPr>
      <w:spacing w:after="0"/>
    </w:p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tblBorders>
    </w:tblPr>
    <w:tblStylePr w:type="firstRow">
      <w:pPr>
        <w:spacing w:before="0" w:after="0" w:line="240" w:lineRule="auto"/>
      </w:pPr>
      <w:rPr>
        <w:b/>
        <w:bCs/>
        <w:color w:val="FFFFFF" w:themeColor="background1"/>
      </w:rPr>
      <w:tblPr/>
      <w:tcPr>
        <w:shd w:val="clear" w:color="auto" w:fill="AB0F14" w:themeFill="accent4"/>
      </w:tcPr>
    </w:tblStylePr>
    <w:tblStylePr w:type="lastRow">
      <w:pPr>
        <w:spacing w:before="0" w:after="0" w:line="240" w:lineRule="auto"/>
      </w:pPr>
      <w:rPr>
        <w:b/>
        <w:bCs/>
      </w:rPr>
      <w:tblPr/>
      <w:tcPr>
        <w:tcBorders>
          <w:top w:val="double" w:sz="6" w:space="0" w:color="AB0F14" w:themeColor="accent4"/>
          <w:left w:val="single" w:sz="8" w:space="0" w:color="AB0F14" w:themeColor="accent4"/>
          <w:bottom w:val="single" w:sz="8" w:space="0" w:color="AB0F14" w:themeColor="accent4"/>
          <w:right w:val="single" w:sz="8" w:space="0" w:color="AB0F14" w:themeColor="accent4"/>
        </w:tcBorders>
      </w:tcPr>
    </w:tblStylePr>
    <w:tblStylePr w:type="firstCol">
      <w:rPr>
        <w:b/>
        <w:bCs/>
      </w:rPr>
    </w:tblStylePr>
    <w:tblStylePr w:type="lastCol">
      <w:rPr>
        <w:b/>
        <w:bCs/>
      </w:rPr>
    </w:tblStylePr>
    <w:tblStylePr w:type="band1Vert">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tcPr>
    </w:tblStylePr>
    <w:tblStylePr w:type="band1Horz">
      <w:tblPr/>
      <w:tcPr>
        <w:tcBorders>
          <w:top w:val="single" w:sz="8" w:space="0" w:color="AB0F14" w:themeColor="accent4"/>
          <w:left w:val="single" w:sz="8" w:space="0" w:color="AB0F14" w:themeColor="accent4"/>
          <w:bottom w:val="single" w:sz="8" w:space="0" w:color="AB0F14" w:themeColor="accent4"/>
          <w:right w:val="single" w:sz="8" w:space="0" w:color="AB0F14" w:themeColor="accent4"/>
        </w:tcBorders>
      </w:tcPr>
    </w:tblStylePr>
  </w:style>
  <w:style w:type="table" w:styleId="LightList-Accent5">
    <w:name w:val="Light List Accent 5"/>
    <w:basedOn w:val="TableNormal"/>
    <w:uiPriority w:val="99"/>
    <w:semiHidden/>
    <w:rsid w:val="00361DEB"/>
    <w:pPr>
      <w:spacing w:after="0"/>
    </w:p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tblBorders>
    </w:tblPr>
    <w:tblStylePr w:type="firstRow">
      <w:pPr>
        <w:spacing w:before="0" w:after="0" w:line="240" w:lineRule="auto"/>
      </w:pPr>
      <w:rPr>
        <w:b/>
        <w:bCs/>
        <w:color w:val="FFFFFF" w:themeColor="background1"/>
      </w:rPr>
      <w:tblPr/>
      <w:tcPr>
        <w:shd w:val="clear" w:color="auto" w:fill="1E587C" w:themeFill="accent5"/>
      </w:tcPr>
    </w:tblStylePr>
    <w:tblStylePr w:type="lastRow">
      <w:pPr>
        <w:spacing w:before="0" w:after="0" w:line="240" w:lineRule="auto"/>
      </w:pPr>
      <w:rPr>
        <w:b/>
        <w:bCs/>
      </w:rPr>
      <w:tblPr/>
      <w:tcPr>
        <w:tcBorders>
          <w:top w:val="double" w:sz="6" w:space="0" w:color="1E587C" w:themeColor="accent5"/>
          <w:left w:val="single" w:sz="8" w:space="0" w:color="1E587C" w:themeColor="accent5"/>
          <w:bottom w:val="single" w:sz="8" w:space="0" w:color="1E587C" w:themeColor="accent5"/>
          <w:right w:val="single" w:sz="8" w:space="0" w:color="1E587C" w:themeColor="accent5"/>
        </w:tcBorders>
      </w:tcPr>
    </w:tblStylePr>
    <w:tblStylePr w:type="firstCol">
      <w:rPr>
        <w:b/>
        <w:bCs/>
      </w:rPr>
    </w:tblStylePr>
    <w:tblStylePr w:type="lastCol">
      <w:rPr>
        <w:b/>
        <w:bCs/>
      </w:rPr>
    </w:tblStylePr>
    <w:tblStylePr w:type="band1Vert">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tcPr>
    </w:tblStylePr>
    <w:tblStylePr w:type="band1Horz">
      <w:tblPr/>
      <w:tcPr>
        <w:tcBorders>
          <w:top w:val="single" w:sz="8" w:space="0" w:color="1E587C" w:themeColor="accent5"/>
          <w:left w:val="single" w:sz="8" w:space="0" w:color="1E587C" w:themeColor="accent5"/>
          <w:bottom w:val="single" w:sz="8" w:space="0" w:color="1E587C" w:themeColor="accent5"/>
          <w:right w:val="single" w:sz="8" w:space="0" w:color="1E587C" w:themeColor="accent5"/>
        </w:tcBorders>
      </w:tcPr>
    </w:tblStylePr>
  </w:style>
  <w:style w:type="table" w:styleId="LightList-Accent6">
    <w:name w:val="Light List Accent 6"/>
    <w:basedOn w:val="TableNormal"/>
    <w:uiPriority w:val="99"/>
    <w:semiHidden/>
    <w:rsid w:val="00361DEB"/>
    <w:pPr>
      <w:spacing w:after="0"/>
    </w:p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tblBorders>
    </w:tblPr>
    <w:tblStylePr w:type="firstRow">
      <w:pPr>
        <w:spacing w:before="0" w:after="0" w:line="240" w:lineRule="auto"/>
      </w:pPr>
      <w:rPr>
        <w:b/>
        <w:bCs/>
        <w:color w:val="FFFFFF" w:themeColor="background1"/>
      </w:rPr>
      <w:tblPr/>
      <w:tcPr>
        <w:shd w:val="clear" w:color="auto" w:fill="CC4C27" w:themeFill="accent6"/>
      </w:tcPr>
    </w:tblStylePr>
    <w:tblStylePr w:type="lastRow">
      <w:pPr>
        <w:spacing w:before="0" w:after="0" w:line="240" w:lineRule="auto"/>
      </w:pPr>
      <w:rPr>
        <w:b/>
        <w:bCs/>
      </w:rPr>
      <w:tblPr/>
      <w:tcPr>
        <w:tcBorders>
          <w:top w:val="double" w:sz="6" w:space="0" w:color="CC4C27" w:themeColor="accent6"/>
          <w:left w:val="single" w:sz="8" w:space="0" w:color="CC4C27" w:themeColor="accent6"/>
          <w:bottom w:val="single" w:sz="8" w:space="0" w:color="CC4C27" w:themeColor="accent6"/>
          <w:right w:val="single" w:sz="8" w:space="0" w:color="CC4C27" w:themeColor="accent6"/>
        </w:tcBorders>
      </w:tcPr>
    </w:tblStylePr>
    <w:tblStylePr w:type="firstCol">
      <w:rPr>
        <w:b/>
        <w:bCs/>
      </w:rPr>
    </w:tblStylePr>
    <w:tblStylePr w:type="lastCol">
      <w:rPr>
        <w:b/>
        <w:bCs/>
      </w:rPr>
    </w:tblStylePr>
    <w:tblStylePr w:type="band1Vert">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tcPr>
    </w:tblStylePr>
    <w:tblStylePr w:type="band1Horz">
      <w:tblPr/>
      <w:tcPr>
        <w:tcBorders>
          <w:top w:val="single" w:sz="8" w:space="0" w:color="CC4C27" w:themeColor="accent6"/>
          <w:left w:val="single" w:sz="8" w:space="0" w:color="CC4C27" w:themeColor="accent6"/>
          <w:bottom w:val="single" w:sz="8" w:space="0" w:color="CC4C27" w:themeColor="accent6"/>
          <w:right w:val="single" w:sz="8" w:space="0" w:color="CC4C27" w:themeColor="accent6"/>
        </w:tcBorders>
      </w:tcPr>
    </w:tblStylePr>
  </w:style>
  <w:style w:type="table" w:customStyle="1" w:styleId="LightShading1">
    <w:name w:val="Light Shading1"/>
    <w:basedOn w:val="TableNormal"/>
    <w:uiPriority w:val="99"/>
    <w:semiHidden/>
    <w:rsid w:val="00361DEB"/>
    <w:pPr>
      <w:spacing w:after="0"/>
    </w:pPr>
    <w:rPr>
      <w:color w:val="7F0B0E" w:themeColor="text1" w:themeShade="BF"/>
    </w:rPr>
    <w:tblPr>
      <w:tblStyleRowBandSize w:val="1"/>
      <w:tblStyleColBandSize w:val="1"/>
      <w:tblBorders>
        <w:top w:val="single" w:sz="8" w:space="0" w:color="AB0F14" w:themeColor="text1"/>
        <w:bottom w:val="single" w:sz="8" w:space="0" w:color="AB0F14" w:themeColor="text1"/>
      </w:tblBorders>
    </w:tblPr>
    <w:tblStylePr w:type="firstRow">
      <w:pPr>
        <w:spacing w:before="0" w:after="0" w:line="240" w:lineRule="auto"/>
      </w:pPr>
      <w:rPr>
        <w:b/>
        <w:bCs/>
      </w:rPr>
      <w:tblPr/>
      <w:tcPr>
        <w:tcBorders>
          <w:top w:val="single" w:sz="8" w:space="0" w:color="AB0F14" w:themeColor="text1"/>
          <w:left w:val="nil"/>
          <w:bottom w:val="single" w:sz="8" w:space="0" w:color="AB0F14" w:themeColor="text1"/>
          <w:right w:val="nil"/>
          <w:insideH w:val="nil"/>
          <w:insideV w:val="nil"/>
        </w:tcBorders>
      </w:tcPr>
    </w:tblStylePr>
    <w:tblStylePr w:type="lastRow">
      <w:pPr>
        <w:spacing w:before="0" w:after="0" w:line="240" w:lineRule="auto"/>
      </w:pPr>
      <w:rPr>
        <w:b/>
        <w:bCs/>
      </w:rPr>
      <w:tblPr/>
      <w:tcPr>
        <w:tcBorders>
          <w:top w:val="single" w:sz="8" w:space="0" w:color="AB0F14" w:themeColor="text1"/>
          <w:left w:val="nil"/>
          <w:bottom w:val="single" w:sz="8" w:space="0" w:color="AB0F1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5B7" w:themeFill="text1" w:themeFillTint="3F"/>
      </w:tcPr>
    </w:tblStylePr>
    <w:tblStylePr w:type="band1Horz">
      <w:tblPr/>
      <w:tcPr>
        <w:tcBorders>
          <w:left w:val="nil"/>
          <w:right w:val="nil"/>
          <w:insideH w:val="nil"/>
          <w:insideV w:val="nil"/>
        </w:tcBorders>
        <w:shd w:val="clear" w:color="auto" w:fill="F8B5B7" w:themeFill="text1" w:themeFillTint="3F"/>
      </w:tcPr>
    </w:tblStylePr>
  </w:style>
  <w:style w:type="table" w:customStyle="1" w:styleId="LightShading-Accent11">
    <w:name w:val="Light Shading - Accent 11"/>
    <w:basedOn w:val="TableNormal"/>
    <w:uiPriority w:val="99"/>
    <w:semiHidden/>
    <w:rsid w:val="00361DEB"/>
    <w:pPr>
      <w:spacing w:after="0"/>
    </w:pPr>
    <w:rPr>
      <w:color w:val="D81318" w:themeColor="accent1" w:themeShade="BF"/>
    </w:rPr>
    <w:tblPr>
      <w:tblStyleRowBandSize w:val="1"/>
      <w:tblStyleColBandSize w:val="1"/>
      <w:tblBorders>
        <w:top w:val="single" w:sz="8" w:space="0" w:color="EF4C51" w:themeColor="accent1"/>
        <w:bottom w:val="single" w:sz="8" w:space="0" w:color="EF4C51" w:themeColor="accent1"/>
      </w:tblBorders>
    </w:tblPr>
    <w:tblStylePr w:type="firstRow">
      <w:pPr>
        <w:spacing w:before="0" w:after="0" w:line="240" w:lineRule="auto"/>
      </w:pPr>
      <w:rPr>
        <w:b/>
        <w:bCs/>
      </w:rPr>
      <w:tblPr/>
      <w:tcPr>
        <w:tcBorders>
          <w:top w:val="single" w:sz="8" w:space="0" w:color="EF4C51" w:themeColor="accent1"/>
          <w:left w:val="nil"/>
          <w:bottom w:val="single" w:sz="8" w:space="0" w:color="EF4C51" w:themeColor="accent1"/>
          <w:right w:val="nil"/>
          <w:insideH w:val="nil"/>
          <w:insideV w:val="nil"/>
        </w:tcBorders>
      </w:tcPr>
    </w:tblStylePr>
    <w:tblStylePr w:type="lastRow">
      <w:pPr>
        <w:spacing w:before="0" w:after="0" w:line="240" w:lineRule="auto"/>
      </w:pPr>
      <w:rPr>
        <w:b/>
        <w:bCs/>
      </w:rPr>
      <w:tblPr/>
      <w:tcPr>
        <w:tcBorders>
          <w:top w:val="single" w:sz="8" w:space="0" w:color="EF4C51" w:themeColor="accent1"/>
          <w:left w:val="nil"/>
          <w:bottom w:val="single" w:sz="8" w:space="0" w:color="EF4C5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D3" w:themeFill="accent1" w:themeFillTint="3F"/>
      </w:tcPr>
    </w:tblStylePr>
    <w:tblStylePr w:type="band1Horz">
      <w:tblPr/>
      <w:tcPr>
        <w:tcBorders>
          <w:left w:val="nil"/>
          <w:right w:val="nil"/>
          <w:insideH w:val="nil"/>
          <w:insideV w:val="nil"/>
        </w:tcBorders>
        <w:shd w:val="clear" w:color="auto" w:fill="FBD2D3" w:themeFill="accent1" w:themeFillTint="3F"/>
      </w:tcPr>
    </w:tblStylePr>
  </w:style>
  <w:style w:type="table" w:styleId="LightShading-Accent2">
    <w:name w:val="Light Shading Accent 2"/>
    <w:basedOn w:val="TableNormal"/>
    <w:uiPriority w:val="99"/>
    <w:semiHidden/>
    <w:rsid w:val="00361DEB"/>
    <w:pPr>
      <w:spacing w:after="0"/>
    </w:pPr>
    <w:rPr>
      <w:color w:val="CB7106" w:themeColor="accent2" w:themeShade="BF"/>
    </w:rPr>
    <w:tblPr>
      <w:tblStyleRowBandSize w:val="1"/>
      <w:tblStyleColBandSize w:val="1"/>
      <w:tblBorders>
        <w:top w:val="single" w:sz="8" w:space="0" w:color="F89621" w:themeColor="accent2"/>
        <w:bottom w:val="single" w:sz="8" w:space="0" w:color="F89621" w:themeColor="accent2"/>
      </w:tblBorders>
    </w:tblPr>
    <w:tblStylePr w:type="firstRow">
      <w:pPr>
        <w:spacing w:before="0" w:after="0" w:line="240" w:lineRule="auto"/>
      </w:pPr>
      <w:rPr>
        <w:b/>
        <w:bCs/>
      </w:rPr>
      <w:tblPr/>
      <w:tcPr>
        <w:tcBorders>
          <w:top w:val="single" w:sz="8" w:space="0" w:color="F89621" w:themeColor="accent2"/>
          <w:left w:val="nil"/>
          <w:bottom w:val="single" w:sz="8" w:space="0" w:color="F89621" w:themeColor="accent2"/>
          <w:right w:val="nil"/>
          <w:insideH w:val="nil"/>
          <w:insideV w:val="nil"/>
        </w:tcBorders>
      </w:tcPr>
    </w:tblStylePr>
    <w:tblStylePr w:type="lastRow">
      <w:pPr>
        <w:spacing w:before="0" w:after="0" w:line="240" w:lineRule="auto"/>
      </w:pPr>
      <w:rPr>
        <w:b/>
        <w:bCs/>
      </w:rPr>
      <w:tblPr/>
      <w:tcPr>
        <w:tcBorders>
          <w:top w:val="single" w:sz="8" w:space="0" w:color="F89621" w:themeColor="accent2"/>
          <w:left w:val="nil"/>
          <w:bottom w:val="single" w:sz="8" w:space="0" w:color="F896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8" w:themeFill="accent2" w:themeFillTint="3F"/>
      </w:tcPr>
    </w:tblStylePr>
    <w:tblStylePr w:type="band1Horz">
      <w:tblPr/>
      <w:tcPr>
        <w:tcBorders>
          <w:left w:val="nil"/>
          <w:right w:val="nil"/>
          <w:insideH w:val="nil"/>
          <w:insideV w:val="nil"/>
        </w:tcBorders>
        <w:shd w:val="clear" w:color="auto" w:fill="FDE4C8" w:themeFill="accent2" w:themeFillTint="3F"/>
      </w:tcPr>
    </w:tblStylePr>
  </w:style>
  <w:style w:type="table" w:styleId="LightShading-Accent3">
    <w:name w:val="Light Shading Accent 3"/>
    <w:basedOn w:val="TableNormal"/>
    <w:uiPriority w:val="99"/>
    <w:semiHidden/>
    <w:rsid w:val="00361DEB"/>
    <w:pPr>
      <w:spacing w:after="0"/>
    </w:pPr>
    <w:rPr>
      <w:color w:val="C29900" w:themeColor="accent3" w:themeShade="BF"/>
    </w:rPr>
    <w:tblPr>
      <w:tblStyleRowBandSize w:val="1"/>
      <w:tblStyleColBandSize w:val="1"/>
      <w:tblBorders>
        <w:top w:val="single" w:sz="8" w:space="0" w:color="FFCB05" w:themeColor="accent3"/>
        <w:bottom w:val="single" w:sz="8" w:space="0" w:color="FFCB05" w:themeColor="accent3"/>
      </w:tblBorders>
    </w:tblPr>
    <w:tblStylePr w:type="firstRow">
      <w:pPr>
        <w:spacing w:before="0" w:after="0" w:line="240" w:lineRule="auto"/>
      </w:pPr>
      <w:rPr>
        <w:b/>
        <w:bCs/>
      </w:rPr>
      <w:tblPr/>
      <w:tcPr>
        <w:tcBorders>
          <w:top w:val="single" w:sz="8" w:space="0" w:color="FFCB05" w:themeColor="accent3"/>
          <w:left w:val="nil"/>
          <w:bottom w:val="single" w:sz="8" w:space="0" w:color="FFCB05" w:themeColor="accent3"/>
          <w:right w:val="nil"/>
          <w:insideH w:val="nil"/>
          <w:insideV w:val="nil"/>
        </w:tcBorders>
      </w:tcPr>
    </w:tblStylePr>
    <w:tblStylePr w:type="lastRow">
      <w:pPr>
        <w:spacing w:before="0" w:after="0" w:line="240" w:lineRule="auto"/>
      </w:pPr>
      <w:rPr>
        <w:b/>
        <w:bCs/>
      </w:rPr>
      <w:tblPr/>
      <w:tcPr>
        <w:tcBorders>
          <w:top w:val="single" w:sz="8" w:space="0" w:color="FFCB05" w:themeColor="accent3"/>
          <w:left w:val="nil"/>
          <w:bottom w:val="single" w:sz="8" w:space="0" w:color="FFCB0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C1" w:themeFill="accent3" w:themeFillTint="3F"/>
      </w:tcPr>
    </w:tblStylePr>
    <w:tblStylePr w:type="band1Horz">
      <w:tblPr/>
      <w:tcPr>
        <w:tcBorders>
          <w:left w:val="nil"/>
          <w:right w:val="nil"/>
          <w:insideH w:val="nil"/>
          <w:insideV w:val="nil"/>
        </w:tcBorders>
        <w:shd w:val="clear" w:color="auto" w:fill="FFF1C1" w:themeFill="accent3" w:themeFillTint="3F"/>
      </w:tcPr>
    </w:tblStylePr>
  </w:style>
  <w:style w:type="table" w:styleId="LightShading-Accent4">
    <w:name w:val="Light Shading Accent 4"/>
    <w:basedOn w:val="TableNormal"/>
    <w:uiPriority w:val="99"/>
    <w:semiHidden/>
    <w:rsid w:val="00361DEB"/>
    <w:pPr>
      <w:spacing w:after="0"/>
    </w:pPr>
    <w:rPr>
      <w:color w:val="7F0B0E" w:themeColor="accent4" w:themeShade="BF"/>
    </w:rPr>
    <w:tblPr>
      <w:tblStyleRowBandSize w:val="1"/>
      <w:tblStyleColBandSize w:val="1"/>
      <w:tblBorders>
        <w:top w:val="single" w:sz="8" w:space="0" w:color="AB0F14" w:themeColor="accent4"/>
        <w:bottom w:val="single" w:sz="8" w:space="0" w:color="AB0F14" w:themeColor="accent4"/>
      </w:tblBorders>
    </w:tblPr>
    <w:tblStylePr w:type="firstRow">
      <w:pPr>
        <w:spacing w:before="0" w:after="0" w:line="240" w:lineRule="auto"/>
      </w:pPr>
      <w:rPr>
        <w:b/>
        <w:bCs/>
      </w:rPr>
      <w:tblPr/>
      <w:tcPr>
        <w:tcBorders>
          <w:top w:val="single" w:sz="8" w:space="0" w:color="AB0F14" w:themeColor="accent4"/>
          <w:left w:val="nil"/>
          <w:bottom w:val="single" w:sz="8" w:space="0" w:color="AB0F14" w:themeColor="accent4"/>
          <w:right w:val="nil"/>
          <w:insideH w:val="nil"/>
          <w:insideV w:val="nil"/>
        </w:tcBorders>
      </w:tcPr>
    </w:tblStylePr>
    <w:tblStylePr w:type="lastRow">
      <w:pPr>
        <w:spacing w:before="0" w:after="0" w:line="240" w:lineRule="auto"/>
      </w:pPr>
      <w:rPr>
        <w:b/>
        <w:bCs/>
      </w:rPr>
      <w:tblPr/>
      <w:tcPr>
        <w:tcBorders>
          <w:top w:val="single" w:sz="8" w:space="0" w:color="AB0F14" w:themeColor="accent4"/>
          <w:left w:val="nil"/>
          <w:bottom w:val="single" w:sz="8" w:space="0" w:color="AB0F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5B7" w:themeFill="accent4" w:themeFillTint="3F"/>
      </w:tcPr>
    </w:tblStylePr>
    <w:tblStylePr w:type="band1Horz">
      <w:tblPr/>
      <w:tcPr>
        <w:tcBorders>
          <w:left w:val="nil"/>
          <w:right w:val="nil"/>
          <w:insideH w:val="nil"/>
          <w:insideV w:val="nil"/>
        </w:tcBorders>
        <w:shd w:val="clear" w:color="auto" w:fill="F8B5B7" w:themeFill="accent4" w:themeFillTint="3F"/>
      </w:tcPr>
    </w:tblStylePr>
  </w:style>
  <w:style w:type="table" w:styleId="LightShading-Accent5">
    <w:name w:val="Light Shading Accent 5"/>
    <w:basedOn w:val="TableNormal"/>
    <w:uiPriority w:val="99"/>
    <w:semiHidden/>
    <w:rsid w:val="00361DEB"/>
    <w:pPr>
      <w:spacing w:after="0"/>
    </w:pPr>
    <w:rPr>
      <w:color w:val="16415C" w:themeColor="accent5" w:themeShade="BF"/>
    </w:rPr>
    <w:tblPr>
      <w:tblStyleRowBandSize w:val="1"/>
      <w:tblStyleColBandSize w:val="1"/>
      <w:tblBorders>
        <w:top w:val="single" w:sz="8" w:space="0" w:color="1E587C" w:themeColor="accent5"/>
        <w:bottom w:val="single" w:sz="8" w:space="0" w:color="1E587C" w:themeColor="accent5"/>
      </w:tblBorders>
    </w:tblPr>
    <w:tblStylePr w:type="firstRow">
      <w:pPr>
        <w:spacing w:before="0" w:after="0" w:line="240" w:lineRule="auto"/>
      </w:pPr>
      <w:rPr>
        <w:b/>
        <w:bCs/>
      </w:rPr>
      <w:tblPr/>
      <w:tcPr>
        <w:tcBorders>
          <w:top w:val="single" w:sz="8" w:space="0" w:color="1E587C" w:themeColor="accent5"/>
          <w:left w:val="nil"/>
          <w:bottom w:val="single" w:sz="8" w:space="0" w:color="1E587C" w:themeColor="accent5"/>
          <w:right w:val="nil"/>
          <w:insideH w:val="nil"/>
          <w:insideV w:val="nil"/>
        </w:tcBorders>
      </w:tcPr>
    </w:tblStylePr>
    <w:tblStylePr w:type="lastRow">
      <w:pPr>
        <w:spacing w:before="0" w:after="0" w:line="240" w:lineRule="auto"/>
      </w:pPr>
      <w:rPr>
        <w:b/>
        <w:bCs/>
      </w:rPr>
      <w:tblPr/>
      <w:tcPr>
        <w:tcBorders>
          <w:top w:val="single" w:sz="8" w:space="0" w:color="1E587C" w:themeColor="accent5"/>
          <w:left w:val="nil"/>
          <w:bottom w:val="single" w:sz="8" w:space="0" w:color="1E587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9ED" w:themeFill="accent5" w:themeFillTint="3F"/>
      </w:tcPr>
    </w:tblStylePr>
    <w:tblStylePr w:type="band1Horz">
      <w:tblPr/>
      <w:tcPr>
        <w:tcBorders>
          <w:left w:val="nil"/>
          <w:right w:val="nil"/>
          <w:insideH w:val="nil"/>
          <w:insideV w:val="nil"/>
        </w:tcBorders>
        <w:shd w:val="clear" w:color="auto" w:fill="B8D9ED" w:themeFill="accent5" w:themeFillTint="3F"/>
      </w:tcPr>
    </w:tblStylePr>
  </w:style>
  <w:style w:type="table" w:styleId="LightShading-Accent6">
    <w:name w:val="Light Shading Accent 6"/>
    <w:basedOn w:val="TableNormal"/>
    <w:uiPriority w:val="99"/>
    <w:semiHidden/>
    <w:rsid w:val="00361DEB"/>
    <w:pPr>
      <w:spacing w:after="0"/>
    </w:pPr>
    <w:rPr>
      <w:color w:val="98381D" w:themeColor="accent6" w:themeShade="BF"/>
    </w:rPr>
    <w:tblPr>
      <w:tblStyleRowBandSize w:val="1"/>
      <w:tblStyleColBandSize w:val="1"/>
      <w:tblBorders>
        <w:top w:val="single" w:sz="8" w:space="0" w:color="CC4C27" w:themeColor="accent6"/>
        <w:bottom w:val="single" w:sz="8" w:space="0" w:color="CC4C27" w:themeColor="accent6"/>
      </w:tblBorders>
    </w:tblPr>
    <w:tblStylePr w:type="firstRow">
      <w:pPr>
        <w:spacing w:before="0" w:after="0" w:line="240" w:lineRule="auto"/>
      </w:pPr>
      <w:rPr>
        <w:b/>
        <w:bCs/>
      </w:rPr>
      <w:tblPr/>
      <w:tcPr>
        <w:tcBorders>
          <w:top w:val="single" w:sz="8" w:space="0" w:color="CC4C27" w:themeColor="accent6"/>
          <w:left w:val="nil"/>
          <w:bottom w:val="single" w:sz="8" w:space="0" w:color="CC4C27" w:themeColor="accent6"/>
          <w:right w:val="nil"/>
          <w:insideH w:val="nil"/>
          <w:insideV w:val="nil"/>
        </w:tcBorders>
      </w:tcPr>
    </w:tblStylePr>
    <w:tblStylePr w:type="lastRow">
      <w:pPr>
        <w:spacing w:before="0" w:after="0" w:line="240" w:lineRule="auto"/>
      </w:pPr>
      <w:rPr>
        <w:b/>
        <w:bCs/>
      </w:rPr>
      <w:tblPr/>
      <w:tcPr>
        <w:tcBorders>
          <w:top w:val="single" w:sz="8" w:space="0" w:color="CC4C27" w:themeColor="accent6"/>
          <w:left w:val="nil"/>
          <w:bottom w:val="single" w:sz="8" w:space="0" w:color="CC4C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C7" w:themeFill="accent6" w:themeFillTint="3F"/>
      </w:tcPr>
    </w:tblStylePr>
    <w:tblStylePr w:type="band1Horz">
      <w:tblPr/>
      <w:tcPr>
        <w:tcBorders>
          <w:left w:val="nil"/>
          <w:right w:val="nil"/>
          <w:insideH w:val="nil"/>
          <w:insideV w:val="nil"/>
        </w:tcBorders>
        <w:shd w:val="clear" w:color="auto" w:fill="F4D1C7" w:themeFill="accent6" w:themeFillTint="3F"/>
      </w:tcPr>
    </w:tblStylePr>
  </w:style>
  <w:style w:type="table" w:customStyle="1" w:styleId="MediumGrid11">
    <w:name w:val="Medium Grid 11"/>
    <w:basedOn w:val="TableNormal"/>
    <w:uiPriority w:val="99"/>
    <w:semiHidden/>
    <w:rsid w:val="00361DEB"/>
    <w:pPr>
      <w:spacing w:after="0"/>
    </w:pPr>
    <w:tblPr>
      <w:tblStyleRowBandSize w:val="1"/>
      <w:tblStyleColBandSize w:val="1"/>
      <w:tblBorders>
        <w:top w:val="single" w:sz="8"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single" w:sz="8" w:space="0" w:color="EB1F25" w:themeColor="text1" w:themeTint="BF"/>
        <w:insideV w:val="single" w:sz="8" w:space="0" w:color="EB1F25" w:themeColor="text1" w:themeTint="BF"/>
      </w:tblBorders>
    </w:tblPr>
    <w:tcPr>
      <w:shd w:val="clear" w:color="auto" w:fill="F8B5B7" w:themeFill="text1" w:themeFillTint="3F"/>
    </w:tcPr>
    <w:tblStylePr w:type="firstRow">
      <w:rPr>
        <w:b/>
        <w:bCs/>
      </w:rPr>
    </w:tblStylePr>
    <w:tblStylePr w:type="lastRow">
      <w:rPr>
        <w:b/>
        <w:bCs/>
      </w:rPr>
      <w:tblPr/>
      <w:tcPr>
        <w:tcBorders>
          <w:top w:val="single" w:sz="18" w:space="0" w:color="EB1F25" w:themeColor="text1" w:themeTint="BF"/>
        </w:tcBorders>
      </w:tcPr>
    </w:tblStylePr>
    <w:tblStylePr w:type="firstCol">
      <w:rPr>
        <w:b/>
        <w:bCs/>
      </w:rPr>
    </w:tblStylePr>
    <w:tblStylePr w:type="lastCol">
      <w:rPr>
        <w:b/>
        <w:bCs/>
      </w:rPr>
    </w:tblStylePr>
    <w:tblStylePr w:type="band1Vert">
      <w:tblPr/>
      <w:tcPr>
        <w:shd w:val="clear" w:color="auto" w:fill="F26A6E" w:themeFill="text1" w:themeFillTint="7F"/>
      </w:tcPr>
    </w:tblStylePr>
    <w:tblStylePr w:type="band1Horz">
      <w:tblPr/>
      <w:tcPr>
        <w:shd w:val="clear" w:color="auto" w:fill="F26A6E" w:themeFill="text1" w:themeFillTint="7F"/>
      </w:tcPr>
    </w:tblStylePr>
  </w:style>
  <w:style w:type="table" w:styleId="MediumGrid1-Accent1">
    <w:name w:val="Medium Grid 1 Accent 1"/>
    <w:basedOn w:val="TableNormal"/>
    <w:uiPriority w:val="99"/>
    <w:semiHidden/>
    <w:rsid w:val="00361DEB"/>
    <w:pPr>
      <w:spacing w:after="0"/>
    </w:pPr>
    <w:tblPr>
      <w:tblStyleRowBandSize w:val="1"/>
      <w:tblStyleColBandSize w:val="1"/>
      <w:tblBorders>
        <w:top w:val="single" w:sz="8"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single" w:sz="8" w:space="0" w:color="F3787C" w:themeColor="accent1" w:themeTint="BF"/>
        <w:insideV w:val="single" w:sz="8" w:space="0" w:color="F3787C" w:themeColor="accent1" w:themeTint="BF"/>
      </w:tblBorders>
    </w:tblPr>
    <w:tcPr>
      <w:shd w:val="clear" w:color="auto" w:fill="FBD2D3" w:themeFill="accent1" w:themeFillTint="3F"/>
    </w:tcPr>
    <w:tblStylePr w:type="firstRow">
      <w:rPr>
        <w:b/>
        <w:bCs/>
      </w:rPr>
    </w:tblStylePr>
    <w:tblStylePr w:type="lastRow">
      <w:rPr>
        <w:b/>
        <w:bCs/>
      </w:rPr>
      <w:tblPr/>
      <w:tcPr>
        <w:tcBorders>
          <w:top w:val="single" w:sz="18" w:space="0" w:color="F3787C" w:themeColor="accent1" w:themeTint="BF"/>
        </w:tcBorders>
      </w:tcPr>
    </w:tblStylePr>
    <w:tblStylePr w:type="firstCol">
      <w:rPr>
        <w:b/>
        <w:bCs/>
      </w:rPr>
    </w:tblStylePr>
    <w:tblStylePr w:type="lastCol">
      <w:rPr>
        <w:b/>
        <w:bCs/>
      </w:rPr>
    </w:tblStylePr>
    <w:tblStylePr w:type="band1Vert">
      <w:tblPr/>
      <w:tcPr>
        <w:shd w:val="clear" w:color="auto" w:fill="F7A5A7" w:themeFill="accent1" w:themeFillTint="7F"/>
      </w:tcPr>
    </w:tblStylePr>
    <w:tblStylePr w:type="band1Horz">
      <w:tblPr/>
      <w:tcPr>
        <w:shd w:val="clear" w:color="auto" w:fill="F7A5A7" w:themeFill="accent1" w:themeFillTint="7F"/>
      </w:tcPr>
    </w:tblStylePr>
  </w:style>
  <w:style w:type="table" w:styleId="MediumGrid1-Accent2">
    <w:name w:val="Medium Grid 1 Accent 2"/>
    <w:basedOn w:val="TableNormal"/>
    <w:uiPriority w:val="99"/>
    <w:semiHidden/>
    <w:rsid w:val="00361DEB"/>
    <w:pPr>
      <w:spacing w:after="0"/>
    </w:pPr>
    <w:tblPr>
      <w:tblStyleRowBandSize w:val="1"/>
      <w:tblStyleColBandSize w:val="1"/>
      <w:tblBorders>
        <w:top w:val="single" w:sz="8"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single" w:sz="8" w:space="0" w:color="F9AF58" w:themeColor="accent2" w:themeTint="BF"/>
        <w:insideV w:val="single" w:sz="8" w:space="0" w:color="F9AF58" w:themeColor="accent2" w:themeTint="BF"/>
      </w:tblBorders>
    </w:tblPr>
    <w:tcPr>
      <w:shd w:val="clear" w:color="auto" w:fill="FDE4C8" w:themeFill="accent2" w:themeFillTint="3F"/>
    </w:tcPr>
    <w:tblStylePr w:type="firstRow">
      <w:rPr>
        <w:b/>
        <w:bCs/>
      </w:rPr>
    </w:tblStylePr>
    <w:tblStylePr w:type="lastRow">
      <w:rPr>
        <w:b/>
        <w:bCs/>
      </w:rPr>
      <w:tblPr/>
      <w:tcPr>
        <w:tcBorders>
          <w:top w:val="single" w:sz="18" w:space="0" w:color="F9AF58" w:themeColor="accent2" w:themeTint="BF"/>
        </w:tcBorders>
      </w:tcPr>
    </w:tblStylePr>
    <w:tblStylePr w:type="firstCol">
      <w:rPr>
        <w:b/>
        <w:bCs/>
      </w:rPr>
    </w:tblStylePr>
    <w:tblStylePr w:type="lastCol">
      <w:rPr>
        <w:b/>
        <w:bCs/>
      </w:rPr>
    </w:tblStylePr>
    <w:tblStylePr w:type="band1Vert">
      <w:tblPr/>
      <w:tcPr>
        <w:shd w:val="clear" w:color="auto" w:fill="FBCA90" w:themeFill="accent2" w:themeFillTint="7F"/>
      </w:tcPr>
    </w:tblStylePr>
    <w:tblStylePr w:type="band1Horz">
      <w:tblPr/>
      <w:tcPr>
        <w:shd w:val="clear" w:color="auto" w:fill="FBCA90" w:themeFill="accent2" w:themeFillTint="7F"/>
      </w:tcPr>
    </w:tblStylePr>
  </w:style>
  <w:style w:type="table" w:styleId="MediumGrid1-Accent3">
    <w:name w:val="Medium Grid 1 Accent 3"/>
    <w:basedOn w:val="TableNormal"/>
    <w:uiPriority w:val="99"/>
    <w:semiHidden/>
    <w:rsid w:val="00361DEB"/>
    <w:pPr>
      <w:spacing w:after="0"/>
    </w:pPr>
    <w:tblPr>
      <w:tblStyleRowBandSize w:val="1"/>
      <w:tblStyleColBandSize w:val="1"/>
      <w:tblBorders>
        <w:top w:val="single" w:sz="8"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single" w:sz="8" w:space="0" w:color="FFD743" w:themeColor="accent3" w:themeTint="BF"/>
        <w:insideV w:val="single" w:sz="8" w:space="0" w:color="FFD743" w:themeColor="accent3" w:themeTint="BF"/>
      </w:tblBorders>
    </w:tblPr>
    <w:tcPr>
      <w:shd w:val="clear" w:color="auto" w:fill="FFF1C1" w:themeFill="accent3" w:themeFillTint="3F"/>
    </w:tcPr>
    <w:tblStylePr w:type="firstRow">
      <w:rPr>
        <w:b/>
        <w:bCs/>
      </w:rPr>
    </w:tblStylePr>
    <w:tblStylePr w:type="lastRow">
      <w:rPr>
        <w:b/>
        <w:bCs/>
      </w:rPr>
      <w:tblPr/>
      <w:tcPr>
        <w:tcBorders>
          <w:top w:val="single" w:sz="18" w:space="0" w:color="FFD743" w:themeColor="accent3" w:themeTint="BF"/>
        </w:tcBorders>
      </w:tcPr>
    </w:tblStylePr>
    <w:tblStylePr w:type="firstCol">
      <w:rPr>
        <w:b/>
        <w:bCs/>
      </w:rPr>
    </w:tblStylePr>
    <w:tblStylePr w:type="lastCol">
      <w:rPr>
        <w:b/>
        <w:bCs/>
      </w:rPr>
    </w:tblStylePr>
    <w:tblStylePr w:type="band1Vert">
      <w:tblPr/>
      <w:tcPr>
        <w:shd w:val="clear" w:color="auto" w:fill="FFE482" w:themeFill="accent3" w:themeFillTint="7F"/>
      </w:tcPr>
    </w:tblStylePr>
    <w:tblStylePr w:type="band1Horz">
      <w:tblPr/>
      <w:tcPr>
        <w:shd w:val="clear" w:color="auto" w:fill="FFE482" w:themeFill="accent3" w:themeFillTint="7F"/>
      </w:tcPr>
    </w:tblStylePr>
  </w:style>
  <w:style w:type="table" w:styleId="MediumGrid1-Accent4">
    <w:name w:val="Medium Grid 1 Accent 4"/>
    <w:basedOn w:val="TableNormal"/>
    <w:uiPriority w:val="99"/>
    <w:semiHidden/>
    <w:rsid w:val="00361DEB"/>
    <w:pPr>
      <w:spacing w:after="0"/>
    </w:pPr>
    <w:tblPr>
      <w:tblStyleRowBandSize w:val="1"/>
      <w:tblStyleColBandSize w:val="1"/>
      <w:tblBorders>
        <w:top w:val="single" w:sz="8"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single" w:sz="8" w:space="0" w:color="EB1F25" w:themeColor="accent4" w:themeTint="BF"/>
        <w:insideV w:val="single" w:sz="8" w:space="0" w:color="EB1F25" w:themeColor="accent4" w:themeTint="BF"/>
      </w:tblBorders>
    </w:tblPr>
    <w:tcPr>
      <w:shd w:val="clear" w:color="auto" w:fill="F8B5B7" w:themeFill="accent4" w:themeFillTint="3F"/>
    </w:tcPr>
    <w:tblStylePr w:type="firstRow">
      <w:rPr>
        <w:b/>
        <w:bCs/>
      </w:rPr>
    </w:tblStylePr>
    <w:tblStylePr w:type="lastRow">
      <w:rPr>
        <w:b/>
        <w:bCs/>
      </w:rPr>
      <w:tblPr/>
      <w:tcPr>
        <w:tcBorders>
          <w:top w:val="single" w:sz="18" w:space="0" w:color="EB1F25" w:themeColor="accent4" w:themeTint="BF"/>
        </w:tcBorders>
      </w:tcPr>
    </w:tblStylePr>
    <w:tblStylePr w:type="firstCol">
      <w:rPr>
        <w:b/>
        <w:bCs/>
      </w:rPr>
    </w:tblStylePr>
    <w:tblStylePr w:type="lastCol">
      <w:rPr>
        <w:b/>
        <w:bCs/>
      </w:rPr>
    </w:tblStylePr>
    <w:tblStylePr w:type="band1Vert">
      <w:tblPr/>
      <w:tcPr>
        <w:shd w:val="clear" w:color="auto" w:fill="F26A6E" w:themeFill="accent4" w:themeFillTint="7F"/>
      </w:tcPr>
    </w:tblStylePr>
    <w:tblStylePr w:type="band1Horz">
      <w:tblPr/>
      <w:tcPr>
        <w:shd w:val="clear" w:color="auto" w:fill="F26A6E" w:themeFill="accent4" w:themeFillTint="7F"/>
      </w:tcPr>
    </w:tblStylePr>
  </w:style>
  <w:style w:type="table" w:styleId="MediumGrid1-Accent5">
    <w:name w:val="Medium Grid 1 Accent 5"/>
    <w:basedOn w:val="TableNormal"/>
    <w:uiPriority w:val="99"/>
    <w:semiHidden/>
    <w:rsid w:val="00361DEB"/>
    <w:pPr>
      <w:spacing w:after="0"/>
    </w:pPr>
    <w:tblPr>
      <w:tblStyleRowBandSize w:val="1"/>
      <w:tblStyleColBandSize w:val="1"/>
      <w:tblBorders>
        <w:top w:val="single" w:sz="8"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single" w:sz="8" w:space="0" w:color="2F8AC3" w:themeColor="accent5" w:themeTint="BF"/>
        <w:insideV w:val="single" w:sz="8" w:space="0" w:color="2F8AC3" w:themeColor="accent5" w:themeTint="BF"/>
      </w:tblBorders>
    </w:tblPr>
    <w:tcPr>
      <w:shd w:val="clear" w:color="auto" w:fill="B8D9ED" w:themeFill="accent5" w:themeFillTint="3F"/>
    </w:tcPr>
    <w:tblStylePr w:type="firstRow">
      <w:rPr>
        <w:b/>
        <w:bCs/>
      </w:rPr>
    </w:tblStylePr>
    <w:tblStylePr w:type="lastRow">
      <w:rPr>
        <w:b/>
        <w:bCs/>
      </w:rPr>
      <w:tblPr/>
      <w:tcPr>
        <w:tcBorders>
          <w:top w:val="single" w:sz="18" w:space="0" w:color="2F8AC3" w:themeColor="accent5" w:themeTint="BF"/>
        </w:tcBorders>
      </w:tcPr>
    </w:tblStylePr>
    <w:tblStylePr w:type="firstCol">
      <w:rPr>
        <w:b/>
        <w:bCs/>
      </w:rPr>
    </w:tblStylePr>
    <w:tblStylePr w:type="lastCol">
      <w:rPr>
        <w:b/>
        <w:bCs/>
      </w:rPr>
    </w:tblStylePr>
    <w:tblStylePr w:type="band1Vert">
      <w:tblPr/>
      <w:tcPr>
        <w:shd w:val="clear" w:color="auto" w:fill="70B2DC" w:themeFill="accent5" w:themeFillTint="7F"/>
      </w:tcPr>
    </w:tblStylePr>
    <w:tblStylePr w:type="band1Horz">
      <w:tblPr/>
      <w:tcPr>
        <w:shd w:val="clear" w:color="auto" w:fill="70B2DC" w:themeFill="accent5" w:themeFillTint="7F"/>
      </w:tcPr>
    </w:tblStylePr>
  </w:style>
  <w:style w:type="table" w:styleId="MediumGrid1-Accent6">
    <w:name w:val="Medium Grid 1 Accent 6"/>
    <w:basedOn w:val="TableNormal"/>
    <w:uiPriority w:val="99"/>
    <w:semiHidden/>
    <w:rsid w:val="00361DEB"/>
    <w:pPr>
      <w:spacing w:after="0"/>
    </w:pPr>
    <w:tblPr>
      <w:tblStyleRowBandSize w:val="1"/>
      <w:tblStyleColBandSize w:val="1"/>
      <w:tblBorders>
        <w:top w:val="single" w:sz="8"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single" w:sz="8" w:space="0" w:color="DF7557" w:themeColor="accent6" w:themeTint="BF"/>
        <w:insideV w:val="single" w:sz="8" w:space="0" w:color="DF7557" w:themeColor="accent6" w:themeTint="BF"/>
      </w:tblBorders>
    </w:tblPr>
    <w:tcPr>
      <w:shd w:val="clear" w:color="auto" w:fill="F4D1C7" w:themeFill="accent6" w:themeFillTint="3F"/>
    </w:tcPr>
    <w:tblStylePr w:type="firstRow">
      <w:rPr>
        <w:b/>
        <w:bCs/>
      </w:rPr>
    </w:tblStylePr>
    <w:tblStylePr w:type="lastRow">
      <w:rPr>
        <w:b/>
        <w:bCs/>
      </w:rPr>
      <w:tblPr/>
      <w:tcPr>
        <w:tcBorders>
          <w:top w:val="single" w:sz="18" w:space="0" w:color="DF7557" w:themeColor="accent6" w:themeTint="BF"/>
        </w:tcBorders>
      </w:tcPr>
    </w:tblStylePr>
    <w:tblStylePr w:type="firstCol">
      <w:rPr>
        <w:b/>
        <w:bCs/>
      </w:rPr>
    </w:tblStylePr>
    <w:tblStylePr w:type="lastCol">
      <w:rPr>
        <w:b/>
        <w:bCs/>
      </w:rPr>
    </w:tblStylePr>
    <w:tblStylePr w:type="band1Vert">
      <w:tblPr/>
      <w:tcPr>
        <w:shd w:val="clear" w:color="auto" w:fill="E9A38F" w:themeFill="accent6" w:themeFillTint="7F"/>
      </w:tcPr>
    </w:tblStylePr>
    <w:tblStylePr w:type="band1Horz">
      <w:tblPr/>
      <w:tcPr>
        <w:shd w:val="clear" w:color="auto" w:fill="E9A38F" w:themeFill="accent6" w:themeFillTint="7F"/>
      </w:tcPr>
    </w:tblStylePr>
  </w:style>
  <w:style w:type="table" w:customStyle="1" w:styleId="MediumGrid21">
    <w:name w:val="Medium Grid 2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insideH w:val="single" w:sz="8" w:space="0" w:color="AB0F14" w:themeColor="text1"/>
        <w:insideV w:val="single" w:sz="8" w:space="0" w:color="AB0F14" w:themeColor="text1"/>
      </w:tblBorders>
    </w:tblPr>
    <w:tcPr>
      <w:shd w:val="clear" w:color="auto" w:fill="F8B5B7" w:themeFill="text1" w:themeFillTint="3F"/>
    </w:tcPr>
    <w:tblStylePr w:type="firstRow">
      <w:rPr>
        <w:b/>
        <w:bCs/>
        <w:color w:val="AB0F14" w:themeColor="text1"/>
      </w:rPr>
      <w:tblPr/>
      <w:tcPr>
        <w:shd w:val="clear" w:color="auto" w:fill="FCE1E2" w:themeFill="text1"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9C3C4" w:themeFill="text1" w:themeFillTint="33"/>
      </w:tcPr>
    </w:tblStylePr>
    <w:tblStylePr w:type="band1Vert">
      <w:tblPr/>
      <w:tcPr>
        <w:shd w:val="clear" w:color="auto" w:fill="F26A6E" w:themeFill="text1" w:themeFillTint="7F"/>
      </w:tcPr>
    </w:tblStylePr>
    <w:tblStylePr w:type="band1Horz">
      <w:tblPr/>
      <w:tcPr>
        <w:tcBorders>
          <w:insideH w:val="single" w:sz="6" w:space="0" w:color="AB0F14" w:themeColor="text1"/>
          <w:insideV w:val="single" w:sz="6" w:space="0" w:color="AB0F14" w:themeColor="text1"/>
        </w:tcBorders>
        <w:shd w:val="clear" w:color="auto" w:fill="F26A6E"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insideH w:val="single" w:sz="8" w:space="0" w:color="EF4C51" w:themeColor="accent1"/>
        <w:insideV w:val="single" w:sz="8" w:space="0" w:color="EF4C51" w:themeColor="accent1"/>
      </w:tblBorders>
    </w:tblPr>
    <w:tcPr>
      <w:shd w:val="clear" w:color="auto" w:fill="FBD2D3" w:themeFill="accent1" w:themeFillTint="3F"/>
    </w:tcPr>
    <w:tblStylePr w:type="firstRow">
      <w:rPr>
        <w:b/>
        <w:bCs/>
        <w:color w:val="AB0F14" w:themeColor="text1"/>
      </w:rPr>
      <w:tblPr/>
      <w:tcPr>
        <w:shd w:val="clear" w:color="auto" w:fill="FDEDED" w:themeFill="accent1"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BDBDC" w:themeFill="accent1" w:themeFillTint="33"/>
      </w:tcPr>
    </w:tblStylePr>
    <w:tblStylePr w:type="band1Vert">
      <w:tblPr/>
      <w:tcPr>
        <w:shd w:val="clear" w:color="auto" w:fill="F7A5A7" w:themeFill="accent1" w:themeFillTint="7F"/>
      </w:tcPr>
    </w:tblStylePr>
    <w:tblStylePr w:type="band1Horz">
      <w:tblPr/>
      <w:tcPr>
        <w:tcBorders>
          <w:insideH w:val="single" w:sz="6" w:space="0" w:color="EF4C51" w:themeColor="accent1"/>
          <w:insideV w:val="single" w:sz="6" w:space="0" w:color="EF4C51" w:themeColor="accent1"/>
        </w:tcBorders>
        <w:shd w:val="clear" w:color="auto" w:fill="F7A5A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insideH w:val="single" w:sz="8" w:space="0" w:color="F89621" w:themeColor="accent2"/>
        <w:insideV w:val="single" w:sz="8" w:space="0" w:color="F89621" w:themeColor="accent2"/>
      </w:tblBorders>
    </w:tblPr>
    <w:tcPr>
      <w:shd w:val="clear" w:color="auto" w:fill="FDE4C8" w:themeFill="accent2" w:themeFillTint="3F"/>
    </w:tcPr>
    <w:tblStylePr w:type="firstRow">
      <w:rPr>
        <w:b/>
        <w:bCs/>
        <w:color w:val="AB0F14" w:themeColor="text1"/>
      </w:rPr>
      <w:tblPr/>
      <w:tcPr>
        <w:shd w:val="clear" w:color="auto" w:fill="FEF4E9" w:themeFill="accent2"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DE9D2" w:themeFill="accent2" w:themeFillTint="33"/>
      </w:tcPr>
    </w:tblStylePr>
    <w:tblStylePr w:type="band1Vert">
      <w:tblPr/>
      <w:tcPr>
        <w:shd w:val="clear" w:color="auto" w:fill="FBCA90" w:themeFill="accent2" w:themeFillTint="7F"/>
      </w:tcPr>
    </w:tblStylePr>
    <w:tblStylePr w:type="band1Horz">
      <w:tblPr/>
      <w:tcPr>
        <w:tcBorders>
          <w:insideH w:val="single" w:sz="6" w:space="0" w:color="F89621" w:themeColor="accent2"/>
          <w:insideV w:val="single" w:sz="6" w:space="0" w:color="F89621" w:themeColor="accent2"/>
        </w:tcBorders>
        <w:shd w:val="clear" w:color="auto" w:fill="FBCA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insideH w:val="single" w:sz="8" w:space="0" w:color="FFCB05" w:themeColor="accent3"/>
        <w:insideV w:val="single" w:sz="8" w:space="0" w:color="FFCB05" w:themeColor="accent3"/>
      </w:tblBorders>
    </w:tblPr>
    <w:tcPr>
      <w:shd w:val="clear" w:color="auto" w:fill="FFF1C1" w:themeFill="accent3" w:themeFillTint="3F"/>
    </w:tcPr>
    <w:tblStylePr w:type="firstRow">
      <w:rPr>
        <w:b/>
        <w:bCs/>
        <w:color w:val="AB0F14" w:themeColor="text1"/>
      </w:rPr>
      <w:tblPr/>
      <w:tcPr>
        <w:shd w:val="clear" w:color="auto" w:fill="FFF9E6" w:themeFill="accent3"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FF4CD" w:themeFill="accent3" w:themeFillTint="33"/>
      </w:tcPr>
    </w:tblStylePr>
    <w:tblStylePr w:type="band1Vert">
      <w:tblPr/>
      <w:tcPr>
        <w:shd w:val="clear" w:color="auto" w:fill="FFE482" w:themeFill="accent3" w:themeFillTint="7F"/>
      </w:tcPr>
    </w:tblStylePr>
    <w:tblStylePr w:type="band1Horz">
      <w:tblPr/>
      <w:tcPr>
        <w:tcBorders>
          <w:insideH w:val="single" w:sz="6" w:space="0" w:color="FFCB05" w:themeColor="accent3"/>
          <w:insideV w:val="single" w:sz="6" w:space="0" w:color="FFCB05" w:themeColor="accent3"/>
        </w:tcBorders>
        <w:shd w:val="clear" w:color="auto" w:fill="FFE48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insideH w:val="single" w:sz="8" w:space="0" w:color="AB0F14" w:themeColor="accent4"/>
        <w:insideV w:val="single" w:sz="8" w:space="0" w:color="AB0F14" w:themeColor="accent4"/>
      </w:tblBorders>
    </w:tblPr>
    <w:tcPr>
      <w:shd w:val="clear" w:color="auto" w:fill="F8B5B7" w:themeFill="accent4" w:themeFillTint="3F"/>
    </w:tcPr>
    <w:tblStylePr w:type="firstRow">
      <w:rPr>
        <w:b/>
        <w:bCs/>
        <w:color w:val="AB0F14" w:themeColor="text1"/>
      </w:rPr>
      <w:tblPr/>
      <w:tcPr>
        <w:shd w:val="clear" w:color="auto" w:fill="FCE1E2" w:themeFill="accent4"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9C3C4" w:themeFill="accent4" w:themeFillTint="33"/>
      </w:tcPr>
    </w:tblStylePr>
    <w:tblStylePr w:type="band1Vert">
      <w:tblPr/>
      <w:tcPr>
        <w:shd w:val="clear" w:color="auto" w:fill="F26A6E" w:themeFill="accent4" w:themeFillTint="7F"/>
      </w:tcPr>
    </w:tblStylePr>
    <w:tblStylePr w:type="band1Horz">
      <w:tblPr/>
      <w:tcPr>
        <w:tcBorders>
          <w:insideH w:val="single" w:sz="6" w:space="0" w:color="AB0F14" w:themeColor="accent4"/>
          <w:insideV w:val="single" w:sz="6" w:space="0" w:color="AB0F14" w:themeColor="accent4"/>
        </w:tcBorders>
        <w:shd w:val="clear" w:color="auto" w:fill="F26A6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insideH w:val="single" w:sz="8" w:space="0" w:color="1E587C" w:themeColor="accent5"/>
        <w:insideV w:val="single" w:sz="8" w:space="0" w:color="1E587C" w:themeColor="accent5"/>
      </w:tblBorders>
    </w:tblPr>
    <w:tcPr>
      <w:shd w:val="clear" w:color="auto" w:fill="B8D9ED" w:themeFill="accent5" w:themeFillTint="3F"/>
    </w:tcPr>
    <w:tblStylePr w:type="firstRow">
      <w:rPr>
        <w:b/>
        <w:bCs/>
        <w:color w:val="AB0F14" w:themeColor="text1"/>
      </w:rPr>
      <w:tblPr/>
      <w:tcPr>
        <w:shd w:val="clear" w:color="auto" w:fill="E2F0F8" w:themeFill="accent5"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C5E0F1" w:themeFill="accent5" w:themeFillTint="33"/>
      </w:tcPr>
    </w:tblStylePr>
    <w:tblStylePr w:type="band1Vert">
      <w:tblPr/>
      <w:tcPr>
        <w:shd w:val="clear" w:color="auto" w:fill="70B2DC" w:themeFill="accent5" w:themeFillTint="7F"/>
      </w:tcPr>
    </w:tblStylePr>
    <w:tblStylePr w:type="band1Horz">
      <w:tblPr/>
      <w:tcPr>
        <w:tcBorders>
          <w:insideH w:val="single" w:sz="6" w:space="0" w:color="1E587C" w:themeColor="accent5"/>
          <w:insideV w:val="single" w:sz="6" w:space="0" w:color="1E587C" w:themeColor="accent5"/>
        </w:tcBorders>
        <w:shd w:val="clear" w:color="auto" w:fill="70B2D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insideH w:val="single" w:sz="8" w:space="0" w:color="CC4C27" w:themeColor="accent6"/>
        <w:insideV w:val="single" w:sz="8" w:space="0" w:color="CC4C27" w:themeColor="accent6"/>
      </w:tblBorders>
    </w:tblPr>
    <w:tcPr>
      <w:shd w:val="clear" w:color="auto" w:fill="F4D1C7" w:themeFill="accent6" w:themeFillTint="3F"/>
    </w:tcPr>
    <w:tblStylePr w:type="firstRow">
      <w:rPr>
        <w:b/>
        <w:bCs/>
        <w:color w:val="AB0F14" w:themeColor="text1"/>
      </w:rPr>
      <w:tblPr/>
      <w:tcPr>
        <w:shd w:val="clear" w:color="auto" w:fill="FAECE8" w:themeFill="accent6" w:themeFillTint="19"/>
      </w:tcPr>
    </w:tblStylePr>
    <w:tblStylePr w:type="lastRow">
      <w:rPr>
        <w:b/>
        <w:bCs/>
        <w:color w:val="AB0F14" w:themeColor="text1"/>
      </w:rPr>
      <w:tblPr/>
      <w:tcPr>
        <w:tcBorders>
          <w:top w:val="single" w:sz="12" w:space="0" w:color="AB0F14" w:themeColor="text1"/>
          <w:left w:val="nil"/>
          <w:bottom w:val="nil"/>
          <w:right w:val="nil"/>
          <w:insideH w:val="nil"/>
          <w:insideV w:val="nil"/>
        </w:tcBorders>
        <w:shd w:val="clear" w:color="auto" w:fill="FFFFFF" w:themeFill="background1"/>
      </w:tcPr>
    </w:tblStylePr>
    <w:tblStylePr w:type="firstCol">
      <w:rPr>
        <w:b/>
        <w:bCs/>
        <w:color w:val="AB0F1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AB0F14" w:themeColor="text1"/>
      </w:rPr>
      <w:tblPr/>
      <w:tcPr>
        <w:tcBorders>
          <w:top w:val="nil"/>
          <w:left w:val="nil"/>
          <w:bottom w:val="nil"/>
          <w:right w:val="nil"/>
          <w:insideH w:val="nil"/>
          <w:insideV w:val="nil"/>
        </w:tcBorders>
        <w:shd w:val="clear" w:color="auto" w:fill="F6DAD1" w:themeFill="accent6" w:themeFillTint="33"/>
      </w:tcPr>
    </w:tblStylePr>
    <w:tblStylePr w:type="band1Vert">
      <w:tblPr/>
      <w:tcPr>
        <w:shd w:val="clear" w:color="auto" w:fill="E9A38F" w:themeFill="accent6" w:themeFillTint="7F"/>
      </w:tcPr>
    </w:tblStylePr>
    <w:tblStylePr w:type="band1Horz">
      <w:tblPr/>
      <w:tcPr>
        <w:tcBorders>
          <w:insideH w:val="single" w:sz="6" w:space="0" w:color="CC4C27" w:themeColor="accent6"/>
          <w:insideV w:val="single" w:sz="6" w:space="0" w:color="CC4C27" w:themeColor="accent6"/>
        </w:tcBorders>
        <w:shd w:val="clear" w:color="auto" w:fill="E9A38F"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5B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0F1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0F1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0F1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0F1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A6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A6E" w:themeFill="text1" w:themeFillTint="7F"/>
      </w:tcPr>
    </w:tblStylePr>
  </w:style>
  <w:style w:type="table" w:styleId="MediumGrid3-Accent1">
    <w:name w:val="Medium Grid 3 Accent 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4C5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4C5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4C5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4C5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A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A7" w:themeFill="accent1" w:themeFillTint="7F"/>
      </w:tcPr>
    </w:tblStylePr>
  </w:style>
  <w:style w:type="table" w:styleId="MediumGrid3-Accent2">
    <w:name w:val="Medium Grid 3 Accent 2"/>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6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6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6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6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90" w:themeFill="accent2" w:themeFillTint="7F"/>
      </w:tcPr>
    </w:tblStylePr>
  </w:style>
  <w:style w:type="table" w:styleId="MediumGrid3-Accent3">
    <w:name w:val="Medium Grid 3 Accent 3"/>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B0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B0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B0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B0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2" w:themeFill="accent3" w:themeFillTint="7F"/>
      </w:tcPr>
    </w:tblStylePr>
  </w:style>
  <w:style w:type="table" w:styleId="MediumGrid3-Accent4">
    <w:name w:val="Medium Grid 3 Accent 4"/>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B5B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0F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0F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0F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0F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6A6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6A6E" w:themeFill="accent4" w:themeFillTint="7F"/>
      </w:tcPr>
    </w:tblStylePr>
  </w:style>
  <w:style w:type="table" w:styleId="MediumGrid3-Accent5">
    <w:name w:val="Medium Grid 3 Accent 5"/>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9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587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587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587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587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B2D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B2DC" w:themeFill="accent5" w:themeFillTint="7F"/>
      </w:tcPr>
    </w:tblStylePr>
  </w:style>
  <w:style w:type="table" w:styleId="MediumGrid3-Accent6">
    <w:name w:val="Medium Grid 3 Accent 6"/>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4C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4C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4C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4C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A3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A38F" w:themeFill="accent6" w:themeFillTint="7F"/>
      </w:tcPr>
    </w:tblStylePr>
  </w:style>
  <w:style w:type="table" w:customStyle="1" w:styleId="MediumList11">
    <w:name w:val="Medium List 11"/>
    <w:basedOn w:val="TableNormal"/>
    <w:uiPriority w:val="99"/>
    <w:semiHidden/>
    <w:rsid w:val="00361DEB"/>
    <w:pPr>
      <w:spacing w:after="0"/>
    </w:pPr>
    <w:rPr>
      <w:color w:val="AB0F14" w:themeColor="text1"/>
    </w:rPr>
    <w:tblPr>
      <w:tblStyleRowBandSize w:val="1"/>
      <w:tblStyleColBandSize w:val="1"/>
      <w:tblBorders>
        <w:top w:val="single" w:sz="8" w:space="0" w:color="AB0F14" w:themeColor="text1"/>
        <w:bottom w:val="single" w:sz="8" w:space="0" w:color="AB0F14" w:themeColor="text1"/>
      </w:tblBorders>
    </w:tblPr>
    <w:tblStylePr w:type="firstRow">
      <w:rPr>
        <w:rFonts w:asciiTheme="majorHAnsi" w:eastAsiaTheme="majorEastAsia" w:hAnsiTheme="majorHAnsi" w:cstheme="majorBidi"/>
      </w:rPr>
      <w:tblPr/>
      <w:tcPr>
        <w:tcBorders>
          <w:top w:val="nil"/>
          <w:bottom w:val="single" w:sz="8" w:space="0" w:color="AB0F14" w:themeColor="text1"/>
        </w:tcBorders>
      </w:tcPr>
    </w:tblStylePr>
    <w:tblStylePr w:type="lastRow">
      <w:rPr>
        <w:b/>
        <w:bCs/>
        <w:color w:val="5F5F5F" w:themeColor="text2"/>
      </w:rPr>
      <w:tblPr/>
      <w:tcPr>
        <w:tcBorders>
          <w:top w:val="single" w:sz="8" w:space="0" w:color="AB0F14" w:themeColor="text1"/>
          <w:bottom w:val="single" w:sz="8" w:space="0" w:color="AB0F14" w:themeColor="text1"/>
        </w:tcBorders>
      </w:tcPr>
    </w:tblStylePr>
    <w:tblStylePr w:type="firstCol">
      <w:rPr>
        <w:b/>
        <w:bCs/>
      </w:rPr>
    </w:tblStylePr>
    <w:tblStylePr w:type="lastCol">
      <w:rPr>
        <w:b/>
        <w:bCs/>
      </w:rPr>
      <w:tblPr/>
      <w:tcPr>
        <w:tcBorders>
          <w:top w:val="single" w:sz="8" w:space="0" w:color="AB0F14" w:themeColor="text1"/>
          <w:bottom w:val="single" w:sz="8" w:space="0" w:color="AB0F14" w:themeColor="text1"/>
        </w:tcBorders>
      </w:tcPr>
    </w:tblStylePr>
    <w:tblStylePr w:type="band1Vert">
      <w:tblPr/>
      <w:tcPr>
        <w:shd w:val="clear" w:color="auto" w:fill="F8B5B7" w:themeFill="text1" w:themeFillTint="3F"/>
      </w:tcPr>
    </w:tblStylePr>
    <w:tblStylePr w:type="band1Horz">
      <w:tblPr/>
      <w:tcPr>
        <w:shd w:val="clear" w:color="auto" w:fill="F8B5B7" w:themeFill="text1" w:themeFillTint="3F"/>
      </w:tcPr>
    </w:tblStylePr>
  </w:style>
  <w:style w:type="table" w:customStyle="1" w:styleId="MediumList1-Accent11">
    <w:name w:val="Medium List 1 - Accent 11"/>
    <w:basedOn w:val="TableNormal"/>
    <w:uiPriority w:val="99"/>
    <w:semiHidden/>
    <w:rsid w:val="00361DEB"/>
    <w:pPr>
      <w:spacing w:after="0"/>
    </w:pPr>
    <w:rPr>
      <w:color w:val="AB0F14" w:themeColor="text1"/>
    </w:rPr>
    <w:tblPr>
      <w:tblStyleRowBandSize w:val="1"/>
      <w:tblStyleColBandSize w:val="1"/>
      <w:tblBorders>
        <w:top w:val="single" w:sz="8" w:space="0" w:color="EF4C51" w:themeColor="accent1"/>
        <w:bottom w:val="single" w:sz="8" w:space="0" w:color="EF4C51" w:themeColor="accent1"/>
      </w:tblBorders>
    </w:tblPr>
    <w:tblStylePr w:type="firstRow">
      <w:rPr>
        <w:rFonts w:asciiTheme="majorHAnsi" w:eastAsiaTheme="majorEastAsia" w:hAnsiTheme="majorHAnsi" w:cstheme="majorBidi"/>
      </w:rPr>
      <w:tblPr/>
      <w:tcPr>
        <w:tcBorders>
          <w:top w:val="nil"/>
          <w:bottom w:val="single" w:sz="8" w:space="0" w:color="EF4C51" w:themeColor="accent1"/>
        </w:tcBorders>
      </w:tcPr>
    </w:tblStylePr>
    <w:tblStylePr w:type="lastRow">
      <w:rPr>
        <w:b/>
        <w:bCs/>
        <w:color w:val="5F5F5F" w:themeColor="text2"/>
      </w:rPr>
      <w:tblPr/>
      <w:tcPr>
        <w:tcBorders>
          <w:top w:val="single" w:sz="8" w:space="0" w:color="EF4C51" w:themeColor="accent1"/>
          <w:bottom w:val="single" w:sz="8" w:space="0" w:color="EF4C51" w:themeColor="accent1"/>
        </w:tcBorders>
      </w:tcPr>
    </w:tblStylePr>
    <w:tblStylePr w:type="firstCol">
      <w:rPr>
        <w:b/>
        <w:bCs/>
      </w:rPr>
    </w:tblStylePr>
    <w:tblStylePr w:type="lastCol">
      <w:rPr>
        <w:b/>
        <w:bCs/>
      </w:rPr>
      <w:tblPr/>
      <w:tcPr>
        <w:tcBorders>
          <w:top w:val="single" w:sz="8" w:space="0" w:color="EF4C51" w:themeColor="accent1"/>
          <w:bottom w:val="single" w:sz="8" w:space="0" w:color="EF4C51" w:themeColor="accent1"/>
        </w:tcBorders>
      </w:tcPr>
    </w:tblStylePr>
    <w:tblStylePr w:type="band1Vert">
      <w:tblPr/>
      <w:tcPr>
        <w:shd w:val="clear" w:color="auto" w:fill="FBD2D3" w:themeFill="accent1" w:themeFillTint="3F"/>
      </w:tcPr>
    </w:tblStylePr>
    <w:tblStylePr w:type="band1Horz">
      <w:tblPr/>
      <w:tcPr>
        <w:shd w:val="clear" w:color="auto" w:fill="FBD2D3" w:themeFill="accent1" w:themeFillTint="3F"/>
      </w:tcPr>
    </w:tblStylePr>
  </w:style>
  <w:style w:type="table" w:styleId="MediumList1-Accent2">
    <w:name w:val="Medium List 1 Accent 2"/>
    <w:basedOn w:val="TableNormal"/>
    <w:uiPriority w:val="99"/>
    <w:semiHidden/>
    <w:rsid w:val="00361DEB"/>
    <w:pPr>
      <w:spacing w:after="0"/>
    </w:pPr>
    <w:rPr>
      <w:color w:val="AB0F14" w:themeColor="text1"/>
    </w:rPr>
    <w:tblPr>
      <w:tblStyleRowBandSize w:val="1"/>
      <w:tblStyleColBandSize w:val="1"/>
      <w:tblBorders>
        <w:top w:val="single" w:sz="8" w:space="0" w:color="F89621" w:themeColor="accent2"/>
        <w:bottom w:val="single" w:sz="8" w:space="0" w:color="F89621" w:themeColor="accent2"/>
      </w:tblBorders>
    </w:tblPr>
    <w:tblStylePr w:type="firstRow">
      <w:rPr>
        <w:rFonts w:asciiTheme="majorHAnsi" w:eastAsiaTheme="majorEastAsia" w:hAnsiTheme="majorHAnsi" w:cstheme="majorBidi"/>
      </w:rPr>
      <w:tblPr/>
      <w:tcPr>
        <w:tcBorders>
          <w:top w:val="nil"/>
          <w:bottom w:val="single" w:sz="8" w:space="0" w:color="F89621" w:themeColor="accent2"/>
        </w:tcBorders>
      </w:tcPr>
    </w:tblStylePr>
    <w:tblStylePr w:type="lastRow">
      <w:rPr>
        <w:b/>
        <w:bCs/>
        <w:color w:val="5F5F5F" w:themeColor="text2"/>
      </w:rPr>
      <w:tblPr/>
      <w:tcPr>
        <w:tcBorders>
          <w:top w:val="single" w:sz="8" w:space="0" w:color="F89621" w:themeColor="accent2"/>
          <w:bottom w:val="single" w:sz="8" w:space="0" w:color="F89621" w:themeColor="accent2"/>
        </w:tcBorders>
      </w:tcPr>
    </w:tblStylePr>
    <w:tblStylePr w:type="firstCol">
      <w:rPr>
        <w:b/>
        <w:bCs/>
      </w:rPr>
    </w:tblStylePr>
    <w:tblStylePr w:type="lastCol">
      <w:rPr>
        <w:b/>
        <w:bCs/>
      </w:rPr>
      <w:tblPr/>
      <w:tcPr>
        <w:tcBorders>
          <w:top w:val="single" w:sz="8" w:space="0" w:color="F89621" w:themeColor="accent2"/>
          <w:bottom w:val="single" w:sz="8" w:space="0" w:color="F89621" w:themeColor="accent2"/>
        </w:tcBorders>
      </w:tcPr>
    </w:tblStylePr>
    <w:tblStylePr w:type="band1Vert">
      <w:tblPr/>
      <w:tcPr>
        <w:shd w:val="clear" w:color="auto" w:fill="FDE4C8" w:themeFill="accent2" w:themeFillTint="3F"/>
      </w:tcPr>
    </w:tblStylePr>
    <w:tblStylePr w:type="band1Horz">
      <w:tblPr/>
      <w:tcPr>
        <w:shd w:val="clear" w:color="auto" w:fill="FDE4C8" w:themeFill="accent2" w:themeFillTint="3F"/>
      </w:tcPr>
    </w:tblStylePr>
  </w:style>
  <w:style w:type="table" w:styleId="MediumList1-Accent3">
    <w:name w:val="Medium List 1 Accent 3"/>
    <w:basedOn w:val="TableNormal"/>
    <w:uiPriority w:val="99"/>
    <w:semiHidden/>
    <w:rsid w:val="00361DEB"/>
    <w:pPr>
      <w:spacing w:after="0"/>
    </w:pPr>
    <w:rPr>
      <w:color w:val="AB0F14" w:themeColor="text1"/>
    </w:rPr>
    <w:tblPr>
      <w:tblStyleRowBandSize w:val="1"/>
      <w:tblStyleColBandSize w:val="1"/>
      <w:tblBorders>
        <w:top w:val="single" w:sz="8" w:space="0" w:color="FFCB05" w:themeColor="accent3"/>
        <w:bottom w:val="single" w:sz="8" w:space="0" w:color="FFCB05" w:themeColor="accent3"/>
      </w:tblBorders>
    </w:tblPr>
    <w:tblStylePr w:type="firstRow">
      <w:rPr>
        <w:rFonts w:asciiTheme="majorHAnsi" w:eastAsiaTheme="majorEastAsia" w:hAnsiTheme="majorHAnsi" w:cstheme="majorBidi"/>
      </w:rPr>
      <w:tblPr/>
      <w:tcPr>
        <w:tcBorders>
          <w:top w:val="nil"/>
          <w:bottom w:val="single" w:sz="8" w:space="0" w:color="FFCB05" w:themeColor="accent3"/>
        </w:tcBorders>
      </w:tcPr>
    </w:tblStylePr>
    <w:tblStylePr w:type="lastRow">
      <w:rPr>
        <w:b/>
        <w:bCs/>
        <w:color w:val="5F5F5F" w:themeColor="text2"/>
      </w:rPr>
      <w:tblPr/>
      <w:tcPr>
        <w:tcBorders>
          <w:top w:val="single" w:sz="8" w:space="0" w:color="FFCB05" w:themeColor="accent3"/>
          <w:bottom w:val="single" w:sz="8" w:space="0" w:color="FFCB05" w:themeColor="accent3"/>
        </w:tcBorders>
      </w:tcPr>
    </w:tblStylePr>
    <w:tblStylePr w:type="firstCol">
      <w:rPr>
        <w:b/>
        <w:bCs/>
      </w:rPr>
    </w:tblStylePr>
    <w:tblStylePr w:type="lastCol">
      <w:rPr>
        <w:b/>
        <w:bCs/>
      </w:rPr>
      <w:tblPr/>
      <w:tcPr>
        <w:tcBorders>
          <w:top w:val="single" w:sz="8" w:space="0" w:color="FFCB05" w:themeColor="accent3"/>
          <w:bottom w:val="single" w:sz="8" w:space="0" w:color="FFCB05" w:themeColor="accent3"/>
        </w:tcBorders>
      </w:tcPr>
    </w:tblStylePr>
    <w:tblStylePr w:type="band1Vert">
      <w:tblPr/>
      <w:tcPr>
        <w:shd w:val="clear" w:color="auto" w:fill="FFF1C1" w:themeFill="accent3" w:themeFillTint="3F"/>
      </w:tcPr>
    </w:tblStylePr>
    <w:tblStylePr w:type="band1Horz">
      <w:tblPr/>
      <w:tcPr>
        <w:shd w:val="clear" w:color="auto" w:fill="FFF1C1" w:themeFill="accent3" w:themeFillTint="3F"/>
      </w:tcPr>
    </w:tblStylePr>
  </w:style>
  <w:style w:type="table" w:styleId="MediumList1-Accent4">
    <w:name w:val="Medium List 1 Accent 4"/>
    <w:basedOn w:val="TableNormal"/>
    <w:uiPriority w:val="99"/>
    <w:semiHidden/>
    <w:rsid w:val="00361DEB"/>
    <w:pPr>
      <w:spacing w:after="0"/>
    </w:pPr>
    <w:rPr>
      <w:color w:val="AB0F14" w:themeColor="text1"/>
    </w:rPr>
    <w:tblPr>
      <w:tblStyleRowBandSize w:val="1"/>
      <w:tblStyleColBandSize w:val="1"/>
      <w:tblBorders>
        <w:top w:val="single" w:sz="8" w:space="0" w:color="AB0F14" w:themeColor="accent4"/>
        <w:bottom w:val="single" w:sz="8" w:space="0" w:color="AB0F14" w:themeColor="accent4"/>
      </w:tblBorders>
    </w:tblPr>
    <w:tblStylePr w:type="firstRow">
      <w:rPr>
        <w:rFonts w:asciiTheme="majorHAnsi" w:eastAsiaTheme="majorEastAsia" w:hAnsiTheme="majorHAnsi" w:cstheme="majorBidi"/>
      </w:rPr>
      <w:tblPr/>
      <w:tcPr>
        <w:tcBorders>
          <w:top w:val="nil"/>
          <w:bottom w:val="single" w:sz="8" w:space="0" w:color="AB0F14" w:themeColor="accent4"/>
        </w:tcBorders>
      </w:tcPr>
    </w:tblStylePr>
    <w:tblStylePr w:type="lastRow">
      <w:rPr>
        <w:b/>
        <w:bCs/>
        <w:color w:val="5F5F5F" w:themeColor="text2"/>
      </w:rPr>
      <w:tblPr/>
      <w:tcPr>
        <w:tcBorders>
          <w:top w:val="single" w:sz="8" w:space="0" w:color="AB0F14" w:themeColor="accent4"/>
          <w:bottom w:val="single" w:sz="8" w:space="0" w:color="AB0F14" w:themeColor="accent4"/>
        </w:tcBorders>
      </w:tcPr>
    </w:tblStylePr>
    <w:tblStylePr w:type="firstCol">
      <w:rPr>
        <w:b/>
        <w:bCs/>
      </w:rPr>
    </w:tblStylePr>
    <w:tblStylePr w:type="lastCol">
      <w:rPr>
        <w:b/>
        <w:bCs/>
      </w:rPr>
      <w:tblPr/>
      <w:tcPr>
        <w:tcBorders>
          <w:top w:val="single" w:sz="8" w:space="0" w:color="AB0F14" w:themeColor="accent4"/>
          <w:bottom w:val="single" w:sz="8" w:space="0" w:color="AB0F14" w:themeColor="accent4"/>
        </w:tcBorders>
      </w:tcPr>
    </w:tblStylePr>
    <w:tblStylePr w:type="band1Vert">
      <w:tblPr/>
      <w:tcPr>
        <w:shd w:val="clear" w:color="auto" w:fill="F8B5B7" w:themeFill="accent4" w:themeFillTint="3F"/>
      </w:tcPr>
    </w:tblStylePr>
    <w:tblStylePr w:type="band1Horz">
      <w:tblPr/>
      <w:tcPr>
        <w:shd w:val="clear" w:color="auto" w:fill="F8B5B7" w:themeFill="accent4" w:themeFillTint="3F"/>
      </w:tcPr>
    </w:tblStylePr>
  </w:style>
  <w:style w:type="table" w:styleId="MediumList1-Accent5">
    <w:name w:val="Medium List 1 Accent 5"/>
    <w:basedOn w:val="TableNormal"/>
    <w:uiPriority w:val="99"/>
    <w:semiHidden/>
    <w:rsid w:val="00361DEB"/>
    <w:pPr>
      <w:spacing w:after="0"/>
    </w:pPr>
    <w:rPr>
      <w:color w:val="AB0F14" w:themeColor="text1"/>
    </w:rPr>
    <w:tblPr>
      <w:tblStyleRowBandSize w:val="1"/>
      <w:tblStyleColBandSize w:val="1"/>
      <w:tblBorders>
        <w:top w:val="single" w:sz="8" w:space="0" w:color="1E587C" w:themeColor="accent5"/>
        <w:bottom w:val="single" w:sz="8" w:space="0" w:color="1E587C" w:themeColor="accent5"/>
      </w:tblBorders>
    </w:tblPr>
    <w:tblStylePr w:type="firstRow">
      <w:rPr>
        <w:rFonts w:asciiTheme="majorHAnsi" w:eastAsiaTheme="majorEastAsia" w:hAnsiTheme="majorHAnsi" w:cstheme="majorBidi"/>
      </w:rPr>
      <w:tblPr/>
      <w:tcPr>
        <w:tcBorders>
          <w:top w:val="nil"/>
          <w:bottom w:val="single" w:sz="8" w:space="0" w:color="1E587C" w:themeColor="accent5"/>
        </w:tcBorders>
      </w:tcPr>
    </w:tblStylePr>
    <w:tblStylePr w:type="lastRow">
      <w:rPr>
        <w:b/>
        <w:bCs/>
        <w:color w:val="5F5F5F" w:themeColor="text2"/>
      </w:rPr>
      <w:tblPr/>
      <w:tcPr>
        <w:tcBorders>
          <w:top w:val="single" w:sz="8" w:space="0" w:color="1E587C" w:themeColor="accent5"/>
          <w:bottom w:val="single" w:sz="8" w:space="0" w:color="1E587C" w:themeColor="accent5"/>
        </w:tcBorders>
      </w:tcPr>
    </w:tblStylePr>
    <w:tblStylePr w:type="firstCol">
      <w:rPr>
        <w:b/>
        <w:bCs/>
      </w:rPr>
    </w:tblStylePr>
    <w:tblStylePr w:type="lastCol">
      <w:rPr>
        <w:b/>
        <w:bCs/>
      </w:rPr>
      <w:tblPr/>
      <w:tcPr>
        <w:tcBorders>
          <w:top w:val="single" w:sz="8" w:space="0" w:color="1E587C" w:themeColor="accent5"/>
          <w:bottom w:val="single" w:sz="8" w:space="0" w:color="1E587C" w:themeColor="accent5"/>
        </w:tcBorders>
      </w:tcPr>
    </w:tblStylePr>
    <w:tblStylePr w:type="band1Vert">
      <w:tblPr/>
      <w:tcPr>
        <w:shd w:val="clear" w:color="auto" w:fill="B8D9ED" w:themeFill="accent5" w:themeFillTint="3F"/>
      </w:tcPr>
    </w:tblStylePr>
    <w:tblStylePr w:type="band1Horz">
      <w:tblPr/>
      <w:tcPr>
        <w:shd w:val="clear" w:color="auto" w:fill="B8D9ED" w:themeFill="accent5" w:themeFillTint="3F"/>
      </w:tcPr>
    </w:tblStylePr>
  </w:style>
  <w:style w:type="table" w:styleId="MediumList1-Accent6">
    <w:name w:val="Medium List 1 Accent 6"/>
    <w:basedOn w:val="TableNormal"/>
    <w:uiPriority w:val="99"/>
    <w:semiHidden/>
    <w:rsid w:val="00361DEB"/>
    <w:pPr>
      <w:spacing w:after="0"/>
    </w:pPr>
    <w:rPr>
      <w:color w:val="AB0F14" w:themeColor="text1"/>
    </w:rPr>
    <w:tblPr>
      <w:tblStyleRowBandSize w:val="1"/>
      <w:tblStyleColBandSize w:val="1"/>
      <w:tblBorders>
        <w:top w:val="single" w:sz="8" w:space="0" w:color="CC4C27" w:themeColor="accent6"/>
        <w:bottom w:val="single" w:sz="8" w:space="0" w:color="CC4C27" w:themeColor="accent6"/>
      </w:tblBorders>
    </w:tblPr>
    <w:tblStylePr w:type="firstRow">
      <w:rPr>
        <w:rFonts w:asciiTheme="majorHAnsi" w:eastAsiaTheme="majorEastAsia" w:hAnsiTheme="majorHAnsi" w:cstheme="majorBidi"/>
      </w:rPr>
      <w:tblPr/>
      <w:tcPr>
        <w:tcBorders>
          <w:top w:val="nil"/>
          <w:bottom w:val="single" w:sz="8" w:space="0" w:color="CC4C27" w:themeColor="accent6"/>
        </w:tcBorders>
      </w:tcPr>
    </w:tblStylePr>
    <w:tblStylePr w:type="lastRow">
      <w:rPr>
        <w:b/>
        <w:bCs/>
        <w:color w:val="5F5F5F" w:themeColor="text2"/>
      </w:rPr>
      <w:tblPr/>
      <w:tcPr>
        <w:tcBorders>
          <w:top w:val="single" w:sz="8" w:space="0" w:color="CC4C27" w:themeColor="accent6"/>
          <w:bottom w:val="single" w:sz="8" w:space="0" w:color="CC4C27" w:themeColor="accent6"/>
        </w:tcBorders>
      </w:tcPr>
    </w:tblStylePr>
    <w:tblStylePr w:type="firstCol">
      <w:rPr>
        <w:b/>
        <w:bCs/>
      </w:rPr>
    </w:tblStylePr>
    <w:tblStylePr w:type="lastCol">
      <w:rPr>
        <w:b/>
        <w:bCs/>
      </w:rPr>
      <w:tblPr/>
      <w:tcPr>
        <w:tcBorders>
          <w:top w:val="single" w:sz="8" w:space="0" w:color="CC4C27" w:themeColor="accent6"/>
          <w:bottom w:val="single" w:sz="8" w:space="0" w:color="CC4C27" w:themeColor="accent6"/>
        </w:tcBorders>
      </w:tcPr>
    </w:tblStylePr>
    <w:tblStylePr w:type="band1Vert">
      <w:tblPr/>
      <w:tcPr>
        <w:shd w:val="clear" w:color="auto" w:fill="F4D1C7" w:themeFill="accent6" w:themeFillTint="3F"/>
      </w:tcPr>
    </w:tblStylePr>
    <w:tblStylePr w:type="band1Horz">
      <w:tblPr/>
      <w:tcPr>
        <w:shd w:val="clear" w:color="auto" w:fill="F4D1C7" w:themeFill="accent6" w:themeFillTint="3F"/>
      </w:tcPr>
    </w:tblStylePr>
  </w:style>
  <w:style w:type="table" w:customStyle="1" w:styleId="MediumList21">
    <w:name w:val="Medium List 2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text1"/>
        <w:left w:val="single" w:sz="8" w:space="0" w:color="AB0F14" w:themeColor="text1"/>
        <w:bottom w:val="single" w:sz="8" w:space="0" w:color="AB0F14" w:themeColor="text1"/>
        <w:right w:val="single" w:sz="8" w:space="0" w:color="AB0F14" w:themeColor="text1"/>
      </w:tblBorders>
    </w:tblPr>
    <w:tblStylePr w:type="firstRow">
      <w:rPr>
        <w:sz w:val="24"/>
        <w:szCs w:val="24"/>
      </w:rPr>
      <w:tblPr/>
      <w:tcPr>
        <w:tcBorders>
          <w:top w:val="nil"/>
          <w:left w:val="nil"/>
          <w:bottom w:val="single" w:sz="24" w:space="0" w:color="AB0F14" w:themeColor="text1"/>
          <w:right w:val="nil"/>
          <w:insideH w:val="nil"/>
          <w:insideV w:val="nil"/>
        </w:tcBorders>
        <w:shd w:val="clear" w:color="auto" w:fill="FFFFFF" w:themeFill="background1"/>
      </w:tcPr>
    </w:tblStylePr>
    <w:tblStylePr w:type="lastRow">
      <w:tblPr/>
      <w:tcPr>
        <w:tcBorders>
          <w:top w:val="single" w:sz="8" w:space="0" w:color="AB0F1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0F14" w:themeColor="text1"/>
          <w:insideH w:val="nil"/>
          <w:insideV w:val="nil"/>
        </w:tcBorders>
        <w:shd w:val="clear" w:color="auto" w:fill="FFFFFF" w:themeFill="background1"/>
      </w:tcPr>
    </w:tblStylePr>
    <w:tblStylePr w:type="lastCol">
      <w:tblPr/>
      <w:tcPr>
        <w:tcBorders>
          <w:top w:val="nil"/>
          <w:left w:val="single" w:sz="8" w:space="0" w:color="AB0F1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5B7" w:themeFill="text1" w:themeFillTint="3F"/>
      </w:tcPr>
    </w:tblStylePr>
    <w:tblStylePr w:type="band1Horz">
      <w:tblPr/>
      <w:tcPr>
        <w:tcBorders>
          <w:top w:val="nil"/>
          <w:bottom w:val="nil"/>
          <w:insideH w:val="nil"/>
          <w:insideV w:val="nil"/>
        </w:tcBorders>
        <w:shd w:val="clear" w:color="auto" w:fill="F8B5B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tblBorders>
    </w:tblPr>
    <w:tblStylePr w:type="firstRow">
      <w:rPr>
        <w:sz w:val="24"/>
        <w:szCs w:val="24"/>
      </w:rPr>
      <w:tblPr/>
      <w:tcPr>
        <w:tcBorders>
          <w:top w:val="nil"/>
          <w:left w:val="nil"/>
          <w:bottom w:val="single" w:sz="24" w:space="0" w:color="EF4C51" w:themeColor="accent1"/>
          <w:right w:val="nil"/>
          <w:insideH w:val="nil"/>
          <w:insideV w:val="nil"/>
        </w:tcBorders>
        <w:shd w:val="clear" w:color="auto" w:fill="FFFFFF" w:themeFill="background1"/>
      </w:tcPr>
    </w:tblStylePr>
    <w:tblStylePr w:type="lastRow">
      <w:tblPr/>
      <w:tcPr>
        <w:tcBorders>
          <w:top w:val="single" w:sz="8" w:space="0" w:color="EF4C5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4C51" w:themeColor="accent1"/>
          <w:insideH w:val="nil"/>
          <w:insideV w:val="nil"/>
        </w:tcBorders>
        <w:shd w:val="clear" w:color="auto" w:fill="FFFFFF" w:themeFill="background1"/>
      </w:tcPr>
    </w:tblStylePr>
    <w:tblStylePr w:type="lastCol">
      <w:tblPr/>
      <w:tcPr>
        <w:tcBorders>
          <w:top w:val="nil"/>
          <w:left w:val="single" w:sz="8" w:space="0" w:color="EF4C5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D3" w:themeFill="accent1" w:themeFillTint="3F"/>
      </w:tcPr>
    </w:tblStylePr>
    <w:tblStylePr w:type="band1Horz">
      <w:tblPr/>
      <w:tcPr>
        <w:tcBorders>
          <w:top w:val="nil"/>
          <w:bottom w:val="nil"/>
          <w:insideH w:val="nil"/>
          <w:insideV w:val="nil"/>
        </w:tcBorders>
        <w:shd w:val="clear" w:color="auto" w:fill="FBD2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89621" w:themeColor="accent2"/>
        <w:left w:val="single" w:sz="8" w:space="0" w:color="F89621" w:themeColor="accent2"/>
        <w:bottom w:val="single" w:sz="8" w:space="0" w:color="F89621" w:themeColor="accent2"/>
        <w:right w:val="single" w:sz="8" w:space="0" w:color="F89621" w:themeColor="accent2"/>
      </w:tblBorders>
    </w:tblPr>
    <w:tblStylePr w:type="firstRow">
      <w:rPr>
        <w:sz w:val="24"/>
        <w:szCs w:val="24"/>
      </w:rPr>
      <w:tblPr/>
      <w:tcPr>
        <w:tcBorders>
          <w:top w:val="nil"/>
          <w:left w:val="nil"/>
          <w:bottom w:val="single" w:sz="24" w:space="0" w:color="F89621" w:themeColor="accent2"/>
          <w:right w:val="nil"/>
          <w:insideH w:val="nil"/>
          <w:insideV w:val="nil"/>
        </w:tcBorders>
        <w:shd w:val="clear" w:color="auto" w:fill="FFFFFF" w:themeFill="background1"/>
      </w:tcPr>
    </w:tblStylePr>
    <w:tblStylePr w:type="lastRow">
      <w:tblPr/>
      <w:tcPr>
        <w:tcBorders>
          <w:top w:val="single" w:sz="8" w:space="0" w:color="F8962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621" w:themeColor="accent2"/>
          <w:insideH w:val="nil"/>
          <w:insideV w:val="nil"/>
        </w:tcBorders>
        <w:shd w:val="clear" w:color="auto" w:fill="FFFFFF" w:themeFill="background1"/>
      </w:tcPr>
    </w:tblStylePr>
    <w:tblStylePr w:type="lastCol">
      <w:tblPr/>
      <w:tcPr>
        <w:tcBorders>
          <w:top w:val="nil"/>
          <w:left w:val="single" w:sz="8" w:space="0" w:color="F896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8" w:themeFill="accent2" w:themeFillTint="3F"/>
      </w:tcPr>
    </w:tblStylePr>
    <w:tblStylePr w:type="band1Horz">
      <w:tblPr/>
      <w:tcPr>
        <w:tcBorders>
          <w:top w:val="nil"/>
          <w:bottom w:val="nil"/>
          <w:insideH w:val="nil"/>
          <w:insideV w:val="nil"/>
        </w:tcBorders>
        <w:shd w:val="clear" w:color="auto" w:fill="FDE4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FFCB05" w:themeColor="accent3"/>
        <w:left w:val="single" w:sz="8" w:space="0" w:color="FFCB05" w:themeColor="accent3"/>
        <w:bottom w:val="single" w:sz="8" w:space="0" w:color="FFCB05" w:themeColor="accent3"/>
        <w:right w:val="single" w:sz="8" w:space="0" w:color="FFCB05" w:themeColor="accent3"/>
      </w:tblBorders>
    </w:tblPr>
    <w:tblStylePr w:type="firstRow">
      <w:rPr>
        <w:sz w:val="24"/>
        <w:szCs w:val="24"/>
      </w:rPr>
      <w:tblPr/>
      <w:tcPr>
        <w:tcBorders>
          <w:top w:val="nil"/>
          <w:left w:val="nil"/>
          <w:bottom w:val="single" w:sz="24" w:space="0" w:color="FFCB05" w:themeColor="accent3"/>
          <w:right w:val="nil"/>
          <w:insideH w:val="nil"/>
          <w:insideV w:val="nil"/>
        </w:tcBorders>
        <w:shd w:val="clear" w:color="auto" w:fill="FFFFFF" w:themeFill="background1"/>
      </w:tcPr>
    </w:tblStylePr>
    <w:tblStylePr w:type="lastRow">
      <w:tblPr/>
      <w:tcPr>
        <w:tcBorders>
          <w:top w:val="single" w:sz="8" w:space="0" w:color="FFCB0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B05" w:themeColor="accent3"/>
          <w:insideH w:val="nil"/>
          <w:insideV w:val="nil"/>
        </w:tcBorders>
        <w:shd w:val="clear" w:color="auto" w:fill="FFFFFF" w:themeFill="background1"/>
      </w:tcPr>
    </w:tblStylePr>
    <w:tblStylePr w:type="lastCol">
      <w:tblPr/>
      <w:tcPr>
        <w:tcBorders>
          <w:top w:val="nil"/>
          <w:left w:val="single" w:sz="8" w:space="0" w:color="FFCB0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C1" w:themeFill="accent3" w:themeFillTint="3F"/>
      </w:tcPr>
    </w:tblStylePr>
    <w:tblStylePr w:type="band1Horz">
      <w:tblPr/>
      <w:tcPr>
        <w:tcBorders>
          <w:top w:val="nil"/>
          <w:bottom w:val="nil"/>
          <w:insideH w:val="nil"/>
          <w:insideV w:val="nil"/>
        </w:tcBorders>
        <w:shd w:val="clear" w:color="auto" w:fill="FFF1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AB0F14" w:themeColor="accent4"/>
        <w:left w:val="single" w:sz="8" w:space="0" w:color="AB0F14" w:themeColor="accent4"/>
        <w:bottom w:val="single" w:sz="8" w:space="0" w:color="AB0F14" w:themeColor="accent4"/>
        <w:right w:val="single" w:sz="8" w:space="0" w:color="AB0F14" w:themeColor="accent4"/>
      </w:tblBorders>
    </w:tblPr>
    <w:tblStylePr w:type="firstRow">
      <w:rPr>
        <w:sz w:val="24"/>
        <w:szCs w:val="24"/>
      </w:rPr>
      <w:tblPr/>
      <w:tcPr>
        <w:tcBorders>
          <w:top w:val="nil"/>
          <w:left w:val="nil"/>
          <w:bottom w:val="single" w:sz="24" w:space="0" w:color="AB0F14" w:themeColor="accent4"/>
          <w:right w:val="nil"/>
          <w:insideH w:val="nil"/>
          <w:insideV w:val="nil"/>
        </w:tcBorders>
        <w:shd w:val="clear" w:color="auto" w:fill="FFFFFF" w:themeFill="background1"/>
      </w:tcPr>
    </w:tblStylePr>
    <w:tblStylePr w:type="lastRow">
      <w:tblPr/>
      <w:tcPr>
        <w:tcBorders>
          <w:top w:val="single" w:sz="8" w:space="0" w:color="AB0F1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0F14" w:themeColor="accent4"/>
          <w:insideH w:val="nil"/>
          <w:insideV w:val="nil"/>
        </w:tcBorders>
        <w:shd w:val="clear" w:color="auto" w:fill="FFFFFF" w:themeFill="background1"/>
      </w:tcPr>
    </w:tblStylePr>
    <w:tblStylePr w:type="lastCol">
      <w:tblPr/>
      <w:tcPr>
        <w:tcBorders>
          <w:top w:val="nil"/>
          <w:left w:val="single" w:sz="8" w:space="0" w:color="AB0F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B5B7" w:themeFill="accent4" w:themeFillTint="3F"/>
      </w:tcPr>
    </w:tblStylePr>
    <w:tblStylePr w:type="band1Horz">
      <w:tblPr/>
      <w:tcPr>
        <w:tcBorders>
          <w:top w:val="nil"/>
          <w:bottom w:val="nil"/>
          <w:insideH w:val="nil"/>
          <w:insideV w:val="nil"/>
        </w:tcBorders>
        <w:shd w:val="clear" w:color="auto" w:fill="F8B5B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1E587C" w:themeColor="accent5"/>
        <w:left w:val="single" w:sz="8" w:space="0" w:color="1E587C" w:themeColor="accent5"/>
        <w:bottom w:val="single" w:sz="8" w:space="0" w:color="1E587C" w:themeColor="accent5"/>
        <w:right w:val="single" w:sz="8" w:space="0" w:color="1E587C" w:themeColor="accent5"/>
      </w:tblBorders>
    </w:tblPr>
    <w:tblStylePr w:type="firstRow">
      <w:rPr>
        <w:sz w:val="24"/>
        <w:szCs w:val="24"/>
      </w:rPr>
      <w:tblPr/>
      <w:tcPr>
        <w:tcBorders>
          <w:top w:val="nil"/>
          <w:left w:val="nil"/>
          <w:bottom w:val="single" w:sz="24" w:space="0" w:color="1E587C" w:themeColor="accent5"/>
          <w:right w:val="nil"/>
          <w:insideH w:val="nil"/>
          <w:insideV w:val="nil"/>
        </w:tcBorders>
        <w:shd w:val="clear" w:color="auto" w:fill="FFFFFF" w:themeFill="background1"/>
      </w:tcPr>
    </w:tblStylePr>
    <w:tblStylePr w:type="lastRow">
      <w:tblPr/>
      <w:tcPr>
        <w:tcBorders>
          <w:top w:val="single" w:sz="8" w:space="0" w:color="1E587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587C" w:themeColor="accent5"/>
          <w:insideH w:val="nil"/>
          <w:insideV w:val="nil"/>
        </w:tcBorders>
        <w:shd w:val="clear" w:color="auto" w:fill="FFFFFF" w:themeFill="background1"/>
      </w:tcPr>
    </w:tblStylePr>
    <w:tblStylePr w:type="lastCol">
      <w:tblPr/>
      <w:tcPr>
        <w:tcBorders>
          <w:top w:val="nil"/>
          <w:left w:val="single" w:sz="8" w:space="0" w:color="1E587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9ED" w:themeFill="accent5" w:themeFillTint="3F"/>
      </w:tcPr>
    </w:tblStylePr>
    <w:tblStylePr w:type="band1Horz">
      <w:tblPr/>
      <w:tcPr>
        <w:tcBorders>
          <w:top w:val="nil"/>
          <w:bottom w:val="nil"/>
          <w:insideH w:val="nil"/>
          <w:insideV w:val="nil"/>
        </w:tcBorders>
        <w:shd w:val="clear" w:color="auto" w:fill="B8D9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361DEB"/>
    <w:pPr>
      <w:spacing w:after="0"/>
    </w:pPr>
    <w:rPr>
      <w:rFonts w:asciiTheme="majorHAnsi" w:eastAsiaTheme="majorEastAsia" w:hAnsiTheme="majorHAnsi" w:cstheme="majorBidi"/>
      <w:color w:val="AB0F14" w:themeColor="text1"/>
    </w:rPr>
    <w:tblPr>
      <w:tblStyleRowBandSize w:val="1"/>
      <w:tblStyleColBandSize w:val="1"/>
      <w:tblBorders>
        <w:top w:val="single" w:sz="8" w:space="0" w:color="CC4C27" w:themeColor="accent6"/>
        <w:left w:val="single" w:sz="8" w:space="0" w:color="CC4C27" w:themeColor="accent6"/>
        <w:bottom w:val="single" w:sz="8" w:space="0" w:color="CC4C27" w:themeColor="accent6"/>
        <w:right w:val="single" w:sz="8" w:space="0" w:color="CC4C27" w:themeColor="accent6"/>
      </w:tblBorders>
    </w:tblPr>
    <w:tblStylePr w:type="firstRow">
      <w:rPr>
        <w:sz w:val="24"/>
        <w:szCs w:val="24"/>
      </w:rPr>
      <w:tblPr/>
      <w:tcPr>
        <w:tcBorders>
          <w:top w:val="nil"/>
          <w:left w:val="nil"/>
          <w:bottom w:val="single" w:sz="24" w:space="0" w:color="CC4C27" w:themeColor="accent6"/>
          <w:right w:val="nil"/>
          <w:insideH w:val="nil"/>
          <w:insideV w:val="nil"/>
        </w:tcBorders>
        <w:shd w:val="clear" w:color="auto" w:fill="FFFFFF" w:themeFill="background1"/>
      </w:tcPr>
    </w:tblStylePr>
    <w:tblStylePr w:type="lastRow">
      <w:tblPr/>
      <w:tcPr>
        <w:tcBorders>
          <w:top w:val="single" w:sz="8" w:space="0" w:color="CC4C2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4C27" w:themeColor="accent6"/>
          <w:insideH w:val="nil"/>
          <w:insideV w:val="nil"/>
        </w:tcBorders>
        <w:shd w:val="clear" w:color="auto" w:fill="FFFFFF" w:themeFill="background1"/>
      </w:tcPr>
    </w:tblStylePr>
    <w:tblStylePr w:type="lastCol">
      <w:tblPr/>
      <w:tcPr>
        <w:tcBorders>
          <w:top w:val="nil"/>
          <w:left w:val="single" w:sz="8" w:space="0" w:color="CC4C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C7" w:themeFill="accent6" w:themeFillTint="3F"/>
      </w:tcPr>
    </w:tblStylePr>
    <w:tblStylePr w:type="band1Horz">
      <w:tblPr/>
      <w:tcPr>
        <w:tcBorders>
          <w:top w:val="nil"/>
          <w:bottom w:val="nil"/>
          <w:insideH w:val="nil"/>
          <w:insideV w:val="nil"/>
        </w:tcBorders>
        <w:shd w:val="clear" w:color="auto" w:fill="F4D1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361DEB"/>
    <w:pPr>
      <w:spacing w:after="0"/>
    </w:pPr>
    <w:tblPr>
      <w:tblStyleRowBandSize w:val="1"/>
      <w:tblStyleColBandSize w:val="1"/>
      <w:tblBorders>
        <w:top w:val="single" w:sz="8"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single" w:sz="8" w:space="0" w:color="EB1F25" w:themeColor="text1" w:themeTint="BF"/>
      </w:tblBorders>
    </w:tblPr>
    <w:tblStylePr w:type="firstRow">
      <w:pPr>
        <w:spacing w:before="0" w:after="0" w:line="240" w:lineRule="auto"/>
      </w:pPr>
      <w:rPr>
        <w:b/>
        <w:bCs/>
        <w:color w:val="FFFFFF" w:themeColor="background1"/>
      </w:rPr>
      <w:tblPr/>
      <w:tcPr>
        <w:tcBorders>
          <w:top w:val="single" w:sz="8"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nil"/>
          <w:insideV w:val="nil"/>
        </w:tcBorders>
        <w:shd w:val="clear" w:color="auto" w:fill="AB0F14" w:themeFill="text1"/>
      </w:tcPr>
    </w:tblStylePr>
    <w:tblStylePr w:type="lastRow">
      <w:pPr>
        <w:spacing w:before="0" w:after="0" w:line="240" w:lineRule="auto"/>
      </w:pPr>
      <w:rPr>
        <w:b/>
        <w:bCs/>
      </w:rPr>
      <w:tblPr/>
      <w:tcPr>
        <w:tcBorders>
          <w:top w:val="double" w:sz="6" w:space="0" w:color="EB1F25" w:themeColor="text1" w:themeTint="BF"/>
          <w:left w:val="single" w:sz="8" w:space="0" w:color="EB1F25" w:themeColor="text1" w:themeTint="BF"/>
          <w:bottom w:val="single" w:sz="8" w:space="0" w:color="EB1F25" w:themeColor="text1" w:themeTint="BF"/>
          <w:right w:val="single" w:sz="8" w:space="0" w:color="EB1F25" w:themeColor="text1" w:themeTint="BF"/>
          <w:insideH w:val="nil"/>
          <w:insideV w:val="nil"/>
        </w:tcBorders>
      </w:tcPr>
    </w:tblStylePr>
    <w:tblStylePr w:type="firstCol">
      <w:rPr>
        <w:b/>
        <w:bCs/>
      </w:rPr>
    </w:tblStylePr>
    <w:tblStylePr w:type="lastCol">
      <w:rPr>
        <w:b/>
        <w:bCs/>
      </w:rPr>
    </w:tblStylePr>
    <w:tblStylePr w:type="band1Vert">
      <w:tblPr/>
      <w:tcPr>
        <w:shd w:val="clear" w:color="auto" w:fill="F8B5B7" w:themeFill="text1" w:themeFillTint="3F"/>
      </w:tcPr>
    </w:tblStylePr>
    <w:tblStylePr w:type="band1Horz">
      <w:tblPr/>
      <w:tcPr>
        <w:tcBorders>
          <w:insideH w:val="nil"/>
          <w:insideV w:val="nil"/>
        </w:tcBorders>
        <w:shd w:val="clear" w:color="auto" w:fill="F8B5B7"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361DEB"/>
    <w:pPr>
      <w:spacing w:after="0"/>
    </w:pPr>
    <w:tblPr>
      <w:tblStyleRowBandSize w:val="1"/>
      <w:tblStyleColBandSize w:val="1"/>
      <w:tblBorders>
        <w:top w:val="single" w:sz="8"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single" w:sz="8" w:space="0" w:color="F3787C" w:themeColor="accent1" w:themeTint="BF"/>
      </w:tblBorders>
    </w:tblPr>
    <w:tblStylePr w:type="firstRow">
      <w:pPr>
        <w:spacing w:before="0" w:after="0" w:line="240" w:lineRule="auto"/>
      </w:pPr>
      <w:rPr>
        <w:b/>
        <w:bCs/>
        <w:color w:val="FFFFFF" w:themeColor="background1"/>
      </w:rPr>
      <w:tblPr/>
      <w:tcPr>
        <w:tcBorders>
          <w:top w:val="single" w:sz="8"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nil"/>
          <w:insideV w:val="nil"/>
        </w:tcBorders>
        <w:shd w:val="clear" w:color="auto" w:fill="EF4C51" w:themeFill="accent1"/>
      </w:tcPr>
    </w:tblStylePr>
    <w:tblStylePr w:type="lastRow">
      <w:pPr>
        <w:spacing w:before="0" w:after="0" w:line="240" w:lineRule="auto"/>
      </w:pPr>
      <w:rPr>
        <w:b/>
        <w:bCs/>
      </w:rPr>
      <w:tblPr/>
      <w:tcPr>
        <w:tcBorders>
          <w:top w:val="double" w:sz="6" w:space="0" w:color="F3787C" w:themeColor="accent1" w:themeTint="BF"/>
          <w:left w:val="single" w:sz="8" w:space="0" w:color="F3787C" w:themeColor="accent1" w:themeTint="BF"/>
          <w:bottom w:val="single" w:sz="8" w:space="0" w:color="F3787C" w:themeColor="accent1" w:themeTint="BF"/>
          <w:right w:val="single" w:sz="8" w:space="0" w:color="F3787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2D3" w:themeFill="accent1" w:themeFillTint="3F"/>
      </w:tcPr>
    </w:tblStylePr>
    <w:tblStylePr w:type="band1Horz">
      <w:tblPr/>
      <w:tcPr>
        <w:tcBorders>
          <w:insideH w:val="nil"/>
          <w:insideV w:val="nil"/>
        </w:tcBorders>
        <w:shd w:val="clear" w:color="auto" w:fill="FBD2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361DEB"/>
    <w:pPr>
      <w:spacing w:after="0"/>
    </w:pPr>
    <w:tblPr>
      <w:tblStyleRowBandSize w:val="1"/>
      <w:tblStyleColBandSize w:val="1"/>
      <w:tblBorders>
        <w:top w:val="single" w:sz="8"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single" w:sz="8" w:space="0" w:color="F9AF58" w:themeColor="accent2" w:themeTint="BF"/>
      </w:tblBorders>
    </w:tblPr>
    <w:tblStylePr w:type="firstRow">
      <w:pPr>
        <w:spacing w:before="0" w:after="0" w:line="240" w:lineRule="auto"/>
      </w:pPr>
      <w:rPr>
        <w:b/>
        <w:bCs/>
        <w:color w:val="FFFFFF" w:themeColor="background1"/>
      </w:rPr>
      <w:tblPr/>
      <w:tcPr>
        <w:tcBorders>
          <w:top w:val="single" w:sz="8"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nil"/>
          <w:insideV w:val="nil"/>
        </w:tcBorders>
        <w:shd w:val="clear" w:color="auto" w:fill="F89621" w:themeFill="accent2"/>
      </w:tcPr>
    </w:tblStylePr>
    <w:tblStylePr w:type="lastRow">
      <w:pPr>
        <w:spacing w:before="0" w:after="0" w:line="240" w:lineRule="auto"/>
      </w:pPr>
      <w:rPr>
        <w:b/>
        <w:bCs/>
      </w:rPr>
      <w:tblPr/>
      <w:tcPr>
        <w:tcBorders>
          <w:top w:val="double" w:sz="6" w:space="0" w:color="F9AF58" w:themeColor="accent2" w:themeTint="BF"/>
          <w:left w:val="single" w:sz="8" w:space="0" w:color="F9AF58" w:themeColor="accent2" w:themeTint="BF"/>
          <w:bottom w:val="single" w:sz="8" w:space="0" w:color="F9AF58" w:themeColor="accent2" w:themeTint="BF"/>
          <w:right w:val="single" w:sz="8" w:space="0" w:color="F9AF5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8" w:themeFill="accent2" w:themeFillTint="3F"/>
      </w:tcPr>
    </w:tblStylePr>
    <w:tblStylePr w:type="band1Horz">
      <w:tblPr/>
      <w:tcPr>
        <w:tcBorders>
          <w:insideH w:val="nil"/>
          <w:insideV w:val="nil"/>
        </w:tcBorders>
        <w:shd w:val="clear" w:color="auto" w:fill="FDE4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361DEB"/>
    <w:pPr>
      <w:spacing w:after="0"/>
    </w:pPr>
    <w:tblPr>
      <w:tblStyleRowBandSize w:val="1"/>
      <w:tblStyleColBandSize w:val="1"/>
      <w:tblBorders>
        <w:top w:val="single" w:sz="8"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single" w:sz="8" w:space="0" w:color="FFD743" w:themeColor="accent3" w:themeTint="BF"/>
      </w:tblBorders>
    </w:tblPr>
    <w:tblStylePr w:type="firstRow">
      <w:pPr>
        <w:spacing w:before="0" w:after="0" w:line="240" w:lineRule="auto"/>
      </w:pPr>
      <w:rPr>
        <w:b/>
        <w:bCs/>
        <w:color w:val="FFFFFF" w:themeColor="background1"/>
      </w:rPr>
      <w:tblPr/>
      <w:tcPr>
        <w:tcBorders>
          <w:top w:val="single" w:sz="8"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nil"/>
          <w:insideV w:val="nil"/>
        </w:tcBorders>
        <w:shd w:val="clear" w:color="auto" w:fill="FFCB05" w:themeFill="accent3"/>
      </w:tcPr>
    </w:tblStylePr>
    <w:tblStylePr w:type="lastRow">
      <w:pPr>
        <w:spacing w:before="0" w:after="0" w:line="240" w:lineRule="auto"/>
      </w:pPr>
      <w:rPr>
        <w:b/>
        <w:bCs/>
      </w:rPr>
      <w:tblPr/>
      <w:tcPr>
        <w:tcBorders>
          <w:top w:val="double" w:sz="6" w:space="0" w:color="FFD743" w:themeColor="accent3" w:themeTint="BF"/>
          <w:left w:val="single" w:sz="8" w:space="0" w:color="FFD743" w:themeColor="accent3" w:themeTint="BF"/>
          <w:bottom w:val="single" w:sz="8" w:space="0" w:color="FFD743" w:themeColor="accent3" w:themeTint="BF"/>
          <w:right w:val="single" w:sz="8" w:space="0" w:color="FFD7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3" w:themeFillTint="3F"/>
      </w:tcPr>
    </w:tblStylePr>
    <w:tblStylePr w:type="band1Horz">
      <w:tblPr/>
      <w:tcPr>
        <w:tcBorders>
          <w:insideH w:val="nil"/>
          <w:insideV w:val="nil"/>
        </w:tcBorders>
        <w:shd w:val="clear" w:color="auto" w:fill="FFF1C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361DEB"/>
    <w:pPr>
      <w:spacing w:after="0"/>
    </w:pPr>
    <w:tblPr>
      <w:tblStyleRowBandSize w:val="1"/>
      <w:tblStyleColBandSize w:val="1"/>
      <w:tblBorders>
        <w:top w:val="single" w:sz="8"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single" w:sz="8" w:space="0" w:color="EB1F25" w:themeColor="accent4" w:themeTint="BF"/>
      </w:tblBorders>
    </w:tblPr>
    <w:tblStylePr w:type="firstRow">
      <w:pPr>
        <w:spacing w:before="0" w:after="0" w:line="240" w:lineRule="auto"/>
      </w:pPr>
      <w:rPr>
        <w:b/>
        <w:bCs/>
        <w:color w:val="FFFFFF" w:themeColor="background1"/>
      </w:rPr>
      <w:tblPr/>
      <w:tcPr>
        <w:tcBorders>
          <w:top w:val="single" w:sz="8"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nil"/>
          <w:insideV w:val="nil"/>
        </w:tcBorders>
        <w:shd w:val="clear" w:color="auto" w:fill="AB0F14" w:themeFill="accent4"/>
      </w:tcPr>
    </w:tblStylePr>
    <w:tblStylePr w:type="lastRow">
      <w:pPr>
        <w:spacing w:before="0" w:after="0" w:line="240" w:lineRule="auto"/>
      </w:pPr>
      <w:rPr>
        <w:b/>
        <w:bCs/>
      </w:rPr>
      <w:tblPr/>
      <w:tcPr>
        <w:tcBorders>
          <w:top w:val="double" w:sz="6" w:space="0" w:color="EB1F25" w:themeColor="accent4" w:themeTint="BF"/>
          <w:left w:val="single" w:sz="8" w:space="0" w:color="EB1F25" w:themeColor="accent4" w:themeTint="BF"/>
          <w:bottom w:val="single" w:sz="8" w:space="0" w:color="EB1F25" w:themeColor="accent4" w:themeTint="BF"/>
          <w:right w:val="single" w:sz="8" w:space="0" w:color="EB1F2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8B5B7" w:themeFill="accent4" w:themeFillTint="3F"/>
      </w:tcPr>
    </w:tblStylePr>
    <w:tblStylePr w:type="band1Horz">
      <w:tblPr/>
      <w:tcPr>
        <w:tcBorders>
          <w:insideH w:val="nil"/>
          <w:insideV w:val="nil"/>
        </w:tcBorders>
        <w:shd w:val="clear" w:color="auto" w:fill="F8B5B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361DEB"/>
    <w:pPr>
      <w:spacing w:after="0"/>
    </w:pPr>
    <w:tblPr>
      <w:tblStyleRowBandSize w:val="1"/>
      <w:tblStyleColBandSize w:val="1"/>
      <w:tblBorders>
        <w:top w:val="single" w:sz="8"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single" w:sz="8" w:space="0" w:color="2F8AC3" w:themeColor="accent5" w:themeTint="BF"/>
      </w:tblBorders>
    </w:tblPr>
    <w:tblStylePr w:type="firstRow">
      <w:pPr>
        <w:spacing w:before="0" w:after="0" w:line="240" w:lineRule="auto"/>
      </w:pPr>
      <w:rPr>
        <w:b/>
        <w:bCs/>
        <w:color w:val="FFFFFF" w:themeColor="background1"/>
      </w:rPr>
      <w:tblPr/>
      <w:tcPr>
        <w:tcBorders>
          <w:top w:val="single" w:sz="8"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nil"/>
          <w:insideV w:val="nil"/>
        </w:tcBorders>
        <w:shd w:val="clear" w:color="auto" w:fill="1E587C" w:themeFill="accent5"/>
      </w:tcPr>
    </w:tblStylePr>
    <w:tblStylePr w:type="lastRow">
      <w:pPr>
        <w:spacing w:before="0" w:after="0" w:line="240" w:lineRule="auto"/>
      </w:pPr>
      <w:rPr>
        <w:b/>
        <w:bCs/>
      </w:rPr>
      <w:tblPr/>
      <w:tcPr>
        <w:tcBorders>
          <w:top w:val="double" w:sz="6" w:space="0" w:color="2F8AC3" w:themeColor="accent5" w:themeTint="BF"/>
          <w:left w:val="single" w:sz="8" w:space="0" w:color="2F8AC3" w:themeColor="accent5" w:themeTint="BF"/>
          <w:bottom w:val="single" w:sz="8" w:space="0" w:color="2F8AC3" w:themeColor="accent5" w:themeTint="BF"/>
          <w:right w:val="single" w:sz="8" w:space="0" w:color="2F8AC3" w:themeColor="accent5" w:themeTint="BF"/>
          <w:insideH w:val="nil"/>
          <w:insideV w:val="nil"/>
        </w:tcBorders>
      </w:tcPr>
    </w:tblStylePr>
    <w:tblStylePr w:type="firstCol">
      <w:rPr>
        <w:b/>
        <w:bCs/>
      </w:rPr>
    </w:tblStylePr>
    <w:tblStylePr w:type="lastCol">
      <w:rPr>
        <w:b/>
        <w:bCs/>
      </w:rPr>
    </w:tblStylePr>
    <w:tblStylePr w:type="band1Vert">
      <w:tblPr/>
      <w:tcPr>
        <w:shd w:val="clear" w:color="auto" w:fill="B8D9ED" w:themeFill="accent5" w:themeFillTint="3F"/>
      </w:tcPr>
    </w:tblStylePr>
    <w:tblStylePr w:type="band1Horz">
      <w:tblPr/>
      <w:tcPr>
        <w:tcBorders>
          <w:insideH w:val="nil"/>
          <w:insideV w:val="nil"/>
        </w:tcBorders>
        <w:shd w:val="clear" w:color="auto" w:fill="B8D9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361DEB"/>
    <w:pPr>
      <w:spacing w:after="0"/>
    </w:pPr>
    <w:tblPr>
      <w:tblStyleRowBandSize w:val="1"/>
      <w:tblStyleColBandSize w:val="1"/>
      <w:tblBorders>
        <w:top w:val="single" w:sz="8"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single" w:sz="8" w:space="0" w:color="DF7557" w:themeColor="accent6" w:themeTint="BF"/>
      </w:tblBorders>
    </w:tblPr>
    <w:tblStylePr w:type="firstRow">
      <w:pPr>
        <w:spacing w:before="0" w:after="0" w:line="240" w:lineRule="auto"/>
      </w:pPr>
      <w:rPr>
        <w:b/>
        <w:bCs/>
        <w:color w:val="FFFFFF" w:themeColor="background1"/>
      </w:rPr>
      <w:tblPr/>
      <w:tcPr>
        <w:tcBorders>
          <w:top w:val="single" w:sz="8"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nil"/>
          <w:insideV w:val="nil"/>
        </w:tcBorders>
        <w:shd w:val="clear" w:color="auto" w:fill="CC4C27" w:themeFill="accent6"/>
      </w:tcPr>
    </w:tblStylePr>
    <w:tblStylePr w:type="lastRow">
      <w:pPr>
        <w:spacing w:before="0" w:after="0" w:line="240" w:lineRule="auto"/>
      </w:pPr>
      <w:rPr>
        <w:b/>
        <w:bCs/>
      </w:rPr>
      <w:tblPr/>
      <w:tcPr>
        <w:tcBorders>
          <w:top w:val="double" w:sz="6" w:space="0" w:color="DF7557" w:themeColor="accent6" w:themeTint="BF"/>
          <w:left w:val="single" w:sz="8" w:space="0" w:color="DF7557" w:themeColor="accent6" w:themeTint="BF"/>
          <w:bottom w:val="single" w:sz="8" w:space="0" w:color="DF7557" w:themeColor="accent6" w:themeTint="BF"/>
          <w:right w:val="single" w:sz="8" w:space="0" w:color="DF755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C7" w:themeFill="accent6" w:themeFillTint="3F"/>
      </w:tcPr>
    </w:tblStylePr>
    <w:tblStylePr w:type="band1Horz">
      <w:tblPr/>
      <w:tcPr>
        <w:tcBorders>
          <w:insideH w:val="nil"/>
          <w:insideV w:val="nil"/>
        </w:tcBorders>
        <w:shd w:val="clear" w:color="auto" w:fill="F4D1C7"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0F1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0F14" w:themeFill="text1"/>
      </w:tcPr>
    </w:tblStylePr>
    <w:tblStylePr w:type="lastCol">
      <w:rPr>
        <w:b/>
        <w:bCs/>
        <w:color w:val="FFFFFF" w:themeColor="background1"/>
      </w:rPr>
      <w:tblPr/>
      <w:tcPr>
        <w:tcBorders>
          <w:left w:val="nil"/>
          <w:right w:val="nil"/>
          <w:insideH w:val="nil"/>
          <w:insideV w:val="nil"/>
        </w:tcBorders>
        <w:shd w:val="clear" w:color="auto" w:fill="AB0F1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4C5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4C51" w:themeFill="accent1"/>
      </w:tcPr>
    </w:tblStylePr>
    <w:tblStylePr w:type="lastCol">
      <w:rPr>
        <w:b/>
        <w:bCs/>
        <w:color w:val="FFFFFF" w:themeColor="background1"/>
      </w:rPr>
      <w:tblPr/>
      <w:tcPr>
        <w:tcBorders>
          <w:left w:val="nil"/>
          <w:right w:val="nil"/>
          <w:insideH w:val="nil"/>
          <w:insideV w:val="nil"/>
        </w:tcBorders>
        <w:shd w:val="clear" w:color="auto" w:fill="EF4C5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6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621" w:themeFill="accent2"/>
      </w:tcPr>
    </w:tblStylePr>
    <w:tblStylePr w:type="lastCol">
      <w:rPr>
        <w:b/>
        <w:bCs/>
        <w:color w:val="FFFFFF" w:themeColor="background1"/>
      </w:rPr>
      <w:tblPr/>
      <w:tcPr>
        <w:tcBorders>
          <w:left w:val="nil"/>
          <w:right w:val="nil"/>
          <w:insideH w:val="nil"/>
          <w:insideV w:val="nil"/>
        </w:tcBorders>
        <w:shd w:val="clear" w:color="auto" w:fill="F896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B0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B05" w:themeFill="accent3"/>
      </w:tcPr>
    </w:tblStylePr>
    <w:tblStylePr w:type="lastCol">
      <w:rPr>
        <w:b/>
        <w:bCs/>
        <w:color w:val="FFFFFF" w:themeColor="background1"/>
      </w:rPr>
      <w:tblPr/>
      <w:tcPr>
        <w:tcBorders>
          <w:left w:val="nil"/>
          <w:right w:val="nil"/>
          <w:insideH w:val="nil"/>
          <w:insideV w:val="nil"/>
        </w:tcBorders>
        <w:shd w:val="clear" w:color="auto" w:fill="FFCB0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0F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0F14" w:themeFill="accent4"/>
      </w:tcPr>
    </w:tblStylePr>
    <w:tblStylePr w:type="lastCol">
      <w:rPr>
        <w:b/>
        <w:bCs/>
        <w:color w:val="FFFFFF" w:themeColor="background1"/>
      </w:rPr>
      <w:tblPr/>
      <w:tcPr>
        <w:tcBorders>
          <w:left w:val="nil"/>
          <w:right w:val="nil"/>
          <w:insideH w:val="nil"/>
          <w:insideV w:val="nil"/>
        </w:tcBorders>
        <w:shd w:val="clear" w:color="auto" w:fill="AB0F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587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587C" w:themeFill="accent5"/>
      </w:tcPr>
    </w:tblStylePr>
    <w:tblStylePr w:type="lastCol">
      <w:rPr>
        <w:b/>
        <w:bCs/>
        <w:color w:val="FFFFFF" w:themeColor="background1"/>
      </w:rPr>
      <w:tblPr/>
      <w:tcPr>
        <w:tcBorders>
          <w:left w:val="nil"/>
          <w:right w:val="nil"/>
          <w:insideH w:val="nil"/>
          <w:insideV w:val="nil"/>
        </w:tcBorders>
        <w:shd w:val="clear" w:color="auto" w:fill="1E587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4C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4C27" w:themeFill="accent6"/>
      </w:tcPr>
    </w:tblStylePr>
    <w:tblStylePr w:type="lastCol">
      <w:rPr>
        <w:b/>
        <w:bCs/>
        <w:color w:val="FFFFFF" w:themeColor="background1"/>
      </w:rPr>
      <w:tblPr/>
      <w:tcPr>
        <w:tcBorders>
          <w:left w:val="nil"/>
          <w:right w:val="nil"/>
          <w:insideH w:val="nil"/>
          <w:insideV w:val="nil"/>
        </w:tcBorders>
        <w:shd w:val="clear" w:color="auto" w:fill="CC4C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361DE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61DE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61DE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rsid w:val="00361D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61DE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61DE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61DE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61DE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61DE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61DE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361DEB"/>
    <w:pPr>
      <w:pBdr>
        <w:bottom w:val="single" w:sz="8" w:space="4" w:color="EF4C51" w:themeColor="accent1"/>
      </w:pBdr>
      <w:spacing w:after="300"/>
      <w:contextualSpacing/>
    </w:pPr>
    <w:rPr>
      <w:rFonts w:asciiTheme="majorHAnsi" w:eastAsiaTheme="majorEastAsia" w:hAnsiTheme="majorHAnsi" w:cstheme="majorBidi"/>
      <w:color w:val="474747" w:themeColor="text2" w:themeShade="BF"/>
      <w:spacing w:val="5"/>
      <w:kern w:val="28"/>
      <w:sz w:val="52"/>
      <w:szCs w:val="52"/>
    </w:rPr>
  </w:style>
  <w:style w:type="character" w:customStyle="1" w:styleId="TitleChar">
    <w:name w:val="Title Char"/>
    <w:basedOn w:val="DefaultParagraphFont"/>
    <w:link w:val="Title"/>
    <w:uiPriority w:val="10"/>
    <w:rsid w:val="00361DEB"/>
    <w:rPr>
      <w:rFonts w:asciiTheme="majorHAnsi" w:eastAsiaTheme="majorEastAsia" w:hAnsiTheme="majorHAnsi" w:cstheme="majorBidi"/>
      <w:color w:val="474747"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B722ED"/>
    <w:rPr>
      <w:rFonts w:ascii="Calibri" w:hAnsi="Calibri"/>
      <w:b/>
      <w:bCs/>
      <w:color w:val="AB0F14" w:themeColor="text1"/>
      <w:sz w:val="18"/>
      <w:szCs w:val="18"/>
    </w:rPr>
  </w:style>
  <w:style w:type="paragraph" w:customStyle="1" w:styleId="Reference">
    <w:name w:val="Reference"/>
    <w:basedOn w:val="BodyText"/>
    <w:uiPriority w:val="20"/>
    <w:qFormat/>
    <w:rsid w:val="00D24D34"/>
    <w:pPr>
      <w:spacing w:before="360" w:after="360"/>
    </w:pPr>
    <w:rPr>
      <w:noProof/>
    </w:rPr>
  </w:style>
  <w:style w:type="character" w:customStyle="1" w:styleId="BodyTextChar">
    <w:name w:val="Body Text Char"/>
    <w:basedOn w:val="DefaultParagraphFont"/>
    <w:link w:val="BodyText"/>
    <w:rsid w:val="00012248"/>
    <w:rPr>
      <w:rFonts w:ascii="Calibri" w:hAnsi="Calibri"/>
      <w:color w:val="2F2F2F" w:themeColor="text2" w:themeShade="80"/>
    </w:rPr>
  </w:style>
  <w:style w:type="paragraph" w:customStyle="1" w:styleId="Bodytext-Quote">
    <w:name w:val="Body text - Quote"/>
    <w:basedOn w:val="BodyText"/>
    <w:next w:val="BodyText"/>
    <w:qFormat/>
    <w:rsid w:val="00DF7C5F"/>
    <w:pPr>
      <w:ind w:left="567" w:right="567"/>
    </w:pPr>
  </w:style>
  <w:style w:type="character" w:customStyle="1" w:styleId="ChartandfiguresheadingChar">
    <w:name w:val="Chart and figures heading Char"/>
    <w:basedOn w:val="H2Char"/>
    <w:link w:val="Chartandfiguresheading"/>
    <w:rsid w:val="00F9544C"/>
    <w:rPr>
      <w:rFonts w:ascii="Cambria" w:eastAsiaTheme="majorEastAsia" w:hAnsi="Cambria" w:cstheme="majorBidi"/>
      <w:bCs/>
      <w:color w:val="900D10" w:themeColor="accent1" w:themeShade="80"/>
      <w:sz w:val="26"/>
      <w:szCs w:val="26"/>
    </w:rPr>
  </w:style>
  <w:style w:type="paragraph" w:customStyle="1" w:styleId="DBCDElogo">
    <w:name w:val="DBCDE logo"/>
    <w:basedOn w:val="Normal"/>
    <w:next w:val="BodyText"/>
    <w:semiHidden/>
    <w:qFormat/>
    <w:rsid w:val="00665016"/>
    <w:pPr>
      <w:jc w:val="center"/>
    </w:pPr>
    <w:rPr>
      <w:noProof/>
      <w:lang w:eastAsia="en-AU"/>
    </w:rPr>
  </w:style>
  <w:style w:type="character" w:customStyle="1" w:styleId="Instructionaltext">
    <w:name w:val="Instructional text"/>
    <w:basedOn w:val="DefaultParagraphFont"/>
    <w:uiPriority w:val="59"/>
    <w:qFormat/>
    <w:rsid w:val="00B152D2"/>
    <w:rPr>
      <w:i/>
      <w:color w:val="1E587C" w:themeColor="accent5"/>
    </w:rPr>
  </w:style>
  <w:style w:type="paragraph" w:customStyle="1" w:styleId="Instructionaltext-Numberedlist">
    <w:name w:val="Instructional text - Numbered list"/>
    <w:basedOn w:val="Normal"/>
    <w:uiPriority w:val="59"/>
    <w:qFormat/>
    <w:rsid w:val="00EB5D5E"/>
    <w:pPr>
      <w:numPr>
        <w:numId w:val="19"/>
      </w:numPr>
      <w:spacing w:after="240"/>
    </w:pPr>
    <w:rPr>
      <w:i/>
      <w:color w:val="1E587C" w:themeColor="accent5"/>
    </w:rPr>
  </w:style>
  <w:style w:type="character" w:customStyle="1" w:styleId="Exampletext">
    <w:name w:val="Example text"/>
    <w:basedOn w:val="DefaultParagraphFont"/>
    <w:uiPriority w:val="60"/>
    <w:qFormat/>
    <w:rsid w:val="00F9544C"/>
    <w:rPr>
      <w:color w:val="900D10" w:themeColor="accent1" w:themeShade="80"/>
    </w:rPr>
  </w:style>
  <w:style w:type="character" w:customStyle="1" w:styleId="Heading2Char">
    <w:name w:val="Heading 2 Char"/>
    <w:basedOn w:val="DefaultParagraphFont"/>
    <w:link w:val="Heading2"/>
    <w:uiPriority w:val="9"/>
    <w:rsid w:val="00855F18"/>
    <w:rPr>
      <w:rFonts w:ascii="Cambria" w:eastAsiaTheme="majorEastAsia" w:hAnsi="Cambria" w:cstheme="majorBidi"/>
      <w:bCs/>
      <w:color w:val="900D10" w:themeColor="accent1" w:themeShade="80"/>
      <w:sz w:val="26"/>
      <w:szCs w:val="26"/>
    </w:rPr>
  </w:style>
  <w:style w:type="character" w:customStyle="1" w:styleId="FooterChar">
    <w:name w:val="Footer Char"/>
    <w:basedOn w:val="DefaultParagraphFont"/>
    <w:link w:val="Footer"/>
    <w:uiPriority w:val="99"/>
    <w:rsid w:val="00D33388"/>
    <w:rPr>
      <w:rFonts w:ascii="Calibri" w:hAnsi="Calibri"/>
      <w:color w:val="FFFFFF" w:themeColor="background1"/>
      <w:sz w:val="20"/>
    </w:rPr>
  </w:style>
  <w:style w:type="paragraph" w:customStyle="1" w:styleId="Documenttype">
    <w:name w:val="Document type"/>
    <w:basedOn w:val="Normal"/>
    <w:uiPriority w:val="17"/>
    <w:qFormat/>
    <w:rsid w:val="00874602"/>
    <w:pPr>
      <w:spacing w:before="120"/>
      <w:jc w:val="right"/>
    </w:pPr>
    <w:rPr>
      <w:rFonts w:ascii="Cambria" w:eastAsia="Times New Roman" w:hAnsi="Cambria" w:cs="Times New Roman"/>
      <w:b/>
      <w:color w:val="5F5F5F" w:themeColor="text2"/>
      <w:kern w:val="28"/>
      <w:sz w:val="24"/>
      <w:szCs w:val="52"/>
    </w:rPr>
  </w:style>
  <w:style w:type="character" w:customStyle="1" w:styleId="HeaderChar">
    <w:name w:val="Header Char"/>
    <w:basedOn w:val="DefaultParagraphFont"/>
    <w:link w:val="Header"/>
    <w:uiPriority w:val="99"/>
    <w:rsid w:val="00EB5D5E"/>
    <w:rPr>
      <w:rFonts w:ascii="Calibri" w:hAnsi="Calibri"/>
      <w:color w:val="1E587C" w:themeColor="accent5"/>
      <w:sz w:val="20"/>
    </w:rPr>
  </w:style>
  <w:style w:type="paragraph" w:customStyle="1" w:styleId="DotPoint2">
    <w:name w:val="Dot Point 2"/>
    <w:basedOn w:val="ListParagraph"/>
    <w:link w:val="DotPoint2Char"/>
    <w:qFormat/>
    <w:rsid w:val="00C1340F"/>
    <w:pPr>
      <w:spacing w:before="0" w:after="120"/>
      <w:ind w:left="1080" w:hanging="360"/>
      <w:contextualSpacing w:val="0"/>
    </w:pPr>
  </w:style>
  <w:style w:type="paragraph" w:customStyle="1" w:styleId="DotPoint3">
    <w:name w:val="Dot Point 3"/>
    <w:basedOn w:val="ListParagraph"/>
    <w:qFormat/>
    <w:rsid w:val="00C1340F"/>
    <w:pPr>
      <w:tabs>
        <w:tab w:val="num" w:pos="360"/>
      </w:tabs>
      <w:spacing w:after="120"/>
      <w:ind w:left="1800" w:hanging="180"/>
      <w:contextualSpacing w:val="0"/>
    </w:pPr>
    <w:rPr>
      <w:rFonts w:asciiTheme="minorHAnsi" w:eastAsia="Times New Roman" w:hAnsiTheme="minorHAnsi" w:cstheme="minorHAnsi"/>
    </w:rPr>
  </w:style>
  <w:style w:type="character" w:customStyle="1" w:styleId="ListParagraphChar">
    <w:name w:val="List Paragraph Char"/>
    <w:aliases w:val="List Paragraph1 Char,Recommendation Char,bullet point list Char"/>
    <w:basedOn w:val="DefaultParagraphFont"/>
    <w:link w:val="ListParagraph"/>
    <w:uiPriority w:val="34"/>
    <w:rsid w:val="00C1340F"/>
    <w:rPr>
      <w:rFonts w:ascii="Calibri" w:hAnsi="Calibri"/>
    </w:rPr>
  </w:style>
  <w:style w:type="character" w:customStyle="1" w:styleId="DotPoint2Char">
    <w:name w:val="Dot Point 2 Char"/>
    <w:basedOn w:val="ListParagraphChar"/>
    <w:link w:val="DotPoint2"/>
    <w:rsid w:val="00C1340F"/>
    <w:rPr>
      <w:rFonts w:ascii="Calibri" w:hAnsi="Calibri"/>
    </w:rPr>
  </w:style>
  <w:style w:type="character" w:customStyle="1" w:styleId="CommentTextChar">
    <w:name w:val="Comment Text Char"/>
    <w:basedOn w:val="DefaultParagraphFont"/>
    <w:link w:val="CommentText"/>
    <w:uiPriority w:val="99"/>
    <w:rsid w:val="00B50A1B"/>
    <w:rPr>
      <w:rFonts w:ascii="Calibri" w:hAnsi="Calibri"/>
      <w:sz w:val="20"/>
      <w:szCs w:val="20"/>
    </w:rPr>
  </w:style>
  <w:style w:type="character" w:customStyle="1" w:styleId="FootnoteTextChar">
    <w:name w:val="Footnote Text Char"/>
    <w:basedOn w:val="DefaultParagraphFont"/>
    <w:link w:val="FootnoteText"/>
    <w:uiPriority w:val="99"/>
    <w:rsid w:val="00790268"/>
    <w:rPr>
      <w:rFonts w:ascii="Calibri" w:hAnsi="Calibri"/>
      <w:sz w:val="20"/>
      <w:szCs w:val="20"/>
    </w:rPr>
  </w:style>
  <w:style w:type="paragraph" w:styleId="Revision">
    <w:name w:val="Revision"/>
    <w:hidden/>
    <w:uiPriority w:val="99"/>
    <w:semiHidden/>
    <w:rsid w:val="002424AB"/>
    <w:pPr>
      <w:spacing w:before="0" w:after="0"/>
      <w:ind w:left="0" w:firstLine="0"/>
    </w:pPr>
    <w:rPr>
      <w:rFonts w:ascii="Calibri" w:hAnsi="Calibri"/>
    </w:rPr>
  </w:style>
  <w:style w:type="paragraph" w:customStyle="1" w:styleId="copyrighttextStyles">
    <w:name w:val="copyright text (Styles)"/>
    <w:basedOn w:val="Normal"/>
    <w:next w:val="Normal"/>
    <w:uiPriority w:val="99"/>
    <w:rsid w:val="008A135A"/>
    <w:pPr>
      <w:widowControl w:val="0"/>
      <w:suppressAutoHyphens/>
      <w:autoSpaceDE w:val="0"/>
      <w:autoSpaceDN w:val="0"/>
      <w:adjustRightInd w:val="0"/>
      <w:spacing w:before="17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F9544C"/>
    <w:pPr>
      <w:keepNext/>
      <w:widowControl w:val="0"/>
      <w:suppressAutoHyphens/>
      <w:autoSpaceDE w:val="0"/>
      <w:autoSpaceDN w:val="0"/>
      <w:adjustRightInd w:val="0"/>
      <w:spacing w:before="454" w:line="320" w:lineRule="atLeast"/>
      <w:textAlignment w:val="center"/>
    </w:pPr>
    <w:rPr>
      <w:rFonts w:ascii="Arial" w:eastAsia="Times New Roman" w:hAnsi="Arial" w:cs="Geogrotesque-Light"/>
      <w:color w:val="AB0F14" w:themeColor="text1"/>
      <w:sz w:val="33"/>
      <w:szCs w:val="33"/>
    </w:rPr>
  </w:style>
  <w:style w:type="character" w:customStyle="1" w:styleId="Heading4Char">
    <w:name w:val="Heading 4 Char"/>
    <w:basedOn w:val="DefaultParagraphFont"/>
    <w:link w:val="Heading4"/>
    <w:uiPriority w:val="9"/>
    <w:rsid w:val="00010C91"/>
    <w:rPr>
      <w:rFonts w:ascii="Cambria" w:eastAsiaTheme="majorEastAsia" w:hAnsi="Cambria" w:cstheme="majorBidi"/>
      <w:b/>
      <w:bCs/>
      <w:iCs/>
    </w:rPr>
  </w:style>
  <w:style w:type="paragraph" w:customStyle="1" w:styleId="Boxsub-headingQUESTION">
    <w:name w:val="Box sub-heading QUESTION"/>
    <w:basedOn w:val="Boxsub-heading"/>
    <w:next w:val="BoxtextQUESTION"/>
    <w:qFormat/>
    <w:rsid w:val="00874602"/>
    <w:pPr>
      <w:pBdr>
        <w:top w:val="single" w:sz="4" w:space="8" w:color="005491"/>
        <w:left w:val="single" w:sz="4" w:space="8" w:color="005491"/>
        <w:bottom w:val="single" w:sz="4" w:space="8" w:color="005491"/>
        <w:right w:val="single" w:sz="4" w:space="0" w:color="005491"/>
      </w:pBdr>
      <w:shd w:val="clear" w:color="auto" w:fill="FFCB05" w:themeFill="accent3"/>
      <w:spacing w:before="0" w:after="0"/>
    </w:pPr>
    <w:rPr>
      <w:color w:val="2F2F2F" w:themeColor="text2" w:themeShade="80"/>
    </w:rPr>
  </w:style>
  <w:style w:type="paragraph" w:customStyle="1" w:styleId="BoxtextQUESTION">
    <w:name w:val="Box text QUESTION"/>
    <w:basedOn w:val="Boxtext"/>
    <w:qFormat/>
    <w:rsid w:val="00BC25FD"/>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rPr>
      <w:b/>
    </w:rPr>
  </w:style>
  <w:style w:type="paragraph" w:customStyle="1" w:styleId="BoxtextQUESTIONITALICS">
    <w:name w:val="Box text QUESTION ITALICS"/>
    <w:basedOn w:val="BoxtextQUESTION"/>
    <w:qFormat/>
    <w:rsid w:val="00DC2BD3"/>
    <w:rPr>
      <w:b w:val="0"/>
      <w:i/>
    </w:rPr>
  </w:style>
  <w:style w:type="character" w:customStyle="1" w:styleId="TitleheadingChar">
    <w:name w:val="Title heading Char"/>
    <w:basedOn w:val="BodyTextChar"/>
    <w:link w:val="Titleheading"/>
    <w:uiPriority w:val="15"/>
    <w:rsid w:val="00007478"/>
    <w:rPr>
      <w:rFonts w:ascii="Calibri Light" w:hAnsi="Calibri Light"/>
      <w:color w:val="FFFFFF" w:themeColor="background1"/>
      <w:sz w:val="72"/>
    </w:rPr>
  </w:style>
  <w:style w:type="character" w:customStyle="1" w:styleId="NoSpacingChar">
    <w:name w:val="No Spacing Char"/>
    <w:basedOn w:val="DefaultParagraphFont"/>
    <w:link w:val="NoSpacing"/>
    <w:uiPriority w:val="1"/>
    <w:rsid w:val="00EE5560"/>
    <w:rPr>
      <w:rFonts w:ascii="Calibri" w:hAnsi="Calibri"/>
    </w:rPr>
  </w:style>
  <w:style w:type="paragraph" w:customStyle="1" w:styleId="HeaderTitle">
    <w:name w:val="Header Title"/>
    <w:basedOn w:val="Bodytext-Indent"/>
    <w:autoRedefine/>
    <w:qFormat/>
    <w:rsid w:val="00332A4E"/>
    <w:pPr>
      <w:spacing w:before="0" w:after="0"/>
      <w:jc w:val="right"/>
    </w:pPr>
  </w:style>
  <w:style w:type="table" w:customStyle="1" w:styleId="GridTable4-Accent51">
    <w:name w:val="Grid Table 4 - Accent 51"/>
    <w:basedOn w:val="TableNormal"/>
    <w:uiPriority w:val="49"/>
    <w:rsid w:val="00BC25FD"/>
    <w:pPr>
      <w:spacing w:after="0"/>
    </w:pPr>
    <w:tblPr>
      <w:tblStyleRowBandSize w:val="1"/>
      <w:tblStyleColBandSize w:val="1"/>
      <w:tblBorders>
        <w:top w:val="single" w:sz="4" w:space="0" w:color="53A3D5" w:themeColor="accent5" w:themeTint="99"/>
        <w:left w:val="single" w:sz="4" w:space="0" w:color="53A3D5" w:themeColor="accent5" w:themeTint="99"/>
        <w:bottom w:val="single" w:sz="4" w:space="0" w:color="53A3D5" w:themeColor="accent5" w:themeTint="99"/>
        <w:right w:val="single" w:sz="4" w:space="0" w:color="53A3D5" w:themeColor="accent5" w:themeTint="99"/>
        <w:insideH w:val="single" w:sz="4" w:space="0" w:color="53A3D5" w:themeColor="accent5" w:themeTint="99"/>
        <w:insideV w:val="single" w:sz="4" w:space="0" w:color="53A3D5" w:themeColor="accent5" w:themeTint="99"/>
      </w:tblBorders>
    </w:tblPr>
    <w:tblStylePr w:type="firstRow">
      <w:rPr>
        <w:b/>
        <w:bCs/>
        <w:color w:val="FFFFFF" w:themeColor="background1"/>
      </w:rPr>
      <w:tblPr/>
      <w:tcPr>
        <w:tcBorders>
          <w:top w:val="single" w:sz="4" w:space="0" w:color="1E587C" w:themeColor="accent5"/>
          <w:left w:val="single" w:sz="4" w:space="0" w:color="1E587C" w:themeColor="accent5"/>
          <w:bottom w:val="single" w:sz="4" w:space="0" w:color="1E587C" w:themeColor="accent5"/>
          <w:right w:val="single" w:sz="4" w:space="0" w:color="1E587C" w:themeColor="accent5"/>
          <w:insideH w:val="nil"/>
          <w:insideV w:val="nil"/>
        </w:tcBorders>
        <w:shd w:val="clear" w:color="auto" w:fill="1E587C" w:themeFill="accent5"/>
      </w:tcPr>
    </w:tblStylePr>
    <w:tblStylePr w:type="lastRow">
      <w:rPr>
        <w:b/>
        <w:bCs/>
      </w:rPr>
      <w:tblPr/>
      <w:tcPr>
        <w:tcBorders>
          <w:top w:val="double" w:sz="4" w:space="0" w:color="1E587C" w:themeColor="accent5"/>
        </w:tcBorders>
      </w:tcPr>
    </w:tblStylePr>
    <w:tblStylePr w:type="firstCol">
      <w:rPr>
        <w:b/>
        <w:bCs/>
      </w:rPr>
    </w:tblStylePr>
    <w:tblStylePr w:type="lastCol">
      <w:rPr>
        <w:b/>
        <w:bCs/>
      </w:rPr>
    </w:tblStylePr>
    <w:tblStylePr w:type="band1Vert">
      <w:tblPr/>
      <w:tcPr>
        <w:shd w:val="clear" w:color="auto" w:fill="C5E0F1" w:themeFill="accent5" w:themeFillTint="33"/>
      </w:tcPr>
    </w:tblStylePr>
    <w:tblStylePr w:type="band1Horz">
      <w:tblPr/>
      <w:tcPr>
        <w:shd w:val="clear" w:color="auto" w:fill="C5E0F1" w:themeFill="accent5" w:themeFillTint="33"/>
      </w:tcPr>
    </w:tblStylePr>
  </w:style>
  <w:style w:type="table" w:customStyle="1" w:styleId="GridTable5Dark1">
    <w:name w:val="Grid Table 5 Dark1"/>
    <w:basedOn w:val="TableNormal"/>
    <w:uiPriority w:val="50"/>
    <w:rsid w:val="00BC25F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3C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0F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0F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0F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0F14" w:themeFill="text1"/>
      </w:tcPr>
    </w:tblStylePr>
    <w:tblStylePr w:type="band1Vert">
      <w:tblPr/>
      <w:tcPr>
        <w:shd w:val="clear" w:color="auto" w:fill="F4878B" w:themeFill="text1" w:themeFillTint="66"/>
      </w:tcPr>
    </w:tblStylePr>
    <w:tblStylePr w:type="band1Horz">
      <w:tblPr/>
      <w:tcPr>
        <w:shd w:val="clear" w:color="auto" w:fill="F4878B" w:themeFill="text1" w:themeFillTint="66"/>
      </w:tcPr>
    </w:tblStylePr>
  </w:style>
  <w:style w:type="table" w:customStyle="1" w:styleId="GridTable5Dark-Accent21">
    <w:name w:val="Grid Table 5 Dark - Accent 21"/>
    <w:basedOn w:val="TableNormal"/>
    <w:uiPriority w:val="50"/>
    <w:rsid w:val="00387F7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6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6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6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621" w:themeFill="accent2"/>
      </w:tcPr>
    </w:tblStylePr>
    <w:tblStylePr w:type="band1Vert">
      <w:tblPr/>
      <w:tcPr>
        <w:shd w:val="clear" w:color="auto" w:fill="FCD4A6" w:themeFill="accent2" w:themeFillTint="66"/>
      </w:tcPr>
    </w:tblStylePr>
    <w:tblStylePr w:type="band1Horz">
      <w:tblPr/>
      <w:tcPr>
        <w:shd w:val="clear" w:color="auto" w:fill="FCD4A6" w:themeFill="accent2" w:themeFillTint="66"/>
      </w:tcPr>
    </w:tblStylePr>
  </w:style>
  <w:style w:type="table" w:customStyle="1" w:styleId="GridTable4-Accent41">
    <w:name w:val="Grid Table 4 - Accent 41"/>
    <w:basedOn w:val="TableNormal"/>
    <w:uiPriority w:val="49"/>
    <w:rsid w:val="00387F77"/>
    <w:pPr>
      <w:spacing w:after="0"/>
    </w:pPr>
    <w:tblPr>
      <w:tblStyleRowBandSize w:val="1"/>
      <w:tblStyleColBandSize w:val="1"/>
      <w:tblBorders>
        <w:top w:val="single" w:sz="4" w:space="0" w:color="EF4C51" w:themeColor="accent4" w:themeTint="99"/>
        <w:left w:val="single" w:sz="4" w:space="0" w:color="EF4C51" w:themeColor="accent4" w:themeTint="99"/>
        <w:bottom w:val="single" w:sz="4" w:space="0" w:color="EF4C51" w:themeColor="accent4" w:themeTint="99"/>
        <w:right w:val="single" w:sz="4" w:space="0" w:color="EF4C51" w:themeColor="accent4" w:themeTint="99"/>
        <w:insideH w:val="single" w:sz="4" w:space="0" w:color="EF4C51" w:themeColor="accent4" w:themeTint="99"/>
        <w:insideV w:val="single" w:sz="4" w:space="0" w:color="EF4C51" w:themeColor="accent4" w:themeTint="99"/>
      </w:tblBorders>
    </w:tblPr>
    <w:tblStylePr w:type="firstRow">
      <w:rPr>
        <w:b/>
        <w:bCs/>
        <w:color w:val="FFFFFF" w:themeColor="background1"/>
      </w:rPr>
      <w:tblPr/>
      <w:tcPr>
        <w:tcBorders>
          <w:top w:val="single" w:sz="4" w:space="0" w:color="AB0F14" w:themeColor="accent4"/>
          <w:left w:val="single" w:sz="4" w:space="0" w:color="AB0F14" w:themeColor="accent4"/>
          <w:bottom w:val="single" w:sz="4" w:space="0" w:color="AB0F14" w:themeColor="accent4"/>
          <w:right w:val="single" w:sz="4" w:space="0" w:color="AB0F14" w:themeColor="accent4"/>
          <w:insideH w:val="nil"/>
          <w:insideV w:val="nil"/>
        </w:tcBorders>
        <w:shd w:val="clear" w:color="auto" w:fill="AB0F14" w:themeFill="accent4"/>
      </w:tcPr>
    </w:tblStylePr>
    <w:tblStylePr w:type="lastRow">
      <w:rPr>
        <w:b/>
        <w:bCs/>
      </w:rPr>
      <w:tblPr/>
      <w:tcPr>
        <w:tcBorders>
          <w:top w:val="double" w:sz="4" w:space="0" w:color="AB0F14" w:themeColor="accent4"/>
        </w:tcBorders>
      </w:tcPr>
    </w:tblStylePr>
    <w:tblStylePr w:type="firstCol">
      <w:rPr>
        <w:b/>
        <w:bCs/>
      </w:rPr>
    </w:tblStylePr>
    <w:tblStylePr w:type="lastCol">
      <w:rPr>
        <w:b/>
        <w:bCs/>
      </w:rPr>
    </w:tblStylePr>
    <w:tblStylePr w:type="band1Vert">
      <w:tblPr/>
      <w:tcPr>
        <w:shd w:val="clear" w:color="auto" w:fill="F9C3C4" w:themeFill="accent4" w:themeFillTint="33"/>
      </w:tcPr>
    </w:tblStylePr>
    <w:tblStylePr w:type="band1Horz">
      <w:tblPr/>
      <w:tcPr>
        <w:shd w:val="clear" w:color="auto" w:fill="F9C3C4" w:themeFill="accent4" w:themeFillTint="33"/>
      </w:tcPr>
    </w:tblStylePr>
  </w:style>
  <w:style w:type="table" w:customStyle="1" w:styleId="GridTable41">
    <w:name w:val="Grid Table 41"/>
    <w:basedOn w:val="TableNormal"/>
    <w:uiPriority w:val="49"/>
    <w:rsid w:val="00387F77"/>
    <w:pPr>
      <w:spacing w:after="0"/>
    </w:pPr>
    <w:tblPr>
      <w:tblStyleRowBandSize w:val="1"/>
      <w:tblStyleColBandSize w:val="1"/>
      <w:tblBorders>
        <w:top w:val="single" w:sz="4" w:space="0" w:color="EF4C51" w:themeColor="text1" w:themeTint="99"/>
        <w:left w:val="single" w:sz="4" w:space="0" w:color="EF4C51" w:themeColor="text1" w:themeTint="99"/>
        <w:bottom w:val="single" w:sz="4" w:space="0" w:color="EF4C51" w:themeColor="text1" w:themeTint="99"/>
        <w:right w:val="single" w:sz="4" w:space="0" w:color="EF4C51" w:themeColor="text1" w:themeTint="99"/>
        <w:insideH w:val="single" w:sz="4" w:space="0" w:color="EF4C51" w:themeColor="text1" w:themeTint="99"/>
        <w:insideV w:val="single" w:sz="4" w:space="0" w:color="EF4C51" w:themeColor="text1" w:themeTint="99"/>
      </w:tblBorders>
    </w:tblPr>
    <w:tblStylePr w:type="firstRow">
      <w:rPr>
        <w:b/>
        <w:bCs/>
        <w:color w:val="FFFFFF" w:themeColor="background1"/>
      </w:rPr>
      <w:tblPr/>
      <w:tcPr>
        <w:tcBorders>
          <w:top w:val="single" w:sz="4" w:space="0" w:color="AB0F14" w:themeColor="text1"/>
          <w:left w:val="single" w:sz="4" w:space="0" w:color="AB0F14" w:themeColor="text1"/>
          <w:bottom w:val="single" w:sz="4" w:space="0" w:color="AB0F14" w:themeColor="text1"/>
          <w:right w:val="single" w:sz="4" w:space="0" w:color="AB0F14" w:themeColor="text1"/>
          <w:insideH w:val="nil"/>
          <w:insideV w:val="nil"/>
        </w:tcBorders>
        <w:shd w:val="clear" w:color="auto" w:fill="AB0F14" w:themeFill="text1"/>
      </w:tcPr>
    </w:tblStylePr>
    <w:tblStylePr w:type="lastRow">
      <w:rPr>
        <w:b/>
        <w:bCs/>
      </w:rPr>
      <w:tblPr/>
      <w:tcPr>
        <w:tcBorders>
          <w:top w:val="double" w:sz="4" w:space="0" w:color="AB0F14" w:themeColor="text1"/>
        </w:tcBorders>
      </w:tcPr>
    </w:tblStylePr>
    <w:tblStylePr w:type="firstCol">
      <w:rPr>
        <w:b/>
        <w:bCs/>
      </w:rPr>
    </w:tblStylePr>
    <w:tblStylePr w:type="lastCol">
      <w:rPr>
        <w:b/>
        <w:bCs/>
      </w:rPr>
    </w:tblStylePr>
    <w:tblStylePr w:type="band1Vert">
      <w:tblPr/>
      <w:tcPr>
        <w:shd w:val="clear" w:color="auto" w:fill="F9C3C4" w:themeFill="text1" w:themeFillTint="33"/>
      </w:tcPr>
    </w:tblStylePr>
    <w:tblStylePr w:type="band1Horz">
      <w:tblPr/>
      <w:tcPr>
        <w:shd w:val="clear" w:color="auto" w:fill="F9C3C4" w:themeFill="text1" w:themeFillTint="33"/>
      </w:tcPr>
    </w:tblStylePr>
  </w:style>
  <w:style w:type="paragraph" w:customStyle="1" w:styleId="H1">
    <w:name w:val="H1"/>
    <w:basedOn w:val="Heading1"/>
    <w:next w:val="BodyText"/>
    <w:link w:val="H1Char"/>
    <w:qFormat/>
    <w:rsid w:val="00D60869"/>
    <w:pPr>
      <w:numPr>
        <w:numId w:val="0"/>
      </w:numPr>
    </w:pPr>
  </w:style>
  <w:style w:type="paragraph" w:customStyle="1" w:styleId="H2">
    <w:name w:val="H2"/>
    <w:basedOn w:val="Heading2"/>
    <w:link w:val="H2Char"/>
    <w:qFormat/>
    <w:rsid w:val="00D60869"/>
    <w:pPr>
      <w:numPr>
        <w:ilvl w:val="0"/>
        <w:numId w:val="0"/>
      </w:numPr>
    </w:pPr>
  </w:style>
  <w:style w:type="character" w:customStyle="1" w:styleId="H2Char">
    <w:name w:val="H2 Char"/>
    <w:basedOn w:val="Heading2Char"/>
    <w:link w:val="H2"/>
    <w:rsid w:val="00D60869"/>
    <w:rPr>
      <w:rFonts w:ascii="Cambria" w:eastAsiaTheme="majorEastAsia" w:hAnsi="Cambria" w:cstheme="majorBidi"/>
      <w:bCs/>
      <w:color w:val="55070A" w:themeColor="text1" w:themeShade="80"/>
      <w:sz w:val="26"/>
      <w:szCs w:val="26"/>
    </w:rPr>
  </w:style>
  <w:style w:type="paragraph" w:customStyle="1" w:styleId="H3">
    <w:name w:val="H3"/>
    <w:basedOn w:val="Heading3"/>
    <w:link w:val="H3Char"/>
    <w:qFormat/>
    <w:rsid w:val="00D60869"/>
    <w:pPr>
      <w:numPr>
        <w:ilvl w:val="0"/>
        <w:numId w:val="0"/>
      </w:numPr>
    </w:pPr>
  </w:style>
  <w:style w:type="table" w:styleId="GridTable4-Accent5">
    <w:name w:val="Grid Table 4 Accent 5"/>
    <w:basedOn w:val="TableNormal"/>
    <w:uiPriority w:val="49"/>
    <w:rsid w:val="00375729"/>
    <w:pPr>
      <w:spacing w:after="0"/>
    </w:pPr>
    <w:tblPr>
      <w:tblStyleRowBandSize w:val="1"/>
      <w:tblStyleColBandSize w:val="1"/>
      <w:tblBorders>
        <w:top w:val="single" w:sz="4" w:space="0" w:color="53A3D5" w:themeColor="accent5" w:themeTint="99"/>
        <w:left w:val="single" w:sz="4" w:space="0" w:color="53A3D5" w:themeColor="accent5" w:themeTint="99"/>
        <w:bottom w:val="single" w:sz="4" w:space="0" w:color="53A3D5" w:themeColor="accent5" w:themeTint="99"/>
        <w:right w:val="single" w:sz="4" w:space="0" w:color="53A3D5" w:themeColor="accent5" w:themeTint="99"/>
        <w:insideH w:val="single" w:sz="4" w:space="0" w:color="53A3D5" w:themeColor="accent5" w:themeTint="99"/>
        <w:insideV w:val="single" w:sz="4" w:space="0" w:color="53A3D5" w:themeColor="accent5" w:themeTint="99"/>
      </w:tblBorders>
    </w:tblPr>
    <w:tblStylePr w:type="firstRow">
      <w:rPr>
        <w:b/>
        <w:bCs/>
        <w:color w:val="FFFFFF" w:themeColor="background1"/>
      </w:rPr>
      <w:tblPr/>
      <w:tcPr>
        <w:tcBorders>
          <w:top w:val="single" w:sz="4" w:space="0" w:color="1E587C" w:themeColor="accent5"/>
          <w:left w:val="single" w:sz="4" w:space="0" w:color="1E587C" w:themeColor="accent5"/>
          <w:bottom w:val="single" w:sz="4" w:space="0" w:color="1E587C" w:themeColor="accent5"/>
          <w:right w:val="single" w:sz="4" w:space="0" w:color="1E587C" w:themeColor="accent5"/>
          <w:insideH w:val="nil"/>
          <w:insideV w:val="nil"/>
        </w:tcBorders>
        <w:shd w:val="clear" w:color="auto" w:fill="1E587C" w:themeFill="accent5"/>
      </w:tcPr>
    </w:tblStylePr>
    <w:tblStylePr w:type="lastRow">
      <w:rPr>
        <w:b/>
        <w:bCs/>
      </w:rPr>
      <w:tblPr/>
      <w:tcPr>
        <w:tcBorders>
          <w:top w:val="double" w:sz="4" w:space="0" w:color="1E587C" w:themeColor="accent5"/>
        </w:tcBorders>
      </w:tcPr>
    </w:tblStylePr>
    <w:tblStylePr w:type="firstCol">
      <w:rPr>
        <w:b/>
        <w:bCs/>
      </w:rPr>
    </w:tblStylePr>
    <w:tblStylePr w:type="lastCol">
      <w:rPr>
        <w:b/>
        <w:bCs/>
      </w:rPr>
    </w:tblStylePr>
    <w:tblStylePr w:type="band1Vert">
      <w:tblPr/>
      <w:tcPr>
        <w:shd w:val="clear" w:color="auto" w:fill="C5E0F1" w:themeFill="accent5" w:themeFillTint="33"/>
      </w:tcPr>
    </w:tblStylePr>
    <w:tblStylePr w:type="band1Horz">
      <w:tblPr/>
      <w:tcPr>
        <w:shd w:val="clear" w:color="auto" w:fill="C5E0F1" w:themeFill="accent5" w:themeFillTint="33"/>
      </w:tcPr>
    </w:tblStylePr>
  </w:style>
  <w:style w:type="table" w:styleId="GridTable5Dark">
    <w:name w:val="Grid Table 5 Dark"/>
    <w:basedOn w:val="TableNormal"/>
    <w:uiPriority w:val="50"/>
    <w:rsid w:val="0037572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3C4"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0F1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0F1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0F1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0F14" w:themeFill="text1"/>
      </w:tcPr>
    </w:tblStylePr>
    <w:tblStylePr w:type="band1Vert">
      <w:tblPr/>
      <w:tcPr>
        <w:shd w:val="clear" w:color="auto" w:fill="F4878B" w:themeFill="text1" w:themeFillTint="66"/>
      </w:tcPr>
    </w:tblStylePr>
    <w:tblStylePr w:type="band1Horz">
      <w:tblPr/>
      <w:tcPr>
        <w:shd w:val="clear" w:color="auto" w:fill="F4878B" w:themeFill="text1" w:themeFillTint="66"/>
      </w:tcPr>
    </w:tblStylePr>
  </w:style>
  <w:style w:type="table" w:styleId="GridTable5Dark-Accent2">
    <w:name w:val="Grid Table 5 Dark Accent 2"/>
    <w:basedOn w:val="TableNormal"/>
    <w:uiPriority w:val="50"/>
    <w:rsid w:val="0037572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6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6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6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621" w:themeFill="accent2"/>
      </w:tcPr>
    </w:tblStylePr>
    <w:tblStylePr w:type="band1Vert">
      <w:tblPr/>
      <w:tcPr>
        <w:shd w:val="clear" w:color="auto" w:fill="FCD4A6" w:themeFill="accent2" w:themeFillTint="66"/>
      </w:tcPr>
    </w:tblStylePr>
    <w:tblStylePr w:type="band1Horz">
      <w:tblPr/>
      <w:tcPr>
        <w:shd w:val="clear" w:color="auto" w:fill="FCD4A6" w:themeFill="accent2" w:themeFillTint="66"/>
      </w:tcPr>
    </w:tblStylePr>
  </w:style>
  <w:style w:type="table" w:styleId="GridTable4-Accent4">
    <w:name w:val="Grid Table 4 Accent 4"/>
    <w:basedOn w:val="TableNormal"/>
    <w:uiPriority w:val="49"/>
    <w:rsid w:val="00375729"/>
    <w:pPr>
      <w:spacing w:after="0"/>
    </w:pPr>
    <w:tblPr>
      <w:tblStyleRowBandSize w:val="1"/>
      <w:tblStyleColBandSize w:val="1"/>
      <w:tblBorders>
        <w:top w:val="single" w:sz="4" w:space="0" w:color="EF4C51" w:themeColor="accent4" w:themeTint="99"/>
        <w:left w:val="single" w:sz="4" w:space="0" w:color="EF4C51" w:themeColor="accent4" w:themeTint="99"/>
        <w:bottom w:val="single" w:sz="4" w:space="0" w:color="EF4C51" w:themeColor="accent4" w:themeTint="99"/>
        <w:right w:val="single" w:sz="4" w:space="0" w:color="EF4C51" w:themeColor="accent4" w:themeTint="99"/>
        <w:insideH w:val="single" w:sz="4" w:space="0" w:color="EF4C51" w:themeColor="accent4" w:themeTint="99"/>
        <w:insideV w:val="single" w:sz="4" w:space="0" w:color="EF4C51" w:themeColor="accent4" w:themeTint="99"/>
      </w:tblBorders>
    </w:tblPr>
    <w:tblStylePr w:type="firstRow">
      <w:rPr>
        <w:b/>
        <w:bCs/>
        <w:color w:val="FFFFFF" w:themeColor="background1"/>
      </w:rPr>
      <w:tblPr/>
      <w:tcPr>
        <w:tcBorders>
          <w:top w:val="single" w:sz="4" w:space="0" w:color="AB0F14" w:themeColor="accent4"/>
          <w:left w:val="single" w:sz="4" w:space="0" w:color="AB0F14" w:themeColor="accent4"/>
          <w:bottom w:val="single" w:sz="4" w:space="0" w:color="AB0F14" w:themeColor="accent4"/>
          <w:right w:val="single" w:sz="4" w:space="0" w:color="AB0F14" w:themeColor="accent4"/>
          <w:insideH w:val="nil"/>
          <w:insideV w:val="nil"/>
        </w:tcBorders>
        <w:shd w:val="clear" w:color="auto" w:fill="AB0F14" w:themeFill="accent4"/>
      </w:tcPr>
    </w:tblStylePr>
    <w:tblStylePr w:type="lastRow">
      <w:rPr>
        <w:b/>
        <w:bCs/>
      </w:rPr>
      <w:tblPr/>
      <w:tcPr>
        <w:tcBorders>
          <w:top w:val="double" w:sz="4" w:space="0" w:color="AB0F14" w:themeColor="accent4"/>
        </w:tcBorders>
      </w:tcPr>
    </w:tblStylePr>
    <w:tblStylePr w:type="firstCol">
      <w:rPr>
        <w:b/>
        <w:bCs/>
      </w:rPr>
    </w:tblStylePr>
    <w:tblStylePr w:type="lastCol">
      <w:rPr>
        <w:b/>
        <w:bCs/>
      </w:rPr>
    </w:tblStylePr>
    <w:tblStylePr w:type="band1Vert">
      <w:tblPr/>
      <w:tcPr>
        <w:shd w:val="clear" w:color="auto" w:fill="F9C3C4" w:themeFill="accent4" w:themeFillTint="33"/>
      </w:tcPr>
    </w:tblStylePr>
    <w:tblStylePr w:type="band1Horz">
      <w:tblPr/>
      <w:tcPr>
        <w:shd w:val="clear" w:color="auto" w:fill="F9C3C4" w:themeFill="accent4" w:themeFillTint="33"/>
      </w:tcPr>
    </w:tblStylePr>
  </w:style>
  <w:style w:type="table" w:styleId="GridTable4">
    <w:name w:val="Grid Table 4"/>
    <w:basedOn w:val="TableNormal"/>
    <w:uiPriority w:val="49"/>
    <w:rsid w:val="00375729"/>
    <w:pPr>
      <w:spacing w:after="0"/>
    </w:pPr>
    <w:tblPr>
      <w:tblStyleRowBandSize w:val="1"/>
      <w:tblStyleColBandSize w:val="1"/>
      <w:tblBorders>
        <w:top w:val="single" w:sz="4" w:space="0" w:color="EF4C51" w:themeColor="text1" w:themeTint="99"/>
        <w:left w:val="single" w:sz="4" w:space="0" w:color="EF4C51" w:themeColor="text1" w:themeTint="99"/>
        <w:bottom w:val="single" w:sz="4" w:space="0" w:color="EF4C51" w:themeColor="text1" w:themeTint="99"/>
        <w:right w:val="single" w:sz="4" w:space="0" w:color="EF4C51" w:themeColor="text1" w:themeTint="99"/>
        <w:insideH w:val="single" w:sz="4" w:space="0" w:color="EF4C51" w:themeColor="text1" w:themeTint="99"/>
        <w:insideV w:val="single" w:sz="4" w:space="0" w:color="EF4C51" w:themeColor="text1" w:themeTint="99"/>
      </w:tblBorders>
    </w:tblPr>
    <w:tblStylePr w:type="firstRow">
      <w:rPr>
        <w:b/>
        <w:bCs/>
        <w:color w:val="FFFFFF" w:themeColor="background1"/>
      </w:rPr>
      <w:tblPr/>
      <w:tcPr>
        <w:tcBorders>
          <w:top w:val="single" w:sz="4" w:space="0" w:color="AB0F14" w:themeColor="text1"/>
          <w:left w:val="single" w:sz="4" w:space="0" w:color="AB0F14" w:themeColor="text1"/>
          <w:bottom w:val="single" w:sz="4" w:space="0" w:color="AB0F14" w:themeColor="text1"/>
          <w:right w:val="single" w:sz="4" w:space="0" w:color="AB0F14" w:themeColor="text1"/>
          <w:insideH w:val="nil"/>
          <w:insideV w:val="nil"/>
        </w:tcBorders>
        <w:shd w:val="clear" w:color="auto" w:fill="AB0F14" w:themeFill="text1"/>
      </w:tcPr>
    </w:tblStylePr>
    <w:tblStylePr w:type="lastRow">
      <w:rPr>
        <w:b/>
        <w:bCs/>
      </w:rPr>
      <w:tblPr/>
      <w:tcPr>
        <w:tcBorders>
          <w:top w:val="double" w:sz="4" w:space="0" w:color="AB0F14" w:themeColor="text1"/>
        </w:tcBorders>
      </w:tcPr>
    </w:tblStylePr>
    <w:tblStylePr w:type="firstCol">
      <w:rPr>
        <w:b/>
        <w:bCs/>
      </w:rPr>
    </w:tblStylePr>
    <w:tblStylePr w:type="lastCol">
      <w:rPr>
        <w:b/>
        <w:bCs/>
      </w:rPr>
    </w:tblStylePr>
    <w:tblStylePr w:type="band1Vert">
      <w:tblPr/>
      <w:tcPr>
        <w:shd w:val="clear" w:color="auto" w:fill="F9C3C4" w:themeFill="text1" w:themeFillTint="33"/>
      </w:tcPr>
    </w:tblStylePr>
    <w:tblStylePr w:type="band1Horz">
      <w:tblPr/>
      <w:tcPr>
        <w:shd w:val="clear" w:color="auto" w:fill="F9C3C4" w:themeFill="text1" w:themeFillTint="33"/>
      </w:tcPr>
    </w:tblStylePr>
  </w:style>
  <w:style w:type="paragraph" w:customStyle="1" w:styleId="BodyTextNoIndent">
    <w:name w:val="Body Text (No Indent)"/>
    <w:basedOn w:val="Normal"/>
    <w:link w:val="BodyTextNoIndentChar"/>
    <w:qFormat/>
    <w:rsid w:val="00375729"/>
  </w:style>
  <w:style w:type="paragraph" w:customStyle="1" w:styleId="BCRBodytext">
    <w:name w:val="BCR Body text"/>
    <w:link w:val="BCRBodytextChar"/>
    <w:qFormat/>
    <w:rsid w:val="00375729"/>
    <w:pPr>
      <w:spacing w:before="120" w:after="0"/>
      <w:ind w:left="0" w:firstLine="0"/>
    </w:pPr>
    <w:rPr>
      <w:rFonts w:ascii="Calibri" w:hAnsi="Calibri"/>
    </w:rPr>
  </w:style>
  <w:style w:type="character" w:customStyle="1" w:styleId="BodyTextNoIndentChar">
    <w:name w:val="Body Text (No Indent) Char"/>
    <w:basedOn w:val="DefaultParagraphFont"/>
    <w:link w:val="BodyTextNoIndent"/>
    <w:rsid w:val="00375729"/>
    <w:rPr>
      <w:rFonts w:ascii="Calibri" w:hAnsi="Calibri"/>
    </w:rPr>
  </w:style>
  <w:style w:type="paragraph" w:customStyle="1" w:styleId="BCRHead1">
    <w:name w:val="BCR Head 1"/>
    <w:link w:val="BCRHead1Char"/>
    <w:qFormat/>
    <w:rsid w:val="00375729"/>
    <w:pPr>
      <w:spacing w:before="120" w:line="360" w:lineRule="auto"/>
      <w:outlineLvl w:val="0"/>
    </w:pPr>
    <w:rPr>
      <w:rFonts w:ascii="Cambria" w:hAnsi="Cambria"/>
      <w:b/>
      <w:color w:val="AA0F14"/>
      <w:sz w:val="40"/>
      <w:szCs w:val="32"/>
    </w:rPr>
  </w:style>
  <w:style w:type="paragraph" w:customStyle="1" w:styleId="BCRHead2">
    <w:name w:val="BCR Head 2"/>
    <w:basedOn w:val="Normal"/>
    <w:link w:val="BCRHead2Char"/>
    <w:autoRedefine/>
    <w:qFormat/>
    <w:rsid w:val="00F37FA2"/>
    <w:pPr>
      <w:spacing w:before="360" w:after="240"/>
      <w:outlineLvl w:val="1"/>
    </w:pPr>
    <w:rPr>
      <w:rFonts w:ascii="Cambria" w:hAnsi="Cambria"/>
      <w:b/>
      <w:color w:val="EB1F25" w:themeColor="text1" w:themeTint="BF"/>
      <w:sz w:val="32"/>
      <w:szCs w:val="32"/>
    </w:rPr>
  </w:style>
  <w:style w:type="paragraph" w:customStyle="1" w:styleId="BCRHead3">
    <w:name w:val="BCR Head 3"/>
    <w:basedOn w:val="BCRHead2"/>
    <w:qFormat/>
    <w:rsid w:val="00375729"/>
    <w:rPr>
      <w:b w:val="0"/>
      <w:sz w:val="30"/>
    </w:rPr>
  </w:style>
  <w:style w:type="character" w:customStyle="1" w:styleId="BCRBodytextChar">
    <w:name w:val="BCR Body text Char"/>
    <w:basedOn w:val="DefaultParagraphFont"/>
    <w:link w:val="BCRBodytext"/>
    <w:rsid w:val="00375729"/>
    <w:rPr>
      <w:rFonts w:ascii="Calibri" w:hAnsi="Calibri"/>
    </w:rPr>
  </w:style>
  <w:style w:type="character" w:customStyle="1" w:styleId="BCRHead1Char">
    <w:name w:val="BCR Head 1 Char"/>
    <w:basedOn w:val="DefaultParagraphFont"/>
    <w:link w:val="BCRHead1"/>
    <w:rsid w:val="00375729"/>
    <w:rPr>
      <w:rFonts w:ascii="Cambria" w:hAnsi="Cambria"/>
      <w:b/>
      <w:color w:val="AA0F14"/>
      <w:sz w:val="40"/>
      <w:szCs w:val="32"/>
    </w:rPr>
  </w:style>
  <w:style w:type="character" w:customStyle="1" w:styleId="BCRHead2Char">
    <w:name w:val="BCR Head 2 Char"/>
    <w:basedOn w:val="DefaultParagraphFont"/>
    <w:link w:val="BCRHead2"/>
    <w:rsid w:val="00F37FA2"/>
    <w:rPr>
      <w:rFonts w:ascii="Cambria" w:hAnsi="Cambria"/>
      <w:b/>
      <w:color w:val="EB1F25" w:themeColor="text1" w:themeTint="BF"/>
      <w:sz w:val="32"/>
      <w:szCs w:val="32"/>
    </w:rPr>
  </w:style>
  <w:style w:type="paragraph" w:customStyle="1" w:styleId="DP-Footnotes">
    <w:name w:val="DP - Footnotes"/>
    <w:basedOn w:val="BCRBodytext"/>
    <w:link w:val="DP-FootnotesChar"/>
    <w:qFormat/>
    <w:rsid w:val="00375729"/>
    <w:pPr>
      <w:spacing w:before="0"/>
    </w:pPr>
    <w:rPr>
      <w:color w:val="AB0F14" w:themeColor="text1"/>
      <w:sz w:val="18"/>
      <w:szCs w:val="20"/>
      <w14:textFill>
        <w14:solidFill>
          <w14:schemeClr w14:val="tx1">
            <w14:lumMod w14:val="65000"/>
            <w14:lumOff w14:val="35000"/>
            <w14:lumMod w14:val="65000"/>
            <w14:lumOff w14:val="35000"/>
          </w14:schemeClr>
        </w14:solidFill>
      </w14:textFill>
    </w:rPr>
  </w:style>
  <w:style w:type="character" w:customStyle="1" w:styleId="DP-FootnotesChar">
    <w:name w:val="DP - Footnotes Char"/>
    <w:basedOn w:val="BCRBodytextChar"/>
    <w:link w:val="DP-Footnotes"/>
    <w:rsid w:val="00375729"/>
    <w:rPr>
      <w:rFonts w:ascii="Calibri" w:hAnsi="Calibri"/>
      <w:color w:val="AB0F14" w:themeColor="text1"/>
      <w:sz w:val="18"/>
      <w:szCs w:val="20"/>
      <w14:textFill>
        <w14:solidFill>
          <w14:schemeClr w14:val="tx1">
            <w14:lumMod w14:val="65000"/>
            <w14:lumOff w14:val="35000"/>
            <w14:lumMod w14:val="65000"/>
            <w14:lumOff w14:val="35000"/>
          </w14:schemeClr>
        </w14:solidFill>
      </w14:textFill>
    </w:rPr>
  </w:style>
  <w:style w:type="character" w:customStyle="1" w:styleId="Heading1Char">
    <w:name w:val="Heading 1 Char"/>
    <w:basedOn w:val="DefaultParagraphFont"/>
    <w:link w:val="Heading1"/>
    <w:uiPriority w:val="9"/>
    <w:rsid w:val="00375729"/>
    <w:rPr>
      <w:rFonts w:ascii="Cambria" w:eastAsiaTheme="majorEastAsia" w:hAnsi="Cambria" w:cstheme="majorBidi"/>
      <w:bCs/>
      <w:color w:val="900D10" w:themeColor="accent1" w:themeShade="80"/>
      <w:sz w:val="36"/>
      <w:szCs w:val="28"/>
    </w:rPr>
  </w:style>
  <w:style w:type="character" w:customStyle="1" w:styleId="Heading3Char">
    <w:name w:val="Heading 3 Char"/>
    <w:basedOn w:val="DefaultParagraphFont"/>
    <w:link w:val="Heading3"/>
    <w:uiPriority w:val="9"/>
    <w:rsid w:val="00375729"/>
    <w:rPr>
      <w:rFonts w:ascii="Cambria" w:eastAsiaTheme="majorEastAsia" w:hAnsi="Cambria" w:cstheme="majorBidi"/>
      <w:b/>
      <w:bCs/>
      <w:color w:val="5F5F5F" w:themeColor="text2"/>
    </w:rPr>
  </w:style>
  <w:style w:type="numbering" w:customStyle="1" w:styleId="Bulletlist">
    <w:name w:val="Bullet list"/>
    <w:rsid w:val="00375729"/>
    <w:pPr>
      <w:numPr>
        <w:numId w:val="28"/>
      </w:numPr>
    </w:pPr>
  </w:style>
  <w:style w:type="paragraph" w:customStyle="1" w:styleId="Numberlist">
    <w:name w:val="Number list"/>
    <w:basedOn w:val="Normal"/>
    <w:next w:val="Normal"/>
    <w:rsid w:val="00375729"/>
    <w:pPr>
      <w:tabs>
        <w:tab w:val="num" w:pos="0"/>
      </w:tabs>
      <w:spacing w:before="120" w:after="120"/>
      <w:ind w:left="357" w:hanging="357"/>
    </w:pPr>
    <w:rPr>
      <w:rFonts w:eastAsia="Cambria" w:cs="Times New Roman"/>
      <w:color w:val="3C3C3B"/>
      <w:sz w:val="24"/>
      <w:szCs w:val="24"/>
      <w:lang w:val="en-US"/>
    </w:rPr>
  </w:style>
  <w:style w:type="paragraph" w:customStyle="1" w:styleId="Secondarytitle">
    <w:name w:val="Secondary title"/>
    <w:basedOn w:val="BCRsubhead"/>
    <w:autoRedefine/>
    <w:rsid w:val="00375729"/>
  </w:style>
  <w:style w:type="paragraph" w:customStyle="1" w:styleId="Subheading">
    <w:name w:val="Subheading"/>
    <w:basedOn w:val="Normal"/>
    <w:rsid w:val="00375729"/>
    <w:pPr>
      <w:keepNext/>
      <w:keepLines/>
      <w:spacing w:before="0" w:after="120"/>
      <w:outlineLvl w:val="0"/>
    </w:pPr>
    <w:rPr>
      <w:rFonts w:eastAsia="Times New Roman" w:cs="Times New Roman"/>
      <w:bCs/>
      <w:color w:val="FFFFFF" w:themeColor="background1"/>
      <w:sz w:val="40"/>
      <w:szCs w:val="40"/>
    </w:rPr>
  </w:style>
  <w:style w:type="paragraph" w:customStyle="1" w:styleId="Mainheading">
    <w:name w:val="Main heading"/>
    <w:basedOn w:val="BCRReporttitle"/>
    <w:rsid w:val="00375729"/>
  </w:style>
  <w:style w:type="paragraph" w:customStyle="1" w:styleId="BCRReporttitle">
    <w:name w:val="BCR Report title"/>
    <w:basedOn w:val="Normal"/>
    <w:qFormat/>
    <w:rsid w:val="00375729"/>
    <w:pPr>
      <w:keepNext/>
      <w:keepLines/>
      <w:spacing w:before="0" w:after="120"/>
      <w:outlineLvl w:val="0"/>
    </w:pPr>
    <w:rPr>
      <w:rFonts w:eastAsia="Times New Roman" w:cs="Times New Roman"/>
      <w:b/>
      <w:bCs/>
      <w:color w:val="0E293A"/>
      <w:sz w:val="60"/>
      <w:szCs w:val="48"/>
    </w:rPr>
  </w:style>
  <w:style w:type="paragraph" w:customStyle="1" w:styleId="BCRsubhead">
    <w:name w:val="BCR sub head"/>
    <w:basedOn w:val="Normal"/>
    <w:qFormat/>
    <w:rsid w:val="00375729"/>
    <w:pPr>
      <w:keepNext/>
      <w:keepLines/>
      <w:spacing w:before="0" w:after="120"/>
    </w:pPr>
    <w:rPr>
      <w:rFonts w:eastAsia="Times New Roman" w:cs="Times New Roman"/>
      <w:bCs/>
      <w:i/>
      <w:color w:val="AA0F14"/>
      <w:sz w:val="40"/>
      <w:szCs w:val="48"/>
    </w:rPr>
  </w:style>
  <w:style w:type="paragraph" w:customStyle="1" w:styleId="BCRBullet1">
    <w:name w:val="BCR Bullet 1"/>
    <w:basedOn w:val="ListBullet"/>
    <w:link w:val="BCRBullet1Char"/>
    <w:qFormat/>
    <w:rsid w:val="00375729"/>
    <w:pPr>
      <w:numPr>
        <w:numId w:val="29"/>
      </w:numPr>
      <w:spacing w:before="120" w:after="120"/>
      <w:ind w:left="357" w:hanging="357"/>
      <w:contextualSpacing w:val="0"/>
    </w:pPr>
  </w:style>
  <w:style w:type="paragraph" w:customStyle="1" w:styleId="BCRFolio">
    <w:name w:val="BCR Folio"/>
    <w:basedOn w:val="Footer"/>
    <w:qFormat/>
    <w:rsid w:val="00375729"/>
    <w:pPr>
      <w:pBdr>
        <w:top w:val="single" w:sz="4" w:space="12" w:color="F89621"/>
      </w:pBdr>
      <w:tabs>
        <w:tab w:val="clear" w:pos="4513"/>
        <w:tab w:val="clear" w:pos="9026"/>
        <w:tab w:val="center" w:pos="4320"/>
        <w:tab w:val="right" w:pos="8640"/>
      </w:tabs>
      <w:spacing w:before="120" w:after="120"/>
      <w:jc w:val="right"/>
    </w:pPr>
    <w:rPr>
      <w:rFonts w:eastAsia="Cambria" w:cs="Times New Roman"/>
      <w:color w:val="0E293A"/>
      <w:sz w:val="16"/>
      <w:szCs w:val="24"/>
      <w:lang w:val="en-US"/>
    </w:rPr>
  </w:style>
  <w:style w:type="paragraph" w:customStyle="1" w:styleId="BCRHead4">
    <w:name w:val="BCR Head 4"/>
    <w:qFormat/>
    <w:rsid w:val="00375729"/>
    <w:pPr>
      <w:spacing w:after="0"/>
      <w:ind w:left="0" w:firstLine="0"/>
    </w:pPr>
    <w:rPr>
      <w:rFonts w:ascii="Calibri" w:hAnsi="Calibri"/>
      <w:b/>
      <w:color w:val="0E293A"/>
      <w:sz w:val="26"/>
      <w:szCs w:val="32"/>
    </w:rPr>
  </w:style>
  <w:style w:type="character" w:customStyle="1" w:styleId="BalloonTextChar">
    <w:name w:val="Balloon Text Char"/>
    <w:basedOn w:val="DefaultParagraphFont"/>
    <w:link w:val="BalloonText"/>
    <w:uiPriority w:val="99"/>
    <w:semiHidden/>
    <w:rsid w:val="00375729"/>
    <w:rPr>
      <w:rFonts w:ascii="Tahoma" w:hAnsi="Tahoma" w:cs="Tahoma"/>
      <w:sz w:val="16"/>
      <w:szCs w:val="16"/>
    </w:rPr>
  </w:style>
  <w:style w:type="paragraph" w:customStyle="1" w:styleId="Indent1">
    <w:name w:val="Indent 1"/>
    <w:basedOn w:val="Normal"/>
    <w:rsid w:val="00375729"/>
    <w:pPr>
      <w:numPr>
        <w:ilvl w:val="1"/>
        <w:numId w:val="30"/>
      </w:numPr>
      <w:kinsoku w:val="0"/>
      <w:overflowPunct w:val="0"/>
      <w:autoSpaceDE w:val="0"/>
      <w:autoSpaceDN w:val="0"/>
      <w:adjustRightInd w:val="0"/>
      <w:snapToGrid w:val="0"/>
      <w:spacing w:before="100" w:after="100"/>
    </w:pPr>
    <w:rPr>
      <w:rFonts w:ascii="Georgia" w:eastAsia="Times New Roman" w:hAnsi="Georgia" w:cs="Times New Roman"/>
      <w:snapToGrid w:val="0"/>
      <w:sz w:val="20"/>
      <w:szCs w:val="21"/>
    </w:rPr>
  </w:style>
  <w:style w:type="paragraph" w:customStyle="1" w:styleId="Indent2">
    <w:name w:val="Indent 2"/>
    <w:basedOn w:val="Indent1"/>
    <w:rsid w:val="00375729"/>
    <w:pPr>
      <w:numPr>
        <w:ilvl w:val="2"/>
      </w:numPr>
    </w:pPr>
  </w:style>
  <w:style w:type="paragraph" w:customStyle="1" w:styleId="Indent3">
    <w:name w:val="Indent 3"/>
    <w:basedOn w:val="Indent2"/>
    <w:rsid w:val="00375729"/>
    <w:pPr>
      <w:numPr>
        <w:ilvl w:val="3"/>
      </w:numPr>
    </w:pPr>
  </w:style>
  <w:style w:type="paragraph" w:customStyle="1" w:styleId="Indent5">
    <w:name w:val="Indent 5"/>
    <w:basedOn w:val="Indent4"/>
    <w:rsid w:val="00375729"/>
    <w:pPr>
      <w:numPr>
        <w:ilvl w:val="5"/>
      </w:numPr>
    </w:pPr>
  </w:style>
  <w:style w:type="paragraph" w:customStyle="1" w:styleId="Indent6">
    <w:name w:val="Indent 6"/>
    <w:basedOn w:val="Indent5"/>
    <w:rsid w:val="00375729"/>
    <w:pPr>
      <w:numPr>
        <w:ilvl w:val="6"/>
      </w:numPr>
    </w:pPr>
  </w:style>
  <w:style w:type="paragraph" w:customStyle="1" w:styleId="Indent7">
    <w:name w:val="Indent 7"/>
    <w:basedOn w:val="Indent6"/>
    <w:rsid w:val="00375729"/>
    <w:pPr>
      <w:numPr>
        <w:ilvl w:val="7"/>
      </w:numPr>
    </w:pPr>
  </w:style>
  <w:style w:type="paragraph" w:customStyle="1" w:styleId="Indent4">
    <w:name w:val="Indent 4"/>
    <w:basedOn w:val="Indent3"/>
    <w:rsid w:val="00375729"/>
    <w:pPr>
      <w:numPr>
        <w:ilvl w:val="4"/>
      </w:numPr>
    </w:pPr>
  </w:style>
  <w:style w:type="paragraph" w:customStyle="1" w:styleId="PwCNormal">
    <w:name w:val="PwC Normal"/>
    <w:basedOn w:val="Normal"/>
    <w:link w:val="PwCNormalChar"/>
    <w:rsid w:val="00375729"/>
    <w:pPr>
      <w:numPr>
        <w:numId w:val="30"/>
      </w:numPr>
      <w:kinsoku w:val="0"/>
      <w:overflowPunct w:val="0"/>
      <w:autoSpaceDE w:val="0"/>
      <w:autoSpaceDN w:val="0"/>
      <w:adjustRightInd w:val="0"/>
      <w:snapToGrid w:val="0"/>
      <w:spacing w:before="0" w:after="240"/>
    </w:pPr>
    <w:rPr>
      <w:rFonts w:ascii="Georgia" w:eastAsia="Times New Roman" w:hAnsi="Georgia" w:cs="Arial"/>
      <w:snapToGrid w:val="0"/>
      <w:sz w:val="20"/>
      <w:szCs w:val="21"/>
    </w:rPr>
  </w:style>
  <w:style w:type="character" w:customStyle="1" w:styleId="PwCNormalChar">
    <w:name w:val="PwC Normal Char"/>
    <w:basedOn w:val="DefaultParagraphFont"/>
    <w:link w:val="PwCNormal"/>
    <w:rsid w:val="00375729"/>
    <w:rPr>
      <w:rFonts w:ascii="Georgia" w:eastAsia="Times New Roman" w:hAnsi="Georgia" w:cs="Arial"/>
      <w:snapToGrid w:val="0"/>
      <w:sz w:val="20"/>
      <w:szCs w:val="21"/>
    </w:rPr>
  </w:style>
  <w:style w:type="paragraph" w:customStyle="1" w:styleId="Indent8">
    <w:name w:val="Indent 8"/>
    <w:basedOn w:val="Indent7"/>
    <w:rsid w:val="00375729"/>
    <w:pPr>
      <w:numPr>
        <w:ilvl w:val="8"/>
      </w:numPr>
    </w:pPr>
  </w:style>
  <w:style w:type="numbering" w:customStyle="1" w:styleId="BCRnumberedlist">
    <w:name w:val="BCR numbered list"/>
    <w:basedOn w:val="NoList"/>
    <w:uiPriority w:val="99"/>
    <w:rsid w:val="00375729"/>
    <w:pPr>
      <w:numPr>
        <w:numId w:val="31"/>
      </w:numPr>
    </w:pPr>
  </w:style>
  <w:style w:type="paragraph" w:customStyle="1" w:styleId="BCRTableheading">
    <w:name w:val="BCR Table heading"/>
    <w:basedOn w:val="BodyText"/>
    <w:link w:val="BCRTableheadingChar"/>
    <w:qFormat/>
    <w:rsid w:val="00375729"/>
    <w:pPr>
      <w:spacing w:after="120"/>
    </w:pPr>
    <w:rPr>
      <w:rFonts w:eastAsia="Cambria" w:cs="Times New Roman"/>
      <w:b/>
      <w:i/>
      <w:color w:val="3B3C3B"/>
      <w:sz w:val="24"/>
      <w:szCs w:val="24"/>
      <w:lang w:val="en-US"/>
    </w:rPr>
  </w:style>
  <w:style w:type="paragraph" w:customStyle="1" w:styleId="BCRbodytextbold">
    <w:name w:val="BCR body text bold"/>
    <w:basedOn w:val="BCRBodytext"/>
    <w:link w:val="BCRbodytextboldChar"/>
    <w:qFormat/>
    <w:rsid w:val="00375729"/>
    <w:rPr>
      <w:b/>
    </w:rPr>
  </w:style>
  <w:style w:type="character" w:customStyle="1" w:styleId="BCRTableheadingChar">
    <w:name w:val="BCR Table heading Char"/>
    <w:basedOn w:val="BodyTextChar"/>
    <w:link w:val="BCRTableheading"/>
    <w:rsid w:val="00375729"/>
    <w:rPr>
      <w:rFonts w:ascii="Calibri" w:eastAsia="Cambria" w:hAnsi="Calibri" w:cs="Times New Roman"/>
      <w:b/>
      <w:i/>
      <w:color w:val="3B3C3B"/>
      <w:sz w:val="24"/>
      <w:szCs w:val="24"/>
      <w:lang w:val="en-US"/>
    </w:rPr>
  </w:style>
  <w:style w:type="character" w:customStyle="1" w:styleId="ListBulletChar">
    <w:name w:val="List Bullet Char"/>
    <w:basedOn w:val="DefaultParagraphFont"/>
    <w:link w:val="ListBullet"/>
    <w:uiPriority w:val="99"/>
    <w:semiHidden/>
    <w:rsid w:val="00375729"/>
    <w:rPr>
      <w:rFonts w:ascii="Calibri" w:hAnsi="Calibri"/>
    </w:rPr>
  </w:style>
  <w:style w:type="character" w:customStyle="1" w:styleId="BCRbodytextboldChar">
    <w:name w:val="BCR body text bold Char"/>
    <w:basedOn w:val="BCRBodytextChar"/>
    <w:link w:val="BCRbodytextbold"/>
    <w:rsid w:val="00375729"/>
    <w:rPr>
      <w:rFonts w:ascii="Calibri" w:hAnsi="Calibri"/>
      <w:b/>
    </w:rPr>
  </w:style>
  <w:style w:type="character" w:customStyle="1" w:styleId="BCRBullet1Char">
    <w:name w:val="BCR Bullet 1 Char"/>
    <w:basedOn w:val="ListBulletChar"/>
    <w:link w:val="BCRBullet1"/>
    <w:rsid w:val="00375729"/>
    <w:rPr>
      <w:rFonts w:ascii="Calibri" w:hAnsi="Calibri"/>
    </w:rPr>
  </w:style>
  <w:style w:type="paragraph" w:customStyle="1" w:styleId="BCRbodytextitalics">
    <w:name w:val="BCR bodytext italics"/>
    <w:basedOn w:val="BCRBodytext"/>
    <w:link w:val="BCRbodytextitalicsChar"/>
    <w:qFormat/>
    <w:rsid w:val="00375729"/>
    <w:pPr>
      <w:ind w:left="1021" w:hanging="1021"/>
    </w:pPr>
    <w:rPr>
      <w:i/>
    </w:rPr>
  </w:style>
  <w:style w:type="paragraph" w:customStyle="1" w:styleId="BCRTOCHeading1">
    <w:name w:val="BCR TOC Heading 1"/>
    <w:basedOn w:val="BCRHead1"/>
    <w:link w:val="BCRTOCHeading1Char"/>
    <w:qFormat/>
    <w:rsid w:val="00375729"/>
    <w:pPr>
      <w:spacing w:after="0"/>
    </w:pPr>
  </w:style>
  <w:style w:type="character" w:customStyle="1" w:styleId="BCRbodytextitalicsChar">
    <w:name w:val="BCR bodytext italics Char"/>
    <w:basedOn w:val="BCRBodytextChar"/>
    <w:link w:val="BCRbodytextitalics"/>
    <w:rsid w:val="00375729"/>
    <w:rPr>
      <w:rFonts w:ascii="Calibri" w:hAnsi="Calibri"/>
      <w:i/>
    </w:rPr>
  </w:style>
  <w:style w:type="character" w:customStyle="1" w:styleId="BCRTOCHeading1Char">
    <w:name w:val="BCR TOC Heading 1 Char"/>
    <w:basedOn w:val="BCRHead1Char"/>
    <w:link w:val="BCRTOCHeading1"/>
    <w:rsid w:val="00375729"/>
    <w:rPr>
      <w:rFonts w:ascii="Cambria" w:hAnsi="Cambria"/>
      <w:b/>
      <w:color w:val="AA0F14"/>
      <w:sz w:val="40"/>
      <w:szCs w:val="32"/>
    </w:rPr>
  </w:style>
  <w:style w:type="character" w:customStyle="1" w:styleId="st1">
    <w:name w:val="st1"/>
    <w:basedOn w:val="DefaultParagraphFont"/>
    <w:rsid w:val="00375729"/>
  </w:style>
  <w:style w:type="character" w:customStyle="1" w:styleId="CommentSubjectChar">
    <w:name w:val="Comment Subject Char"/>
    <w:basedOn w:val="CommentTextChar"/>
    <w:link w:val="CommentSubject"/>
    <w:uiPriority w:val="99"/>
    <w:semiHidden/>
    <w:rsid w:val="00375729"/>
    <w:rPr>
      <w:rFonts w:ascii="Calibri" w:hAnsi="Calibri"/>
      <w:b/>
      <w:bCs/>
      <w:sz w:val="20"/>
      <w:szCs w:val="20"/>
    </w:rPr>
  </w:style>
  <w:style w:type="paragraph" w:customStyle="1" w:styleId="Highlighttext">
    <w:name w:val="Highlight text"/>
    <w:basedOn w:val="BCRBullet1"/>
    <w:link w:val="HighlighttextChar"/>
    <w:qFormat/>
    <w:rsid w:val="00375729"/>
    <w:rPr>
      <w:color w:val="AB0F14"/>
    </w:rPr>
  </w:style>
  <w:style w:type="character" w:customStyle="1" w:styleId="HighlighttextChar">
    <w:name w:val="Highlight text Char"/>
    <w:basedOn w:val="BCRBullet1Char"/>
    <w:link w:val="Highlighttext"/>
    <w:rsid w:val="00375729"/>
    <w:rPr>
      <w:rFonts w:ascii="Calibri" w:hAnsi="Calibri"/>
      <w:color w:val="AB0F14"/>
    </w:rPr>
  </w:style>
  <w:style w:type="table" w:customStyle="1" w:styleId="LightList-Accent111">
    <w:name w:val="Light List - Accent 111"/>
    <w:basedOn w:val="TableNormal"/>
    <w:uiPriority w:val="61"/>
    <w:rsid w:val="00375729"/>
    <w:pPr>
      <w:spacing w:after="0"/>
    </w:pPr>
    <w:tblPr>
      <w:tblStyleRowBandSize w:val="1"/>
      <w:tblStyleColBandSize w:val="1"/>
      <w:tblBorders>
        <w:top w:val="single" w:sz="8" w:space="0" w:color="EF4C51" w:themeColor="accent1"/>
        <w:left w:val="single" w:sz="8" w:space="0" w:color="EF4C51" w:themeColor="accent1"/>
        <w:bottom w:val="single" w:sz="8" w:space="0" w:color="EF4C51" w:themeColor="accent1"/>
        <w:right w:val="single" w:sz="8" w:space="0" w:color="EF4C51" w:themeColor="accent1"/>
      </w:tblBorders>
    </w:tblPr>
    <w:tblStylePr w:type="firstRow">
      <w:pPr>
        <w:spacing w:before="0" w:after="0" w:line="240" w:lineRule="auto"/>
      </w:pPr>
      <w:rPr>
        <w:b/>
        <w:bCs/>
        <w:color w:val="FFFFFF" w:themeColor="background1"/>
      </w:rPr>
      <w:tblPr/>
      <w:tcPr>
        <w:shd w:val="clear" w:color="auto" w:fill="EF4C51" w:themeFill="accent1"/>
      </w:tcPr>
    </w:tblStylePr>
    <w:tblStylePr w:type="lastRow">
      <w:pPr>
        <w:spacing w:before="0" w:after="0" w:line="240" w:lineRule="auto"/>
      </w:pPr>
      <w:rPr>
        <w:b/>
        <w:bCs/>
      </w:rPr>
      <w:tblPr/>
      <w:tcPr>
        <w:tcBorders>
          <w:top w:val="double" w:sz="6" w:space="0" w:color="EF4C51" w:themeColor="accent1"/>
          <w:left w:val="single" w:sz="8" w:space="0" w:color="EF4C51" w:themeColor="accent1"/>
          <w:bottom w:val="single" w:sz="8" w:space="0" w:color="EF4C51" w:themeColor="accent1"/>
          <w:right w:val="single" w:sz="8" w:space="0" w:color="EF4C51" w:themeColor="accent1"/>
        </w:tcBorders>
      </w:tcPr>
    </w:tblStylePr>
    <w:tblStylePr w:type="firstCol">
      <w:rPr>
        <w:b/>
        <w:bCs/>
      </w:rPr>
    </w:tblStylePr>
    <w:tblStylePr w:type="lastCol">
      <w:rPr>
        <w:b/>
        <w:bCs/>
      </w:rPr>
    </w:tblStylePr>
    <w:tblStylePr w:type="band1Vert">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tblStylePr w:type="band1Horz">
      <w:tblPr/>
      <w:tcPr>
        <w:tcBorders>
          <w:top w:val="single" w:sz="8" w:space="0" w:color="EF4C51" w:themeColor="accent1"/>
          <w:left w:val="single" w:sz="8" w:space="0" w:color="EF4C51" w:themeColor="accent1"/>
          <w:bottom w:val="single" w:sz="8" w:space="0" w:color="EF4C51" w:themeColor="accent1"/>
          <w:right w:val="single" w:sz="8" w:space="0" w:color="EF4C51" w:themeColor="accent1"/>
        </w:tcBorders>
      </w:tcPr>
    </w:tblStylePr>
  </w:style>
  <w:style w:type="paragraph" w:customStyle="1" w:styleId="Versionhistory">
    <w:name w:val="Version history"/>
    <w:basedOn w:val="BCRHead2"/>
    <w:link w:val="VersionhistoryChar"/>
    <w:qFormat/>
    <w:rsid w:val="00375729"/>
  </w:style>
  <w:style w:type="paragraph" w:customStyle="1" w:styleId="Doccontrolsheet">
    <w:name w:val="Doc control sheet"/>
    <w:basedOn w:val="BCRTOCHeading1"/>
    <w:link w:val="DoccontrolsheetChar"/>
    <w:qFormat/>
    <w:rsid w:val="00375729"/>
  </w:style>
  <w:style w:type="character" w:customStyle="1" w:styleId="VersionhistoryChar">
    <w:name w:val="Version history Char"/>
    <w:basedOn w:val="BCRHead2Char"/>
    <w:link w:val="Versionhistory"/>
    <w:rsid w:val="00375729"/>
    <w:rPr>
      <w:rFonts w:ascii="Cambria" w:hAnsi="Cambria"/>
      <w:b/>
      <w:color w:val="EB1F25" w:themeColor="text1" w:themeTint="BF"/>
      <w:sz w:val="32"/>
      <w:szCs w:val="32"/>
    </w:rPr>
  </w:style>
  <w:style w:type="character" w:customStyle="1" w:styleId="DoccontrolsheetChar">
    <w:name w:val="Doc control sheet Char"/>
    <w:basedOn w:val="BCRTOCHeading1Char"/>
    <w:link w:val="Doccontrolsheet"/>
    <w:rsid w:val="00375729"/>
    <w:rPr>
      <w:rFonts w:ascii="Cambria" w:hAnsi="Cambria"/>
      <w:b/>
      <w:color w:val="AA0F14"/>
      <w:sz w:val="40"/>
      <w:szCs w:val="32"/>
    </w:rPr>
  </w:style>
  <w:style w:type="paragraph" w:customStyle="1" w:styleId="Default">
    <w:name w:val="Default"/>
    <w:rsid w:val="00375729"/>
    <w:pPr>
      <w:autoSpaceDE w:val="0"/>
      <w:autoSpaceDN w:val="0"/>
      <w:adjustRightInd w:val="0"/>
      <w:spacing w:before="0" w:after="0"/>
      <w:ind w:left="0" w:firstLine="0"/>
    </w:pPr>
    <w:rPr>
      <w:rFonts w:ascii="Calibri" w:hAnsi="Calibri" w:cs="Calibri"/>
      <w:color w:val="000000"/>
      <w:sz w:val="24"/>
      <w:szCs w:val="24"/>
    </w:rPr>
  </w:style>
  <w:style w:type="paragraph" w:customStyle="1" w:styleId="ExariBodyLeft">
    <w:name w:val="Exari Body Left"/>
    <w:basedOn w:val="Normal"/>
    <w:link w:val="ExariBodyLeftChar"/>
    <w:rsid w:val="00375729"/>
    <w:pPr>
      <w:tabs>
        <w:tab w:val="left" w:pos="576"/>
        <w:tab w:val="left" w:pos="1296"/>
        <w:tab w:val="left" w:pos="2016"/>
      </w:tabs>
      <w:spacing w:before="120" w:after="240"/>
    </w:pPr>
    <w:rPr>
      <w:rFonts w:ascii="Arial" w:eastAsia="Times New Roman" w:hAnsi="Arial" w:cs="Times New Roman"/>
      <w:bCs/>
      <w:sz w:val="24"/>
      <w:szCs w:val="24"/>
      <w:lang w:val="en-GB" w:eastAsia="en-AU"/>
    </w:rPr>
  </w:style>
  <w:style w:type="character" w:customStyle="1" w:styleId="ExariBodyLeftChar">
    <w:name w:val="Exari Body Left Char"/>
    <w:basedOn w:val="DefaultParagraphFont"/>
    <w:link w:val="ExariBodyLeft"/>
    <w:rsid w:val="00375729"/>
    <w:rPr>
      <w:rFonts w:ascii="Arial" w:eastAsia="Times New Roman" w:hAnsi="Arial" w:cs="Times New Roman"/>
      <w:bCs/>
      <w:sz w:val="24"/>
      <w:szCs w:val="24"/>
      <w:lang w:val="en-GB" w:eastAsia="en-AU"/>
    </w:rPr>
  </w:style>
  <w:style w:type="paragraph" w:customStyle="1" w:styleId="DPReport-FigureTableTitle">
    <w:name w:val="DP Report - Figure Table Title"/>
    <w:basedOn w:val="Chartandfiguresheading"/>
    <w:link w:val="DPReport-FigureTableTitleChar"/>
    <w:qFormat/>
    <w:rsid w:val="00375729"/>
    <w:rPr>
      <w:i/>
      <w:color w:val="474747" w:themeColor="text2" w:themeShade="BF"/>
      <w:sz w:val="20"/>
      <w:szCs w:val="20"/>
    </w:rPr>
  </w:style>
  <w:style w:type="character" w:customStyle="1" w:styleId="DPReport-FigureTableTitleChar">
    <w:name w:val="DP Report - Figure Table Title Char"/>
    <w:basedOn w:val="ChartandfiguresheadingChar"/>
    <w:link w:val="DPReport-FigureTableTitle"/>
    <w:rsid w:val="00375729"/>
    <w:rPr>
      <w:rFonts w:ascii="Cambria" w:eastAsiaTheme="majorEastAsia" w:hAnsi="Cambria" w:cstheme="majorBidi"/>
      <w:bCs/>
      <w:i/>
      <w:color w:val="474747" w:themeColor="text2" w:themeShade="BF"/>
      <w:sz w:val="20"/>
      <w:szCs w:val="20"/>
    </w:rPr>
  </w:style>
  <w:style w:type="paragraph" w:customStyle="1" w:styleId="BCRAppendicesHeading">
    <w:name w:val="BCR Appendices Heading"/>
    <w:basedOn w:val="H1"/>
    <w:link w:val="BCRAppendicesHeadingChar"/>
    <w:qFormat/>
    <w:rsid w:val="003C317B"/>
    <w:pPr>
      <w:numPr>
        <w:numId w:val="37"/>
      </w:numPr>
      <w:ind w:left="504" w:hanging="491"/>
    </w:pPr>
  </w:style>
  <w:style w:type="paragraph" w:customStyle="1" w:styleId="BCRAppendicesSubheading">
    <w:name w:val="BCR Appendices Subheading"/>
    <w:basedOn w:val="H2"/>
    <w:link w:val="BCRAppendicesSubheadingChar"/>
    <w:qFormat/>
    <w:rsid w:val="00C03BEC"/>
  </w:style>
  <w:style w:type="character" w:customStyle="1" w:styleId="H1Char">
    <w:name w:val="H1 Char"/>
    <w:basedOn w:val="Heading1Char"/>
    <w:link w:val="H1"/>
    <w:rsid w:val="003C317B"/>
    <w:rPr>
      <w:rFonts w:ascii="Cambria" w:eastAsiaTheme="majorEastAsia" w:hAnsi="Cambria" w:cstheme="majorBidi"/>
      <w:bCs/>
      <w:color w:val="900D10" w:themeColor="accent1" w:themeShade="80"/>
      <w:sz w:val="36"/>
      <w:szCs w:val="28"/>
    </w:rPr>
  </w:style>
  <w:style w:type="character" w:customStyle="1" w:styleId="BCRAppendicesHeadingChar">
    <w:name w:val="BCR Appendices Heading Char"/>
    <w:basedOn w:val="H1Char"/>
    <w:link w:val="BCRAppendicesHeading"/>
    <w:rsid w:val="003C317B"/>
    <w:rPr>
      <w:rFonts w:ascii="Cambria" w:eastAsiaTheme="majorEastAsia" w:hAnsi="Cambria" w:cstheme="majorBidi"/>
      <w:bCs/>
      <w:color w:val="900D10" w:themeColor="accent1" w:themeShade="80"/>
      <w:sz w:val="36"/>
      <w:szCs w:val="28"/>
    </w:rPr>
  </w:style>
  <w:style w:type="paragraph" w:customStyle="1" w:styleId="BCRAppendicesSubSubheading">
    <w:name w:val="BCR Appendices Sub Subheading"/>
    <w:basedOn w:val="H3"/>
    <w:link w:val="BCRAppendicesSubSubheadingChar"/>
    <w:qFormat/>
    <w:rsid w:val="00A67DEB"/>
  </w:style>
  <w:style w:type="character" w:customStyle="1" w:styleId="BCRAppendicesSubheadingChar">
    <w:name w:val="BCR Appendices Subheading Char"/>
    <w:basedOn w:val="H2Char"/>
    <w:link w:val="BCRAppendicesSubheading"/>
    <w:rsid w:val="00C03BEC"/>
    <w:rPr>
      <w:rFonts w:ascii="Cambria" w:eastAsiaTheme="majorEastAsia" w:hAnsi="Cambria" w:cstheme="majorBidi"/>
      <w:bCs/>
      <w:color w:val="900D10" w:themeColor="accent1" w:themeShade="80"/>
      <w:sz w:val="26"/>
      <w:szCs w:val="26"/>
    </w:rPr>
  </w:style>
  <w:style w:type="character" w:customStyle="1" w:styleId="H3Char">
    <w:name w:val="H3 Char"/>
    <w:basedOn w:val="Heading3Char"/>
    <w:link w:val="H3"/>
    <w:rsid w:val="00A67DEB"/>
    <w:rPr>
      <w:rFonts w:ascii="Cambria" w:eastAsiaTheme="majorEastAsia" w:hAnsi="Cambria" w:cstheme="majorBidi"/>
      <w:b/>
      <w:bCs/>
      <w:color w:val="5F5F5F" w:themeColor="text2"/>
    </w:rPr>
  </w:style>
  <w:style w:type="character" w:customStyle="1" w:styleId="BCRAppendicesSubSubheadingChar">
    <w:name w:val="BCR Appendices Sub Subheading Char"/>
    <w:basedOn w:val="H3Char"/>
    <w:link w:val="BCRAppendicesSubSubheading"/>
    <w:rsid w:val="00A67DEB"/>
    <w:rPr>
      <w:rFonts w:ascii="Cambria" w:eastAsiaTheme="majorEastAsia" w:hAnsi="Cambria" w:cstheme="majorBidi"/>
      <w:b/>
      <w:bCs/>
      <w:color w:val="5F5F5F"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5590">
      <w:bodyDiv w:val="1"/>
      <w:marLeft w:val="0"/>
      <w:marRight w:val="0"/>
      <w:marTop w:val="0"/>
      <w:marBottom w:val="0"/>
      <w:divBdr>
        <w:top w:val="none" w:sz="0" w:space="0" w:color="auto"/>
        <w:left w:val="none" w:sz="0" w:space="0" w:color="auto"/>
        <w:bottom w:val="none" w:sz="0" w:space="0" w:color="auto"/>
        <w:right w:val="none" w:sz="0" w:space="0" w:color="auto"/>
      </w:divBdr>
    </w:div>
    <w:div w:id="89594517">
      <w:bodyDiv w:val="1"/>
      <w:marLeft w:val="0"/>
      <w:marRight w:val="0"/>
      <w:marTop w:val="0"/>
      <w:marBottom w:val="0"/>
      <w:divBdr>
        <w:top w:val="none" w:sz="0" w:space="0" w:color="auto"/>
        <w:left w:val="none" w:sz="0" w:space="0" w:color="auto"/>
        <w:bottom w:val="none" w:sz="0" w:space="0" w:color="auto"/>
        <w:right w:val="none" w:sz="0" w:space="0" w:color="auto"/>
      </w:divBdr>
      <w:divsChild>
        <w:div w:id="1187869197">
          <w:marLeft w:val="0"/>
          <w:marRight w:val="0"/>
          <w:marTop w:val="0"/>
          <w:marBottom w:val="0"/>
          <w:divBdr>
            <w:top w:val="none" w:sz="0" w:space="0" w:color="auto"/>
            <w:left w:val="none" w:sz="0" w:space="0" w:color="auto"/>
            <w:bottom w:val="none" w:sz="0" w:space="0" w:color="auto"/>
            <w:right w:val="none" w:sz="0" w:space="0" w:color="auto"/>
          </w:divBdr>
          <w:divsChild>
            <w:div w:id="302151897">
              <w:marLeft w:val="0"/>
              <w:marRight w:val="0"/>
              <w:marTop w:val="0"/>
              <w:marBottom w:val="0"/>
              <w:divBdr>
                <w:top w:val="none" w:sz="0" w:space="0" w:color="auto"/>
                <w:left w:val="none" w:sz="0" w:space="0" w:color="auto"/>
                <w:bottom w:val="none" w:sz="0" w:space="0" w:color="auto"/>
                <w:right w:val="none" w:sz="0" w:space="0" w:color="auto"/>
              </w:divBdr>
              <w:divsChild>
                <w:div w:id="1881475353">
                  <w:marLeft w:val="0"/>
                  <w:marRight w:val="0"/>
                  <w:marTop w:val="0"/>
                  <w:marBottom w:val="0"/>
                  <w:divBdr>
                    <w:top w:val="none" w:sz="0" w:space="0" w:color="auto"/>
                    <w:left w:val="none" w:sz="0" w:space="0" w:color="auto"/>
                    <w:bottom w:val="none" w:sz="0" w:space="0" w:color="auto"/>
                    <w:right w:val="none" w:sz="0" w:space="0" w:color="auto"/>
                  </w:divBdr>
                  <w:divsChild>
                    <w:div w:id="1134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052116">
      <w:bodyDiv w:val="1"/>
      <w:marLeft w:val="0"/>
      <w:marRight w:val="0"/>
      <w:marTop w:val="0"/>
      <w:marBottom w:val="0"/>
      <w:divBdr>
        <w:top w:val="none" w:sz="0" w:space="0" w:color="auto"/>
        <w:left w:val="none" w:sz="0" w:space="0" w:color="auto"/>
        <w:bottom w:val="none" w:sz="0" w:space="0" w:color="auto"/>
        <w:right w:val="none" w:sz="0" w:space="0" w:color="auto"/>
      </w:divBdr>
    </w:div>
    <w:div w:id="361441334">
      <w:bodyDiv w:val="1"/>
      <w:marLeft w:val="0"/>
      <w:marRight w:val="0"/>
      <w:marTop w:val="0"/>
      <w:marBottom w:val="0"/>
      <w:divBdr>
        <w:top w:val="none" w:sz="0" w:space="0" w:color="auto"/>
        <w:left w:val="none" w:sz="0" w:space="0" w:color="auto"/>
        <w:bottom w:val="none" w:sz="0" w:space="0" w:color="auto"/>
        <w:right w:val="none" w:sz="0" w:space="0" w:color="auto"/>
      </w:divBdr>
    </w:div>
    <w:div w:id="364258196">
      <w:bodyDiv w:val="1"/>
      <w:marLeft w:val="0"/>
      <w:marRight w:val="0"/>
      <w:marTop w:val="0"/>
      <w:marBottom w:val="0"/>
      <w:divBdr>
        <w:top w:val="none" w:sz="0" w:space="0" w:color="auto"/>
        <w:left w:val="none" w:sz="0" w:space="0" w:color="auto"/>
        <w:bottom w:val="none" w:sz="0" w:space="0" w:color="auto"/>
        <w:right w:val="none" w:sz="0" w:space="0" w:color="auto"/>
      </w:divBdr>
    </w:div>
    <w:div w:id="473182892">
      <w:bodyDiv w:val="1"/>
      <w:marLeft w:val="0"/>
      <w:marRight w:val="0"/>
      <w:marTop w:val="0"/>
      <w:marBottom w:val="0"/>
      <w:divBdr>
        <w:top w:val="none" w:sz="0" w:space="0" w:color="auto"/>
        <w:left w:val="none" w:sz="0" w:space="0" w:color="auto"/>
        <w:bottom w:val="none" w:sz="0" w:space="0" w:color="auto"/>
        <w:right w:val="none" w:sz="0" w:space="0" w:color="auto"/>
      </w:divBdr>
    </w:div>
    <w:div w:id="548110304">
      <w:bodyDiv w:val="1"/>
      <w:marLeft w:val="0"/>
      <w:marRight w:val="0"/>
      <w:marTop w:val="0"/>
      <w:marBottom w:val="0"/>
      <w:divBdr>
        <w:top w:val="none" w:sz="0" w:space="0" w:color="auto"/>
        <w:left w:val="none" w:sz="0" w:space="0" w:color="auto"/>
        <w:bottom w:val="none" w:sz="0" w:space="0" w:color="auto"/>
        <w:right w:val="none" w:sz="0" w:space="0" w:color="auto"/>
      </w:divBdr>
      <w:divsChild>
        <w:div w:id="14311038">
          <w:marLeft w:val="0"/>
          <w:marRight w:val="0"/>
          <w:marTop w:val="0"/>
          <w:marBottom w:val="0"/>
          <w:divBdr>
            <w:top w:val="none" w:sz="0" w:space="0" w:color="auto"/>
            <w:left w:val="none" w:sz="0" w:space="0" w:color="auto"/>
            <w:bottom w:val="none" w:sz="0" w:space="0" w:color="auto"/>
            <w:right w:val="none" w:sz="0" w:space="0" w:color="auto"/>
          </w:divBdr>
          <w:divsChild>
            <w:div w:id="1451436225">
              <w:marLeft w:val="0"/>
              <w:marRight w:val="0"/>
              <w:marTop w:val="0"/>
              <w:marBottom w:val="0"/>
              <w:divBdr>
                <w:top w:val="none" w:sz="0" w:space="0" w:color="auto"/>
                <w:left w:val="none" w:sz="0" w:space="0" w:color="auto"/>
                <w:bottom w:val="none" w:sz="0" w:space="0" w:color="auto"/>
                <w:right w:val="none" w:sz="0" w:space="0" w:color="auto"/>
              </w:divBdr>
              <w:divsChild>
                <w:div w:id="526673042">
                  <w:marLeft w:val="0"/>
                  <w:marRight w:val="0"/>
                  <w:marTop w:val="0"/>
                  <w:marBottom w:val="0"/>
                  <w:divBdr>
                    <w:top w:val="none" w:sz="0" w:space="0" w:color="auto"/>
                    <w:left w:val="none" w:sz="0" w:space="0" w:color="auto"/>
                    <w:bottom w:val="none" w:sz="0" w:space="0" w:color="auto"/>
                    <w:right w:val="none" w:sz="0" w:space="0" w:color="auto"/>
                  </w:divBdr>
                  <w:divsChild>
                    <w:div w:id="777721752">
                      <w:marLeft w:val="0"/>
                      <w:marRight w:val="0"/>
                      <w:marTop w:val="0"/>
                      <w:marBottom w:val="0"/>
                      <w:divBdr>
                        <w:top w:val="none" w:sz="0" w:space="0" w:color="auto"/>
                        <w:left w:val="none" w:sz="0" w:space="0" w:color="auto"/>
                        <w:bottom w:val="none" w:sz="0" w:space="0" w:color="auto"/>
                        <w:right w:val="none" w:sz="0" w:space="0" w:color="auto"/>
                      </w:divBdr>
                      <w:divsChild>
                        <w:div w:id="1351882228">
                          <w:marLeft w:val="0"/>
                          <w:marRight w:val="0"/>
                          <w:marTop w:val="0"/>
                          <w:marBottom w:val="0"/>
                          <w:divBdr>
                            <w:top w:val="none" w:sz="0" w:space="0" w:color="auto"/>
                            <w:left w:val="none" w:sz="0" w:space="0" w:color="auto"/>
                            <w:bottom w:val="none" w:sz="0" w:space="0" w:color="auto"/>
                            <w:right w:val="none" w:sz="0" w:space="0" w:color="auto"/>
                          </w:divBdr>
                          <w:divsChild>
                            <w:div w:id="9616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6324">
      <w:bodyDiv w:val="1"/>
      <w:marLeft w:val="0"/>
      <w:marRight w:val="0"/>
      <w:marTop w:val="0"/>
      <w:marBottom w:val="0"/>
      <w:divBdr>
        <w:top w:val="none" w:sz="0" w:space="0" w:color="auto"/>
        <w:left w:val="none" w:sz="0" w:space="0" w:color="auto"/>
        <w:bottom w:val="none" w:sz="0" w:space="0" w:color="auto"/>
        <w:right w:val="none" w:sz="0" w:space="0" w:color="auto"/>
      </w:divBdr>
    </w:div>
    <w:div w:id="679744597">
      <w:bodyDiv w:val="1"/>
      <w:marLeft w:val="0"/>
      <w:marRight w:val="0"/>
      <w:marTop w:val="0"/>
      <w:marBottom w:val="0"/>
      <w:divBdr>
        <w:top w:val="none" w:sz="0" w:space="0" w:color="auto"/>
        <w:left w:val="none" w:sz="0" w:space="0" w:color="auto"/>
        <w:bottom w:val="none" w:sz="0" w:space="0" w:color="auto"/>
        <w:right w:val="none" w:sz="0" w:space="0" w:color="auto"/>
      </w:divBdr>
    </w:div>
    <w:div w:id="699862380">
      <w:bodyDiv w:val="1"/>
      <w:marLeft w:val="0"/>
      <w:marRight w:val="0"/>
      <w:marTop w:val="0"/>
      <w:marBottom w:val="0"/>
      <w:divBdr>
        <w:top w:val="none" w:sz="0" w:space="0" w:color="auto"/>
        <w:left w:val="none" w:sz="0" w:space="0" w:color="auto"/>
        <w:bottom w:val="none" w:sz="0" w:space="0" w:color="auto"/>
        <w:right w:val="none" w:sz="0" w:space="0" w:color="auto"/>
      </w:divBdr>
      <w:divsChild>
        <w:div w:id="1141776224">
          <w:marLeft w:val="0"/>
          <w:marRight w:val="0"/>
          <w:marTop w:val="0"/>
          <w:marBottom w:val="0"/>
          <w:divBdr>
            <w:top w:val="none" w:sz="0" w:space="0" w:color="auto"/>
            <w:left w:val="none" w:sz="0" w:space="0" w:color="auto"/>
            <w:bottom w:val="none" w:sz="0" w:space="0" w:color="auto"/>
            <w:right w:val="none" w:sz="0" w:space="0" w:color="auto"/>
          </w:divBdr>
          <w:divsChild>
            <w:div w:id="213927279">
              <w:marLeft w:val="0"/>
              <w:marRight w:val="0"/>
              <w:marTop w:val="0"/>
              <w:marBottom w:val="0"/>
              <w:divBdr>
                <w:top w:val="none" w:sz="0" w:space="0" w:color="auto"/>
                <w:left w:val="none" w:sz="0" w:space="0" w:color="auto"/>
                <w:bottom w:val="none" w:sz="0" w:space="0" w:color="auto"/>
                <w:right w:val="none" w:sz="0" w:space="0" w:color="auto"/>
              </w:divBdr>
              <w:divsChild>
                <w:div w:id="11347651">
                  <w:marLeft w:val="0"/>
                  <w:marRight w:val="0"/>
                  <w:marTop w:val="0"/>
                  <w:marBottom w:val="0"/>
                  <w:divBdr>
                    <w:top w:val="none" w:sz="0" w:space="0" w:color="auto"/>
                    <w:left w:val="none" w:sz="0" w:space="0" w:color="auto"/>
                    <w:bottom w:val="none" w:sz="0" w:space="0" w:color="auto"/>
                    <w:right w:val="none" w:sz="0" w:space="0" w:color="auto"/>
                  </w:divBdr>
                  <w:divsChild>
                    <w:div w:id="1558467339">
                      <w:marLeft w:val="0"/>
                      <w:marRight w:val="0"/>
                      <w:marTop w:val="0"/>
                      <w:marBottom w:val="0"/>
                      <w:divBdr>
                        <w:top w:val="none" w:sz="0" w:space="0" w:color="auto"/>
                        <w:left w:val="none" w:sz="0" w:space="0" w:color="auto"/>
                        <w:bottom w:val="none" w:sz="0" w:space="0" w:color="auto"/>
                        <w:right w:val="none" w:sz="0" w:space="0" w:color="auto"/>
                      </w:divBdr>
                      <w:divsChild>
                        <w:div w:id="134297026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24107">
      <w:bodyDiv w:val="1"/>
      <w:marLeft w:val="0"/>
      <w:marRight w:val="0"/>
      <w:marTop w:val="0"/>
      <w:marBottom w:val="0"/>
      <w:divBdr>
        <w:top w:val="none" w:sz="0" w:space="0" w:color="auto"/>
        <w:left w:val="none" w:sz="0" w:space="0" w:color="auto"/>
        <w:bottom w:val="none" w:sz="0" w:space="0" w:color="auto"/>
        <w:right w:val="none" w:sz="0" w:space="0" w:color="auto"/>
      </w:divBdr>
      <w:divsChild>
        <w:div w:id="838736492">
          <w:marLeft w:val="0"/>
          <w:marRight w:val="0"/>
          <w:marTop w:val="0"/>
          <w:marBottom w:val="0"/>
          <w:divBdr>
            <w:top w:val="none" w:sz="0" w:space="0" w:color="auto"/>
            <w:left w:val="none" w:sz="0" w:space="0" w:color="auto"/>
            <w:bottom w:val="none" w:sz="0" w:space="0" w:color="auto"/>
            <w:right w:val="none" w:sz="0" w:space="0" w:color="auto"/>
          </w:divBdr>
          <w:divsChild>
            <w:div w:id="693652630">
              <w:marLeft w:val="0"/>
              <w:marRight w:val="0"/>
              <w:marTop w:val="0"/>
              <w:marBottom w:val="0"/>
              <w:divBdr>
                <w:top w:val="none" w:sz="0" w:space="0" w:color="auto"/>
                <w:left w:val="none" w:sz="0" w:space="0" w:color="auto"/>
                <w:bottom w:val="none" w:sz="0" w:space="0" w:color="auto"/>
                <w:right w:val="none" w:sz="0" w:space="0" w:color="auto"/>
              </w:divBdr>
              <w:divsChild>
                <w:div w:id="507064688">
                  <w:marLeft w:val="0"/>
                  <w:marRight w:val="0"/>
                  <w:marTop w:val="0"/>
                  <w:marBottom w:val="0"/>
                  <w:divBdr>
                    <w:top w:val="none" w:sz="0" w:space="0" w:color="auto"/>
                    <w:left w:val="none" w:sz="0" w:space="0" w:color="auto"/>
                    <w:bottom w:val="none" w:sz="0" w:space="0" w:color="auto"/>
                    <w:right w:val="none" w:sz="0" w:space="0" w:color="auto"/>
                  </w:divBdr>
                  <w:divsChild>
                    <w:div w:id="167600973">
                      <w:marLeft w:val="0"/>
                      <w:marRight w:val="0"/>
                      <w:marTop w:val="45"/>
                      <w:marBottom w:val="0"/>
                      <w:divBdr>
                        <w:top w:val="none" w:sz="0" w:space="0" w:color="auto"/>
                        <w:left w:val="none" w:sz="0" w:space="0" w:color="auto"/>
                        <w:bottom w:val="none" w:sz="0" w:space="0" w:color="auto"/>
                        <w:right w:val="none" w:sz="0" w:space="0" w:color="auto"/>
                      </w:divBdr>
                      <w:divsChild>
                        <w:div w:id="1436441587">
                          <w:marLeft w:val="0"/>
                          <w:marRight w:val="0"/>
                          <w:marTop w:val="0"/>
                          <w:marBottom w:val="0"/>
                          <w:divBdr>
                            <w:top w:val="none" w:sz="0" w:space="0" w:color="auto"/>
                            <w:left w:val="none" w:sz="0" w:space="0" w:color="auto"/>
                            <w:bottom w:val="none" w:sz="0" w:space="0" w:color="auto"/>
                            <w:right w:val="none" w:sz="0" w:space="0" w:color="auto"/>
                          </w:divBdr>
                          <w:divsChild>
                            <w:div w:id="495267385">
                              <w:marLeft w:val="2070"/>
                              <w:marRight w:val="3810"/>
                              <w:marTop w:val="0"/>
                              <w:marBottom w:val="0"/>
                              <w:divBdr>
                                <w:top w:val="none" w:sz="0" w:space="0" w:color="auto"/>
                                <w:left w:val="none" w:sz="0" w:space="0" w:color="auto"/>
                                <w:bottom w:val="none" w:sz="0" w:space="0" w:color="auto"/>
                                <w:right w:val="none" w:sz="0" w:space="0" w:color="auto"/>
                              </w:divBdr>
                              <w:divsChild>
                                <w:div w:id="1260916424">
                                  <w:marLeft w:val="0"/>
                                  <w:marRight w:val="0"/>
                                  <w:marTop w:val="0"/>
                                  <w:marBottom w:val="0"/>
                                  <w:divBdr>
                                    <w:top w:val="none" w:sz="0" w:space="0" w:color="auto"/>
                                    <w:left w:val="none" w:sz="0" w:space="0" w:color="auto"/>
                                    <w:bottom w:val="none" w:sz="0" w:space="0" w:color="auto"/>
                                    <w:right w:val="none" w:sz="0" w:space="0" w:color="auto"/>
                                  </w:divBdr>
                                  <w:divsChild>
                                    <w:div w:id="808790551">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15161285">
                                              <w:marLeft w:val="0"/>
                                              <w:marRight w:val="0"/>
                                              <w:marTop w:val="0"/>
                                              <w:marBottom w:val="0"/>
                                              <w:divBdr>
                                                <w:top w:val="none" w:sz="0" w:space="0" w:color="auto"/>
                                                <w:left w:val="none" w:sz="0" w:space="0" w:color="auto"/>
                                                <w:bottom w:val="none" w:sz="0" w:space="0" w:color="auto"/>
                                                <w:right w:val="none" w:sz="0" w:space="0" w:color="auto"/>
                                              </w:divBdr>
                                              <w:divsChild>
                                                <w:div w:id="364524701">
                                                  <w:marLeft w:val="0"/>
                                                  <w:marRight w:val="0"/>
                                                  <w:marTop w:val="0"/>
                                                  <w:marBottom w:val="0"/>
                                                  <w:divBdr>
                                                    <w:top w:val="none" w:sz="0" w:space="0" w:color="auto"/>
                                                    <w:left w:val="none" w:sz="0" w:space="0" w:color="auto"/>
                                                    <w:bottom w:val="none" w:sz="0" w:space="0" w:color="auto"/>
                                                    <w:right w:val="none" w:sz="0" w:space="0" w:color="auto"/>
                                                  </w:divBdr>
                                                  <w:divsChild>
                                                    <w:div w:id="1299070540">
                                                      <w:marLeft w:val="0"/>
                                                      <w:marRight w:val="0"/>
                                                      <w:marTop w:val="0"/>
                                                      <w:marBottom w:val="0"/>
                                                      <w:divBdr>
                                                        <w:top w:val="none" w:sz="0" w:space="0" w:color="auto"/>
                                                        <w:left w:val="none" w:sz="0" w:space="0" w:color="auto"/>
                                                        <w:bottom w:val="none" w:sz="0" w:space="0" w:color="auto"/>
                                                        <w:right w:val="none" w:sz="0" w:space="0" w:color="auto"/>
                                                      </w:divBdr>
                                                      <w:divsChild>
                                                        <w:div w:id="189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629134">
      <w:bodyDiv w:val="1"/>
      <w:marLeft w:val="0"/>
      <w:marRight w:val="0"/>
      <w:marTop w:val="0"/>
      <w:marBottom w:val="0"/>
      <w:divBdr>
        <w:top w:val="none" w:sz="0" w:space="0" w:color="auto"/>
        <w:left w:val="none" w:sz="0" w:space="0" w:color="auto"/>
        <w:bottom w:val="none" w:sz="0" w:space="0" w:color="auto"/>
        <w:right w:val="none" w:sz="0" w:space="0" w:color="auto"/>
      </w:divBdr>
      <w:divsChild>
        <w:div w:id="73627811">
          <w:marLeft w:val="0"/>
          <w:marRight w:val="0"/>
          <w:marTop w:val="0"/>
          <w:marBottom w:val="0"/>
          <w:divBdr>
            <w:top w:val="none" w:sz="0" w:space="0" w:color="auto"/>
            <w:left w:val="none" w:sz="0" w:space="0" w:color="auto"/>
            <w:bottom w:val="none" w:sz="0" w:space="0" w:color="auto"/>
            <w:right w:val="none" w:sz="0" w:space="0" w:color="auto"/>
          </w:divBdr>
          <w:divsChild>
            <w:div w:id="1238831155">
              <w:marLeft w:val="0"/>
              <w:marRight w:val="0"/>
              <w:marTop w:val="0"/>
              <w:marBottom w:val="0"/>
              <w:divBdr>
                <w:top w:val="none" w:sz="0" w:space="0" w:color="auto"/>
                <w:left w:val="none" w:sz="0" w:space="0" w:color="auto"/>
                <w:bottom w:val="none" w:sz="0" w:space="0" w:color="auto"/>
                <w:right w:val="none" w:sz="0" w:space="0" w:color="auto"/>
              </w:divBdr>
              <w:divsChild>
                <w:div w:id="346566488">
                  <w:marLeft w:val="0"/>
                  <w:marRight w:val="0"/>
                  <w:marTop w:val="0"/>
                  <w:marBottom w:val="0"/>
                  <w:divBdr>
                    <w:top w:val="none" w:sz="0" w:space="0" w:color="auto"/>
                    <w:left w:val="none" w:sz="0" w:space="0" w:color="auto"/>
                    <w:bottom w:val="none" w:sz="0" w:space="0" w:color="auto"/>
                    <w:right w:val="none" w:sz="0" w:space="0" w:color="auto"/>
                  </w:divBdr>
                  <w:divsChild>
                    <w:div w:id="1998418249">
                      <w:marLeft w:val="0"/>
                      <w:marRight w:val="0"/>
                      <w:marTop w:val="0"/>
                      <w:marBottom w:val="0"/>
                      <w:divBdr>
                        <w:top w:val="none" w:sz="0" w:space="0" w:color="auto"/>
                        <w:left w:val="none" w:sz="0" w:space="0" w:color="auto"/>
                        <w:bottom w:val="none" w:sz="0" w:space="0" w:color="auto"/>
                        <w:right w:val="none" w:sz="0" w:space="0" w:color="auto"/>
                      </w:divBdr>
                      <w:divsChild>
                        <w:div w:id="470514940">
                          <w:marLeft w:val="0"/>
                          <w:marRight w:val="1200"/>
                          <w:marTop w:val="300"/>
                          <w:marBottom w:val="0"/>
                          <w:divBdr>
                            <w:top w:val="none" w:sz="0" w:space="0" w:color="auto"/>
                            <w:left w:val="none" w:sz="0" w:space="0" w:color="auto"/>
                            <w:bottom w:val="none" w:sz="0" w:space="0" w:color="auto"/>
                            <w:right w:val="none" w:sz="0" w:space="0" w:color="auto"/>
                          </w:divBdr>
                          <w:divsChild>
                            <w:div w:id="1263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404542">
      <w:bodyDiv w:val="1"/>
      <w:marLeft w:val="0"/>
      <w:marRight w:val="0"/>
      <w:marTop w:val="0"/>
      <w:marBottom w:val="0"/>
      <w:divBdr>
        <w:top w:val="none" w:sz="0" w:space="0" w:color="auto"/>
        <w:left w:val="none" w:sz="0" w:space="0" w:color="auto"/>
        <w:bottom w:val="none" w:sz="0" w:space="0" w:color="auto"/>
        <w:right w:val="none" w:sz="0" w:space="0" w:color="auto"/>
      </w:divBdr>
      <w:divsChild>
        <w:div w:id="478033158">
          <w:marLeft w:val="0"/>
          <w:marRight w:val="0"/>
          <w:marTop w:val="0"/>
          <w:marBottom w:val="0"/>
          <w:divBdr>
            <w:top w:val="none" w:sz="0" w:space="0" w:color="auto"/>
            <w:left w:val="none" w:sz="0" w:space="0" w:color="auto"/>
            <w:bottom w:val="none" w:sz="0" w:space="0" w:color="auto"/>
            <w:right w:val="none" w:sz="0" w:space="0" w:color="auto"/>
          </w:divBdr>
          <w:divsChild>
            <w:div w:id="1707633385">
              <w:marLeft w:val="0"/>
              <w:marRight w:val="0"/>
              <w:marTop w:val="0"/>
              <w:marBottom w:val="0"/>
              <w:divBdr>
                <w:top w:val="none" w:sz="0" w:space="0" w:color="auto"/>
                <w:left w:val="none" w:sz="0" w:space="0" w:color="auto"/>
                <w:bottom w:val="none" w:sz="0" w:space="0" w:color="auto"/>
                <w:right w:val="none" w:sz="0" w:space="0" w:color="auto"/>
              </w:divBdr>
              <w:divsChild>
                <w:div w:id="1583831306">
                  <w:marLeft w:val="0"/>
                  <w:marRight w:val="0"/>
                  <w:marTop w:val="0"/>
                  <w:marBottom w:val="0"/>
                  <w:divBdr>
                    <w:top w:val="none" w:sz="0" w:space="0" w:color="auto"/>
                    <w:left w:val="none" w:sz="0" w:space="0" w:color="auto"/>
                    <w:bottom w:val="none" w:sz="0" w:space="0" w:color="auto"/>
                    <w:right w:val="none" w:sz="0" w:space="0" w:color="auto"/>
                  </w:divBdr>
                  <w:divsChild>
                    <w:div w:id="1094401828">
                      <w:marLeft w:val="0"/>
                      <w:marRight w:val="0"/>
                      <w:marTop w:val="0"/>
                      <w:marBottom w:val="0"/>
                      <w:divBdr>
                        <w:top w:val="none" w:sz="0" w:space="0" w:color="auto"/>
                        <w:left w:val="none" w:sz="0" w:space="0" w:color="auto"/>
                        <w:bottom w:val="none" w:sz="0" w:space="0" w:color="auto"/>
                        <w:right w:val="none" w:sz="0" w:space="0" w:color="auto"/>
                      </w:divBdr>
                      <w:divsChild>
                        <w:div w:id="27722368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064617">
      <w:bodyDiv w:val="1"/>
      <w:marLeft w:val="0"/>
      <w:marRight w:val="0"/>
      <w:marTop w:val="0"/>
      <w:marBottom w:val="0"/>
      <w:divBdr>
        <w:top w:val="none" w:sz="0" w:space="0" w:color="auto"/>
        <w:left w:val="none" w:sz="0" w:space="0" w:color="auto"/>
        <w:bottom w:val="none" w:sz="0" w:space="0" w:color="auto"/>
        <w:right w:val="none" w:sz="0" w:space="0" w:color="auto"/>
      </w:divBdr>
    </w:div>
    <w:div w:id="1055929274">
      <w:bodyDiv w:val="1"/>
      <w:marLeft w:val="0"/>
      <w:marRight w:val="0"/>
      <w:marTop w:val="0"/>
      <w:marBottom w:val="0"/>
      <w:divBdr>
        <w:top w:val="none" w:sz="0" w:space="0" w:color="auto"/>
        <w:left w:val="none" w:sz="0" w:space="0" w:color="auto"/>
        <w:bottom w:val="none" w:sz="0" w:space="0" w:color="auto"/>
        <w:right w:val="none" w:sz="0" w:space="0" w:color="auto"/>
      </w:divBdr>
    </w:div>
    <w:div w:id="1094671970">
      <w:bodyDiv w:val="1"/>
      <w:marLeft w:val="0"/>
      <w:marRight w:val="0"/>
      <w:marTop w:val="0"/>
      <w:marBottom w:val="0"/>
      <w:divBdr>
        <w:top w:val="none" w:sz="0" w:space="0" w:color="auto"/>
        <w:left w:val="none" w:sz="0" w:space="0" w:color="auto"/>
        <w:bottom w:val="none" w:sz="0" w:space="0" w:color="auto"/>
        <w:right w:val="none" w:sz="0" w:space="0" w:color="auto"/>
      </w:divBdr>
    </w:div>
    <w:div w:id="1105542875">
      <w:bodyDiv w:val="1"/>
      <w:marLeft w:val="0"/>
      <w:marRight w:val="0"/>
      <w:marTop w:val="0"/>
      <w:marBottom w:val="0"/>
      <w:divBdr>
        <w:top w:val="none" w:sz="0" w:space="0" w:color="auto"/>
        <w:left w:val="none" w:sz="0" w:space="0" w:color="auto"/>
        <w:bottom w:val="none" w:sz="0" w:space="0" w:color="auto"/>
        <w:right w:val="none" w:sz="0" w:space="0" w:color="auto"/>
      </w:divBdr>
    </w:div>
    <w:div w:id="1163164907">
      <w:bodyDiv w:val="1"/>
      <w:marLeft w:val="0"/>
      <w:marRight w:val="0"/>
      <w:marTop w:val="0"/>
      <w:marBottom w:val="0"/>
      <w:divBdr>
        <w:top w:val="none" w:sz="0" w:space="0" w:color="auto"/>
        <w:left w:val="none" w:sz="0" w:space="0" w:color="auto"/>
        <w:bottom w:val="none" w:sz="0" w:space="0" w:color="auto"/>
        <w:right w:val="none" w:sz="0" w:space="0" w:color="auto"/>
      </w:divBdr>
    </w:div>
    <w:div w:id="1165902111">
      <w:bodyDiv w:val="1"/>
      <w:marLeft w:val="0"/>
      <w:marRight w:val="0"/>
      <w:marTop w:val="0"/>
      <w:marBottom w:val="0"/>
      <w:divBdr>
        <w:top w:val="none" w:sz="0" w:space="0" w:color="auto"/>
        <w:left w:val="none" w:sz="0" w:space="0" w:color="auto"/>
        <w:bottom w:val="none" w:sz="0" w:space="0" w:color="auto"/>
        <w:right w:val="none" w:sz="0" w:space="0" w:color="auto"/>
      </w:divBdr>
    </w:div>
    <w:div w:id="1216165501">
      <w:bodyDiv w:val="1"/>
      <w:marLeft w:val="0"/>
      <w:marRight w:val="0"/>
      <w:marTop w:val="0"/>
      <w:marBottom w:val="0"/>
      <w:divBdr>
        <w:top w:val="none" w:sz="0" w:space="0" w:color="auto"/>
        <w:left w:val="none" w:sz="0" w:space="0" w:color="auto"/>
        <w:bottom w:val="none" w:sz="0" w:space="0" w:color="auto"/>
        <w:right w:val="none" w:sz="0" w:space="0" w:color="auto"/>
      </w:divBdr>
    </w:div>
    <w:div w:id="1369404929">
      <w:bodyDiv w:val="1"/>
      <w:marLeft w:val="0"/>
      <w:marRight w:val="0"/>
      <w:marTop w:val="0"/>
      <w:marBottom w:val="0"/>
      <w:divBdr>
        <w:top w:val="none" w:sz="0" w:space="0" w:color="auto"/>
        <w:left w:val="none" w:sz="0" w:space="0" w:color="auto"/>
        <w:bottom w:val="none" w:sz="0" w:space="0" w:color="auto"/>
        <w:right w:val="none" w:sz="0" w:space="0" w:color="auto"/>
      </w:divBdr>
    </w:div>
    <w:div w:id="1426882353">
      <w:bodyDiv w:val="1"/>
      <w:marLeft w:val="0"/>
      <w:marRight w:val="0"/>
      <w:marTop w:val="0"/>
      <w:marBottom w:val="0"/>
      <w:divBdr>
        <w:top w:val="none" w:sz="0" w:space="0" w:color="auto"/>
        <w:left w:val="none" w:sz="0" w:space="0" w:color="auto"/>
        <w:bottom w:val="none" w:sz="0" w:space="0" w:color="auto"/>
        <w:right w:val="none" w:sz="0" w:space="0" w:color="auto"/>
      </w:divBdr>
    </w:div>
    <w:div w:id="1583182622">
      <w:bodyDiv w:val="1"/>
      <w:marLeft w:val="0"/>
      <w:marRight w:val="0"/>
      <w:marTop w:val="0"/>
      <w:marBottom w:val="0"/>
      <w:divBdr>
        <w:top w:val="none" w:sz="0" w:space="0" w:color="auto"/>
        <w:left w:val="none" w:sz="0" w:space="0" w:color="auto"/>
        <w:bottom w:val="none" w:sz="0" w:space="0" w:color="auto"/>
        <w:right w:val="none" w:sz="0" w:space="0" w:color="auto"/>
      </w:divBdr>
    </w:div>
    <w:div w:id="1641381816">
      <w:bodyDiv w:val="1"/>
      <w:marLeft w:val="0"/>
      <w:marRight w:val="0"/>
      <w:marTop w:val="0"/>
      <w:marBottom w:val="0"/>
      <w:divBdr>
        <w:top w:val="none" w:sz="0" w:space="0" w:color="auto"/>
        <w:left w:val="none" w:sz="0" w:space="0" w:color="auto"/>
        <w:bottom w:val="none" w:sz="0" w:space="0" w:color="auto"/>
        <w:right w:val="none" w:sz="0" w:space="0" w:color="auto"/>
      </w:divBdr>
      <w:divsChild>
        <w:div w:id="1697848811">
          <w:marLeft w:val="0"/>
          <w:marRight w:val="0"/>
          <w:marTop w:val="0"/>
          <w:marBottom w:val="0"/>
          <w:divBdr>
            <w:top w:val="none" w:sz="0" w:space="0" w:color="auto"/>
            <w:left w:val="none" w:sz="0" w:space="0" w:color="auto"/>
            <w:bottom w:val="none" w:sz="0" w:space="0" w:color="auto"/>
            <w:right w:val="none" w:sz="0" w:space="0" w:color="auto"/>
          </w:divBdr>
          <w:divsChild>
            <w:div w:id="1745031122">
              <w:marLeft w:val="0"/>
              <w:marRight w:val="0"/>
              <w:marTop w:val="0"/>
              <w:marBottom w:val="0"/>
              <w:divBdr>
                <w:top w:val="none" w:sz="0" w:space="0" w:color="auto"/>
                <w:left w:val="none" w:sz="0" w:space="0" w:color="auto"/>
                <w:bottom w:val="none" w:sz="0" w:space="0" w:color="auto"/>
                <w:right w:val="none" w:sz="0" w:space="0" w:color="auto"/>
              </w:divBdr>
              <w:divsChild>
                <w:div w:id="584070581">
                  <w:marLeft w:val="0"/>
                  <w:marRight w:val="0"/>
                  <w:marTop w:val="0"/>
                  <w:marBottom w:val="0"/>
                  <w:divBdr>
                    <w:top w:val="none" w:sz="0" w:space="0" w:color="auto"/>
                    <w:left w:val="none" w:sz="0" w:space="0" w:color="auto"/>
                    <w:bottom w:val="none" w:sz="0" w:space="0" w:color="auto"/>
                    <w:right w:val="none" w:sz="0" w:space="0" w:color="auto"/>
                  </w:divBdr>
                  <w:divsChild>
                    <w:div w:id="234246708">
                      <w:marLeft w:val="0"/>
                      <w:marRight w:val="0"/>
                      <w:marTop w:val="0"/>
                      <w:marBottom w:val="0"/>
                      <w:divBdr>
                        <w:top w:val="none" w:sz="0" w:space="0" w:color="auto"/>
                        <w:left w:val="none" w:sz="0" w:space="0" w:color="auto"/>
                        <w:bottom w:val="none" w:sz="0" w:space="0" w:color="auto"/>
                        <w:right w:val="none" w:sz="0" w:space="0" w:color="auto"/>
                      </w:divBdr>
                      <w:divsChild>
                        <w:div w:id="1959140374">
                          <w:marLeft w:val="0"/>
                          <w:marRight w:val="0"/>
                          <w:marTop w:val="0"/>
                          <w:marBottom w:val="0"/>
                          <w:divBdr>
                            <w:top w:val="none" w:sz="0" w:space="0" w:color="auto"/>
                            <w:left w:val="none" w:sz="0" w:space="0" w:color="auto"/>
                            <w:bottom w:val="none" w:sz="0" w:space="0" w:color="auto"/>
                            <w:right w:val="none" w:sz="0" w:space="0" w:color="auto"/>
                          </w:divBdr>
                          <w:divsChild>
                            <w:div w:id="699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03322">
      <w:bodyDiv w:val="1"/>
      <w:marLeft w:val="0"/>
      <w:marRight w:val="0"/>
      <w:marTop w:val="0"/>
      <w:marBottom w:val="0"/>
      <w:divBdr>
        <w:top w:val="none" w:sz="0" w:space="0" w:color="auto"/>
        <w:left w:val="none" w:sz="0" w:space="0" w:color="auto"/>
        <w:bottom w:val="none" w:sz="0" w:space="0" w:color="auto"/>
        <w:right w:val="none" w:sz="0" w:space="0" w:color="auto"/>
      </w:divBdr>
    </w:div>
    <w:div w:id="1770003967">
      <w:bodyDiv w:val="1"/>
      <w:marLeft w:val="0"/>
      <w:marRight w:val="0"/>
      <w:marTop w:val="0"/>
      <w:marBottom w:val="0"/>
      <w:divBdr>
        <w:top w:val="none" w:sz="0" w:space="0" w:color="auto"/>
        <w:left w:val="none" w:sz="0" w:space="0" w:color="auto"/>
        <w:bottom w:val="none" w:sz="0" w:space="0" w:color="auto"/>
        <w:right w:val="none" w:sz="0" w:space="0" w:color="auto"/>
      </w:divBdr>
    </w:div>
    <w:div w:id="1816488618">
      <w:bodyDiv w:val="1"/>
      <w:marLeft w:val="0"/>
      <w:marRight w:val="0"/>
      <w:marTop w:val="0"/>
      <w:marBottom w:val="0"/>
      <w:divBdr>
        <w:top w:val="none" w:sz="0" w:space="0" w:color="auto"/>
        <w:left w:val="none" w:sz="0" w:space="0" w:color="auto"/>
        <w:bottom w:val="none" w:sz="0" w:space="0" w:color="auto"/>
        <w:right w:val="none" w:sz="0" w:space="0" w:color="auto"/>
      </w:divBdr>
      <w:divsChild>
        <w:div w:id="1275287397">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sChild>
                <w:div w:id="196743694">
                  <w:marLeft w:val="0"/>
                  <w:marRight w:val="0"/>
                  <w:marTop w:val="100"/>
                  <w:marBottom w:val="100"/>
                  <w:divBdr>
                    <w:top w:val="none" w:sz="0" w:space="0" w:color="auto"/>
                    <w:left w:val="none" w:sz="0" w:space="0" w:color="auto"/>
                    <w:bottom w:val="none" w:sz="0" w:space="0" w:color="auto"/>
                    <w:right w:val="none" w:sz="0" w:space="0" w:color="auto"/>
                  </w:divBdr>
                  <w:divsChild>
                    <w:div w:id="729116186">
                      <w:marLeft w:val="0"/>
                      <w:marRight w:val="0"/>
                      <w:marTop w:val="0"/>
                      <w:marBottom w:val="0"/>
                      <w:divBdr>
                        <w:top w:val="none" w:sz="0" w:space="0" w:color="auto"/>
                        <w:left w:val="none" w:sz="0" w:space="0" w:color="auto"/>
                        <w:bottom w:val="none" w:sz="0" w:space="0" w:color="auto"/>
                        <w:right w:val="none" w:sz="0" w:space="0" w:color="auto"/>
                      </w:divBdr>
                      <w:divsChild>
                        <w:div w:id="1633904044">
                          <w:marLeft w:val="0"/>
                          <w:marRight w:val="0"/>
                          <w:marTop w:val="0"/>
                          <w:marBottom w:val="0"/>
                          <w:divBdr>
                            <w:top w:val="none" w:sz="0" w:space="0" w:color="auto"/>
                            <w:left w:val="none" w:sz="0" w:space="0" w:color="auto"/>
                            <w:bottom w:val="none" w:sz="0" w:space="0" w:color="auto"/>
                            <w:right w:val="none" w:sz="0" w:space="0" w:color="auto"/>
                          </w:divBdr>
                          <w:divsChild>
                            <w:div w:id="292565755">
                              <w:marLeft w:val="0"/>
                              <w:marRight w:val="0"/>
                              <w:marTop w:val="0"/>
                              <w:marBottom w:val="0"/>
                              <w:divBdr>
                                <w:top w:val="none" w:sz="0" w:space="0" w:color="auto"/>
                                <w:left w:val="none" w:sz="0" w:space="0" w:color="auto"/>
                                <w:bottom w:val="none" w:sz="0" w:space="0" w:color="auto"/>
                                <w:right w:val="none" w:sz="0" w:space="0" w:color="auto"/>
                              </w:divBdr>
                              <w:divsChild>
                                <w:div w:id="203710985">
                                  <w:marLeft w:val="0"/>
                                  <w:marRight w:val="0"/>
                                  <w:marTop w:val="0"/>
                                  <w:marBottom w:val="0"/>
                                  <w:divBdr>
                                    <w:top w:val="none" w:sz="0" w:space="0" w:color="auto"/>
                                    <w:left w:val="none" w:sz="0" w:space="0" w:color="auto"/>
                                    <w:bottom w:val="none" w:sz="0" w:space="0" w:color="auto"/>
                                    <w:right w:val="none" w:sz="0" w:space="0" w:color="auto"/>
                                  </w:divBdr>
                                  <w:divsChild>
                                    <w:div w:id="2067990982">
                                      <w:marLeft w:val="0"/>
                                      <w:marRight w:val="0"/>
                                      <w:marTop w:val="0"/>
                                      <w:marBottom w:val="0"/>
                                      <w:divBdr>
                                        <w:top w:val="none" w:sz="0" w:space="0" w:color="auto"/>
                                        <w:left w:val="none" w:sz="0" w:space="0" w:color="auto"/>
                                        <w:bottom w:val="none" w:sz="0" w:space="0" w:color="auto"/>
                                        <w:right w:val="none" w:sz="0" w:space="0" w:color="auto"/>
                                      </w:divBdr>
                                      <w:divsChild>
                                        <w:div w:id="1461804338">
                                          <w:marLeft w:val="0"/>
                                          <w:marRight w:val="0"/>
                                          <w:marTop w:val="0"/>
                                          <w:marBottom w:val="360"/>
                                          <w:divBdr>
                                            <w:top w:val="none" w:sz="0" w:space="0" w:color="auto"/>
                                            <w:left w:val="none" w:sz="0" w:space="0" w:color="auto"/>
                                            <w:bottom w:val="none" w:sz="0" w:space="0" w:color="auto"/>
                                            <w:right w:val="none" w:sz="0" w:space="0" w:color="auto"/>
                                          </w:divBdr>
                                          <w:divsChild>
                                            <w:div w:id="1411123793">
                                              <w:marLeft w:val="0"/>
                                              <w:marRight w:val="0"/>
                                              <w:marTop w:val="0"/>
                                              <w:marBottom w:val="0"/>
                                              <w:divBdr>
                                                <w:top w:val="none" w:sz="0" w:space="0" w:color="auto"/>
                                                <w:left w:val="none" w:sz="0" w:space="0" w:color="auto"/>
                                                <w:bottom w:val="none" w:sz="0" w:space="0" w:color="auto"/>
                                                <w:right w:val="none" w:sz="0" w:space="0" w:color="auto"/>
                                              </w:divBdr>
                                              <w:divsChild>
                                                <w:div w:id="921720376">
                                                  <w:marLeft w:val="0"/>
                                                  <w:marRight w:val="0"/>
                                                  <w:marTop w:val="0"/>
                                                  <w:marBottom w:val="0"/>
                                                  <w:divBdr>
                                                    <w:top w:val="none" w:sz="0" w:space="0" w:color="auto"/>
                                                    <w:left w:val="none" w:sz="0" w:space="0" w:color="auto"/>
                                                    <w:bottom w:val="none" w:sz="0" w:space="0" w:color="auto"/>
                                                    <w:right w:val="none" w:sz="0" w:space="0" w:color="auto"/>
                                                  </w:divBdr>
                                                  <w:divsChild>
                                                    <w:div w:id="545487255">
                                                      <w:marLeft w:val="5370"/>
                                                      <w:marRight w:val="0"/>
                                                      <w:marTop w:val="120"/>
                                                      <w:marBottom w:val="0"/>
                                                      <w:divBdr>
                                                        <w:top w:val="none" w:sz="0" w:space="0" w:color="auto"/>
                                                        <w:left w:val="none" w:sz="0" w:space="0" w:color="auto"/>
                                                        <w:bottom w:val="none" w:sz="0" w:space="0" w:color="auto"/>
                                                        <w:right w:val="none" w:sz="0" w:space="0" w:color="auto"/>
                                                      </w:divBdr>
                                                      <w:divsChild>
                                                        <w:div w:id="359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1267">
      <w:bodyDiv w:val="1"/>
      <w:marLeft w:val="0"/>
      <w:marRight w:val="0"/>
      <w:marTop w:val="0"/>
      <w:marBottom w:val="0"/>
      <w:divBdr>
        <w:top w:val="none" w:sz="0" w:space="0" w:color="auto"/>
        <w:left w:val="none" w:sz="0" w:space="0" w:color="auto"/>
        <w:bottom w:val="none" w:sz="0" w:space="0" w:color="auto"/>
        <w:right w:val="none" w:sz="0" w:space="0" w:color="auto"/>
      </w:divBdr>
    </w:div>
    <w:div w:id="2003118502">
      <w:bodyDiv w:val="1"/>
      <w:marLeft w:val="0"/>
      <w:marRight w:val="0"/>
      <w:marTop w:val="0"/>
      <w:marBottom w:val="0"/>
      <w:divBdr>
        <w:top w:val="none" w:sz="0" w:space="0" w:color="auto"/>
        <w:left w:val="none" w:sz="0" w:space="0" w:color="auto"/>
        <w:bottom w:val="none" w:sz="0" w:space="0" w:color="auto"/>
        <w:right w:val="none" w:sz="0" w:space="0" w:color="auto"/>
      </w:divBdr>
    </w:div>
    <w:div w:id="2142730026">
      <w:bodyDiv w:val="1"/>
      <w:marLeft w:val="0"/>
      <w:marRight w:val="0"/>
      <w:marTop w:val="0"/>
      <w:marBottom w:val="0"/>
      <w:divBdr>
        <w:top w:val="none" w:sz="0" w:space="0" w:color="auto"/>
        <w:left w:val="none" w:sz="0" w:space="0" w:color="auto"/>
        <w:bottom w:val="none" w:sz="0" w:space="0" w:color="auto"/>
        <w:right w:val="none" w:sz="0" w:space="0" w:color="auto"/>
      </w:divBdr>
    </w:div>
    <w:div w:id="214368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image" Target="media/image96.png"/><Relationship Id="rId21" Type="http://schemas.openxmlformats.org/officeDocument/2006/relationships/header" Target="header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6" Type="http://schemas.openxmlformats.org/officeDocument/2006/relationships/footer" Target="footer3.xml"/><Relationship Id="rId107" Type="http://schemas.openxmlformats.org/officeDocument/2006/relationships/image" Target="media/image86.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bcr@communications.gov.au" TargetMode="External"/><Relationship Id="rId25" Type="http://schemas.openxmlformats.org/officeDocument/2006/relationships/footer" Target="foot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image" Target="cid:image001.jpg@01CF53E2.F599DED0"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communications.gov.au/bcr"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eader" Target="header4.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AB0F14"/>
      </a:dk1>
      <a:lt1>
        <a:sysClr val="window" lastClr="FFFFFF"/>
      </a:lt1>
      <a:dk2>
        <a:srgbClr val="5F5F5F"/>
      </a:dk2>
      <a:lt2>
        <a:srgbClr val="A5A5A5"/>
      </a:lt2>
      <a:accent1>
        <a:srgbClr val="EF4C51"/>
      </a:accent1>
      <a:accent2>
        <a:srgbClr val="F89621"/>
      </a:accent2>
      <a:accent3>
        <a:srgbClr val="FFCB05"/>
      </a:accent3>
      <a:accent4>
        <a:srgbClr val="AB0F14"/>
      </a:accent4>
      <a:accent5>
        <a:srgbClr val="1E587C"/>
      </a:accent5>
      <a:accent6>
        <a:srgbClr val="CC4C27"/>
      </a:accent6>
      <a:hlink>
        <a:srgbClr val="FFFFFF"/>
      </a:hlink>
      <a:folHlink>
        <a:srgbClr val="FFCB05"/>
      </a:folHlink>
    </a:clrScheme>
    <a:fontScheme name="DBCDE Corporate Font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EDC62E87CA8449A4BB75B9F007B0B1" ma:contentTypeVersion="0" ma:contentTypeDescription="Create a new document." ma:contentTypeScope="" ma:versionID="1faaf9ad2fccc1a1965c0a58532499b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569D-87C7-4EDA-A238-BC7A4A16FF6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88B0B23F-763F-43B4-A3AB-FD41A64BE383}">
  <ds:schemaRefs>
    <ds:schemaRef ds:uri="http://schemas.microsoft.com/sharepoint/v3/contenttype/forms"/>
  </ds:schemaRefs>
</ds:datastoreItem>
</file>

<file path=customXml/itemProps3.xml><?xml version="1.0" encoding="utf-8"?>
<ds:datastoreItem xmlns:ds="http://schemas.openxmlformats.org/officeDocument/2006/customXml" ds:itemID="{B68CDB0A-5890-4D44-A790-03FEAD634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B9C85B-68E3-462C-9521-D15042EE4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32635</Words>
  <Characters>166108</Characters>
  <Application>Microsoft Office Word</Application>
  <DocSecurity>4</DocSecurity>
  <Lines>4234</Lines>
  <Paragraphs>2626</Paragraphs>
  <ScaleCrop>false</ScaleCrop>
  <HeadingPairs>
    <vt:vector size="2" baseType="variant">
      <vt:variant>
        <vt:lpstr>Title</vt:lpstr>
      </vt:variant>
      <vt:variant>
        <vt:i4>1</vt:i4>
      </vt:variant>
    </vt:vector>
  </HeadingPairs>
  <TitlesOfParts>
    <vt:vector size="1" baseType="lpstr">
      <vt:lpstr>BCR Digital Productivity Report - FINAL 5 Feb.docx</vt:lpstr>
    </vt:vector>
  </TitlesOfParts>
  <Company/>
  <LinksUpToDate>false</LinksUpToDate>
  <CharactersWithSpaces>195823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BCR Digital Productivity Report - FINAL 8 Feb.docx</dc:title>
  <dc:subject/>
  <dc:creator/>
  <cp:keywords/>
  <dc:description/>
  <cp:lastModifiedBy/>
  <cp:revision>1</cp:revision>
  <dcterms:created xsi:type="dcterms:W3CDTF">2016-02-08T03:16:00Z</dcterms:created>
  <dcterms:modified xsi:type="dcterms:W3CDTF">2016-02-08T03:16:00Z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visionNumber">
    <vt:i4>2</vt:i4>
  </property>
  <property fmtid="{D5CDD505-2E9C-101B-9397-08002B2CF9AE}" pid="3" name="ContentTypeId">
    <vt:lpwstr>0x01010073EDC62E87CA8449A4BB75B9F007B0B1</vt:lpwstr>
  </property>
</Properties>
</file>