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BB252" w14:textId="77777777" w:rsidR="00C61801" w:rsidRPr="00866A71" w:rsidRDefault="00C61801" w:rsidP="00665016">
      <w:pPr>
        <w:pStyle w:val="DBCDElogo"/>
      </w:pPr>
    </w:p>
    <w:p w14:paraId="67D4CC47" w14:textId="77777777" w:rsidR="004A004B" w:rsidRDefault="004A004B" w:rsidP="004A004B">
      <w:pPr>
        <w:spacing w:before="360"/>
        <w:jc w:val="center"/>
      </w:pPr>
      <w:r w:rsidRPr="00D61648">
        <w:rPr>
          <w:caps/>
          <w:noProof/>
          <w:lang w:eastAsia="en-AU"/>
        </w:rPr>
        <w:drawing>
          <wp:inline distT="0" distB="0" distL="0" distR="0" wp14:anchorId="089F8B43" wp14:editId="6BAE3FCF">
            <wp:extent cx="2468880" cy="1371600"/>
            <wp:effectExtent l="0" t="0" r="0"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1371600"/>
                    </a:xfrm>
                    <a:prstGeom prst="rect">
                      <a:avLst/>
                    </a:prstGeom>
                    <a:noFill/>
                    <a:ln>
                      <a:noFill/>
                    </a:ln>
                  </pic:spPr>
                </pic:pic>
              </a:graphicData>
            </a:graphic>
          </wp:inline>
        </w:drawing>
      </w:r>
    </w:p>
    <w:p w14:paraId="69ADAD7C" w14:textId="2303EEF3" w:rsidR="004A004B" w:rsidRPr="00074453" w:rsidRDefault="004A004B" w:rsidP="004A004B">
      <w:pPr>
        <w:spacing w:before="360"/>
        <w:jc w:val="center"/>
        <w:rPr>
          <w:rFonts w:ascii="Times New Roman" w:hAnsi="Times New Roman" w:cs="Times New Roman"/>
          <w:sz w:val="36"/>
          <w:szCs w:val="36"/>
        </w:rPr>
      </w:pPr>
      <w:r w:rsidRPr="00074453">
        <w:rPr>
          <w:rFonts w:ascii="Times New Roman" w:hAnsi="Times New Roman" w:cs="Times New Roman"/>
          <w:sz w:val="36"/>
          <w:szCs w:val="36"/>
        </w:rPr>
        <w:t xml:space="preserve">Australian Government response to the </w:t>
      </w:r>
      <w:r w:rsidRPr="00074453">
        <w:rPr>
          <w:rFonts w:ascii="Times New Roman" w:hAnsi="Times New Roman" w:cs="Times New Roman"/>
          <w:sz w:val="36"/>
          <w:szCs w:val="36"/>
        </w:rPr>
        <w:br/>
      </w:r>
      <w:r w:rsidR="00074453">
        <w:rPr>
          <w:rFonts w:ascii="Times New Roman" w:hAnsi="Times New Roman" w:cs="Times New Roman"/>
          <w:sz w:val="36"/>
          <w:szCs w:val="36"/>
        </w:rPr>
        <w:t>Environment and Communications Legislation Committee</w:t>
      </w:r>
      <w:r w:rsidRPr="00074453">
        <w:rPr>
          <w:rFonts w:ascii="Times New Roman" w:hAnsi="Times New Roman" w:cs="Times New Roman"/>
          <w:sz w:val="36"/>
          <w:szCs w:val="36"/>
        </w:rPr>
        <w:t xml:space="preserve"> report:</w:t>
      </w:r>
    </w:p>
    <w:p w14:paraId="46E56B40" w14:textId="30C7AB32" w:rsidR="004A004B" w:rsidRPr="00074453" w:rsidRDefault="00074453" w:rsidP="004A004B">
      <w:pPr>
        <w:jc w:val="center"/>
        <w:rPr>
          <w:rFonts w:ascii="Times New Roman" w:hAnsi="Times New Roman" w:cs="Times New Roman"/>
          <w:sz w:val="36"/>
          <w:szCs w:val="36"/>
        </w:rPr>
      </w:pPr>
      <w:r>
        <w:rPr>
          <w:rFonts w:ascii="Times New Roman" w:hAnsi="Times New Roman" w:cs="Times New Roman"/>
          <w:sz w:val="36"/>
          <w:szCs w:val="36"/>
        </w:rPr>
        <w:t>Performance, importance and role of Australia Post in Australian communities and its operations in relation to licensed post offices</w:t>
      </w:r>
    </w:p>
    <w:p w14:paraId="6A506418" w14:textId="77777777" w:rsidR="009C1549" w:rsidRPr="00866A71" w:rsidRDefault="009C1549" w:rsidP="00BA5622">
      <w:pPr>
        <w:pStyle w:val="BodyText"/>
      </w:pPr>
    </w:p>
    <w:p w14:paraId="46C21357" w14:textId="74EFFC7C" w:rsidR="00C61801" w:rsidRPr="00975F79" w:rsidRDefault="00C61801" w:rsidP="00515FA1">
      <w:r>
        <w:br w:type="page"/>
      </w:r>
    </w:p>
    <w:p w14:paraId="2AF26671" w14:textId="6AB39C53" w:rsidR="00074453" w:rsidRPr="00076CAE" w:rsidRDefault="00074453" w:rsidP="0011014C">
      <w:pPr>
        <w:pStyle w:val="Heading1"/>
        <w:jc w:val="center"/>
        <w:rPr>
          <w:rFonts w:ascii="Times New Roman" w:hAnsi="Times New Roman" w:cs="Times New Roman"/>
          <w:color w:val="auto"/>
          <w:sz w:val="32"/>
        </w:rPr>
      </w:pPr>
      <w:r w:rsidRPr="00076CAE">
        <w:rPr>
          <w:rFonts w:ascii="Times New Roman" w:hAnsi="Times New Roman" w:cs="Times New Roman"/>
          <w:color w:val="auto"/>
          <w:sz w:val="32"/>
        </w:rPr>
        <w:lastRenderedPageBreak/>
        <w:t xml:space="preserve">Australian Government response to the </w:t>
      </w:r>
      <w:r w:rsidRPr="00076CAE">
        <w:rPr>
          <w:rFonts w:ascii="Times New Roman" w:hAnsi="Times New Roman" w:cs="Times New Roman"/>
          <w:color w:val="auto"/>
          <w:sz w:val="32"/>
        </w:rPr>
        <w:br/>
        <w:t>Environment and Communications Legislation Committee report:</w:t>
      </w:r>
    </w:p>
    <w:p w14:paraId="7BFABC91" w14:textId="3050BCF7" w:rsidR="00074453" w:rsidRPr="00076CAE" w:rsidRDefault="00074453" w:rsidP="0011014C">
      <w:pPr>
        <w:pStyle w:val="Heading1"/>
        <w:jc w:val="center"/>
        <w:rPr>
          <w:rFonts w:ascii="Times New Roman" w:hAnsi="Times New Roman" w:cs="Times New Roman"/>
          <w:color w:val="auto"/>
          <w:sz w:val="32"/>
        </w:rPr>
      </w:pPr>
      <w:r w:rsidRPr="00076CAE">
        <w:rPr>
          <w:rFonts w:ascii="Times New Roman" w:hAnsi="Times New Roman" w:cs="Times New Roman"/>
          <w:color w:val="auto"/>
          <w:sz w:val="32"/>
        </w:rPr>
        <w:t>Performance, importance and role of Australia Post in Australian communities and its operations in relation to licensed post offices</w:t>
      </w:r>
    </w:p>
    <w:p w14:paraId="5A53B8E2" w14:textId="77777777" w:rsidR="004A004B" w:rsidRPr="0011014C" w:rsidRDefault="004A004B" w:rsidP="0011014C">
      <w:pPr>
        <w:pStyle w:val="Heading2"/>
        <w:rPr>
          <w:rFonts w:ascii="Times New Roman" w:hAnsi="Times New Roman" w:cs="Times New Roman"/>
          <w:color w:val="auto"/>
          <w:lang w:eastAsia="en-AU"/>
        </w:rPr>
      </w:pPr>
      <w:r w:rsidRPr="0011014C">
        <w:rPr>
          <w:rFonts w:ascii="Times New Roman" w:hAnsi="Times New Roman" w:cs="Times New Roman"/>
          <w:b/>
          <w:color w:val="auto"/>
          <w:lang w:eastAsia="en-AU"/>
        </w:rPr>
        <w:t>Introduction</w:t>
      </w:r>
    </w:p>
    <w:p w14:paraId="58E8933C" w14:textId="77777777" w:rsidR="004A004B" w:rsidRPr="004A004B" w:rsidRDefault="004A004B" w:rsidP="004A004B">
      <w:pPr>
        <w:pStyle w:val="BodyText"/>
        <w:rPr>
          <w:rFonts w:ascii="Times New Roman" w:hAnsi="Times New Roman" w:cs="Times New Roman"/>
          <w:sz w:val="24"/>
          <w:szCs w:val="24"/>
          <w:lang w:eastAsia="en-AU"/>
        </w:rPr>
      </w:pPr>
      <w:r w:rsidRPr="004A004B">
        <w:rPr>
          <w:rFonts w:ascii="Times New Roman" w:hAnsi="Times New Roman" w:cs="Times New Roman"/>
          <w:sz w:val="24"/>
          <w:szCs w:val="24"/>
          <w:lang w:eastAsia="en-AU"/>
        </w:rPr>
        <w:t>On 14 November 2013, the Senate referred the following matters to the Environment and Communications Legislation Committee for inquiry and report:</w:t>
      </w:r>
    </w:p>
    <w:p w14:paraId="6D655C88" w14:textId="77777777" w:rsidR="004A004B" w:rsidRPr="004A004B" w:rsidRDefault="004A004B" w:rsidP="004A004B">
      <w:pPr>
        <w:pStyle w:val="BodyText"/>
        <w:numPr>
          <w:ilvl w:val="0"/>
          <w:numId w:val="30"/>
        </w:numPr>
        <w:rPr>
          <w:rFonts w:ascii="Times New Roman" w:hAnsi="Times New Roman" w:cs="Times New Roman"/>
          <w:sz w:val="24"/>
          <w:szCs w:val="24"/>
          <w:lang w:eastAsia="en-AU"/>
        </w:rPr>
      </w:pPr>
      <w:r w:rsidRPr="004A004B">
        <w:rPr>
          <w:rFonts w:ascii="Times New Roman" w:hAnsi="Times New Roman" w:cs="Times New Roman"/>
          <w:sz w:val="24"/>
          <w:szCs w:val="24"/>
          <w:lang w:eastAsia="en-AU"/>
        </w:rPr>
        <w:t xml:space="preserve">the overall performance, importance and role of Australia Post in Australian communities, and the challenges it faces in the immediate and longer term; </w:t>
      </w:r>
    </w:p>
    <w:p w14:paraId="649BB149" w14:textId="77777777" w:rsidR="004A004B" w:rsidRPr="004A004B" w:rsidRDefault="004A004B" w:rsidP="004A004B">
      <w:pPr>
        <w:pStyle w:val="BodyText"/>
        <w:numPr>
          <w:ilvl w:val="0"/>
          <w:numId w:val="30"/>
        </w:numPr>
        <w:rPr>
          <w:rFonts w:ascii="Times New Roman" w:hAnsi="Times New Roman" w:cs="Times New Roman"/>
          <w:sz w:val="24"/>
          <w:szCs w:val="24"/>
          <w:lang w:eastAsia="en-AU"/>
        </w:rPr>
      </w:pPr>
      <w:r w:rsidRPr="004A004B">
        <w:rPr>
          <w:rFonts w:ascii="Times New Roman" w:hAnsi="Times New Roman" w:cs="Times New Roman"/>
          <w:sz w:val="24"/>
          <w:szCs w:val="24"/>
          <w:lang w:eastAsia="en-AU"/>
        </w:rPr>
        <w:t>the operations of Australia Post in relation to Licensed Post Offices (LPOs), with particular reference to:</w:t>
      </w:r>
    </w:p>
    <w:p w14:paraId="43ED1C4E" w14:textId="77777777" w:rsidR="004A004B" w:rsidRPr="004A004B" w:rsidRDefault="004A004B" w:rsidP="004A004B">
      <w:pPr>
        <w:pStyle w:val="BodyText"/>
        <w:numPr>
          <w:ilvl w:val="0"/>
          <w:numId w:val="31"/>
        </w:numPr>
        <w:rPr>
          <w:rFonts w:ascii="Times New Roman" w:hAnsi="Times New Roman" w:cs="Times New Roman"/>
          <w:sz w:val="24"/>
          <w:szCs w:val="24"/>
          <w:lang w:eastAsia="en-AU"/>
        </w:rPr>
      </w:pPr>
      <w:r w:rsidRPr="004A004B">
        <w:rPr>
          <w:rFonts w:ascii="Times New Roman" w:hAnsi="Times New Roman" w:cs="Times New Roman"/>
          <w:sz w:val="24"/>
          <w:szCs w:val="24"/>
          <w:lang w:eastAsia="en-AU"/>
        </w:rPr>
        <w:t xml:space="preserve">the importance and role of the LPO network in the Australian postal system, with particular reference to regional and remote areas; </w:t>
      </w:r>
    </w:p>
    <w:p w14:paraId="7A63AD8E" w14:textId="77777777" w:rsidR="004A004B" w:rsidRPr="004A004B" w:rsidRDefault="004A004B" w:rsidP="004A004B">
      <w:pPr>
        <w:pStyle w:val="BodyText"/>
        <w:numPr>
          <w:ilvl w:val="0"/>
          <w:numId w:val="31"/>
        </w:numPr>
        <w:rPr>
          <w:rFonts w:ascii="Times New Roman" w:hAnsi="Times New Roman" w:cs="Times New Roman"/>
          <w:sz w:val="24"/>
          <w:szCs w:val="24"/>
          <w:lang w:eastAsia="en-AU"/>
        </w:rPr>
      </w:pPr>
      <w:r w:rsidRPr="004A004B">
        <w:rPr>
          <w:rFonts w:ascii="Times New Roman" w:hAnsi="Times New Roman" w:cs="Times New Roman"/>
          <w:sz w:val="24"/>
          <w:szCs w:val="24"/>
          <w:lang w:eastAsia="en-AU"/>
        </w:rPr>
        <w:t xml:space="preserve">the licensing and trading conditions applicable to LPOs, including the Community Service Obligations, and any effects these may have on operating an LPO business; </w:t>
      </w:r>
    </w:p>
    <w:p w14:paraId="5D061CE4" w14:textId="77777777" w:rsidR="004A004B" w:rsidRPr="004A004B" w:rsidRDefault="004A004B" w:rsidP="004A004B">
      <w:pPr>
        <w:pStyle w:val="BodyText"/>
        <w:numPr>
          <w:ilvl w:val="0"/>
          <w:numId w:val="31"/>
        </w:numPr>
        <w:rPr>
          <w:rFonts w:ascii="Times New Roman" w:hAnsi="Times New Roman" w:cs="Times New Roman"/>
          <w:sz w:val="24"/>
          <w:szCs w:val="24"/>
          <w:lang w:eastAsia="en-AU"/>
        </w:rPr>
      </w:pPr>
      <w:r w:rsidRPr="004A004B">
        <w:rPr>
          <w:rFonts w:ascii="Times New Roman" w:hAnsi="Times New Roman" w:cs="Times New Roman"/>
          <w:sz w:val="24"/>
          <w:szCs w:val="24"/>
          <w:lang w:eastAsia="en-AU"/>
        </w:rPr>
        <w:t xml:space="preserve">marketing, retail and trading arrangements between Australia Post and LPOs and other entities; and </w:t>
      </w:r>
    </w:p>
    <w:p w14:paraId="4E8F3DDB" w14:textId="77777777" w:rsidR="004A004B" w:rsidRPr="004A004B" w:rsidRDefault="004A004B" w:rsidP="004A004B">
      <w:pPr>
        <w:pStyle w:val="BodyText"/>
        <w:numPr>
          <w:ilvl w:val="0"/>
          <w:numId w:val="31"/>
        </w:numPr>
        <w:rPr>
          <w:rFonts w:ascii="Times New Roman" w:hAnsi="Times New Roman" w:cs="Times New Roman"/>
          <w:sz w:val="24"/>
          <w:szCs w:val="24"/>
          <w:lang w:eastAsia="en-AU"/>
        </w:rPr>
      </w:pPr>
      <w:proofErr w:type="gramStart"/>
      <w:r w:rsidRPr="004A004B">
        <w:rPr>
          <w:rFonts w:ascii="Times New Roman" w:hAnsi="Times New Roman" w:cs="Times New Roman"/>
          <w:sz w:val="24"/>
          <w:szCs w:val="24"/>
          <w:lang w:eastAsia="en-AU"/>
        </w:rPr>
        <w:t>any</w:t>
      </w:r>
      <w:proofErr w:type="gramEnd"/>
      <w:r w:rsidRPr="004A004B">
        <w:rPr>
          <w:rFonts w:ascii="Times New Roman" w:hAnsi="Times New Roman" w:cs="Times New Roman"/>
          <w:sz w:val="24"/>
          <w:szCs w:val="24"/>
          <w:lang w:eastAsia="en-AU"/>
        </w:rPr>
        <w:t xml:space="preserve"> related matters. </w:t>
      </w:r>
    </w:p>
    <w:p w14:paraId="6844CB08"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Committee received 213 submissions from a wide range of interested stakeholders including individuals, licensee representative groups, post office licensees and franchisees, government agencies, unions and community organisations. Five public hearings were held in Canberra and Adelaide. </w:t>
      </w:r>
    </w:p>
    <w:p w14:paraId="322DCEE5" w14:textId="220F50F4"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Final Report was tabled on 24 September 2014 (refer to </w:t>
      </w:r>
      <w:r w:rsidR="00074453" w:rsidRPr="00074453">
        <w:rPr>
          <w:rFonts w:ascii="Times New Roman" w:hAnsi="Times New Roman" w:cs="Times New Roman"/>
          <w:b/>
          <w:sz w:val="24"/>
          <w:szCs w:val="24"/>
        </w:rPr>
        <w:t>www.</w:t>
      </w:r>
      <w:r w:rsidRPr="004A004B">
        <w:rPr>
          <w:rFonts w:ascii="Times New Roman" w:hAnsi="Times New Roman" w:cs="Times New Roman"/>
          <w:b/>
          <w:sz w:val="24"/>
          <w:szCs w:val="24"/>
        </w:rPr>
        <w:t>aph.gov.au/Parliamentary_Business/Committees/Senate/Environment_and_Communications/Australia_Post_in_Australian_communities</w:t>
      </w:r>
      <w:r w:rsidRPr="004A004B">
        <w:rPr>
          <w:rFonts w:ascii="Times New Roman" w:hAnsi="Times New Roman" w:cs="Times New Roman"/>
          <w:sz w:val="24"/>
          <w:szCs w:val="24"/>
        </w:rPr>
        <w:t xml:space="preserve">). The report contains eighteen recommendations as well as </w:t>
      </w:r>
      <w:proofErr w:type="spellStart"/>
      <w:r w:rsidRPr="004A004B">
        <w:rPr>
          <w:rFonts w:ascii="Times New Roman" w:hAnsi="Times New Roman" w:cs="Times New Roman"/>
          <w:sz w:val="24"/>
          <w:szCs w:val="24"/>
        </w:rPr>
        <w:t>Labor</w:t>
      </w:r>
      <w:proofErr w:type="spellEnd"/>
      <w:r w:rsidRPr="004A004B">
        <w:rPr>
          <w:rFonts w:ascii="Times New Roman" w:hAnsi="Times New Roman" w:cs="Times New Roman"/>
          <w:sz w:val="24"/>
          <w:szCs w:val="24"/>
        </w:rPr>
        <w:t xml:space="preserve"> Senators’ Additional Comments with one further recommendation. </w:t>
      </w:r>
    </w:p>
    <w:p w14:paraId="2266EAA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Australian Government has considered the Committee’s report and is pleased to provide the following response. </w:t>
      </w:r>
    </w:p>
    <w:p w14:paraId="6143E83F" w14:textId="77777777" w:rsidR="004A004B" w:rsidRPr="004A004B" w:rsidRDefault="004A004B" w:rsidP="0011014C">
      <w:pPr>
        <w:pStyle w:val="Heading2"/>
        <w:rPr>
          <w:rFonts w:ascii="Times New Roman" w:hAnsi="Times New Roman" w:cs="Times New Roman"/>
          <w:sz w:val="24"/>
          <w:szCs w:val="24"/>
        </w:rPr>
      </w:pPr>
      <w:r w:rsidRPr="0011014C">
        <w:rPr>
          <w:rFonts w:ascii="Times New Roman" w:hAnsi="Times New Roman" w:cs="Times New Roman"/>
          <w:b/>
          <w:color w:val="auto"/>
          <w:lang w:eastAsia="en-AU"/>
        </w:rPr>
        <w:t>Context</w:t>
      </w:r>
    </w:p>
    <w:p w14:paraId="053196DA"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Under the </w:t>
      </w:r>
      <w:r w:rsidRPr="004A004B">
        <w:rPr>
          <w:rFonts w:ascii="Times New Roman" w:hAnsi="Times New Roman" w:cs="Times New Roman"/>
          <w:i/>
          <w:iCs/>
          <w:sz w:val="24"/>
          <w:szCs w:val="24"/>
        </w:rPr>
        <w:t>Australian Postal Corporation Act 1989,</w:t>
      </w:r>
      <w:r w:rsidRPr="004A004B">
        <w:rPr>
          <w:rFonts w:ascii="Times New Roman" w:hAnsi="Times New Roman" w:cs="Times New Roman"/>
          <w:sz w:val="24"/>
          <w:szCs w:val="24"/>
        </w:rPr>
        <w:t xml:space="preserve"> Australia Post is responsible for the day-to-day running of the organisation, including all decisions relating to its operational network. As a Government Business Enterprise, Australia Post does not receive any funding from taxpayers and, as far as practicable, it is required to perform its functions in a manner consistent with sound commercial practice.</w:t>
      </w:r>
    </w:p>
    <w:p w14:paraId="5A74D421" w14:textId="0DB5F970"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lastRenderedPageBreak/>
        <w:t xml:space="preserve">Australia Post and post office licensees are responding to the structural decline of traditional postal services as people increasingly choose to communicate and access services over the Internet. Australians are sending one billion fewer letters today than they were in 2008, with the enterprise </w:t>
      </w:r>
      <w:r w:rsidR="00D93B63">
        <w:rPr>
          <w:rFonts w:ascii="Times New Roman" w:hAnsi="Times New Roman" w:cs="Times New Roman"/>
          <w:sz w:val="24"/>
          <w:szCs w:val="24"/>
        </w:rPr>
        <w:t>mak</w:t>
      </w:r>
      <w:r w:rsidR="00D7621B">
        <w:rPr>
          <w:rFonts w:ascii="Times New Roman" w:hAnsi="Times New Roman" w:cs="Times New Roman"/>
          <w:sz w:val="24"/>
          <w:szCs w:val="24"/>
        </w:rPr>
        <w:t>ing</w:t>
      </w:r>
      <w:r w:rsidR="00D93B63">
        <w:rPr>
          <w:rFonts w:ascii="Times New Roman" w:hAnsi="Times New Roman" w:cs="Times New Roman"/>
          <w:sz w:val="24"/>
          <w:szCs w:val="24"/>
        </w:rPr>
        <w:t xml:space="preserve"> a loss </w:t>
      </w:r>
      <w:r w:rsidR="007642D3">
        <w:rPr>
          <w:rFonts w:ascii="Times New Roman" w:hAnsi="Times New Roman" w:cs="Times New Roman"/>
          <w:sz w:val="24"/>
          <w:szCs w:val="24"/>
        </w:rPr>
        <w:t>after</w:t>
      </w:r>
      <w:r w:rsidR="00D7621B">
        <w:rPr>
          <w:rFonts w:ascii="Times New Roman" w:hAnsi="Times New Roman" w:cs="Times New Roman"/>
          <w:sz w:val="24"/>
          <w:szCs w:val="24"/>
        </w:rPr>
        <w:t xml:space="preserve"> tax of </w:t>
      </w:r>
      <w:r w:rsidR="007642D3">
        <w:rPr>
          <w:rFonts w:ascii="Times New Roman" w:hAnsi="Times New Roman" w:cs="Times New Roman"/>
          <w:sz w:val="24"/>
          <w:szCs w:val="24"/>
        </w:rPr>
        <w:t>$222 million (</w:t>
      </w:r>
      <w:r w:rsidR="00D7621B">
        <w:rPr>
          <w:rFonts w:ascii="Times New Roman" w:hAnsi="Times New Roman" w:cs="Times New Roman"/>
          <w:sz w:val="24"/>
          <w:szCs w:val="24"/>
        </w:rPr>
        <w:t xml:space="preserve">$352 million </w:t>
      </w:r>
      <w:r w:rsidR="007642D3">
        <w:rPr>
          <w:rFonts w:ascii="Times New Roman" w:hAnsi="Times New Roman" w:cs="Times New Roman"/>
          <w:sz w:val="24"/>
          <w:szCs w:val="24"/>
        </w:rPr>
        <w:t xml:space="preserve">before tax) </w:t>
      </w:r>
      <w:r w:rsidRPr="004A004B">
        <w:rPr>
          <w:rFonts w:ascii="Times New Roman" w:hAnsi="Times New Roman" w:cs="Times New Roman"/>
          <w:sz w:val="24"/>
          <w:szCs w:val="24"/>
        </w:rPr>
        <w:t>in 2014-15</w:t>
      </w:r>
      <w:r w:rsidR="00D7621B">
        <w:rPr>
          <w:rFonts w:ascii="Times New Roman" w:hAnsi="Times New Roman" w:cs="Times New Roman"/>
          <w:sz w:val="24"/>
          <w:szCs w:val="24"/>
        </w:rPr>
        <w:t>, the first since corporatisation</w:t>
      </w:r>
      <w:r w:rsidRPr="004A004B">
        <w:rPr>
          <w:rFonts w:ascii="Times New Roman" w:hAnsi="Times New Roman" w:cs="Times New Roman"/>
          <w:sz w:val="24"/>
          <w:szCs w:val="24"/>
        </w:rPr>
        <w:t xml:space="preserve">. Losses in letters are now overwhelming profits in parcels and without change, total losses </w:t>
      </w:r>
      <w:r w:rsidR="007642D3">
        <w:rPr>
          <w:rFonts w:ascii="Times New Roman" w:hAnsi="Times New Roman" w:cs="Times New Roman"/>
          <w:sz w:val="24"/>
          <w:szCs w:val="24"/>
        </w:rPr>
        <w:t>we</w:t>
      </w:r>
      <w:r w:rsidRPr="004A004B">
        <w:rPr>
          <w:rFonts w:ascii="Times New Roman" w:hAnsi="Times New Roman" w:cs="Times New Roman"/>
          <w:sz w:val="24"/>
          <w:szCs w:val="24"/>
        </w:rPr>
        <w:t>re forecast to reach $6.6 billion over the next decade.</w:t>
      </w:r>
    </w:p>
    <w:p w14:paraId="4EFAD2E6"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While Australia Post has been able to offset letters losses with profits from other areas of the business, this strategy is not sustainable. Australia Post is facing intense competition from global courier companies and can no longer afford to subsidise letters losses with parcels profits. To do so would risk growth and jobs.</w:t>
      </w:r>
    </w:p>
    <w:p w14:paraId="0779A464"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Without reform, many Licensed Post Offices (LPOs) would be unable to remain financially viable and would be forced to close. This would have a devastating impact on the post office network – LPOs account for 65 per cent of all post offices, including more than 1,600 outlets in rural and remote communities across Australia. Reform is essential to ensuring that LPOs remain open.</w:t>
      </w:r>
    </w:p>
    <w:p w14:paraId="60A433D8"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The Government is committed to stemming the growing and accelerating losses in letters to ensure that Australia Post can maintain a sustainable postal service. This includes maintaining Australia Post’s extensive post office network and supporting the viability of LPOs in communities across Australia. That is why, on 3 March 2015, the Government announced reforms to Australia Post’s regulatory framework to enable it to reform its business.</w:t>
      </w:r>
    </w:p>
    <w:p w14:paraId="1665C30F"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will introduce a two-speed letters service comprising Priority and Regular speeds. Regular letters will be delivered on average two days slower than the Priority service, which will maintain the existing delivery timetable, and posties will continue to deliver mail five days a week.</w:t>
      </w:r>
    </w:p>
    <w:p w14:paraId="58F8C4E7" w14:textId="192EF117" w:rsidR="004A004B" w:rsidRPr="00CB4EE8"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will also seek to recover the costs of delivering Regular letters by increasing the Basic Postage Rate (BPR), which remain</w:t>
      </w:r>
      <w:r w:rsidR="00047AAC">
        <w:rPr>
          <w:rFonts w:ascii="Times New Roman" w:hAnsi="Times New Roman" w:cs="Times New Roman"/>
          <w:sz w:val="24"/>
          <w:szCs w:val="24"/>
        </w:rPr>
        <w:t>s</w:t>
      </w:r>
      <w:r w:rsidRPr="004A004B">
        <w:rPr>
          <w:rFonts w:ascii="Times New Roman" w:hAnsi="Times New Roman" w:cs="Times New Roman"/>
          <w:sz w:val="24"/>
          <w:szCs w:val="24"/>
        </w:rPr>
        <w:t xml:space="preserve"> subject to Australian Competition and Consumer Commission (ACCC) pricing oversight. This means that any price increase on the Regular service will be subject to an ACCC assessment to determine that the price of the Regular stamp reflects the efficient cost of providing the service.</w:t>
      </w:r>
      <w:r w:rsidR="00596C59">
        <w:rPr>
          <w:rFonts w:ascii="Times New Roman" w:hAnsi="Times New Roman" w:cs="Times New Roman"/>
          <w:sz w:val="24"/>
          <w:szCs w:val="24"/>
        </w:rPr>
        <w:t xml:space="preserve"> </w:t>
      </w:r>
      <w:r w:rsidR="00596C59" w:rsidRPr="00C50F48">
        <w:rPr>
          <w:rFonts w:ascii="Times New Roman" w:hAnsi="Times New Roman"/>
          <w:sz w:val="24"/>
          <w:szCs w:val="24"/>
        </w:rPr>
        <w:t xml:space="preserve">The ACCC </w:t>
      </w:r>
      <w:r w:rsidR="0075556B" w:rsidRPr="00C50F48">
        <w:rPr>
          <w:rFonts w:ascii="Times New Roman" w:hAnsi="Times New Roman"/>
          <w:sz w:val="24"/>
          <w:szCs w:val="24"/>
        </w:rPr>
        <w:t>is</w:t>
      </w:r>
      <w:r w:rsidR="00596C59" w:rsidRPr="00C50F48">
        <w:rPr>
          <w:rFonts w:ascii="Times New Roman" w:hAnsi="Times New Roman"/>
          <w:sz w:val="24"/>
          <w:szCs w:val="24"/>
        </w:rPr>
        <w:t xml:space="preserve"> also required to assess any </w:t>
      </w:r>
      <w:r w:rsidR="0096356E">
        <w:rPr>
          <w:rFonts w:ascii="Times New Roman" w:hAnsi="Times New Roman"/>
          <w:sz w:val="24"/>
          <w:szCs w:val="24"/>
        </w:rPr>
        <w:t xml:space="preserve">proposed </w:t>
      </w:r>
      <w:r w:rsidR="00596C59" w:rsidRPr="00C50F48">
        <w:rPr>
          <w:rFonts w:ascii="Times New Roman" w:hAnsi="Times New Roman"/>
          <w:sz w:val="24"/>
          <w:szCs w:val="24"/>
        </w:rPr>
        <w:t xml:space="preserve">price </w:t>
      </w:r>
      <w:r w:rsidR="0075556B" w:rsidRPr="00C50F48">
        <w:rPr>
          <w:rFonts w:ascii="Times New Roman" w:hAnsi="Times New Roman"/>
          <w:sz w:val="24"/>
          <w:szCs w:val="24"/>
        </w:rPr>
        <w:t>increases</w:t>
      </w:r>
      <w:r w:rsidR="00596C59" w:rsidRPr="00C50F48">
        <w:rPr>
          <w:rFonts w:ascii="Times New Roman" w:hAnsi="Times New Roman"/>
          <w:sz w:val="24"/>
          <w:szCs w:val="24"/>
        </w:rPr>
        <w:t xml:space="preserve"> </w:t>
      </w:r>
      <w:r w:rsidR="0075556B" w:rsidRPr="00C50F48">
        <w:rPr>
          <w:rFonts w:ascii="Times New Roman" w:hAnsi="Times New Roman"/>
          <w:sz w:val="24"/>
          <w:szCs w:val="24"/>
        </w:rPr>
        <w:t>to the Priority service where its price rises</w:t>
      </w:r>
      <w:r w:rsidR="00596C59" w:rsidRPr="00C50F48">
        <w:rPr>
          <w:rFonts w:ascii="Times New Roman" w:hAnsi="Times New Roman"/>
          <w:sz w:val="24"/>
          <w:szCs w:val="24"/>
        </w:rPr>
        <w:t xml:space="preserve"> above 150 per cent of the Regular service</w:t>
      </w:r>
      <w:r w:rsidR="0075556B" w:rsidRPr="00C50F48">
        <w:rPr>
          <w:rFonts w:ascii="Times New Roman" w:hAnsi="Times New Roman"/>
          <w:sz w:val="24"/>
          <w:szCs w:val="24"/>
        </w:rPr>
        <w:t xml:space="preserve"> price</w:t>
      </w:r>
      <w:r w:rsidR="00596C59" w:rsidRPr="00CB4EE8">
        <w:rPr>
          <w:rFonts w:ascii="Times New Roman" w:hAnsi="Times New Roman"/>
          <w:sz w:val="24"/>
          <w:szCs w:val="24"/>
        </w:rPr>
        <w:t>.</w:t>
      </w:r>
      <w:r w:rsidRPr="00CB4EE8">
        <w:rPr>
          <w:rFonts w:ascii="Times New Roman" w:hAnsi="Times New Roman" w:cs="Times New Roman"/>
          <w:sz w:val="24"/>
          <w:szCs w:val="24"/>
        </w:rPr>
        <w:t xml:space="preserve"> </w:t>
      </w:r>
    </w:p>
    <w:p w14:paraId="5AA6C36F"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To mitigate the potential impact price rises may have on consumers, Australia Post will retain the Concession rate stamp at 60 cents for 5.7 million concession card holders and freeze the Christmas rate stamp at 65 cents for all Australians.</w:t>
      </w:r>
    </w:p>
    <w:p w14:paraId="4AA45A48"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Reform will significantly improve the financial viability of LPOs, with every 10 cent increase in the BPR contributing approximately $25 million in new payments to licensees.</w:t>
      </w:r>
    </w:p>
    <w:p w14:paraId="1E2857A5"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The Government’s focus is on ensuring that Australia Post can deliver a sustainable mail service, while supporting vulnerable consumers and maintaining an extensive post office network across Australia. This will only be possible if Australia Post reforms its business.</w:t>
      </w:r>
    </w:p>
    <w:p w14:paraId="0CB72678" w14:textId="364E409E"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has already announced (on 7 June 2014, 21 October 2014, 15 December 2014</w:t>
      </w:r>
      <w:r w:rsidR="00CB4EE8">
        <w:rPr>
          <w:rFonts w:ascii="Times New Roman" w:hAnsi="Times New Roman" w:cs="Times New Roman"/>
          <w:sz w:val="24"/>
          <w:szCs w:val="24"/>
        </w:rPr>
        <w:t>,</w:t>
      </w:r>
      <w:r w:rsidRPr="004A004B">
        <w:rPr>
          <w:rFonts w:ascii="Times New Roman" w:hAnsi="Times New Roman" w:cs="Times New Roman"/>
          <w:sz w:val="24"/>
          <w:szCs w:val="24"/>
        </w:rPr>
        <w:t xml:space="preserve"> 13 May 2015</w:t>
      </w:r>
      <w:r w:rsidR="00CB4EE8">
        <w:rPr>
          <w:rFonts w:ascii="Times New Roman" w:hAnsi="Times New Roman" w:cs="Times New Roman"/>
          <w:sz w:val="24"/>
          <w:szCs w:val="24"/>
        </w:rPr>
        <w:t xml:space="preserve"> and 17 September 2015</w:t>
      </w:r>
      <w:r w:rsidRPr="004A004B">
        <w:rPr>
          <w:rFonts w:ascii="Times New Roman" w:hAnsi="Times New Roman" w:cs="Times New Roman"/>
          <w:sz w:val="24"/>
          <w:szCs w:val="24"/>
        </w:rPr>
        <w:t xml:space="preserve">) a substantial number of measures </w:t>
      </w:r>
      <w:r w:rsidR="00CB4EE8">
        <w:rPr>
          <w:rFonts w:ascii="Times New Roman" w:hAnsi="Times New Roman" w:cs="Times New Roman"/>
          <w:sz w:val="24"/>
          <w:szCs w:val="24"/>
        </w:rPr>
        <w:t>i</w:t>
      </w:r>
      <w:r w:rsidR="00CB4EE8" w:rsidRPr="004A004B">
        <w:rPr>
          <w:rFonts w:ascii="Times New Roman" w:hAnsi="Times New Roman" w:cs="Times New Roman"/>
          <w:sz w:val="24"/>
          <w:szCs w:val="24"/>
        </w:rPr>
        <w:t xml:space="preserve">n response to the </w:t>
      </w:r>
      <w:r w:rsidR="00CB4EE8" w:rsidRPr="004A004B">
        <w:rPr>
          <w:rFonts w:ascii="Times New Roman" w:hAnsi="Times New Roman" w:cs="Times New Roman"/>
          <w:sz w:val="24"/>
          <w:szCs w:val="24"/>
        </w:rPr>
        <w:lastRenderedPageBreak/>
        <w:t>Committee’s inquiry and recommendations</w:t>
      </w:r>
      <w:r w:rsidRPr="004A004B">
        <w:rPr>
          <w:rFonts w:ascii="Times New Roman" w:hAnsi="Times New Roman" w:cs="Times New Roman"/>
          <w:sz w:val="24"/>
          <w:szCs w:val="24"/>
        </w:rPr>
        <w:t xml:space="preserve">. Relevant initiatives are highlighted throughout this response. </w:t>
      </w:r>
    </w:p>
    <w:p w14:paraId="694B6EAE"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Australia Post has stated that its proposed increase to the BPR to $1, combined with the initiatives it has announced over the last two years, would mean around $125 million extra in annualised payments to LPOs. This represents a substantial boost to support for post office operations. </w:t>
      </w:r>
    </w:p>
    <w:p w14:paraId="0DE2060B" w14:textId="16747713"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Government welcomes the measures announced by Australia Post to improve the sustainability and effectiveness of the postal network. </w:t>
      </w:r>
    </w:p>
    <w:p w14:paraId="330E9F00" w14:textId="77777777" w:rsidR="004A004B" w:rsidRPr="0011014C" w:rsidRDefault="004A004B" w:rsidP="0011014C">
      <w:pPr>
        <w:pStyle w:val="Heading2"/>
        <w:rPr>
          <w:rFonts w:ascii="Times New Roman" w:hAnsi="Times New Roman" w:cs="Times New Roman"/>
          <w:b/>
          <w:color w:val="auto"/>
          <w:lang w:eastAsia="en-AU"/>
        </w:rPr>
      </w:pPr>
      <w:r w:rsidRPr="0011014C">
        <w:rPr>
          <w:rFonts w:ascii="Times New Roman" w:hAnsi="Times New Roman" w:cs="Times New Roman"/>
          <w:b/>
          <w:color w:val="auto"/>
          <w:lang w:eastAsia="en-AU"/>
        </w:rPr>
        <w:t>Australian</w:t>
      </w:r>
      <w:r w:rsidRPr="004A004B">
        <w:rPr>
          <w:rFonts w:ascii="Times New Roman" w:hAnsi="Times New Roman" w:cs="Times New Roman"/>
          <w:b/>
          <w:sz w:val="24"/>
          <w:szCs w:val="24"/>
        </w:rPr>
        <w:t xml:space="preserve"> </w:t>
      </w:r>
      <w:r w:rsidRPr="0011014C">
        <w:rPr>
          <w:rFonts w:ascii="Times New Roman" w:hAnsi="Times New Roman" w:cs="Times New Roman"/>
          <w:b/>
          <w:color w:val="auto"/>
          <w:lang w:eastAsia="en-AU"/>
        </w:rPr>
        <w:t>Government Response to the Committee’s Recommendations</w:t>
      </w:r>
    </w:p>
    <w:p w14:paraId="52F69605"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Australia Post be required to submit notification of changes to the price of business mail services to the Australian Competition and Consumer Commission.</w:t>
      </w:r>
    </w:p>
    <w:p w14:paraId="0FA1C8A3"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In October 2011 the former government removed the price notification requirement on Australia Post for Pre-Sort Letter Services (Section 95X of the </w:t>
      </w:r>
      <w:r w:rsidRPr="004A004B">
        <w:rPr>
          <w:rFonts w:ascii="Times New Roman" w:hAnsi="Times New Roman" w:cs="Times New Roman"/>
          <w:i/>
          <w:sz w:val="24"/>
          <w:szCs w:val="24"/>
        </w:rPr>
        <w:t>Competition and Consumer Act 2010</w:t>
      </w:r>
      <w:r w:rsidRPr="004A004B">
        <w:rPr>
          <w:rFonts w:ascii="Times New Roman" w:hAnsi="Times New Roman" w:cs="Times New Roman"/>
          <w:sz w:val="24"/>
          <w:szCs w:val="24"/>
        </w:rPr>
        <w:t xml:space="preserve">). This reduced the regulatory burden on Australia Post imposed through an ACCC notification process, providing the flexibility to adapt services to market and consumer needs in a timely manner.  </w:t>
      </w:r>
    </w:p>
    <w:p w14:paraId="67F84CA5" w14:textId="2A8A3E10"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Under the postal reforms announced by the Government, a price notification will be required for any </w:t>
      </w:r>
      <w:r w:rsidR="00596C59">
        <w:rPr>
          <w:rFonts w:ascii="Times New Roman" w:hAnsi="Times New Roman" w:cs="Times New Roman"/>
          <w:sz w:val="24"/>
          <w:szCs w:val="24"/>
        </w:rPr>
        <w:t xml:space="preserve">proposed </w:t>
      </w:r>
      <w:r w:rsidRPr="004A004B">
        <w:rPr>
          <w:rFonts w:ascii="Times New Roman" w:hAnsi="Times New Roman" w:cs="Times New Roman"/>
          <w:sz w:val="24"/>
          <w:szCs w:val="24"/>
        </w:rPr>
        <w:t>increases to the Regular Letter Service</w:t>
      </w:r>
      <w:r w:rsidR="00596C59">
        <w:rPr>
          <w:rFonts w:ascii="Times New Roman" w:hAnsi="Times New Roman" w:cs="Times New Roman"/>
          <w:sz w:val="24"/>
          <w:szCs w:val="24"/>
        </w:rPr>
        <w:t xml:space="preserve"> as well as for any </w:t>
      </w:r>
      <w:r w:rsidR="0096356E">
        <w:rPr>
          <w:rFonts w:ascii="Times New Roman" w:hAnsi="Times New Roman" w:cs="Times New Roman"/>
          <w:sz w:val="24"/>
          <w:szCs w:val="24"/>
        </w:rPr>
        <w:t xml:space="preserve">proposed </w:t>
      </w:r>
      <w:r w:rsidR="00596C59">
        <w:rPr>
          <w:rFonts w:ascii="Times New Roman" w:hAnsi="Times New Roman" w:cs="Times New Roman"/>
          <w:sz w:val="24"/>
          <w:szCs w:val="24"/>
        </w:rPr>
        <w:t>price rise that increases the postage rate for the Priority service above 150 per cent of the value of the Regular service</w:t>
      </w:r>
      <w:r w:rsidRPr="00CB4EE8">
        <w:rPr>
          <w:rFonts w:ascii="Times New Roman" w:hAnsi="Times New Roman" w:cs="Times New Roman"/>
          <w:sz w:val="24"/>
          <w:szCs w:val="24"/>
        </w:rPr>
        <w:t xml:space="preserve">. </w:t>
      </w:r>
      <w:r w:rsidR="00596C59" w:rsidRPr="00C50F48">
        <w:rPr>
          <w:rFonts w:ascii="Times New Roman" w:hAnsi="Times New Roman"/>
          <w:sz w:val="24"/>
          <w:szCs w:val="24"/>
        </w:rPr>
        <w:t>Prices for the standard Regular and Priority letter services act as a ceiling for the equivalent business mail services.</w:t>
      </w:r>
      <w:r w:rsidR="00596C59">
        <w:rPr>
          <w:rFonts w:ascii="Times New Roman" w:hAnsi="Times New Roman" w:cs="Times New Roman"/>
          <w:sz w:val="24"/>
          <w:szCs w:val="24"/>
        </w:rPr>
        <w:t xml:space="preserve"> </w:t>
      </w:r>
      <w:r w:rsidRPr="004A004B">
        <w:rPr>
          <w:rFonts w:ascii="Times New Roman" w:hAnsi="Times New Roman" w:cs="Times New Roman"/>
          <w:sz w:val="24"/>
          <w:szCs w:val="24"/>
        </w:rPr>
        <w:t xml:space="preserve"> </w:t>
      </w:r>
      <w:r w:rsidR="00B1149A" w:rsidRPr="004A004B">
        <w:rPr>
          <w:rFonts w:ascii="Times New Roman" w:hAnsi="Times New Roman" w:cs="Times New Roman"/>
          <w:sz w:val="24"/>
          <w:szCs w:val="24"/>
        </w:rPr>
        <w:t xml:space="preserve">The price of Pre-Sort letters must be below the </w:t>
      </w:r>
      <w:r w:rsidR="00B1149A">
        <w:rPr>
          <w:rFonts w:ascii="Times New Roman" w:hAnsi="Times New Roman" w:cs="Times New Roman"/>
          <w:sz w:val="24"/>
          <w:szCs w:val="24"/>
        </w:rPr>
        <w:t>standard rates</w:t>
      </w:r>
      <w:r w:rsidR="00B1149A" w:rsidRPr="004A004B">
        <w:rPr>
          <w:rFonts w:ascii="Times New Roman" w:hAnsi="Times New Roman" w:cs="Times New Roman"/>
          <w:sz w:val="24"/>
          <w:szCs w:val="24"/>
        </w:rPr>
        <w:t xml:space="preserve"> as under sections 32A and 32B of the </w:t>
      </w:r>
      <w:r w:rsidR="00B1149A" w:rsidRPr="004A004B">
        <w:rPr>
          <w:rFonts w:ascii="Times New Roman" w:hAnsi="Times New Roman" w:cs="Times New Roman"/>
          <w:i/>
          <w:sz w:val="24"/>
          <w:szCs w:val="24"/>
        </w:rPr>
        <w:t xml:space="preserve">Australian Postal Corporation Act 1989 </w:t>
      </w:r>
      <w:r w:rsidR="00B1149A" w:rsidRPr="004A004B">
        <w:rPr>
          <w:rFonts w:ascii="Times New Roman" w:hAnsi="Times New Roman" w:cs="Times New Roman"/>
          <w:sz w:val="24"/>
          <w:szCs w:val="24"/>
        </w:rPr>
        <w:t>users of a bulk interconnection service (which includes pre-sort letters) should receive a rate reduction.</w:t>
      </w:r>
    </w:p>
    <w:p w14:paraId="3BA14390"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Regulations made under section 32B of the </w:t>
      </w:r>
      <w:r w:rsidRPr="004A004B">
        <w:rPr>
          <w:rFonts w:ascii="Times New Roman" w:hAnsi="Times New Roman" w:cs="Times New Roman"/>
          <w:i/>
          <w:sz w:val="24"/>
          <w:szCs w:val="24"/>
        </w:rPr>
        <w:t>Australian Postal Corporation Act 1989</w:t>
      </w:r>
      <w:r w:rsidRPr="004A004B">
        <w:rPr>
          <w:rFonts w:ascii="Times New Roman" w:hAnsi="Times New Roman" w:cs="Times New Roman"/>
          <w:sz w:val="24"/>
          <w:szCs w:val="24"/>
        </w:rPr>
        <w:t xml:space="preserve"> allow the ACCC to enquire into disputes about the terms and conditions, including price of access, to Australia Post’s bulk mail services. The intent of these provisions, as stated in the explanatory memorandum to the Postal Services Legislation Amendment Bill 2003, is to ensure that ‘persons who use bulk mail services receive fair and reasonable terms and conditions in relation to the supply of those services’. No formal dispute notifications have been lodged with the ACCC to date. </w:t>
      </w:r>
    </w:p>
    <w:p w14:paraId="34A9BB30" w14:textId="77777777" w:rsidR="004A004B" w:rsidRPr="004A004B" w:rsidRDefault="004A004B" w:rsidP="004A004B">
      <w:pPr>
        <w:pStyle w:val="BodyText"/>
        <w:rPr>
          <w:rFonts w:ascii="Times New Roman" w:hAnsi="Times New Roman" w:cs="Times New Roman"/>
          <w:i/>
          <w:sz w:val="24"/>
          <w:szCs w:val="24"/>
        </w:rPr>
      </w:pPr>
      <w:r w:rsidRPr="004A004B">
        <w:rPr>
          <w:rFonts w:ascii="Times New Roman" w:hAnsi="Times New Roman" w:cs="Times New Roman"/>
          <w:sz w:val="24"/>
          <w:szCs w:val="24"/>
        </w:rPr>
        <w:t xml:space="preserve">In addition, if a bulk mail customer considers that the discount offered by Australia Post does not sufficiently recognise the costs they incur in preparing and lodging mail for processing, the customer has the option to shift to (non-discounted) consumer mail where such costs are borne by Australia Post. </w:t>
      </w:r>
    </w:p>
    <w:p w14:paraId="6E7EEC0A"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the Minister for Communications undertake a thorough examination of cost allocation within Australia Post and report back to the committee.</w:t>
      </w:r>
    </w:p>
    <w:p w14:paraId="1632200A"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ACCC undertakes an annual cross subsidy assessment of Australia Post’s reserved letter services. These reports are available </w:t>
      </w:r>
      <w:r w:rsidRPr="00074453">
        <w:rPr>
          <w:rFonts w:ascii="Times New Roman" w:hAnsi="Times New Roman" w:cs="Times New Roman"/>
          <w:sz w:val="24"/>
          <w:szCs w:val="24"/>
        </w:rPr>
        <w:t xml:space="preserve">at </w:t>
      </w:r>
      <w:hyperlink r:id="rId9" w:history="1">
        <w:r w:rsidRPr="00074453">
          <w:rPr>
            <w:rStyle w:val="Hyperlink"/>
            <w:rFonts w:ascii="Times New Roman" w:hAnsi="Times New Roman" w:cs="Times New Roman"/>
            <w:b/>
            <w:color w:val="auto"/>
            <w:sz w:val="24"/>
            <w:szCs w:val="24"/>
            <w:u w:val="none"/>
          </w:rPr>
          <w:t>www.accc.gov.au/publications/assessing-cross-subsidy-in-australia-post</w:t>
        </w:r>
      </w:hyperlink>
      <w:r w:rsidRPr="004A004B">
        <w:rPr>
          <w:rFonts w:ascii="Times New Roman" w:hAnsi="Times New Roman" w:cs="Times New Roman"/>
          <w:sz w:val="24"/>
          <w:szCs w:val="24"/>
        </w:rPr>
        <w:t xml:space="preserve"> and over a number of years have reported that the ACCC is </w:t>
      </w:r>
      <w:r w:rsidRPr="004A004B">
        <w:rPr>
          <w:rFonts w:ascii="Times New Roman" w:hAnsi="Times New Roman" w:cs="Times New Roman"/>
          <w:sz w:val="24"/>
          <w:szCs w:val="24"/>
        </w:rPr>
        <w:lastRenderedPageBreak/>
        <w:t xml:space="preserve">satisfied that Australia Post’s reserved services, at an aggregate level, were not a source of subsidy for its non-reserved services. Rather, reserved services has been a potential recipient of a subsidy since 2009-10. This was again confirmed in the report for 2013-14 which was released in April 2015. </w:t>
      </w:r>
    </w:p>
    <w:p w14:paraId="1C03E265"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ACCC has also completed a limited review of Australia Post’s cost allocation methodology (CAM) in the context of its assessment of Australia Post’s 2014 price notification, available at </w:t>
      </w:r>
      <w:r w:rsidRPr="009730AD">
        <w:rPr>
          <w:rFonts w:ascii="Times New Roman" w:hAnsi="Times New Roman" w:cs="Times New Roman"/>
          <w:b/>
          <w:sz w:val="24"/>
          <w:szCs w:val="24"/>
        </w:rPr>
        <w:t>www.accc.gov.au/regulated-infrastructure/postal-services</w:t>
      </w:r>
      <w:r w:rsidRPr="004A004B">
        <w:rPr>
          <w:rFonts w:ascii="Times New Roman" w:hAnsi="Times New Roman" w:cs="Times New Roman"/>
          <w:sz w:val="24"/>
          <w:szCs w:val="24"/>
        </w:rPr>
        <w:t xml:space="preserve">. This review focused on the allocation of non-operational (indirect) costs to reserved services, following an earlier review which focused on direct costs. This review did not identify any systematic bias in Australia Post’s CAM that would likely lead to a higher allocation of non-operational costs to reserved services. </w:t>
      </w:r>
    </w:p>
    <w:p w14:paraId="5C111076" w14:textId="0D5383C2"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Under the postal reforms announced by the Government, the ACCC will continue to play an important role in reviewing </w:t>
      </w:r>
      <w:r w:rsidR="0096356E">
        <w:rPr>
          <w:rFonts w:ascii="Times New Roman" w:hAnsi="Times New Roman" w:cs="Times New Roman"/>
          <w:sz w:val="24"/>
          <w:szCs w:val="24"/>
        </w:rPr>
        <w:t xml:space="preserve">certain </w:t>
      </w:r>
      <w:r w:rsidRPr="004A004B">
        <w:rPr>
          <w:rFonts w:ascii="Times New Roman" w:hAnsi="Times New Roman" w:cs="Times New Roman"/>
          <w:sz w:val="24"/>
          <w:szCs w:val="24"/>
        </w:rPr>
        <w:t>price increase</w:t>
      </w:r>
      <w:r w:rsidR="0096356E">
        <w:rPr>
          <w:rFonts w:ascii="Times New Roman" w:hAnsi="Times New Roman" w:cs="Times New Roman"/>
          <w:sz w:val="24"/>
          <w:szCs w:val="24"/>
        </w:rPr>
        <w:t>s</w:t>
      </w:r>
      <w:r w:rsidRPr="004A004B">
        <w:rPr>
          <w:rFonts w:ascii="Times New Roman" w:hAnsi="Times New Roman" w:cs="Times New Roman"/>
          <w:sz w:val="24"/>
          <w:szCs w:val="24"/>
        </w:rPr>
        <w:t xml:space="preserve"> proposed by Australia Post. In line with past practice, the ACCC may choose to consider Australia Post’s CAM in the context of any future price notifications received. ACCC decisions on Australia Post price notifications are made available on the ACCC’s public register. </w:t>
      </w:r>
    </w:p>
    <w:p w14:paraId="15B15B8E"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greater commercial freedoms for Australia Post should only be considered if this provides support for the delivery of the community service obligations through a viable Licensed Post Office network.</w:t>
      </w:r>
    </w:p>
    <w:p w14:paraId="50122483"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reforms to Australia Post’s regulatory requirements are critical to the future viability of the post office network. No changes are being made to the number of retail outlets, and a more financially sustainable letters service provides Australia Post with much greater flexibility to increase payments to post office licensees. </w:t>
      </w:r>
    </w:p>
    <w:p w14:paraId="630F8BD5"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Under section 27 of the </w:t>
      </w:r>
      <w:r w:rsidRPr="004A004B">
        <w:rPr>
          <w:rFonts w:ascii="Times New Roman" w:hAnsi="Times New Roman" w:cs="Times New Roman"/>
          <w:i/>
          <w:sz w:val="24"/>
          <w:szCs w:val="24"/>
        </w:rPr>
        <w:t xml:space="preserve">Australian Postal Corporation Act 1989, </w:t>
      </w:r>
      <w:r w:rsidRPr="004A004B">
        <w:rPr>
          <w:rFonts w:ascii="Times New Roman" w:hAnsi="Times New Roman" w:cs="Times New Roman"/>
          <w:sz w:val="24"/>
          <w:szCs w:val="24"/>
        </w:rPr>
        <w:t xml:space="preserve">Australia Post is required to meet letter service community service obligations, including that the service is reasonably accessible to all people in Australia and that it reasonably meets the needs of the Australian community. Meeting this obligation requires a viable post office network. </w:t>
      </w:r>
    </w:p>
    <w:p w14:paraId="667446D7"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Government will continue to work closely with Australia Post to enable it to modernise its business so that it can remain financially sustainable and self-funding, and has the ability to continue to deliver its community service obligation. </w:t>
      </w:r>
    </w:p>
    <w:p w14:paraId="15CE857E"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the Commonwealth Government immediately commission an independent review of the community service obligations contained in the Australian Postal Corporation Act 1989 and associated regulations.</w:t>
      </w:r>
    </w:p>
    <w:p w14:paraId="2EE3EF04" w14:textId="77777777" w:rsidR="004A004B" w:rsidRPr="00074453" w:rsidRDefault="004A004B" w:rsidP="00074453">
      <w:pPr>
        <w:pStyle w:val="BodyText"/>
        <w:ind w:firstLine="360"/>
        <w:rPr>
          <w:rFonts w:ascii="Times New Roman" w:hAnsi="Times New Roman" w:cs="Times New Roman"/>
          <w:b/>
          <w:sz w:val="24"/>
          <w:szCs w:val="24"/>
        </w:rPr>
      </w:pPr>
      <w:r w:rsidRPr="00074453">
        <w:rPr>
          <w:rFonts w:ascii="Times New Roman" w:hAnsi="Times New Roman" w:cs="Times New Roman"/>
          <w:b/>
          <w:sz w:val="24"/>
          <w:szCs w:val="24"/>
        </w:rPr>
        <w:t>In undertaking this review, the committee further recommends that:</w:t>
      </w:r>
    </w:p>
    <w:p w14:paraId="795547CA" w14:textId="62BCB92C" w:rsidR="004A004B" w:rsidRPr="00074453" w:rsidRDefault="004A004B" w:rsidP="00074453">
      <w:pPr>
        <w:pStyle w:val="BodyText"/>
        <w:numPr>
          <w:ilvl w:val="0"/>
          <w:numId w:val="36"/>
        </w:numPr>
        <w:rPr>
          <w:rFonts w:ascii="Times New Roman" w:hAnsi="Times New Roman" w:cs="Times New Roman"/>
          <w:b/>
          <w:sz w:val="24"/>
          <w:szCs w:val="24"/>
        </w:rPr>
      </w:pPr>
      <w:r w:rsidRPr="00074453">
        <w:rPr>
          <w:rFonts w:ascii="Times New Roman" w:hAnsi="Times New Roman" w:cs="Times New Roman"/>
          <w:b/>
          <w:sz w:val="24"/>
          <w:szCs w:val="24"/>
        </w:rPr>
        <w:t>the future of mail delivery services be assessed;</w:t>
      </w:r>
    </w:p>
    <w:p w14:paraId="57AFFA55" w14:textId="364F8FB1" w:rsidR="004A004B" w:rsidRPr="00074453" w:rsidRDefault="004A004B" w:rsidP="00074453">
      <w:pPr>
        <w:pStyle w:val="BodyText"/>
        <w:numPr>
          <w:ilvl w:val="0"/>
          <w:numId w:val="36"/>
        </w:numPr>
        <w:rPr>
          <w:rFonts w:ascii="Times New Roman" w:hAnsi="Times New Roman" w:cs="Times New Roman"/>
          <w:b/>
          <w:sz w:val="24"/>
          <w:szCs w:val="24"/>
        </w:rPr>
      </w:pPr>
      <w:r w:rsidRPr="00074453">
        <w:rPr>
          <w:rFonts w:ascii="Times New Roman" w:hAnsi="Times New Roman" w:cs="Times New Roman"/>
          <w:b/>
          <w:sz w:val="24"/>
          <w:szCs w:val="24"/>
        </w:rPr>
        <w:t>the number of retail outlets required in the network be assessed;</w:t>
      </w:r>
    </w:p>
    <w:p w14:paraId="152362BA" w14:textId="25483BFD" w:rsidR="004A004B" w:rsidRPr="00074453" w:rsidRDefault="004A004B" w:rsidP="00074453">
      <w:pPr>
        <w:pStyle w:val="BodyText"/>
        <w:numPr>
          <w:ilvl w:val="0"/>
          <w:numId w:val="36"/>
        </w:numPr>
        <w:rPr>
          <w:rFonts w:ascii="Times New Roman" w:hAnsi="Times New Roman" w:cs="Times New Roman"/>
          <w:b/>
          <w:sz w:val="24"/>
          <w:szCs w:val="24"/>
        </w:rPr>
      </w:pPr>
      <w:r w:rsidRPr="00074453">
        <w:rPr>
          <w:rFonts w:ascii="Times New Roman" w:hAnsi="Times New Roman" w:cs="Times New Roman"/>
          <w:b/>
          <w:sz w:val="24"/>
          <w:szCs w:val="24"/>
        </w:rPr>
        <w:t>the effects of any changes to the community services obligations on Australia Post employees, Licensed Post Offices, Community Postal Agencies, franchisees and mail contractors be investigated; and</w:t>
      </w:r>
    </w:p>
    <w:p w14:paraId="098F36DE" w14:textId="5F3225B6" w:rsidR="004A004B" w:rsidRPr="00074453" w:rsidRDefault="004A004B" w:rsidP="00074453">
      <w:pPr>
        <w:pStyle w:val="BodyText"/>
        <w:numPr>
          <w:ilvl w:val="0"/>
          <w:numId w:val="36"/>
        </w:numPr>
        <w:rPr>
          <w:rFonts w:ascii="Times New Roman" w:hAnsi="Times New Roman" w:cs="Times New Roman"/>
          <w:b/>
          <w:sz w:val="24"/>
          <w:szCs w:val="24"/>
        </w:rPr>
      </w:pPr>
      <w:proofErr w:type="gramStart"/>
      <w:r w:rsidRPr="00074453">
        <w:rPr>
          <w:rFonts w:ascii="Times New Roman" w:hAnsi="Times New Roman" w:cs="Times New Roman"/>
          <w:b/>
          <w:sz w:val="24"/>
          <w:szCs w:val="24"/>
        </w:rPr>
        <w:lastRenderedPageBreak/>
        <w:t>consideration</w:t>
      </w:r>
      <w:proofErr w:type="gramEnd"/>
      <w:r w:rsidRPr="00074453">
        <w:rPr>
          <w:rFonts w:ascii="Times New Roman" w:hAnsi="Times New Roman" w:cs="Times New Roman"/>
          <w:b/>
          <w:sz w:val="24"/>
          <w:szCs w:val="24"/>
        </w:rPr>
        <w:t xml:space="preserve"> be given to the needs of remote, rural and regional communities particularly where other service providers have ceased to operate.</w:t>
      </w:r>
    </w:p>
    <w:p w14:paraId="56388617"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Both the Government and Australia Post have already commissioned a number of independent reviews.</w:t>
      </w:r>
    </w:p>
    <w:p w14:paraId="517CF6F9"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Independent analysis undertaken by the Boston Consulting Group (BCG) for the Government found that:</w:t>
      </w:r>
    </w:p>
    <w:p w14:paraId="421B8766" w14:textId="77777777" w:rsidR="004A004B" w:rsidRPr="004A004B" w:rsidRDefault="004A004B" w:rsidP="00074453">
      <w:pPr>
        <w:pStyle w:val="BodyText"/>
        <w:numPr>
          <w:ilvl w:val="0"/>
          <w:numId w:val="37"/>
        </w:numPr>
        <w:rPr>
          <w:rFonts w:ascii="Times New Roman" w:hAnsi="Times New Roman" w:cs="Times New Roman"/>
          <w:sz w:val="24"/>
          <w:szCs w:val="24"/>
        </w:rPr>
      </w:pPr>
      <w:r w:rsidRPr="004A004B">
        <w:rPr>
          <w:rFonts w:ascii="Times New Roman" w:hAnsi="Times New Roman" w:cs="Times New Roman"/>
          <w:sz w:val="24"/>
          <w:szCs w:val="24"/>
        </w:rPr>
        <w:t>it is not feasible to rely on the fully competitive parcels business to fund losses in the letters monopoly;</w:t>
      </w:r>
    </w:p>
    <w:p w14:paraId="35261ED6" w14:textId="77777777" w:rsidR="004A004B" w:rsidRPr="004A004B" w:rsidRDefault="004A004B" w:rsidP="00074453">
      <w:pPr>
        <w:pStyle w:val="BodyText"/>
        <w:numPr>
          <w:ilvl w:val="0"/>
          <w:numId w:val="37"/>
        </w:numPr>
        <w:rPr>
          <w:rFonts w:ascii="Times New Roman" w:hAnsi="Times New Roman" w:cs="Times New Roman"/>
          <w:sz w:val="24"/>
          <w:szCs w:val="24"/>
        </w:rPr>
      </w:pPr>
      <w:r w:rsidRPr="004A004B">
        <w:rPr>
          <w:rFonts w:ascii="Times New Roman" w:hAnsi="Times New Roman" w:cs="Times New Roman"/>
          <w:sz w:val="24"/>
          <w:szCs w:val="24"/>
        </w:rPr>
        <w:t>most people are over-serviced under the current letter delivery model, with surveys suggesting that two thirds of receivers use their mail less than twice a week, half would accept three day delivery and few would be willing to pay to maintain five day delivery;</w:t>
      </w:r>
    </w:p>
    <w:p w14:paraId="1279B5DC" w14:textId="77777777" w:rsidR="004A004B" w:rsidRPr="004A004B" w:rsidRDefault="004A004B" w:rsidP="00074453">
      <w:pPr>
        <w:pStyle w:val="BodyText"/>
        <w:numPr>
          <w:ilvl w:val="0"/>
          <w:numId w:val="37"/>
        </w:numPr>
        <w:rPr>
          <w:rFonts w:ascii="Times New Roman" w:hAnsi="Times New Roman" w:cs="Times New Roman"/>
          <w:sz w:val="24"/>
          <w:szCs w:val="24"/>
        </w:rPr>
      </w:pPr>
      <w:r w:rsidRPr="004A004B">
        <w:rPr>
          <w:rFonts w:ascii="Times New Roman" w:hAnsi="Times New Roman" w:cs="Times New Roman"/>
          <w:sz w:val="24"/>
          <w:szCs w:val="24"/>
        </w:rPr>
        <w:t>the letters business has ~80 per cent fixed costs, with mail forecast to decline by eight to 11 per cent per annum to 2019-20; and</w:t>
      </w:r>
    </w:p>
    <w:p w14:paraId="624282A6" w14:textId="77777777" w:rsidR="004A004B" w:rsidRPr="004A004B" w:rsidRDefault="004A004B" w:rsidP="00074453">
      <w:pPr>
        <w:pStyle w:val="BodyText"/>
        <w:numPr>
          <w:ilvl w:val="0"/>
          <w:numId w:val="37"/>
        </w:numPr>
        <w:rPr>
          <w:rFonts w:ascii="Times New Roman" w:hAnsi="Times New Roman" w:cs="Times New Roman"/>
          <w:sz w:val="24"/>
          <w:szCs w:val="24"/>
        </w:rPr>
      </w:pPr>
      <w:proofErr w:type="gramStart"/>
      <w:r w:rsidRPr="004A004B">
        <w:rPr>
          <w:rFonts w:ascii="Times New Roman" w:hAnsi="Times New Roman" w:cs="Times New Roman"/>
          <w:sz w:val="24"/>
          <w:szCs w:val="24"/>
        </w:rPr>
        <w:t>without</w:t>
      </w:r>
      <w:proofErr w:type="gramEnd"/>
      <w:r w:rsidRPr="004A004B">
        <w:rPr>
          <w:rFonts w:ascii="Times New Roman" w:hAnsi="Times New Roman" w:cs="Times New Roman"/>
          <w:sz w:val="24"/>
          <w:szCs w:val="24"/>
        </w:rPr>
        <w:t xml:space="preserve"> reform the letters business is forecast to incur $12.1 billion in losses, while the enterprise is forecast to lose $6.6 billion to 2022-23.</w:t>
      </w:r>
    </w:p>
    <w:p w14:paraId="2C9B105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i/>
          <w:sz w:val="24"/>
          <w:szCs w:val="24"/>
        </w:rPr>
        <w:t>The</w:t>
      </w:r>
      <w:r w:rsidRPr="004A004B">
        <w:rPr>
          <w:rFonts w:ascii="Times New Roman" w:hAnsi="Times New Roman" w:cs="Times New Roman"/>
          <w:sz w:val="24"/>
          <w:szCs w:val="24"/>
        </w:rPr>
        <w:t xml:space="preserve"> </w:t>
      </w:r>
      <w:r w:rsidRPr="004A004B">
        <w:rPr>
          <w:rFonts w:ascii="Times New Roman" w:hAnsi="Times New Roman" w:cs="Times New Roman"/>
          <w:i/>
          <w:sz w:val="24"/>
          <w:szCs w:val="24"/>
        </w:rPr>
        <w:t>Australian and International Postal Services Overview</w:t>
      </w:r>
      <w:r w:rsidRPr="004A004B">
        <w:rPr>
          <w:rFonts w:ascii="Times New Roman" w:hAnsi="Times New Roman" w:cs="Times New Roman"/>
          <w:sz w:val="24"/>
          <w:szCs w:val="24"/>
        </w:rPr>
        <w:t xml:space="preserve"> developed by the BCG was released on the Department of Communications website in June 2014.</w:t>
      </w:r>
    </w:p>
    <w:p w14:paraId="53CDD07C" w14:textId="57F262A5"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Government is committed to stemming the growing and accelerating losses in letters to ensure that Australia Post can maintain a sustainable postal service. This includes maintaining Australia Post’s extensive retail network and supporting the viability of LPOs in communities across Australia, in particular in regional areas where more than 2,500 LPOs are such an important part of local communities. </w:t>
      </w:r>
    </w:p>
    <w:p w14:paraId="19C415D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postal reforms announced by Government on 3 March 2015 are critical to strengthening the viability of Australia Post into the future. The reforms recognise the ongoing importance of an accessible and equitable mail service to all Australians, and the need for more flexible regulatory arrangements that enable Australia Post to adapt to changing consumer demand. Further detail on the postal reforms is available at </w:t>
      </w:r>
      <w:r w:rsidRPr="00074453">
        <w:rPr>
          <w:rFonts w:ascii="Times New Roman" w:hAnsi="Times New Roman" w:cs="Times New Roman"/>
          <w:b/>
          <w:sz w:val="24"/>
          <w:szCs w:val="24"/>
        </w:rPr>
        <w:t>www.communications.gov.au/post</w:t>
      </w:r>
      <w:r w:rsidRPr="004A004B">
        <w:rPr>
          <w:rFonts w:ascii="Times New Roman" w:hAnsi="Times New Roman" w:cs="Times New Roman"/>
          <w:sz w:val="24"/>
          <w:szCs w:val="24"/>
        </w:rPr>
        <w:t xml:space="preserve"> and </w:t>
      </w:r>
      <w:r w:rsidRPr="00074453">
        <w:rPr>
          <w:rFonts w:ascii="Times New Roman" w:hAnsi="Times New Roman" w:cs="Times New Roman"/>
          <w:b/>
          <w:sz w:val="24"/>
          <w:szCs w:val="24"/>
        </w:rPr>
        <w:t>www.auspost.com.au/media/documents/Reform-Fact-Sheet.pdf</w:t>
      </w:r>
      <w:r w:rsidRPr="004A004B">
        <w:rPr>
          <w:rFonts w:ascii="Times New Roman" w:hAnsi="Times New Roman" w:cs="Times New Roman"/>
          <w:sz w:val="24"/>
          <w:szCs w:val="24"/>
        </w:rPr>
        <w:t>.</w:t>
      </w:r>
    </w:p>
    <w:p w14:paraId="1285B49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The underlying pressures on Australia Post’s business will continue and the Government will regularly assess Australia Post’s performance in the light of the announced changes</w:t>
      </w:r>
    </w:p>
    <w:p w14:paraId="2E6CD6A6"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before further or more complex trusted services are provided through the postal network, the Minister for Communications consult Australia Post and relevant government agencies with a view to determining the requirements for the provision of those services.</w:t>
      </w:r>
    </w:p>
    <w:p w14:paraId="20736C15" w14:textId="77777777" w:rsidR="004A004B" w:rsidRPr="004A004B" w:rsidRDefault="004A004B" w:rsidP="00074453">
      <w:pPr>
        <w:pStyle w:val="BodyText"/>
        <w:ind w:left="360"/>
        <w:rPr>
          <w:rFonts w:ascii="Times New Roman" w:hAnsi="Times New Roman" w:cs="Times New Roman"/>
          <w:b/>
          <w:sz w:val="24"/>
          <w:szCs w:val="24"/>
        </w:rPr>
      </w:pPr>
      <w:r w:rsidRPr="004A004B">
        <w:rPr>
          <w:rFonts w:ascii="Times New Roman" w:hAnsi="Times New Roman" w:cs="Times New Roman"/>
          <w:b/>
          <w:sz w:val="24"/>
          <w:szCs w:val="24"/>
        </w:rPr>
        <w:t>The committee also recommends that Australia Post undertake consultation with all licensee representative groups in regard to any additional requirements related to an expansion in the delivery of trusted services, including training, staffing, shopfront space, technology and remuneration.</w:t>
      </w:r>
    </w:p>
    <w:p w14:paraId="070629F0"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lastRenderedPageBreak/>
        <w:t xml:space="preserve">The Government is supportive of Australia Post’s efforts to identify appropriate new commercial products and services to continue to grow the enterprise and offset escalating losses in the regulated letters business. </w:t>
      </w:r>
    </w:p>
    <w:p w14:paraId="12839A88" w14:textId="77777777" w:rsid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will continue to compete on a commercial basis in relation to the provision of services on behalf of Government. In addition to the core product offering of mail, parcels, courier and mailroom services, Australia Post provides trusted services to a substantial number of principals, both from a Financial Services and an Identity Services perspective. These include:</w:t>
      </w:r>
    </w:p>
    <w:p w14:paraId="705DBB95" w14:textId="0525781D" w:rsidR="005867F0" w:rsidRPr="0011014C" w:rsidRDefault="005867F0" w:rsidP="0011014C">
      <w:pPr>
        <w:pStyle w:val="Heading3"/>
        <w:rPr>
          <w:rFonts w:ascii="Times New Roman" w:hAnsi="Times New Roman" w:cs="Times New Roman"/>
          <w:color w:val="auto"/>
          <w:sz w:val="24"/>
        </w:rPr>
      </w:pPr>
      <w:r w:rsidRPr="0011014C">
        <w:rPr>
          <w:rFonts w:ascii="Times New Roman" w:hAnsi="Times New Roman" w:cs="Times New Roman"/>
          <w:color w:val="auto"/>
          <w:sz w:val="24"/>
        </w:rPr>
        <w:t>Federal Government</w:t>
      </w:r>
    </w:p>
    <w:p w14:paraId="19D05281" w14:textId="0DEDB745"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Tax File Number application</w:t>
      </w:r>
      <w:r w:rsidRPr="005867F0">
        <w:rPr>
          <w:rFonts w:ascii="Times New Roman" w:hAnsi="Times New Roman" w:cs="Times New Roman"/>
          <w:sz w:val="24"/>
          <w:szCs w:val="24"/>
        </w:rPr>
        <w:t xml:space="preserve"> </w:t>
      </w:r>
    </w:p>
    <w:p w14:paraId="785A2A81"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Passports</w:t>
      </w:r>
      <w:r w:rsidRPr="005867F0">
        <w:rPr>
          <w:rFonts w:ascii="Times New Roman" w:hAnsi="Times New Roman" w:cs="Times New Roman"/>
          <w:sz w:val="24"/>
          <w:szCs w:val="24"/>
        </w:rPr>
        <w:t xml:space="preserve"> </w:t>
      </w:r>
    </w:p>
    <w:p w14:paraId="26CC2946"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Voting forms</w:t>
      </w:r>
      <w:r w:rsidRPr="005867F0">
        <w:rPr>
          <w:rFonts w:ascii="Times New Roman" w:hAnsi="Times New Roman" w:cs="Times New Roman"/>
          <w:sz w:val="24"/>
          <w:szCs w:val="24"/>
        </w:rPr>
        <w:t xml:space="preserve"> </w:t>
      </w:r>
    </w:p>
    <w:p w14:paraId="2EEDAD2F"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Parcel/letter security screening</w:t>
      </w:r>
      <w:r w:rsidRPr="005867F0">
        <w:rPr>
          <w:rFonts w:ascii="Times New Roman" w:hAnsi="Times New Roman" w:cs="Times New Roman"/>
          <w:sz w:val="24"/>
          <w:szCs w:val="24"/>
        </w:rPr>
        <w:t xml:space="preserve"> </w:t>
      </w:r>
    </w:p>
    <w:p w14:paraId="45842620"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Bill Payment</w:t>
      </w:r>
      <w:r w:rsidRPr="005867F0">
        <w:rPr>
          <w:rFonts w:ascii="Times New Roman" w:hAnsi="Times New Roman" w:cs="Times New Roman"/>
          <w:sz w:val="24"/>
          <w:szCs w:val="24"/>
        </w:rPr>
        <w:t xml:space="preserve"> </w:t>
      </w:r>
    </w:p>
    <w:p w14:paraId="7AB4CCE5" w14:textId="79B7818C"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On-line forms data capture &amp; processing</w:t>
      </w:r>
    </w:p>
    <w:p w14:paraId="12550E9A" w14:textId="01970278" w:rsidR="005867F0" w:rsidRPr="0011014C" w:rsidRDefault="005867F0" w:rsidP="0011014C">
      <w:pPr>
        <w:pStyle w:val="Heading3"/>
        <w:rPr>
          <w:rFonts w:ascii="Times New Roman" w:hAnsi="Times New Roman" w:cs="Times New Roman"/>
          <w:color w:val="auto"/>
          <w:sz w:val="24"/>
        </w:rPr>
      </w:pPr>
      <w:r w:rsidRPr="0011014C">
        <w:rPr>
          <w:rFonts w:ascii="Times New Roman" w:hAnsi="Times New Roman" w:cs="Times New Roman"/>
          <w:color w:val="auto"/>
          <w:sz w:val="24"/>
        </w:rPr>
        <w:t>State Government</w:t>
      </w:r>
    </w:p>
    <w:p w14:paraId="48E79397" w14:textId="341D1AC9"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Driver’s licence, registration and licence renewal</w:t>
      </w:r>
    </w:p>
    <w:p w14:paraId="14691061"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Boat and fishing licences</w:t>
      </w:r>
      <w:r w:rsidRPr="005867F0">
        <w:rPr>
          <w:rFonts w:ascii="Times New Roman" w:hAnsi="Times New Roman" w:cs="Times New Roman"/>
          <w:sz w:val="24"/>
          <w:szCs w:val="24"/>
        </w:rPr>
        <w:t xml:space="preserve"> </w:t>
      </w:r>
    </w:p>
    <w:p w14:paraId="0514C7BC"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Payment of e-toll and fines</w:t>
      </w:r>
      <w:r w:rsidRPr="005867F0">
        <w:rPr>
          <w:rFonts w:ascii="Times New Roman" w:hAnsi="Times New Roman" w:cs="Times New Roman"/>
          <w:sz w:val="24"/>
          <w:szCs w:val="24"/>
        </w:rPr>
        <w:t xml:space="preserve"> </w:t>
      </w:r>
    </w:p>
    <w:p w14:paraId="58E28DE2"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Payment of bonds and rent</w:t>
      </w:r>
      <w:r w:rsidRPr="005867F0">
        <w:rPr>
          <w:rFonts w:ascii="Times New Roman" w:hAnsi="Times New Roman" w:cs="Times New Roman"/>
          <w:sz w:val="24"/>
          <w:szCs w:val="24"/>
        </w:rPr>
        <w:t xml:space="preserve"> </w:t>
      </w:r>
    </w:p>
    <w:p w14:paraId="2ADCAD3F"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Birth, death and marriage certificates</w:t>
      </w:r>
      <w:r w:rsidRPr="005867F0">
        <w:rPr>
          <w:rFonts w:ascii="Times New Roman" w:hAnsi="Times New Roman" w:cs="Times New Roman"/>
          <w:sz w:val="24"/>
          <w:szCs w:val="24"/>
        </w:rPr>
        <w:t xml:space="preserve"> </w:t>
      </w:r>
    </w:p>
    <w:p w14:paraId="678DC47D"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Fair Trading</w:t>
      </w:r>
      <w:r w:rsidRPr="005867F0">
        <w:rPr>
          <w:rFonts w:ascii="Times New Roman" w:hAnsi="Times New Roman" w:cs="Times New Roman"/>
          <w:sz w:val="24"/>
          <w:szCs w:val="24"/>
        </w:rPr>
        <w:t xml:space="preserve"> </w:t>
      </w:r>
      <w:r w:rsidRPr="004A004B">
        <w:rPr>
          <w:rFonts w:ascii="Times New Roman" w:hAnsi="Times New Roman" w:cs="Times New Roman"/>
          <w:sz w:val="24"/>
          <w:szCs w:val="24"/>
        </w:rPr>
        <w:t>National Parks permits</w:t>
      </w:r>
      <w:r w:rsidRPr="005867F0">
        <w:rPr>
          <w:rFonts w:ascii="Times New Roman" w:hAnsi="Times New Roman" w:cs="Times New Roman"/>
          <w:sz w:val="24"/>
          <w:szCs w:val="24"/>
        </w:rPr>
        <w:t xml:space="preserve"> </w:t>
      </w:r>
    </w:p>
    <w:p w14:paraId="5EB833FB"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Public transport tickets</w:t>
      </w:r>
      <w:r w:rsidRPr="005867F0">
        <w:rPr>
          <w:rFonts w:ascii="Times New Roman" w:hAnsi="Times New Roman" w:cs="Times New Roman"/>
          <w:sz w:val="24"/>
          <w:szCs w:val="24"/>
        </w:rPr>
        <w:t xml:space="preserve"> </w:t>
      </w:r>
    </w:p>
    <w:p w14:paraId="684A84B0"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Working with children licences</w:t>
      </w:r>
      <w:r w:rsidRPr="005867F0">
        <w:rPr>
          <w:rFonts w:ascii="Times New Roman" w:hAnsi="Times New Roman" w:cs="Times New Roman"/>
          <w:sz w:val="24"/>
          <w:szCs w:val="24"/>
        </w:rPr>
        <w:t xml:space="preserve"> </w:t>
      </w:r>
    </w:p>
    <w:p w14:paraId="2FC15B57"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Criminal history checks</w:t>
      </w:r>
      <w:r w:rsidRPr="005867F0">
        <w:rPr>
          <w:rFonts w:ascii="Times New Roman" w:hAnsi="Times New Roman" w:cs="Times New Roman"/>
          <w:sz w:val="24"/>
          <w:szCs w:val="24"/>
        </w:rPr>
        <w:t xml:space="preserve"> </w:t>
      </w:r>
    </w:p>
    <w:p w14:paraId="6F8D0D34"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Firearm licensing</w:t>
      </w:r>
      <w:r w:rsidRPr="005867F0">
        <w:rPr>
          <w:rFonts w:ascii="Times New Roman" w:hAnsi="Times New Roman" w:cs="Times New Roman"/>
          <w:sz w:val="24"/>
          <w:szCs w:val="24"/>
        </w:rPr>
        <w:t xml:space="preserve"> </w:t>
      </w:r>
    </w:p>
    <w:p w14:paraId="71BF6DFB"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Liquor and gaming licences</w:t>
      </w:r>
      <w:r w:rsidRPr="005867F0">
        <w:rPr>
          <w:rFonts w:ascii="Times New Roman" w:hAnsi="Times New Roman" w:cs="Times New Roman"/>
          <w:sz w:val="24"/>
          <w:szCs w:val="24"/>
        </w:rPr>
        <w:t xml:space="preserve"> </w:t>
      </w:r>
    </w:p>
    <w:p w14:paraId="75EB61C6"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High risk work licences</w:t>
      </w:r>
      <w:r w:rsidRPr="005867F0">
        <w:rPr>
          <w:rFonts w:ascii="Times New Roman" w:hAnsi="Times New Roman" w:cs="Times New Roman"/>
          <w:sz w:val="24"/>
          <w:szCs w:val="24"/>
        </w:rPr>
        <w:t xml:space="preserve"> </w:t>
      </w:r>
    </w:p>
    <w:p w14:paraId="0AA62DC1"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Maritime security licencing</w:t>
      </w:r>
      <w:r w:rsidRPr="005867F0">
        <w:rPr>
          <w:rFonts w:ascii="Times New Roman" w:hAnsi="Times New Roman" w:cs="Times New Roman"/>
          <w:sz w:val="24"/>
          <w:szCs w:val="24"/>
        </w:rPr>
        <w:t xml:space="preserve"> </w:t>
      </w:r>
    </w:p>
    <w:p w14:paraId="0C0E2341" w14:textId="2F53A9EC"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Voting forms</w:t>
      </w:r>
    </w:p>
    <w:p w14:paraId="3558EB9D" w14:textId="3A9F71B2" w:rsidR="005867F0" w:rsidRPr="0011014C" w:rsidRDefault="005867F0" w:rsidP="0011014C">
      <w:pPr>
        <w:pStyle w:val="Heading3"/>
        <w:rPr>
          <w:rFonts w:ascii="Times New Roman" w:hAnsi="Times New Roman" w:cs="Times New Roman"/>
          <w:color w:val="auto"/>
          <w:sz w:val="24"/>
        </w:rPr>
      </w:pPr>
      <w:r w:rsidRPr="0011014C">
        <w:rPr>
          <w:rFonts w:ascii="Times New Roman" w:hAnsi="Times New Roman" w:cs="Times New Roman"/>
          <w:color w:val="auto"/>
          <w:sz w:val="24"/>
        </w:rPr>
        <w:t>Local Government</w:t>
      </w:r>
    </w:p>
    <w:p w14:paraId="1403503F"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Bill payment (parking fines and other fines)</w:t>
      </w:r>
      <w:r>
        <w:rPr>
          <w:rFonts w:ascii="Times New Roman" w:hAnsi="Times New Roman" w:cs="Times New Roman"/>
          <w:sz w:val="24"/>
          <w:szCs w:val="24"/>
        </w:rPr>
        <w:t xml:space="preserve"> </w:t>
      </w:r>
    </w:p>
    <w:p w14:paraId="153B990B"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Locked Box and cheque processing</w:t>
      </w:r>
      <w:r w:rsidRPr="005867F0">
        <w:rPr>
          <w:rFonts w:ascii="Times New Roman" w:hAnsi="Times New Roman" w:cs="Times New Roman"/>
          <w:sz w:val="24"/>
          <w:szCs w:val="24"/>
        </w:rPr>
        <w:t xml:space="preserve"> </w:t>
      </w:r>
    </w:p>
    <w:p w14:paraId="672DFCE1"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Design and printing</w:t>
      </w:r>
      <w:r w:rsidRPr="005867F0">
        <w:rPr>
          <w:rFonts w:ascii="Times New Roman" w:hAnsi="Times New Roman" w:cs="Times New Roman"/>
          <w:sz w:val="24"/>
          <w:szCs w:val="24"/>
        </w:rPr>
        <w:t xml:space="preserve"> </w:t>
      </w:r>
    </w:p>
    <w:p w14:paraId="6371D21E" w14:textId="77777777" w:rsidR="005867F0"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t>Database management</w:t>
      </w:r>
      <w:r w:rsidRPr="005867F0">
        <w:rPr>
          <w:rFonts w:ascii="Times New Roman" w:hAnsi="Times New Roman" w:cs="Times New Roman"/>
          <w:sz w:val="24"/>
          <w:szCs w:val="24"/>
        </w:rPr>
        <w:t xml:space="preserve"> </w:t>
      </w:r>
    </w:p>
    <w:p w14:paraId="4E286D89" w14:textId="2096C428" w:rsidR="005867F0" w:rsidRPr="004A004B" w:rsidRDefault="005867F0" w:rsidP="005867F0">
      <w:pPr>
        <w:pStyle w:val="BodyText"/>
        <w:numPr>
          <w:ilvl w:val="0"/>
          <w:numId w:val="41"/>
        </w:numPr>
        <w:spacing w:before="120" w:after="120"/>
        <w:rPr>
          <w:rFonts w:ascii="Times New Roman" w:hAnsi="Times New Roman" w:cs="Times New Roman"/>
          <w:sz w:val="24"/>
          <w:szCs w:val="24"/>
        </w:rPr>
      </w:pPr>
      <w:r w:rsidRPr="004A004B">
        <w:rPr>
          <w:rFonts w:ascii="Times New Roman" w:hAnsi="Times New Roman" w:cs="Times New Roman"/>
          <w:sz w:val="24"/>
          <w:szCs w:val="24"/>
        </w:rPr>
        <w:lastRenderedPageBreak/>
        <w:t>Packaging material</w:t>
      </w:r>
    </w:p>
    <w:p w14:paraId="62F0DF34"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Government expects that prior to Australia Post offering services on behalf of a government agency, both Australia Post and the relevant agency satisfy themselves that Australia Post is able to meet the requirements for the particular service on a commercial basis, and to appropriate quality standards.  </w:t>
      </w:r>
    </w:p>
    <w:p w14:paraId="4DAFBB83"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Australia Post is in regular discussion with licensees about the service and product offerings available to clients. The choice of the location of the service and product offer is often the decision of the client for which Australia Post is an agent. </w:t>
      </w:r>
    </w:p>
    <w:p w14:paraId="69B96076"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Post’s regular engagement with licensee representative groups also provides an ongoing mechanism for consultation on issues relating to the delivery of trusted services.</w:t>
      </w:r>
    </w:p>
    <w:p w14:paraId="07B680D6" w14:textId="77777777" w:rsidR="004A004B" w:rsidRPr="004A004B" w:rsidRDefault="004A004B" w:rsidP="004A004B">
      <w:pPr>
        <w:pStyle w:val="BodyText"/>
        <w:numPr>
          <w:ilvl w:val="0"/>
          <w:numId w:val="32"/>
        </w:numPr>
        <w:rPr>
          <w:rFonts w:ascii="Times New Roman" w:hAnsi="Times New Roman" w:cs="Times New Roman"/>
          <w:b/>
          <w:sz w:val="24"/>
          <w:szCs w:val="24"/>
        </w:rPr>
      </w:pPr>
      <w:r w:rsidRPr="004A004B">
        <w:rPr>
          <w:rFonts w:ascii="Times New Roman" w:hAnsi="Times New Roman" w:cs="Times New Roman"/>
          <w:b/>
          <w:sz w:val="24"/>
          <w:szCs w:val="24"/>
        </w:rPr>
        <w:t>The committee recommends that the Minister for Communications establish a formal postal network strategy group that engages all stakeholders in the development of a comprehensive strategy to inform changes to the Australia Post network in the face of emerging challenges.</w:t>
      </w:r>
    </w:p>
    <w:p w14:paraId="7F794FC7" w14:textId="77777777" w:rsidR="004A004B" w:rsidRPr="004A004B" w:rsidRDefault="004A004B" w:rsidP="00074453">
      <w:pPr>
        <w:pStyle w:val="BodyText"/>
        <w:ind w:left="360"/>
        <w:rPr>
          <w:rFonts w:ascii="Times New Roman" w:hAnsi="Times New Roman" w:cs="Times New Roman"/>
          <w:b/>
          <w:sz w:val="24"/>
          <w:szCs w:val="24"/>
        </w:rPr>
      </w:pPr>
      <w:r w:rsidRPr="004A004B">
        <w:rPr>
          <w:rFonts w:ascii="Times New Roman" w:hAnsi="Times New Roman" w:cs="Times New Roman"/>
          <w:b/>
          <w:sz w:val="24"/>
          <w:szCs w:val="24"/>
        </w:rPr>
        <w:t>The committee further recommends that a broad community consultation program be implemented.</w:t>
      </w:r>
    </w:p>
    <w:p w14:paraId="6BF694C7"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The Government considers that Australia Post should take primary responsibility for communicating with its stakeholders about strategies to address its business challenges.</w:t>
      </w:r>
    </w:p>
    <w:p w14:paraId="6DB69080"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Under section 23 of the </w:t>
      </w:r>
      <w:r w:rsidRPr="004A004B">
        <w:rPr>
          <w:rFonts w:ascii="Times New Roman" w:hAnsi="Times New Roman" w:cs="Times New Roman"/>
          <w:i/>
          <w:sz w:val="24"/>
          <w:szCs w:val="24"/>
        </w:rPr>
        <w:t>Australian Postal Corporation Act 1989,</w:t>
      </w:r>
      <w:r w:rsidRPr="004A004B">
        <w:rPr>
          <w:rFonts w:ascii="Times New Roman" w:hAnsi="Times New Roman" w:cs="Times New Roman"/>
          <w:sz w:val="24"/>
          <w:szCs w:val="24"/>
        </w:rPr>
        <w:t xml:space="preserve"> it is the role of the Australia Post Board to:</w:t>
      </w:r>
    </w:p>
    <w:p w14:paraId="0FD2623C" w14:textId="77777777" w:rsidR="004A004B" w:rsidRPr="004A004B" w:rsidRDefault="004A004B" w:rsidP="00074453">
      <w:pPr>
        <w:pStyle w:val="BodyText"/>
        <w:numPr>
          <w:ilvl w:val="0"/>
          <w:numId w:val="39"/>
        </w:numPr>
        <w:rPr>
          <w:rFonts w:ascii="Times New Roman" w:hAnsi="Times New Roman" w:cs="Times New Roman"/>
          <w:sz w:val="24"/>
          <w:szCs w:val="24"/>
        </w:rPr>
      </w:pPr>
      <w:r w:rsidRPr="004A004B">
        <w:rPr>
          <w:rFonts w:ascii="Times New Roman" w:hAnsi="Times New Roman" w:cs="Times New Roman"/>
          <w:sz w:val="24"/>
          <w:szCs w:val="24"/>
        </w:rPr>
        <w:t>decide the objectives, strategies and policies to be followed by Australia Post; and</w:t>
      </w:r>
    </w:p>
    <w:p w14:paraId="056E9DA0" w14:textId="77777777" w:rsidR="004A004B" w:rsidRPr="004A004B" w:rsidRDefault="004A004B" w:rsidP="00074453">
      <w:pPr>
        <w:pStyle w:val="BodyText"/>
        <w:numPr>
          <w:ilvl w:val="0"/>
          <w:numId w:val="39"/>
        </w:numPr>
        <w:rPr>
          <w:rFonts w:ascii="Times New Roman" w:hAnsi="Times New Roman" w:cs="Times New Roman"/>
          <w:sz w:val="24"/>
          <w:szCs w:val="24"/>
        </w:rPr>
      </w:pPr>
      <w:proofErr w:type="gramStart"/>
      <w:r w:rsidRPr="004A004B">
        <w:rPr>
          <w:rFonts w:ascii="Times New Roman" w:hAnsi="Times New Roman" w:cs="Times New Roman"/>
          <w:sz w:val="24"/>
          <w:szCs w:val="24"/>
        </w:rPr>
        <w:t>ensure</w:t>
      </w:r>
      <w:proofErr w:type="gramEnd"/>
      <w:r w:rsidRPr="004A004B">
        <w:rPr>
          <w:rFonts w:ascii="Times New Roman" w:hAnsi="Times New Roman" w:cs="Times New Roman"/>
          <w:sz w:val="24"/>
          <w:szCs w:val="24"/>
        </w:rPr>
        <w:t xml:space="preserve"> that Australia Post performs its functions in a manner that is proper, efficient and, as far as practicable consistent with sound commercial practice.</w:t>
      </w:r>
    </w:p>
    <w:p w14:paraId="346551E3" w14:textId="6C4D0DBC" w:rsidR="007642D3" w:rsidRDefault="007642D3" w:rsidP="004A004B">
      <w:pPr>
        <w:pStyle w:val="BodyText"/>
        <w:rPr>
          <w:rFonts w:ascii="Times New Roman" w:hAnsi="Times New Roman" w:cs="Times New Roman"/>
          <w:sz w:val="24"/>
          <w:szCs w:val="24"/>
        </w:rPr>
      </w:pPr>
      <w:r>
        <w:rPr>
          <w:rFonts w:ascii="Times New Roman" w:hAnsi="Times New Roman" w:cs="Times New Roman"/>
          <w:sz w:val="24"/>
          <w:szCs w:val="24"/>
        </w:rPr>
        <w:t xml:space="preserve">Australia Post has announced the establishment of a new industry working group to support the implementation of letters regulatory reform and consider other strategic issues facing the postal sector. The group will be independently chaired by former Victorian Senator Helen Kroger, and includes representatives from the printing industry, </w:t>
      </w:r>
      <w:proofErr w:type="spellStart"/>
      <w:r>
        <w:rPr>
          <w:rFonts w:ascii="Times New Roman" w:hAnsi="Times New Roman" w:cs="Times New Roman"/>
          <w:sz w:val="24"/>
          <w:szCs w:val="24"/>
        </w:rPr>
        <w:t>mailhouses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LPO</w:t>
      </w:r>
      <w:proofErr w:type="gramEnd"/>
      <w:r>
        <w:rPr>
          <w:rFonts w:ascii="Times New Roman" w:hAnsi="Times New Roman" w:cs="Times New Roman"/>
          <w:sz w:val="24"/>
          <w:szCs w:val="24"/>
        </w:rPr>
        <w:t xml:space="preserve"> network and employee unions. </w:t>
      </w:r>
    </w:p>
    <w:p w14:paraId="7FA1B1F4" w14:textId="2CB31C25"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Australia Post has </w:t>
      </w:r>
      <w:r w:rsidR="007642D3">
        <w:rPr>
          <w:rFonts w:ascii="Times New Roman" w:hAnsi="Times New Roman" w:cs="Times New Roman"/>
          <w:sz w:val="24"/>
          <w:szCs w:val="24"/>
        </w:rPr>
        <w:t xml:space="preserve">also </w:t>
      </w:r>
      <w:r w:rsidRPr="004A004B">
        <w:rPr>
          <w:rFonts w:ascii="Times New Roman" w:hAnsi="Times New Roman" w:cs="Times New Roman"/>
          <w:sz w:val="24"/>
          <w:szCs w:val="24"/>
        </w:rPr>
        <w:t>undertaken a coordinated consultative and education process with the community and other important stakeholders</w:t>
      </w:r>
      <w:r w:rsidR="007642D3">
        <w:rPr>
          <w:rFonts w:ascii="Times New Roman" w:hAnsi="Times New Roman" w:cs="Times New Roman"/>
          <w:sz w:val="24"/>
          <w:szCs w:val="24"/>
        </w:rPr>
        <w:t>, which</w:t>
      </w:r>
      <w:r w:rsidR="00CB4EE8">
        <w:rPr>
          <w:rFonts w:ascii="Times New Roman" w:hAnsi="Times New Roman" w:cs="Times New Roman"/>
          <w:sz w:val="24"/>
          <w:szCs w:val="24"/>
        </w:rPr>
        <w:t xml:space="preserve"> </w:t>
      </w:r>
      <w:r w:rsidRPr="004A004B">
        <w:rPr>
          <w:rFonts w:ascii="Times New Roman" w:hAnsi="Times New Roman" w:cs="Times New Roman"/>
          <w:sz w:val="24"/>
          <w:szCs w:val="24"/>
        </w:rPr>
        <w:t>has included the following:</w:t>
      </w:r>
    </w:p>
    <w:p w14:paraId="7934CBA2" w14:textId="77777777"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a national marketing and advertising campaign Your Post is Evolving, across major metropolitan and rural media, inviting Australians to Join the Conversation on the National Conversation Portal;</w:t>
      </w:r>
    </w:p>
    <w:p w14:paraId="1770B01D" w14:textId="26CF0AAB"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a National Conversation website where members of the community can view information, videos and fact sheets about “The Post of Tomorrow” as well as participate in a discussion forum, ask a question or complete a survey</w:t>
      </w:r>
      <w:r w:rsidR="00557433">
        <w:rPr>
          <w:rFonts w:ascii="Times New Roman" w:hAnsi="Times New Roman" w:cs="Times New Roman"/>
          <w:sz w:val="24"/>
          <w:szCs w:val="24"/>
        </w:rPr>
        <w:t xml:space="preserve">. </w:t>
      </w:r>
      <w:r w:rsidRPr="004A004B">
        <w:rPr>
          <w:rFonts w:ascii="Times New Roman" w:hAnsi="Times New Roman" w:cs="Times New Roman"/>
          <w:sz w:val="24"/>
          <w:szCs w:val="24"/>
        </w:rPr>
        <w:t>More than 127,000 unique visitors have logged on to the site, with over 35% of these having downloaded information or participated in a survey;</w:t>
      </w:r>
    </w:p>
    <w:p w14:paraId="645C2F23" w14:textId="77777777"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lastRenderedPageBreak/>
        <w:t>a major media campaign based around a series of public and media appearances by the Managing Director &amp; Group CEO with support from the Chairman;</w:t>
      </w:r>
    </w:p>
    <w:p w14:paraId="0CAEF462" w14:textId="6E4B7BC6"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 xml:space="preserve">community discussion groups – quarterly forums in nine locations </w:t>
      </w:r>
      <w:r w:rsidR="007642D3">
        <w:rPr>
          <w:rFonts w:ascii="Times New Roman" w:hAnsi="Times New Roman" w:cs="Times New Roman"/>
          <w:sz w:val="24"/>
          <w:szCs w:val="24"/>
        </w:rPr>
        <w:t>involving</w:t>
      </w:r>
      <w:r w:rsidRPr="004A004B">
        <w:rPr>
          <w:rFonts w:ascii="Times New Roman" w:hAnsi="Times New Roman" w:cs="Times New Roman"/>
          <w:sz w:val="24"/>
          <w:szCs w:val="24"/>
        </w:rPr>
        <w:t xml:space="preserve"> deep engagement with these groups on a range of topics to gain their feedback – mix of inner metropolitan through to remote locations across the country;</w:t>
      </w:r>
    </w:p>
    <w:p w14:paraId="2EDD6B75" w14:textId="4A646D5E" w:rsidR="004A004B" w:rsidRPr="004A004B" w:rsidRDefault="004A004B" w:rsidP="00074453">
      <w:pPr>
        <w:pStyle w:val="BodyText"/>
        <w:numPr>
          <w:ilvl w:val="0"/>
          <w:numId w:val="40"/>
        </w:numPr>
        <w:rPr>
          <w:rFonts w:ascii="Times New Roman" w:hAnsi="Times New Roman" w:cs="Times New Roman"/>
          <w:sz w:val="24"/>
          <w:szCs w:val="24"/>
        </w:rPr>
      </w:pPr>
      <w:proofErr w:type="gramStart"/>
      <w:r w:rsidRPr="004A004B">
        <w:rPr>
          <w:rFonts w:ascii="Times New Roman" w:hAnsi="Times New Roman" w:cs="Times New Roman"/>
          <w:sz w:val="24"/>
          <w:szCs w:val="24"/>
        </w:rPr>
        <w:t>local</w:t>
      </w:r>
      <w:proofErr w:type="gramEnd"/>
      <w:r w:rsidRPr="004A004B">
        <w:rPr>
          <w:rFonts w:ascii="Times New Roman" w:hAnsi="Times New Roman" w:cs="Times New Roman"/>
          <w:sz w:val="24"/>
          <w:szCs w:val="24"/>
        </w:rPr>
        <w:t xml:space="preserve"> community engagement – getting out in communities across Australia to gain the community’s views on what they are looking for from Australia Post. This includes Listening Posts outside post offices, community leader roundtables and local media interviews As at 11 June, </w:t>
      </w:r>
      <w:r w:rsidR="00074453">
        <w:rPr>
          <w:rFonts w:ascii="Times New Roman" w:hAnsi="Times New Roman" w:cs="Times New Roman"/>
          <w:sz w:val="24"/>
          <w:szCs w:val="24"/>
        </w:rPr>
        <w:t>Australia Post had</w:t>
      </w:r>
      <w:r w:rsidRPr="004A004B">
        <w:rPr>
          <w:rFonts w:ascii="Times New Roman" w:hAnsi="Times New Roman" w:cs="Times New Roman"/>
          <w:sz w:val="24"/>
          <w:szCs w:val="24"/>
        </w:rPr>
        <w:t xml:space="preserve"> held 190 community events in 159 towns covering 97 electorates;  </w:t>
      </w:r>
    </w:p>
    <w:p w14:paraId="0FD566A9" w14:textId="77777777"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engagement with Members of Parliament – briefing MPs about the case for reform and inviting them to participate in the community visits;</w:t>
      </w:r>
    </w:p>
    <w:p w14:paraId="3577D5C0" w14:textId="77777777"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LPO engagement – ongoing communications with licensees through their representative groups, a quarterly licensee publication, annual conference and the Licensee Engagement and Exchange program, tailored bulletins around key announcements or events such as Australia Post’s annual results release;</w:t>
      </w:r>
    </w:p>
    <w:p w14:paraId="0150DF47" w14:textId="77777777" w:rsidR="004A004B" w:rsidRPr="004A004B" w:rsidRDefault="004A004B" w:rsidP="00074453">
      <w:pPr>
        <w:pStyle w:val="BodyText"/>
        <w:numPr>
          <w:ilvl w:val="0"/>
          <w:numId w:val="40"/>
        </w:numPr>
        <w:rPr>
          <w:rFonts w:ascii="Times New Roman" w:hAnsi="Times New Roman" w:cs="Times New Roman"/>
          <w:sz w:val="24"/>
          <w:szCs w:val="24"/>
        </w:rPr>
      </w:pPr>
      <w:r w:rsidRPr="004A004B">
        <w:rPr>
          <w:rFonts w:ascii="Times New Roman" w:hAnsi="Times New Roman" w:cs="Times New Roman"/>
          <w:sz w:val="24"/>
          <w:szCs w:val="24"/>
        </w:rPr>
        <w:t>employee engagement – regular employee bulletins and Australia wide face-to-face roadshow sessions have been held to ensure employees are kept informed of what is happening and what change will mean for them; and</w:t>
      </w:r>
    </w:p>
    <w:p w14:paraId="0883D066" w14:textId="77777777" w:rsidR="004A004B" w:rsidRPr="004A004B" w:rsidRDefault="004A004B" w:rsidP="00074453">
      <w:pPr>
        <w:pStyle w:val="BodyText"/>
        <w:numPr>
          <w:ilvl w:val="0"/>
          <w:numId w:val="40"/>
        </w:numPr>
        <w:rPr>
          <w:rFonts w:ascii="Times New Roman" w:hAnsi="Times New Roman" w:cs="Times New Roman"/>
          <w:sz w:val="24"/>
          <w:szCs w:val="24"/>
        </w:rPr>
      </w:pPr>
      <w:proofErr w:type="gramStart"/>
      <w:r w:rsidRPr="004A004B">
        <w:rPr>
          <w:rFonts w:ascii="Times New Roman" w:hAnsi="Times New Roman" w:cs="Times New Roman"/>
          <w:sz w:val="24"/>
          <w:szCs w:val="24"/>
        </w:rPr>
        <w:t>union</w:t>
      </w:r>
      <w:proofErr w:type="gramEnd"/>
      <w:r w:rsidRPr="004A004B">
        <w:rPr>
          <w:rFonts w:ascii="Times New Roman" w:hAnsi="Times New Roman" w:cs="Times New Roman"/>
          <w:sz w:val="24"/>
          <w:szCs w:val="24"/>
        </w:rPr>
        <w:t xml:space="preserve"> engagement – regular consultative forums with the unions have been held and will continue to occur.</w:t>
      </w:r>
    </w:p>
    <w:p w14:paraId="43DE80CE"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In addition, Australia Post has an external advisory group of 10 individuals – the Stakeholder Council - whose role is to help Australia Post improve their communication and engagement with stakeholders. Members have experience in small and medium business, industrial relations, direct marketing and corporate responsibility.</w:t>
      </w:r>
    </w:p>
    <w:p w14:paraId="4A003351" w14:textId="60D84DF1"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On 15 December 2014 Australia Post announced the establishment of a new </w:t>
      </w:r>
      <w:r w:rsidR="007642D3">
        <w:rPr>
          <w:rFonts w:ascii="Times New Roman" w:hAnsi="Times New Roman" w:cs="Times New Roman"/>
          <w:sz w:val="24"/>
          <w:szCs w:val="24"/>
        </w:rPr>
        <w:t xml:space="preserve">independently chaired </w:t>
      </w:r>
      <w:r w:rsidRPr="004A004B">
        <w:rPr>
          <w:rFonts w:ascii="Times New Roman" w:hAnsi="Times New Roman" w:cs="Times New Roman"/>
          <w:sz w:val="24"/>
          <w:szCs w:val="24"/>
        </w:rPr>
        <w:t xml:space="preserve">LPO forum of licensee representative bodies, to address a number of specific challenges facing the LPO network. The forum is comprised of the Australia Post Licensee Advisory Council (APLAC), the Licensed Post Office Group (LPOG) and initially the Post Office Agents’ Association Limited (POAAL). The LPO forum has progressed a number of important areas of work, particularly the independent review of LPO payments (see response to recommendation 17). </w:t>
      </w:r>
    </w:p>
    <w:p w14:paraId="04BD8FBC"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also continues to engage directly with all licensee representative groups.</w:t>
      </w:r>
    </w:p>
    <w:p w14:paraId="773FC296"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at the request of any recognised association, Australia Post be required to renegotiate the terms and conditions of an LPO Agreement.</w:t>
      </w:r>
    </w:p>
    <w:p w14:paraId="6418E389"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LPO Agreement is a commercial agreement between Australia Post and its licensees. </w:t>
      </w:r>
    </w:p>
    <w:p w14:paraId="29DDE01A"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All LPO agreements have the same general clauses. However, to accommodate local circumstances the current arrangements allow for special conditions to be included in </w:t>
      </w:r>
      <w:r w:rsidRPr="004A004B">
        <w:rPr>
          <w:rFonts w:ascii="Times New Roman" w:hAnsi="Times New Roman" w:cs="Times New Roman"/>
          <w:sz w:val="24"/>
          <w:szCs w:val="24"/>
        </w:rPr>
        <w:lastRenderedPageBreak/>
        <w:t xml:space="preserve">individual agreements. This provides a practical way for Australia Post to negotiate the terms and conditions of approximately 3000 individual licensees. </w:t>
      </w:r>
    </w:p>
    <w:p w14:paraId="3FEB1D69"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Current arrangements ensure that there is an appropriate level of consistency for both licensees and Australia Post in the application of contract and payment conditions. Changes to these arrangements would increase complexity and costs for both licensees and Australia Post.</w:t>
      </w:r>
    </w:p>
    <w:p w14:paraId="1B1FAAED" w14:textId="11365809"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As a result of the Senate Inquiry Australia Post has expanded its consultative processes to now recognise LPOG as well as POAAL.</w:t>
      </w:r>
      <w:r w:rsidR="00074453">
        <w:rPr>
          <w:rFonts w:ascii="Times New Roman" w:hAnsi="Times New Roman" w:cs="Times New Roman"/>
          <w:sz w:val="24"/>
          <w:szCs w:val="24"/>
        </w:rPr>
        <w:t xml:space="preserve"> </w:t>
      </w:r>
      <w:r w:rsidRPr="004A004B">
        <w:rPr>
          <w:rFonts w:ascii="Times New Roman" w:hAnsi="Times New Roman" w:cs="Times New Roman"/>
          <w:sz w:val="24"/>
          <w:szCs w:val="24"/>
        </w:rPr>
        <w:t xml:space="preserve">As such Australia Post will consult with each of the licensee representative bodies on any changes they may wish to propose to the terms and conditions of the LPO Agreement.  In assessing any proposal a range of factors will be considered including the views of the alternate representative body. </w:t>
      </w:r>
    </w:p>
    <w:p w14:paraId="28ED0AF5"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Australia Post capture information relating to ‘issues requiring attention’ raised under the dispute resolution process in order to provide earlier identification of systemic problems.</w:t>
      </w:r>
    </w:p>
    <w:p w14:paraId="28CA3013"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 xml:space="preserve">The committee recommends that the Australia Post dispute resolution process should be amended to provide for a more streamlined process. </w:t>
      </w:r>
    </w:p>
    <w:p w14:paraId="6FA2FEEC"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Australia Post provide further information to licensees and franchisees on the alternative dispute resolution processes available under the Franchising Code of Conduct.</w:t>
      </w:r>
    </w:p>
    <w:p w14:paraId="5B1AA283"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Australia Post has worked with POAAL and LPOG to update the dispute resolution process for licensees. </w:t>
      </w:r>
    </w:p>
    <w:p w14:paraId="27D9625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revised dispute resolution arrangements, which are intended to take effect by the end of 2015, will provide licensees with a more streamlined process. It includes a new mechanism to capture dispute data early to enable Australia Post to identify any systemic issues relating to the LPO network. It also includes advice to licensees on dispute resolution processes available under the Franchising Code of Conduct. </w:t>
      </w:r>
    </w:p>
    <w:p w14:paraId="599D9863" w14:textId="4F469835"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the definition of ‘Association’ in the LPO Agreement be amended to include, in addition to POAAL, other licensee representative groups including but not limited to the LPO Group.</w:t>
      </w:r>
    </w:p>
    <w:p w14:paraId="276076A3" w14:textId="5B42C888" w:rsidR="00E656AA" w:rsidRDefault="00E656AA" w:rsidP="004A004B">
      <w:pPr>
        <w:pStyle w:val="BodyText"/>
        <w:rPr>
          <w:rFonts w:ascii="Times New Roman" w:hAnsi="Times New Roman" w:cs="Times New Roman"/>
          <w:sz w:val="24"/>
          <w:szCs w:val="24"/>
        </w:rPr>
      </w:pPr>
      <w:r>
        <w:rPr>
          <w:rFonts w:ascii="Times New Roman" w:hAnsi="Times New Roman" w:cs="Times New Roman"/>
          <w:sz w:val="24"/>
          <w:szCs w:val="24"/>
        </w:rPr>
        <w:t xml:space="preserve">Australia Post has amended the definition of ‘Association’ in the LPO Agreement to mean any licensee representative group with whom Australia Post has a consultative agreement which may include, but is not limited to, POAAL and the LPOG. This followed a formal consultation process with POAAL, as required under previous arrangements. </w:t>
      </w:r>
    </w:p>
    <w:p w14:paraId="7FC5C7BF"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Australia Post as a matter of urgency, reassess post office</w:t>
      </w:r>
      <w:r w:rsidRPr="004A004B">
        <w:rPr>
          <w:rFonts w:ascii="Times New Roman" w:hAnsi="Times New Roman" w:cs="Times New Roman"/>
          <w:sz w:val="24"/>
          <w:szCs w:val="24"/>
        </w:rPr>
        <w:t xml:space="preserve"> </w:t>
      </w:r>
      <w:r w:rsidRPr="0040415A">
        <w:rPr>
          <w:rFonts w:ascii="Times New Roman" w:hAnsi="Times New Roman" w:cs="Times New Roman"/>
          <w:b/>
          <w:sz w:val="24"/>
          <w:szCs w:val="24"/>
        </w:rPr>
        <w:t xml:space="preserve">box payments to licensees to ensure that they reflect the true costs borne by the licensees in providing this service. </w:t>
      </w:r>
    </w:p>
    <w:p w14:paraId="618CDA8D"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Australia Post review parcel storage requirements in Licensed Post Offices with a view to providing payments for those licensees who incur additional storage costs.</w:t>
      </w:r>
    </w:p>
    <w:p w14:paraId="73A95046"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lastRenderedPageBreak/>
        <w:t>The Committee recommends that Australia Post review the margins on postal products it sells to licensees with a view to ensure that margins are in line with commercial practice.</w:t>
      </w:r>
    </w:p>
    <w:p w14:paraId="417993B4"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See response to recommendation 17. </w:t>
      </w:r>
    </w:p>
    <w:p w14:paraId="7024270C" w14:textId="77777777" w:rsidR="004A004B" w:rsidRPr="0040415A"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 Australia Post allow for the return of unsold and out-of-date stamps by licensees and franchisees.</w:t>
      </w:r>
    </w:p>
    <w:p w14:paraId="35FADC37"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Postage stamps do not have a use-by date and can continue to be sold beyond a particular stamp issue period. For philatelic products such as first day covers and stamp packs that do have a limited issue period, return arrangements currently exist. More generally, LPOs are responsible for managing their inventory and for ensuring that the supply of stock, including stamps, meets consumer demand. In the event that an LPO does accrue excess inventory, arrangements can be entered into with Australia Post on a case-by-case basis.</w:t>
      </w:r>
      <w:r w:rsidRPr="004A004B">
        <w:rPr>
          <w:rFonts w:ascii="Times New Roman" w:hAnsi="Times New Roman" w:cs="Times New Roman"/>
          <w:sz w:val="24"/>
          <w:szCs w:val="24"/>
        </w:rPr>
        <w:br/>
      </w:r>
      <w:r w:rsidRPr="004A004B">
        <w:rPr>
          <w:rFonts w:ascii="Times New Roman" w:hAnsi="Times New Roman" w:cs="Times New Roman"/>
          <w:sz w:val="24"/>
          <w:szCs w:val="24"/>
        </w:rPr>
        <w:br/>
        <w:t>LPOs were entitled to receive expedited credit to their January statements for returned excess 2014 Christmas Postage stamps.</w:t>
      </w:r>
    </w:p>
    <w:p w14:paraId="73DEF056"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Return arrangements were discussed and agreed with licensee representative groups.</w:t>
      </w:r>
    </w:p>
    <w:p w14:paraId="4AB70296" w14:textId="77777777" w:rsidR="004A004B" w:rsidRPr="00074453" w:rsidRDefault="004A004B" w:rsidP="0040415A">
      <w:pPr>
        <w:pStyle w:val="BodyText"/>
        <w:numPr>
          <w:ilvl w:val="0"/>
          <w:numId w:val="32"/>
        </w:numPr>
        <w:rPr>
          <w:rFonts w:ascii="Times New Roman" w:hAnsi="Times New Roman" w:cs="Times New Roman"/>
          <w:b/>
          <w:sz w:val="24"/>
          <w:szCs w:val="24"/>
        </w:rPr>
      </w:pPr>
      <w:r w:rsidRPr="0040415A">
        <w:rPr>
          <w:rFonts w:ascii="Times New Roman" w:hAnsi="Times New Roman" w:cs="Times New Roman"/>
          <w:b/>
          <w:sz w:val="24"/>
          <w:szCs w:val="24"/>
        </w:rPr>
        <w:t>The committee recommends that</w:t>
      </w:r>
      <w:r w:rsidRPr="00074453">
        <w:rPr>
          <w:rFonts w:ascii="Times New Roman" w:hAnsi="Times New Roman" w:cs="Times New Roman"/>
          <w:b/>
          <w:sz w:val="24"/>
          <w:szCs w:val="24"/>
        </w:rPr>
        <w:t xml:space="preserve"> </w:t>
      </w:r>
      <w:r w:rsidRPr="0040415A">
        <w:rPr>
          <w:rFonts w:ascii="Times New Roman" w:hAnsi="Times New Roman" w:cs="Times New Roman"/>
          <w:b/>
          <w:sz w:val="24"/>
          <w:szCs w:val="24"/>
        </w:rPr>
        <w:t>Australia Post ensure all employees, in the relevant areas of its corporate network, understand Australia Post's rules and behavioural expectations in relation to the transfer of business from Licensed Post Offices to Corporate Post Offices and that 'poaching' and other predatory behaviour is unacceptable</w:t>
      </w:r>
      <w:r w:rsidRPr="00074453">
        <w:rPr>
          <w:rFonts w:ascii="Times New Roman" w:hAnsi="Times New Roman" w:cs="Times New Roman"/>
          <w:b/>
          <w:sz w:val="24"/>
          <w:szCs w:val="24"/>
        </w:rPr>
        <w:t>.</w:t>
      </w:r>
    </w:p>
    <w:p w14:paraId="69EB0B55"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On 1 December 2014, Australia Post implemented a revised process outlining how potential customer transfers from LPOs are to be managed. This includes updated internal processes for how Australia Post communicates and consults with licensees with regard to customer mail pick-ups and lodgement point changes, as well as introduction of a customer transfer payment in the event of a transfer initiated by Australia Post of a charge account customer currently lodging at a LPO. </w:t>
      </w:r>
    </w:p>
    <w:p w14:paraId="791EA9B8" w14:textId="77777777" w:rsidR="004A004B" w:rsidRPr="00074453" w:rsidRDefault="004A004B" w:rsidP="00074453">
      <w:pPr>
        <w:pStyle w:val="BodyText"/>
        <w:numPr>
          <w:ilvl w:val="0"/>
          <w:numId w:val="32"/>
        </w:numPr>
        <w:rPr>
          <w:rFonts w:ascii="Times New Roman" w:hAnsi="Times New Roman" w:cs="Times New Roman"/>
          <w:b/>
          <w:sz w:val="24"/>
          <w:szCs w:val="24"/>
        </w:rPr>
      </w:pPr>
      <w:r w:rsidRPr="00074453">
        <w:rPr>
          <w:rFonts w:ascii="Times New Roman" w:hAnsi="Times New Roman" w:cs="Times New Roman"/>
          <w:b/>
          <w:sz w:val="24"/>
          <w:szCs w:val="24"/>
        </w:rPr>
        <w:t>The committee recommends that the Minister for Communications, as a matter of urgency, commission an independent audit of the activities undertaken by the Licensed Post Office network specifically to determine the validity of claims made by licensees that payments made under the LPO Agreement are not fair or reasonable.</w:t>
      </w:r>
    </w:p>
    <w:p w14:paraId="286202FD" w14:textId="77777777" w:rsidR="004A004B" w:rsidRPr="00074453" w:rsidRDefault="004A004B" w:rsidP="00074453">
      <w:pPr>
        <w:pStyle w:val="BodyText"/>
        <w:ind w:left="360"/>
        <w:rPr>
          <w:rFonts w:ascii="Times New Roman" w:hAnsi="Times New Roman" w:cs="Times New Roman"/>
          <w:b/>
          <w:sz w:val="24"/>
          <w:szCs w:val="24"/>
        </w:rPr>
      </w:pPr>
      <w:r w:rsidRPr="00074453">
        <w:rPr>
          <w:rFonts w:ascii="Times New Roman" w:hAnsi="Times New Roman" w:cs="Times New Roman"/>
          <w:b/>
          <w:sz w:val="24"/>
          <w:szCs w:val="24"/>
        </w:rPr>
        <w:t>The committee recommends that where a payment is found to be not fair or reasonable, that a study should be conducted to determine what an appropriate payment rate should be.</w:t>
      </w:r>
    </w:p>
    <w:p w14:paraId="53196339"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In response to this recommendation, Australia Post, in partnership with licensee representative groups APLAC, LPOG and POAAL, commissioned an independent review to determine whether payments to LPOs are fair and sufficient for licensees to recover their costs. The review considered 17 key service lines including parcels, counter mail, PO Boxes, photos, identity services and Post </w:t>
      </w:r>
      <w:proofErr w:type="spellStart"/>
      <w:r w:rsidRPr="004A004B">
        <w:rPr>
          <w:rFonts w:ascii="Times New Roman" w:hAnsi="Times New Roman" w:cs="Times New Roman"/>
          <w:sz w:val="24"/>
          <w:szCs w:val="24"/>
        </w:rPr>
        <w:t>Billpay</w:t>
      </w:r>
      <w:proofErr w:type="spellEnd"/>
      <w:r w:rsidRPr="004A004B">
        <w:rPr>
          <w:rFonts w:ascii="Times New Roman" w:hAnsi="Times New Roman" w:cs="Times New Roman"/>
          <w:sz w:val="24"/>
          <w:szCs w:val="24"/>
        </w:rPr>
        <w:t xml:space="preserve">. </w:t>
      </w:r>
    </w:p>
    <w:p w14:paraId="2FC9B2D1" w14:textId="72F447AE" w:rsidR="007642D3" w:rsidRPr="00C50F48" w:rsidRDefault="004A004B" w:rsidP="004A004B">
      <w:pPr>
        <w:pStyle w:val="BodyText"/>
        <w:rPr>
          <w:rFonts w:ascii="Times New Roman" w:hAnsi="Times New Roman" w:cs="Times New Roman"/>
          <w:b/>
          <w:sz w:val="24"/>
          <w:szCs w:val="24"/>
        </w:rPr>
      </w:pPr>
      <w:r w:rsidRPr="004A004B">
        <w:rPr>
          <w:rFonts w:ascii="Times New Roman" w:hAnsi="Times New Roman" w:cs="Times New Roman"/>
          <w:sz w:val="24"/>
          <w:szCs w:val="24"/>
        </w:rPr>
        <w:t xml:space="preserve">The review was finalised in May 2015 and the findings have been made available to all licensees. A copy of the report is available at </w:t>
      </w:r>
      <w:r w:rsidR="007642D3" w:rsidRPr="00C50F48">
        <w:rPr>
          <w:rFonts w:ascii="Times New Roman" w:hAnsi="Times New Roman" w:cs="Times New Roman"/>
          <w:b/>
          <w:sz w:val="24"/>
          <w:szCs w:val="24"/>
        </w:rPr>
        <w:lastRenderedPageBreak/>
        <w:t>https://auspost.newsroom.com.au/Content/Home/02-Home/Article/Partners-in-Performance-Report-into-Licensed-Post-Office-network/-2/-2/6038</w:t>
      </w:r>
    </w:p>
    <w:p w14:paraId="7B909B53"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review found that while Australia Post is adequately remunerating licensees for most transactions, LPOs are being underpaid for the work required to administer street carded parcels. In addition, the review found that for smaller, low volume outlets, particularly in rural Australia, the costs of running the full business are greater than current earnings from Australia Post. </w:t>
      </w:r>
    </w:p>
    <w:p w14:paraId="75A3C891"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On 13 May 2015 Australia Post announced measures to address these two key findings. Commencing 1 July 2015, payments for street carded parcels will increase from 60 cents to $1.60 (including GST), benefitting more than 1,800 licensees. Nearly 500 smaller LPOs will also benefit from a $10,000 increase to the minimum annual payment. These measures will boost payments by $51.4 million over the next four years. Australia Post has stated that its capacity to sustain these payments is linked to the implementation of the letter service reforms, including its proposed increase in the Basic Postage Rate from 70 cents to $1.</w:t>
      </w:r>
    </w:p>
    <w:p w14:paraId="275267FA"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is continuing to work through the findings of the review with licensee representative groups, for example in relation to post office box payments and potential improvement opportunities such as staff utilisation.</w:t>
      </w:r>
    </w:p>
    <w:p w14:paraId="1F6B9AB1" w14:textId="77777777" w:rsidR="004A004B" w:rsidRPr="00074453" w:rsidRDefault="004A004B" w:rsidP="00074453">
      <w:pPr>
        <w:pStyle w:val="BodyText"/>
        <w:numPr>
          <w:ilvl w:val="0"/>
          <w:numId w:val="32"/>
        </w:numPr>
        <w:rPr>
          <w:rFonts w:ascii="Times New Roman" w:hAnsi="Times New Roman" w:cs="Times New Roman"/>
          <w:b/>
          <w:sz w:val="24"/>
          <w:szCs w:val="24"/>
        </w:rPr>
      </w:pPr>
      <w:r w:rsidRPr="00074453">
        <w:rPr>
          <w:rFonts w:ascii="Times New Roman" w:hAnsi="Times New Roman" w:cs="Times New Roman"/>
          <w:b/>
          <w:sz w:val="24"/>
          <w:szCs w:val="24"/>
        </w:rPr>
        <w:t xml:space="preserve">The Committee recommends that Australia Post, when negotiating the current value of franchises, takes into account the impact on the value of franchisees of its inability to deliver the promised opportunities. </w:t>
      </w:r>
    </w:p>
    <w:p w14:paraId="7E1A4CF7" w14:textId="77777777"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Australia Post has entered into mediation with franchisees regarding the transition of Franchised Post Offices to LPOs.</w:t>
      </w:r>
    </w:p>
    <w:p w14:paraId="5207A9AC" w14:textId="77777777" w:rsidR="004A004B" w:rsidRPr="0011014C" w:rsidRDefault="004A004B" w:rsidP="0011014C">
      <w:pPr>
        <w:pStyle w:val="Heading2"/>
        <w:rPr>
          <w:rFonts w:ascii="Times New Roman" w:hAnsi="Times New Roman" w:cs="Times New Roman"/>
          <w:b/>
          <w:color w:val="auto"/>
          <w:lang w:eastAsia="en-AU"/>
        </w:rPr>
      </w:pPr>
      <w:proofErr w:type="spellStart"/>
      <w:r w:rsidRPr="0011014C">
        <w:rPr>
          <w:rFonts w:ascii="Times New Roman" w:hAnsi="Times New Roman" w:cs="Times New Roman"/>
          <w:b/>
          <w:color w:val="auto"/>
          <w:lang w:eastAsia="en-AU"/>
        </w:rPr>
        <w:t>Labor</w:t>
      </w:r>
      <w:proofErr w:type="spellEnd"/>
      <w:r w:rsidRPr="0011014C">
        <w:rPr>
          <w:rFonts w:ascii="Times New Roman" w:hAnsi="Times New Roman" w:cs="Times New Roman"/>
          <w:b/>
          <w:color w:val="auto"/>
          <w:lang w:eastAsia="en-AU"/>
        </w:rPr>
        <w:t xml:space="preserve"> Senators’ Additional Comments </w:t>
      </w:r>
    </w:p>
    <w:p w14:paraId="0B0514C3" w14:textId="77777777" w:rsidR="004A004B" w:rsidRPr="00074453" w:rsidRDefault="004A004B" w:rsidP="00074453">
      <w:pPr>
        <w:pStyle w:val="BodyText"/>
        <w:numPr>
          <w:ilvl w:val="0"/>
          <w:numId w:val="33"/>
        </w:numPr>
        <w:rPr>
          <w:rFonts w:ascii="Times New Roman" w:hAnsi="Times New Roman" w:cs="Times New Roman"/>
          <w:b/>
          <w:sz w:val="24"/>
          <w:szCs w:val="24"/>
        </w:rPr>
      </w:pPr>
      <w:r w:rsidRPr="00074453">
        <w:rPr>
          <w:rFonts w:ascii="Times New Roman" w:hAnsi="Times New Roman" w:cs="Times New Roman"/>
          <w:b/>
          <w:sz w:val="24"/>
          <w:szCs w:val="24"/>
        </w:rPr>
        <w:t>The Government not outsource any functions of the Department of Human Services to Australia Post.</w:t>
      </w:r>
    </w:p>
    <w:p w14:paraId="5CFA382E" w14:textId="6973E269" w:rsidR="004A004B" w:rsidRPr="004A004B" w:rsidRDefault="004A004B" w:rsidP="004A004B">
      <w:pPr>
        <w:pStyle w:val="BodyText"/>
        <w:rPr>
          <w:rFonts w:ascii="Times New Roman" w:hAnsi="Times New Roman" w:cs="Times New Roman"/>
          <w:sz w:val="24"/>
          <w:szCs w:val="24"/>
        </w:rPr>
      </w:pPr>
      <w:r w:rsidRPr="004A004B">
        <w:rPr>
          <w:rFonts w:ascii="Times New Roman" w:hAnsi="Times New Roman" w:cs="Times New Roman"/>
          <w:sz w:val="24"/>
          <w:szCs w:val="24"/>
        </w:rPr>
        <w:t xml:space="preserve">The Government continues to encourage Australia Post and government agencies to consider any commercial opportunities for Australia Post to deliver government services. </w:t>
      </w:r>
      <w:r w:rsidR="00EA4CC9">
        <w:rPr>
          <w:rFonts w:ascii="Times New Roman" w:hAnsi="Times New Roman" w:cs="Times New Roman"/>
          <w:sz w:val="24"/>
          <w:szCs w:val="24"/>
        </w:rPr>
        <w:t>Australia Post is a Government Business Enterprise operating in an open and competitive market. It should be noted the Commonwealth procurement rules apply to contracts between Government agencies.</w:t>
      </w:r>
    </w:p>
    <w:sectPr w:rsidR="004A004B" w:rsidRPr="004A004B" w:rsidSect="00116AA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276"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8FD14" w14:textId="77777777" w:rsidR="00CA5919" w:rsidRDefault="00CA5919" w:rsidP="000720AB">
      <w:r>
        <w:separator/>
      </w:r>
    </w:p>
    <w:p w14:paraId="2431CBEC" w14:textId="77777777" w:rsidR="00CA5919" w:rsidRDefault="00CA5919"/>
    <w:p w14:paraId="2568E68A" w14:textId="77777777" w:rsidR="00CA5919" w:rsidRDefault="00CA5919"/>
  </w:endnote>
  <w:endnote w:type="continuationSeparator" w:id="0">
    <w:p w14:paraId="5B1928B0" w14:textId="77777777" w:rsidR="00CA5919" w:rsidRDefault="00CA5919" w:rsidP="000720AB">
      <w:r>
        <w:continuationSeparator/>
      </w:r>
    </w:p>
    <w:p w14:paraId="6F3AD914" w14:textId="77777777" w:rsidR="00CA5919" w:rsidRDefault="00CA5919"/>
    <w:p w14:paraId="3FA6B8BF" w14:textId="77777777" w:rsidR="00CA5919" w:rsidRDefault="00CA5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ADBF" w14:textId="77777777" w:rsidR="00721FDC" w:rsidRDefault="00721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5BE3E" w14:textId="5D45D3E2" w:rsidR="003D73A0" w:rsidRPr="00074453" w:rsidRDefault="003429E8" w:rsidP="00074453">
    <w:pPr>
      <w:pStyle w:val="Footer"/>
      <w:tabs>
        <w:tab w:val="clear" w:pos="4513"/>
      </w:tabs>
      <w:jc w:val="center"/>
      <w:rPr>
        <w:rStyle w:val="PageNumber"/>
        <w:rFonts w:ascii="Times New Roman" w:hAnsi="Times New Roman" w:cs="Times New Roman"/>
        <w:color w:val="auto"/>
      </w:rPr>
    </w:pPr>
    <w:r w:rsidRPr="00074453">
      <w:rPr>
        <w:rStyle w:val="PageNumber"/>
        <w:rFonts w:ascii="Times New Roman" w:hAnsi="Times New Roman" w:cs="Times New Roman"/>
        <w:color w:val="auto"/>
      </w:rPr>
      <w:fldChar w:fldCharType="begin"/>
    </w:r>
    <w:r w:rsidR="003D73A0" w:rsidRPr="00074453">
      <w:rPr>
        <w:rStyle w:val="PageNumber"/>
        <w:rFonts w:ascii="Times New Roman" w:hAnsi="Times New Roman" w:cs="Times New Roman"/>
        <w:color w:val="auto"/>
      </w:rPr>
      <w:instrText xml:space="preserve"> PAGE   \* MERGEFORMAT </w:instrText>
    </w:r>
    <w:r w:rsidRPr="00074453">
      <w:rPr>
        <w:rStyle w:val="PageNumber"/>
        <w:rFonts w:ascii="Times New Roman" w:hAnsi="Times New Roman" w:cs="Times New Roman"/>
        <w:color w:val="auto"/>
      </w:rPr>
      <w:fldChar w:fldCharType="separate"/>
    </w:r>
    <w:r w:rsidR="005B4B26">
      <w:rPr>
        <w:rStyle w:val="PageNumber"/>
        <w:rFonts w:ascii="Times New Roman" w:hAnsi="Times New Roman" w:cs="Times New Roman"/>
        <w:noProof/>
        <w:color w:val="auto"/>
      </w:rPr>
      <w:t>2</w:t>
    </w:r>
    <w:r w:rsidRPr="00074453">
      <w:rPr>
        <w:rStyle w:val="PageNumber"/>
        <w:rFonts w:ascii="Times New Roman" w:hAnsi="Times New Roman" w:cs="Times New Roman"/>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7E0CD" w14:textId="77777777" w:rsidR="00721FDC" w:rsidRDefault="00721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80391" w14:textId="77777777" w:rsidR="00CA5919" w:rsidRDefault="00CA5919" w:rsidP="000720AB">
      <w:r>
        <w:separator/>
      </w:r>
    </w:p>
    <w:p w14:paraId="316DA8BE" w14:textId="77777777" w:rsidR="00CA5919" w:rsidRDefault="00CA5919"/>
    <w:p w14:paraId="56EF5D69" w14:textId="77777777" w:rsidR="00CA5919" w:rsidRDefault="00CA5919"/>
  </w:footnote>
  <w:footnote w:type="continuationSeparator" w:id="0">
    <w:p w14:paraId="0F151DAE" w14:textId="77777777" w:rsidR="00CA5919" w:rsidRDefault="00CA5919" w:rsidP="000720AB">
      <w:r>
        <w:continuationSeparator/>
      </w:r>
    </w:p>
    <w:p w14:paraId="382050D0" w14:textId="77777777" w:rsidR="00CA5919" w:rsidRDefault="00CA5919"/>
    <w:p w14:paraId="4AC902AB" w14:textId="77777777" w:rsidR="00CA5919" w:rsidRDefault="00CA59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4BE2" w14:textId="77777777" w:rsidR="00721FDC" w:rsidRDefault="00721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35068" w14:textId="6FB869A7" w:rsidR="004109F0" w:rsidRDefault="004109F0" w:rsidP="00C50F48">
    <w:pPr>
      <w:pStyle w:val="Header"/>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9BE0" w14:textId="77777777" w:rsidR="00AE2450" w:rsidRDefault="00AE2450" w:rsidP="00AE245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BD603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1CD2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8ABB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C8FF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8C04A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ED7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FAF3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F87C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C4B8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7A1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A6A4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E40885"/>
    <w:multiLevelType w:val="hybridMultilevel"/>
    <w:tmpl w:val="E9BA0C7C"/>
    <w:lvl w:ilvl="0" w:tplc="338CFBA0">
      <w:start w:val="1"/>
      <w:numFmt w:val="lowerRoman"/>
      <w:lvlText w:val="%1."/>
      <w:lvlJc w:val="right"/>
      <w:pPr>
        <w:ind w:left="1080" w:hanging="360"/>
      </w:pPr>
      <w:rPr>
        <w:rFonts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6131012"/>
    <w:multiLevelType w:val="hybridMultilevel"/>
    <w:tmpl w:val="A6049848"/>
    <w:lvl w:ilvl="0" w:tplc="3EBC04B4">
      <w:start w:val="1"/>
      <w:numFmt w:val="lowerLetter"/>
      <w:lvlText w:val="(%1)"/>
      <w:lvlJc w:val="left"/>
      <w:pPr>
        <w:ind w:left="1440" w:hanging="360"/>
      </w:pPr>
      <w:rPr>
        <w:rFonts w:hint="default"/>
      </w:rPr>
    </w:lvl>
    <w:lvl w:ilvl="1" w:tplc="CB34FE64" w:tentative="1">
      <w:start w:val="1"/>
      <w:numFmt w:val="lowerLetter"/>
      <w:lvlText w:val="%2."/>
      <w:lvlJc w:val="left"/>
      <w:pPr>
        <w:ind w:left="2160" w:hanging="360"/>
      </w:pPr>
    </w:lvl>
    <w:lvl w:ilvl="2" w:tplc="E9924300" w:tentative="1">
      <w:start w:val="1"/>
      <w:numFmt w:val="lowerRoman"/>
      <w:lvlText w:val="%3."/>
      <w:lvlJc w:val="right"/>
      <w:pPr>
        <w:ind w:left="2880" w:hanging="180"/>
      </w:pPr>
    </w:lvl>
    <w:lvl w:ilvl="3" w:tplc="BA5AB51A" w:tentative="1">
      <w:start w:val="1"/>
      <w:numFmt w:val="decimal"/>
      <w:lvlText w:val="%4."/>
      <w:lvlJc w:val="left"/>
      <w:pPr>
        <w:ind w:left="3600" w:hanging="360"/>
      </w:pPr>
    </w:lvl>
    <w:lvl w:ilvl="4" w:tplc="58F2AC10" w:tentative="1">
      <w:start w:val="1"/>
      <w:numFmt w:val="lowerLetter"/>
      <w:lvlText w:val="%5."/>
      <w:lvlJc w:val="left"/>
      <w:pPr>
        <w:ind w:left="4320" w:hanging="360"/>
      </w:pPr>
    </w:lvl>
    <w:lvl w:ilvl="5" w:tplc="8D9038D0" w:tentative="1">
      <w:start w:val="1"/>
      <w:numFmt w:val="lowerRoman"/>
      <w:lvlText w:val="%6."/>
      <w:lvlJc w:val="right"/>
      <w:pPr>
        <w:ind w:left="5040" w:hanging="180"/>
      </w:pPr>
    </w:lvl>
    <w:lvl w:ilvl="6" w:tplc="EB628CEA" w:tentative="1">
      <w:start w:val="1"/>
      <w:numFmt w:val="decimal"/>
      <w:lvlText w:val="%7."/>
      <w:lvlJc w:val="left"/>
      <w:pPr>
        <w:ind w:left="5760" w:hanging="360"/>
      </w:pPr>
    </w:lvl>
    <w:lvl w:ilvl="7" w:tplc="968030A6" w:tentative="1">
      <w:start w:val="1"/>
      <w:numFmt w:val="lowerLetter"/>
      <w:lvlText w:val="%8."/>
      <w:lvlJc w:val="left"/>
      <w:pPr>
        <w:ind w:left="6480" w:hanging="360"/>
      </w:pPr>
    </w:lvl>
    <w:lvl w:ilvl="8" w:tplc="A5926F36" w:tentative="1">
      <w:start w:val="1"/>
      <w:numFmt w:val="lowerRoman"/>
      <w:lvlText w:val="%9."/>
      <w:lvlJc w:val="right"/>
      <w:pPr>
        <w:ind w:left="7200" w:hanging="180"/>
      </w:pPr>
    </w:lvl>
  </w:abstractNum>
  <w:abstractNum w:abstractNumId="13" w15:restartNumberingAfterBreak="0">
    <w:nsid w:val="19463C5E"/>
    <w:multiLevelType w:val="hybridMultilevel"/>
    <w:tmpl w:val="566A9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850330"/>
    <w:multiLevelType w:val="multilevel"/>
    <w:tmpl w:val="AED6BE6E"/>
    <w:lvl w:ilvl="0">
      <w:start w:val="1"/>
      <w:numFmt w:val="decimal"/>
      <w:pStyle w:val="Instructionaltext-Numberedlist"/>
      <w:lvlText w:val="%1."/>
      <w:lvlJc w:val="left"/>
      <w:pPr>
        <w:tabs>
          <w:tab w:val="num" w:pos="340"/>
        </w:tabs>
        <w:ind w:left="340" w:hanging="340"/>
      </w:pPr>
      <w:rPr>
        <w:rFonts w:hint="default"/>
        <w:b w:val="0"/>
        <w:i/>
        <w:sz w:val="22"/>
      </w:rPr>
    </w:lvl>
    <w:lvl w:ilvl="1">
      <w:start w:val="1"/>
      <w:numFmt w:val="lowerLetter"/>
      <w:lvlText w:val="%2."/>
      <w:lvlJc w:val="left"/>
      <w:pPr>
        <w:ind w:left="68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85232D"/>
    <w:multiLevelType w:val="hybridMultilevel"/>
    <w:tmpl w:val="71043568"/>
    <w:lvl w:ilvl="0" w:tplc="8B24810E">
      <w:start w:val="1"/>
      <w:numFmt w:val="lowerLetter"/>
      <w:pStyle w:val="Boxlist-Alpha"/>
      <w:lvlText w:val="%1."/>
      <w:lvlJc w:val="left"/>
      <w:pPr>
        <w:ind w:left="558" w:hanging="360"/>
      </w:pPr>
      <w:rPr>
        <w:rFonts w:hint="default"/>
        <w:b/>
        <w:i w:val="0"/>
        <w:color w:val="00728F"/>
        <w:sz w:val="22"/>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16" w15:restartNumberingAfterBreak="0">
    <w:nsid w:val="2BD67DA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0987AE5"/>
    <w:multiLevelType w:val="hybridMultilevel"/>
    <w:tmpl w:val="598EF8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74E713F"/>
    <w:multiLevelType w:val="multilevel"/>
    <w:tmpl w:val="9124B9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B1A01CE"/>
    <w:multiLevelType w:val="hybridMultilevel"/>
    <w:tmpl w:val="97528D8E"/>
    <w:lvl w:ilvl="0" w:tplc="03AE872A">
      <w:start w:val="1"/>
      <w:numFmt w:val="decimal"/>
      <w:lvlText w:val="%1."/>
      <w:lvlJc w:val="left"/>
      <w:pPr>
        <w:ind w:left="720" w:hanging="360"/>
      </w:pPr>
      <w:rPr>
        <w:rFonts w:hint="default"/>
        <w:b/>
      </w:rPr>
    </w:lvl>
    <w:lvl w:ilvl="1" w:tplc="D584CFA0" w:tentative="1">
      <w:start w:val="1"/>
      <w:numFmt w:val="lowerLetter"/>
      <w:lvlText w:val="%2."/>
      <w:lvlJc w:val="left"/>
      <w:pPr>
        <w:ind w:left="1440" w:hanging="360"/>
      </w:pPr>
    </w:lvl>
    <w:lvl w:ilvl="2" w:tplc="AC1E9912" w:tentative="1">
      <w:start w:val="1"/>
      <w:numFmt w:val="lowerRoman"/>
      <w:lvlText w:val="%3."/>
      <w:lvlJc w:val="right"/>
      <w:pPr>
        <w:ind w:left="2160" w:hanging="180"/>
      </w:pPr>
    </w:lvl>
    <w:lvl w:ilvl="3" w:tplc="AC76D9DC" w:tentative="1">
      <w:start w:val="1"/>
      <w:numFmt w:val="decimal"/>
      <w:lvlText w:val="%4."/>
      <w:lvlJc w:val="left"/>
      <w:pPr>
        <w:ind w:left="2880" w:hanging="360"/>
      </w:pPr>
    </w:lvl>
    <w:lvl w:ilvl="4" w:tplc="7FF2C374" w:tentative="1">
      <w:start w:val="1"/>
      <w:numFmt w:val="lowerLetter"/>
      <w:lvlText w:val="%5."/>
      <w:lvlJc w:val="left"/>
      <w:pPr>
        <w:ind w:left="3600" w:hanging="360"/>
      </w:pPr>
    </w:lvl>
    <w:lvl w:ilvl="5" w:tplc="DF160780" w:tentative="1">
      <w:start w:val="1"/>
      <w:numFmt w:val="lowerRoman"/>
      <w:lvlText w:val="%6."/>
      <w:lvlJc w:val="right"/>
      <w:pPr>
        <w:ind w:left="4320" w:hanging="180"/>
      </w:pPr>
    </w:lvl>
    <w:lvl w:ilvl="6" w:tplc="12885C14" w:tentative="1">
      <w:start w:val="1"/>
      <w:numFmt w:val="decimal"/>
      <w:lvlText w:val="%7."/>
      <w:lvlJc w:val="left"/>
      <w:pPr>
        <w:ind w:left="5040" w:hanging="360"/>
      </w:pPr>
    </w:lvl>
    <w:lvl w:ilvl="7" w:tplc="F74CB5F8" w:tentative="1">
      <w:start w:val="1"/>
      <w:numFmt w:val="lowerLetter"/>
      <w:lvlText w:val="%8."/>
      <w:lvlJc w:val="left"/>
      <w:pPr>
        <w:ind w:left="5760" w:hanging="360"/>
      </w:pPr>
    </w:lvl>
    <w:lvl w:ilvl="8" w:tplc="A3CC4316" w:tentative="1">
      <w:start w:val="1"/>
      <w:numFmt w:val="lowerRoman"/>
      <w:lvlText w:val="%9."/>
      <w:lvlJc w:val="right"/>
      <w:pPr>
        <w:ind w:left="6480" w:hanging="180"/>
      </w:pPr>
    </w:lvl>
  </w:abstractNum>
  <w:abstractNum w:abstractNumId="20" w15:restartNumberingAfterBreak="0">
    <w:nsid w:val="3B2544C8"/>
    <w:multiLevelType w:val="hybridMultilevel"/>
    <w:tmpl w:val="DB7E283C"/>
    <w:lvl w:ilvl="0" w:tplc="A424761A">
      <w:start w:val="1"/>
      <w:numFmt w:val="decimal"/>
      <w:lvlText w:val="%1."/>
      <w:lvlJc w:val="left"/>
      <w:pPr>
        <w:ind w:left="360" w:hanging="360"/>
      </w:pPr>
      <w:rPr>
        <w:rFonts w:hint="default"/>
      </w:rPr>
    </w:lvl>
    <w:lvl w:ilvl="1" w:tplc="419429AE" w:tentative="1">
      <w:start w:val="1"/>
      <w:numFmt w:val="lowerLetter"/>
      <w:lvlText w:val="%2."/>
      <w:lvlJc w:val="left"/>
      <w:pPr>
        <w:ind w:left="1080" w:hanging="360"/>
      </w:pPr>
    </w:lvl>
    <w:lvl w:ilvl="2" w:tplc="42DE956C" w:tentative="1">
      <w:start w:val="1"/>
      <w:numFmt w:val="lowerRoman"/>
      <w:lvlText w:val="%3."/>
      <w:lvlJc w:val="right"/>
      <w:pPr>
        <w:ind w:left="1800" w:hanging="180"/>
      </w:pPr>
    </w:lvl>
    <w:lvl w:ilvl="3" w:tplc="C27ECD1C" w:tentative="1">
      <w:start w:val="1"/>
      <w:numFmt w:val="decimal"/>
      <w:lvlText w:val="%4."/>
      <w:lvlJc w:val="left"/>
      <w:pPr>
        <w:ind w:left="2520" w:hanging="360"/>
      </w:pPr>
    </w:lvl>
    <w:lvl w:ilvl="4" w:tplc="23BC65D2" w:tentative="1">
      <w:start w:val="1"/>
      <w:numFmt w:val="lowerLetter"/>
      <w:lvlText w:val="%5."/>
      <w:lvlJc w:val="left"/>
      <w:pPr>
        <w:ind w:left="3240" w:hanging="360"/>
      </w:pPr>
    </w:lvl>
    <w:lvl w:ilvl="5" w:tplc="C7106AD2" w:tentative="1">
      <w:start w:val="1"/>
      <w:numFmt w:val="lowerRoman"/>
      <w:lvlText w:val="%6."/>
      <w:lvlJc w:val="right"/>
      <w:pPr>
        <w:ind w:left="3960" w:hanging="180"/>
      </w:pPr>
    </w:lvl>
    <w:lvl w:ilvl="6" w:tplc="7852713E" w:tentative="1">
      <w:start w:val="1"/>
      <w:numFmt w:val="decimal"/>
      <w:lvlText w:val="%7."/>
      <w:lvlJc w:val="left"/>
      <w:pPr>
        <w:ind w:left="4680" w:hanging="360"/>
      </w:pPr>
    </w:lvl>
    <w:lvl w:ilvl="7" w:tplc="F640ABE8" w:tentative="1">
      <w:start w:val="1"/>
      <w:numFmt w:val="lowerLetter"/>
      <w:lvlText w:val="%8."/>
      <w:lvlJc w:val="left"/>
      <w:pPr>
        <w:ind w:left="5400" w:hanging="360"/>
      </w:pPr>
    </w:lvl>
    <w:lvl w:ilvl="8" w:tplc="619E75A6" w:tentative="1">
      <w:start w:val="1"/>
      <w:numFmt w:val="lowerRoman"/>
      <w:lvlText w:val="%9."/>
      <w:lvlJc w:val="right"/>
      <w:pPr>
        <w:ind w:left="6120" w:hanging="180"/>
      </w:pPr>
    </w:lvl>
  </w:abstractNum>
  <w:abstractNum w:abstractNumId="21" w15:restartNumberingAfterBreak="0">
    <w:nsid w:val="3E6606BB"/>
    <w:multiLevelType w:val="multilevel"/>
    <w:tmpl w:val="209A2EFC"/>
    <w:lvl w:ilvl="0">
      <w:start w:val="1"/>
      <w:numFmt w:val="decimal"/>
      <w:pStyle w:val="Bodynumbered-Level1"/>
      <w:lvlText w:val="%1."/>
      <w:lvlJc w:val="left"/>
      <w:pPr>
        <w:ind w:left="340" w:hanging="340"/>
      </w:pPr>
      <w:rPr>
        <w:rFonts w:hint="default"/>
        <w:b/>
        <w:i w:val="0"/>
        <w:color w:val="00728F"/>
        <w:sz w:val="22"/>
      </w:rPr>
    </w:lvl>
    <w:lvl w:ilvl="1">
      <w:start w:val="1"/>
      <w:numFmt w:val="lowerLetter"/>
      <w:pStyle w:val="Bodynumbered-Level2"/>
      <w:lvlText w:val="%2."/>
      <w:lvlJc w:val="left"/>
      <w:pPr>
        <w:ind w:left="680" w:hanging="340"/>
      </w:pPr>
      <w:rPr>
        <w:rFonts w:hint="default"/>
        <w:b/>
        <w:i w:val="0"/>
        <w:color w:val="00728F"/>
        <w:sz w:val="22"/>
      </w:rPr>
    </w:lvl>
    <w:lvl w:ilvl="2">
      <w:start w:val="1"/>
      <w:numFmt w:val="lowerRoman"/>
      <w:pStyle w:val="Bodynumbered-Level3"/>
      <w:lvlText w:val="%3"/>
      <w:lvlJc w:val="left"/>
      <w:pPr>
        <w:ind w:left="1021" w:hanging="341"/>
      </w:pPr>
      <w:rPr>
        <w:rFonts w:hint="default"/>
        <w:b/>
        <w:i w:val="0"/>
        <w:color w:val="00728F"/>
        <w:sz w:val="22"/>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8"/>
      <w:lvlJc w:val="left"/>
      <w:pPr>
        <w:ind w:left="1021" w:firstLine="0"/>
      </w:pPr>
      <w:rPr>
        <w:rFonts w:hint="default"/>
      </w:rPr>
    </w:lvl>
    <w:lvl w:ilvl="8">
      <w:start w:val="1"/>
      <w:numFmt w:val="none"/>
      <w:lvlText w:val="%9"/>
      <w:lvlJc w:val="left"/>
      <w:pPr>
        <w:ind w:left="1021" w:firstLine="0"/>
      </w:pPr>
      <w:rPr>
        <w:rFonts w:hint="default"/>
      </w:rPr>
    </w:lvl>
  </w:abstractNum>
  <w:abstractNum w:abstractNumId="22" w15:restartNumberingAfterBreak="0">
    <w:nsid w:val="40A00BEA"/>
    <w:multiLevelType w:val="hybridMultilevel"/>
    <w:tmpl w:val="88CC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731D9"/>
    <w:multiLevelType w:val="hybridMultilevel"/>
    <w:tmpl w:val="1FBE4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066C4A"/>
    <w:multiLevelType w:val="hybridMultilevel"/>
    <w:tmpl w:val="5854E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6" w15:restartNumberingAfterBreak="0">
    <w:nsid w:val="4D1F74F8"/>
    <w:multiLevelType w:val="hybridMultilevel"/>
    <w:tmpl w:val="2AEC29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6857EDC"/>
    <w:multiLevelType w:val="hybridMultilevel"/>
    <w:tmpl w:val="10D8B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D52BE1"/>
    <w:multiLevelType w:val="hybridMultilevel"/>
    <w:tmpl w:val="598EF8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EEF3289"/>
    <w:multiLevelType w:val="hybridMultilevel"/>
    <w:tmpl w:val="C46AB476"/>
    <w:lvl w:ilvl="0" w:tplc="716CD014">
      <w:start w:val="1"/>
      <w:numFmt w:val="bullet"/>
      <w:lvlText w:val=""/>
      <w:lvlJc w:val="left"/>
      <w:pPr>
        <w:ind w:left="720" w:hanging="360"/>
      </w:pPr>
      <w:rPr>
        <w:rFonts w:ascii="Symbol" w:hAnsi="Symbol" w:hint="default"/>
      </w:rPr>
    </w:lvl>
    <w:lvl w:ilvl="1" w:tplc="107CBE12">
      <w:start w:val="1"/>
      <w:numFmt w:val="bullet"/>
      <w:lvlText w:val="o"/>
      <w:lvlJc w:val="left"/>
      <w:pPr>
        <w:ind w:left="1440" w:hanging="360"/>
      </w:pPr>
      <w:rPr>
        <w:rFonts w:ascii="Courier New" w:hAnsi="Courier New" w:cs="Courier New" w:hint="default"/>
      </w:rPr>
    </w:lvl>
    <w:lvl w:ilvl="2" w:tplc="28BC18F6">
      <w:start w:val="1"/>
      <w:numFmt w:val="bullet"/>
      <w:lvlText w:val=""/>
      <w:lvlJc w:val="left"/>
      <w:pPr>
        <w:ind w:left="2160" w:hanging="360"/>
      </w:pPr>
      <w:rPr>
        <w:rFonts w:ascii="Wingdings" w:hAnsi="Wingdings" w:hint="default"/>
      </w:rPr>
    </w:lvl>
    <w:lvl w:ilvl="3" w:tplc="D9FAFCFE" w:tentative="1">
      <w:start w:val="1"/>
      <w:numFmt w:val="bullet"/>
      <w:lvlText w:val=""/>
      <w:lvlJc w:val="left"/>
      <w:pPr>
        <w:ind w:left="2880" w:hanging="360"/>
      </w:pPr>
      <w:rPr>
        <w:rFonts w:ascii="Symbol" w:hAnsi="Symbol" w:hint="default"/>
      </w:rPr>
    </w:lvl>
    <w:lvl w:ilvl="4" w:tplc="48FAEF12" w:tentative="1">
      <w:start w:val="1"/>
      <w:numFmt w:val="bullet"/>
      <w:lvlText w:val="o"/>
      <w:lvlJc w:val="left"/>
      <w:pPr>
        <w:ind w:left="3600" w:hanging="360"/>
      </w:pPr>
      <w:rPr>
        <w:rFonts w:ascii="Courier New" w:hAnsi="Courier New" w:cs="Courier New" w:hint="default"/>
      </w:rPr>
    </w:lvl>
    <w:lvl w:ilvl="5" w:tplc="16EE10A6" w:tentative="1">
      <w:start w:val="1"/>
      <w:numFmt w:val="bullet"/>
      <w:lvlText w:val=""/>
      <w:lvlJc w:val="left"/>
      <w:pPr>
        <w:ind w:left="4320" w:hanging="360"/>
      </w:pPr>
      <w:rPr>
        <w:rFonts w:ascii="Wingdings" w:hAnsi="Wingdings" w:hint="default"/>
      </w:rPr>
    </w:lvl>
    <w:lvl w:ilvl="6" w:tplc="281C05AA" w:tentative="1">
      <w:start w:val="1"/>
      <w:numFmt w:val="bullet"/>
      <w:lvlText w:val=""/>
      <w:lvlJc w:val="left"/>
      <w:pPr>
        <w:ind w:left="5040" w:hanging="360"/>
      </w:pPr>
      <w:rPr>
        <w:rFonts w:ascii="Symbol" w:hAnsi="Symbol" w:hint="default"/>
      </w:rPr>
    </w:lvl>
    <w:lvl w:ilvl="7" w:tplc="B1A6AF5C" w:tentative="1">
      <w:start w:val="1"/>
      <w:numFmt w:val="bullet"/>
      <w:lvlText w:val="o"/>
      <w:lvlJc w:val="left"/>
      <w:pPr>
        <w:ind w:left="5760" w:hanging="360"/>
      </w:pPr>
      <w:rPr>
        <w:rFonts w:ascii="Courier New" w:hAnsi="Courier New" w:cs="Courier New" w:hint="default"/>
      </w:rPr>
    </w:lvl>
    <w:lvl w:ilvl="8" w:tplc="DA847972" w:tentative="1">
      <w:start w:val="1"/>
      <w:numFmt w:val="bullet"/>
      <w:lvlText w:val=""/>
      <w:lvlJc w:val="left"/>
      <w:pPr>
        <w:ind w:left="6480" w:hanging="360"/>
      </w:pPr>
      <w:rPr>
        <w:rFonts w:ascii="Wingdings" w:hAnsi="Wingdings" w:hint="default"/>
      </w:rPr>
    </w:lvl>
  </w:abstractNum>
  <w:abstractNum w:abstractNumId="30" w15:restartNumberingAfterBreak="0">
    <w:nsid w:val="60E15E51"/>
    <w:multiLevelType w:val="multilevel"/>
    <w:tmpl w:val="AD7E390E"/>
    <w:lvl w:ilvl="0">
      <w:start w:val="1"/>
      <w:numFmt w:val="bullet"/>
      <w:pStyle w:val="Tablebullet-Level1"/>
      <w:lvlText w:val=""/>
      <w:lvlJc w:val="left"/>
      <w:pPr>
        <w:ind w:left="340" w:hanging="340"/>
      </w:pPr>
      <w:rPr>
        <w:rFonts w:ascii="Symbol" w:hAnsi="Symbol" w:hint="default"/>
        <w:color w:val="00728F"/>
        <w:sz w:val="18"/>
      </w:rPr>
    </w:lvl>
    <w:lvl w:ilvl="1">
      <w:start w:val="1"/>
      <w:numFmt w:val="bullet"/>
      <w:pStyle w:val="Tablebullet-Level2"/>
      <w:lvlText w:val="­"/>
      <w:lvlJc w:val="left"/>
      <w:pPr>
        <w:ind w:left="680" w:hanging="340"/>
      </w:pPr>
      <w:rPr>
        <w:rFonts w:ascii="Courier New" w:hAnsi="Courier New" w:hint="default"/>
        <w:color w:val="00728F"/>
        <w:sz w:val="18"/>
      </w:rPr>
    </w:lvl>
    <w:lvl w:ilvl="2">
      <w:start w:val="1"/>
      <w:numFmt w:val="bullet"/>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1" w15:restartNumberingAfterBreak="0">
    <w:nsid w:val="62EB3065"/>
    <w:multiLevelType w:val="hybridMultilevel"/>
    <w:tmpl w:val="A9EC2CEA"/>
    <w:lvl w:ilvl="0" w:tplc="C1DA3BE4">
      <w:start w:val="1"/>
      <w:numFmt w:val="bullet"/>
      <w:lvlText w:val=""/>
      <w:lvlJc w:val="left"/>
      <w:pPr>
        <w:ind w:left="-1080" w:hanging="360"/>
      </w:pPr>
      <w:rPr>
        <w:rFonts w:ascii="Symbol" w:hAnsi="Symbol" w:hint="default"/>
      </w:rPr>
    </w:lvl>
    <w:lvl w:ilvl="1" w:tplc="EDFA3DF6" w:tentative="1">
      <w:start w:val="1"/>
      <w:numFmt w:val="bullet"/>
      <w:lvlText w:val="o"/>
      <w:lvlJc w:val="left"/>
      <w:pPr>
        <w:ind w:left="-360" w:hanging="360"/>
      </w:pPr>
      <w:rPr>
        <w:rFonts w:ascii="Courier New" w:hAnsi="Courier New" w:cs="Courier New" w:hint="default"/>
      </w:rPr>
    </w:lvl>
    <w:lvl w:ilvl="2" w:tplc="9B2C5204" w:tentative="1">
      <w:start w:val="1"/>
      <w:numFmt w:val="bullet"/>
      <w:lvlText w:val=""/>
      <w:lvlJc w:val="left"/>
      <w:pPr>
        <w:ind w:left="360" w:hanging="360"/>
      </w:pPr>
      <w:rPr>
        <w:rFonts w:ascii="Wingdings" w:hAnsi="Wingdings" w:hint="default"/>
      </w:rPr>
    </w:lvl>
    <w:lvl w:ilvl="3" w:tplc="DF2055A0" w:tentative="1">
      <w:start w:val="1"/>
      <w:numFmt w:val="bullet"/>
      <w:lvlText w:val=""/>
      <w:lvlJc w:val="left"/>
      <w:pPr>
        <w:ind w:left="1080" w:hanging="360"/>
      </w:pPr>
      <w:rPr>
        <w:rFonts w:ascii="Symbol" w:hAnsi="Symbol" w:hint="default"/>
      </w:rPr>
    </w:lvl>
    <w:lvl w:ilvl="4" w:tplc="3BC8B888" w:tentative="1">
      <w:start w:val="1"/>
      <w:numFmt w:val="bullet"/>
      <w:lvlText w:val="o"/>
      <w:lvlJc w:val="left"/>
      <w:pPr>
        <w:ind w:left="1800" w:hanging="360"/>
      </w:pPr>
      <w:rPr>
        <w:rFonts w:ascii="Courier New" w:hAnsi="Courier New" w:cs="Courier New" w:hint="default"/>
      </w:rPr>
    </w:lvl>
    <w:lvl w:ilvl="5" w:tplc="BD4C8F92" w:tentative="1">
      <w:start w:val="1"/>
      <w:numFmt w:val="bullet"/>
      <w:lvlText w:val=""/>
      <w:lvlJc w:val="left"/>
      <w:pPr>
        <w:ind w:left="2520" w:hanging="360"/>
      </w:pPr>
      <w:rPr>
        <w:rFonts w:ascii="Wingdings" w:hAnsi="Wingdings" w:hint="default"/>
      </w:rPr>
    </w:lvl>
    <w:lvl w:ilvl="6" w:tplc="756C1E88" w:tentative="1">
      <w:start w:val="1"/>
      <w:numFmt w:val="bullet"/>
      <w:lvlText w:val=""/>
      <w:lvlJc w:val="left"/>
      <w:pPr>
        <w:ind w:left="3240" w:hanging="360"/>
      </w:pPr>
      <w:rPr>
        <w:rFonts w:ascii="Symbol" w:hAnsi="Symbol" w:hint="default"/>
      </w:rPr>
    </w:lvl>
    <w:lvl w:ilvl="7" w:tplc="C8C260A2" w:tentative="1">
      <w:start w:val="1"/>
      <w:numFmt w:val="bullet"/>
      <w:lvlText w:val="o"/>
      <w:lvlJc w:val="left"/>
      <w:pPr>
        <w:ind w:left="3960" w:hanging="360"/>
      </w:pPr>
      <w:rPr>
        <w:rFonts w:ascii="Courier New" w:hAnsi="Courier New" w:cs="Courier New" w:hint="default"/>
      </w:rPr>
    </w:lvl>
    <w:lvl w:ilvl="8" w:tplc="ADE6E3F2" w:tentative="1">
      <w:start w:val="1"/>
      <w:numFmt w:val="bullet"/>
      <w:lvlText w:val=""/>
      <w:lvlJc w:val="left"/>
      <w:pPr>
        <w:ind w:left="4680" w:hanging="360"/>
      </w:pPr>
      <w:rPr>
        <w:rFonts w:ascii="Wingdings" w:hAnsi="Wingdings" w:hint="default"/>
      </w:rPr>
    </w:lvl>
  </w:abstractNum>
  <w:abstractNum w:abstractNumId="32" w15:restartNumberingAfterBreak="0">
    <w:nsid w:val="687A596A"/>
    <w:multiLevelType w:val="hybridMultilevel"/>
    <w:tmpl w:val="A86243C0"/>
    <w:lvl w:ilvl="0" w:tplc="8B5476C4">
      <w:start w:val="1"/>
      <w:numFmt w:val="decimal"/>
      <w:pStyle w:val="Boxlist-Numbered"/>
      <w:lvlText w:val="%1."/>
      <w:lvlJc w:val="left"/>
      <w:pPr>
        <w:ind w:left="558" w:hanging="360"/>
      </w:pPr>
      <w:rPr>
        <w:rFonts w:hint="default"/>
        <w:b/>
        <w:i w:val="0"/>
        <w:color w:val="00728F"/>
        <w:sz w:val="20"/>
      </w:rPr>
    </w:lvl>
    <w:lvl w:ilvl="1" w:tplc="0C090019" w:tentative="1">
      <w:start w:val="1"/>
      <w:numFmt w:val="lowerLetter"/>
      <w:lvlText w:val="%2."/>
      <w:lvlJc w:val="left"/>
      <w:pPr>
        <w:ind w:left="1638" w:hanging="360"/>
      </w:pPr>
    </w:lvl>
    <w:lvl w:ilvl="2" w:tplc="0C09001B" w:tentative="1">
      <w:start w:val="1"/>
      <w:numFmt w:val="lowerRoman"/>
      <w:lvlText w:val="%3."/>
      <w:lvlJc w:val="right"/>
      <w:pPr>
        <w:ind w:left="2358" w:hanging="180"/>
      </w:pPr>
    </w:lvl>
    <w:lvl w:ilvl="3" w:tplc="0C09000F" w:tentative="1">
      <w:start w:val="1"/>
      <w:numFmt w:val="decimal"/>
      <w:lvlText w:val="%4."/>
      <w:lvlJc w:val="left"/>
      <w:pPr>
        <w:ind w:left="3078" w:hanging="360"/>
      </w:pPr>
    </w:lvl>
    <w:lvl w:ilvl="4" w:tplc="0C090019" w:tentative="1">
      <w:start w:val="1"/>
      <w:numFmt w:val="lowerLetter"/>
      <w:lvlText w:val="%5."/>
      <w:lvlJc w:val="left"/>
      <w:pPr>
        <w:ind w:left="3798" w:hanging="360"/>
      </w:pPr>
    </w:lvl>
    <w:lvl w:ilvl="5" w:tplc="0C09001B" w:tentative="1">
      <w:start w:val="1"/>
      <w:numFmt w:val="lowerRoman"/>
      <w:lvlText w:val="%6."/>
      <w:lvlJc w:val="right"/>
      <w:pPr>
        <w:ind w:left="4518" w:hanging="180"/>
      </w:pPr>
    </w:lvl>
    <w:lvl w:ilvl="6" w:tplc="0C09000F" w:tentative="1">
      <w:start w:val="1"/>
      <w:numFmt w:val="decimal"/>
      <w:lvlText w:val="%7."/>
      <w:lvlJc w:val="left"/>
      <w:pPr>
        <w:ind w:left="5238" w:hanging="360"/>
      </w:pPr>
    </w:lvl>
    <w:lvl w:ilvl="7" w:tplc="0C090019" w:tentative="1">
      <w:start w:val="1"/>
      <w:numFmt w:val="lowerLetter"/>
      <w:lvlText w:val="%8."/>
      <w:lvlJc w:val="left"/>
      <w:pPr>
        <w:ind w:left="5958" w:hanging="360"/>
      </w:pPr>
    </w:lvl>
    <w:lvl w:ilvl="8" w:tplc="0C09001B" w:tentative="1">
      <w:start w:val="1"/>
      <w:numFmt w:val="lowerRoman"/>
      <w:lvlText w:val="%9."/>
      <w:lvlJc w:val="right"/>
      <w:pPr>
        <w:ind w:left="6678" w:hanging="180"/>
      </w:pPr>
    </w:lvl>
  </w:abstractNum>
  <w:abstractNum w:abstractNumId="33" w15:restartNumberingAfterBreak="0">
    <w:nsid w:val="6E1F7CC9"/>
    <w:multiLevelType w:val="hybridMultilevel"/>
    <w:tmpl w:val="1206F69E"/>
    <w:lvl w:ilvl="0" w:tplc="EE109B52">
      <w:start w:val="1"/>
      <w:numFmt w:val="decimal"/>
      <w:pStyle w:val="Tablelist-Numbered"/>
      <w:lvlText w:val="%1."/>
      <w:lvlJc w:val="left"/>
      <w:pPr>
        <w:ind w:left="394" w:hanging="360"/>
      </w:pPr>
      <w:rPr>
        <w:rFonts w:hint="default"/>
        <w:b/>
        <w:i w:val="0"/>
        <w:color w:val="00728F"/>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615F1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733DAD"/>
    <w:multiLevelType w:val="hybridMultilevel"/>
    <w:tmpl w:val="B0EE37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44E22C0"/>
    <w:multiLevelType w:val="hybridMultilevel"/>
    <w:tmpl w:val="EBE202A8"/>
    <w:lvl w:ilvl="0" w:tplc="275EC662">
      <w:start w:val="1"/>
      <w:numFmt w:val="bullet"/>
      <w:pStyle w:val="Boxbullet"/>
      <w:lvlText w:val=""/>
      <w:lvlJc w:val="left"/>
      <w:pPr>
        <w:ind w:left="720" w:hanging="360"/>
      </w:pPr>
      <w:rPr>
        <w:rFonts w:ascii="Symbol" w:hAnsi="Symbol" w:hint="default"/>
        <w:color w:val="00728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E52921"/>
    <w:multiLevelType w:val="hybridMultilevel"/>
    <w:tmpl w:val="382EB71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D1736BE"/>
    <w:multiLevelType w:val="hybridMultilevel"/>
    <w:tmpl w:val="2A266F54"/>
    <w:lvl w:ilvl="0" w:tplc="CEC4B84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356438"/>
    <w:multiLevelType w:val="hybridMultilevel"/>
    <w:tmpl w:val="2F6C9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0"/>
  </w:num>
  <w:num w:numId="13">
    <w:abstractNumId w:val="21"/>
  </w:num>
  <w:num w:numId="14">
    <w:abstractNumId w:val="36"/>
  </w:num>
  <w:num w:numId="15">
    <w:abstractNumId w:val="32"/>
  </w:num>
  <w:num w:numId="16">
    <w:abstractNumId w:val="15"/>
  </w:num>
  <w:num w:numId="17">
    <w:abstractNumId w:val="33"/>
  </w:num>
  <w:num w:numId="18">
    <w:abstractNumId w:val="34"/>
  </w:num>
  <w:num w:numId="19">
    <w:abstractNumId w:val="10"/>
  </w:num>
  <w:num w:numId="20">
    <w:abstractNumId w:val="1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1"/>
  </w:num>
  <w:num w:numId="25">
    <w:abstractNumId w:val="20"/>
  </w:num>
  <w:num w:numId="26">
    <w:abstractNumId w:val="1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6"/>
  </w:num>
  <w:num w:numId="30">
    <w:abstractNumId w:val="37"/>
  </w:num>
  <w:num w:numId="31">
    <w:abstractNumId w:val="11"/>
  </w:num>
  <w:num w:numId="32">
    <w:abstractNumId w:val="17"/>
  </w:num>
  <w:num w:numId="33">
    <w:abstractNumId w:val="28"/>
  </w:num>
  <w:num w:numId="34">
    <w:abstractNumId w:val="22"/>
  </w:num>
  <w:num w:numId="35">
    <w:abstractNumId w:val="38"/>
  </w:num>
  <w:num w:numId="36">
    <w:abstractNumId w:val="23"/>
  </w:num>
  <w:num w:numId="37">
    <w:abstractNumId w:val="27"/>
  </w:num>
  <w:num w:numId="38">
    <w:abstractNumId w:val="39"/>
  </w:num>
  <w:num w:numId="39">
    <w:abstractNumId w:val="35"/>
  </w:num>
  <w:num w:numId="40">
    <w:abstractNumId w:val="24"/>
  </w:num>
  <w:num w:numId="4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lickAndTypeStyle w:val="BodyText"/>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B"/>
    <w:rsid w:val="0000179F"/>
    <w:rsid w:val="00002089"/>
    <w:rsid w:val="00006E19"/>
    <w:rsid w:val="00006F87"/>
    <w:rsid w:val="0000704D"/>
    <w:rsid w:val="0001191A"/>
    <w:rsid w:val="00012094"/>
    <w:rsid w:val="000131B2"/>
    <w:rsid w:val="000159C9"/>
    <w:rsid w:val="000164FF"/>
    <w:rsid w:val="00017E32"/>
    <w:rsid w:val="000223A5"/>
    <w:rsid w:val="00023528"/>
    <w:rsid w:val="00023A8C"/>
    <w:rsid w:val="0002587A"/>
    <w:rsid w:val="00026060"/>
    <w:rsid w:val="00037AD6"/>
    <w:rsid w:val="000412CD"/>
    <w:rsid w:val="00042873"/>
    <w:rsid w:val="0004408C"/>
    <w:rsid w:val="0004449A"/>
    <w:rsid w:val="00047AAC"/>
    <w:rsid w:val="00050750"/>
    <w:rsid w:val="0005092C"/>
    <w:rsid w:val="00050989"/>
    <w:rsid w:val="00052217"/>
    <w:rsid w:val="00055535"/>
    <w:rsid w:val="0006249D"/>
    <w:rsid w:val="00062980"/>
    <w:rsid w:val="0006653C"/>
    <w:rsid w:val="00066BB9"/>
    <w:rsid w:val="00067EEA"/>
    <w:rsid w:val="00070D7F"/>
    <w:rsid w:val="000720AB"/>
    <w:rsid w:val="0007225F"/>
    <w:rsid w:val="00074453"/>
    <w:rsid w:val="00076380"/>
    <w:rsid w:val="00076CAE"/>
    <w:rsid w:val="00081606"/>
    <w:rsid w:val="00081631"/>
    <w:rsid w:val="000837D7"/>
    <w:rsid w:val="0008502C"/>
    <w:rsid w:val="000855F7"/>
    <w:rsid w:val="00087E23"/>
    <w:rsid w:val="00091098"/>
    <w:rsid w:val="000963A9"/>
    <w:rsid w:val="00097CB9"/>
    <w:rsid w:val="000A3632"/>
    <w:rsid w:val="000A36C3"/>
    <w:rsid w:val="000A4198"/>
    <w:rsid w:val="000B6AF3"/>
    <w:rsid w:val="000B6D53"/>
    <w:rsid w:val="000C0060"/>
    <w:rsid w:val="000C2441"/>
    <w:rsid w:val="000C26D2"/>
    <w:rsid w:val="000C29F5"/>
    <w:rsid w:val="000C3BB3"/>
    <w:rsid w:val="000C6BE4"/>
    <w:rsid w:val="000C6EA5"/>
    <w:rsid w:val="000D0D3B"/>
    <w:rsid w:val="000D1670"/>
    <w:rsid w:val="000D1844"/>
    <w:rsid w:val="000D1A93"/>
    <w:rsid w:val="000D4C2E"/>
    <w:rsid w:val="000D5E3B"/>
    <w:rsid w:val="000E03CD"/>
    <w:rsid w:val="000E30FC"/>
    <w:rsid w:val="000E33DB"/>
    <w:rsid w:val="000E4A7A"/>
    <w:rsid w:val="000F0A6C"/>
    <w:rsid w:val="000F2204"/>
    <w:rsid w:val="000F2E50"/>
    <w:rsid w:val="000F429A"/>
    <w:rsid w:val="000F43F5"/>
    <w:rsid w:val="000F6A07"/>
    <w:rsid w:val="00102808"/>
    <w:rsid w:val="001059EB"/>
    <w:rsid w:val="00107198"/>
    <w:rsid w:val="0011014C"/>
    <w:rsid w:val="001103DB"/>
    <w:rsid w:val="00110510"/>
    <w:rsid w:val="00114A38"/>
    <w:rsid w:val="00116AA0"/>
    <w:rsid w:val="00116F10"/>
    <w:rsid w:val="0012156B"/>
    <w:rsid w:val="001240ED"/>
    <w:rsid w:val="00125A47"/>
    <w:rsid w:val="001313C5"/>
    <w:rsid w:val="00133178"/>
    <w:rsid w:val="00133D14"/>
    <w:rsid w:val="00135456"/>
    <w:rsid w:val="00136C8B"/>
    <w:rsid w:val="001373C7"/>
    <w:rsid w:val="001379ED"/>
    <w:rsid w:val="00137ADC"/>
    <w:rsid w:val="0014194F"/>
    <w:rsid w:val="00144809"/>
    <w:rsid w:val="00144838"/>
    <w:rsid w:val="00145933"/>
    <w:rsid w:val="001464E8"/>
    <w:rsid w:val="001471F5"/>
    <w:rsid w:val="0015033C"/>
    <w:rsid w:val="00152846"/>
    <w:rsid w:val="00161D9F"/>
    <w:rsid w:val="001660A0"/>
    <w:rsid w:val="0016624A"/>
    <w:rsid w:val="00172565"/>
    <w:rsid w:val="001733DE"/>
    <w:rsid w:val="0017517F"/>
    <w:rsid w:val="00181709"/>
    <w:rsid w:val="00183651"/>
    <w:rsid w:val="00185B74"/>
    <w:rsid w:val="00185BF3"/>
    <w:rsid w:val="001869BE"/>
    <w:rsid w:val="00195094"/>
    <w:rsid w:val="00196328"/>
    <w:rsid w:val="001968BF"/>
    <w:rsid w:val="001A357E"/>
    <w:rsid w:val="001A3739"/>
    <w:rsid w:val="001A5CDF"/>
    <w:rsid w:val="001A608F"/>
    <w:rsid w:val="001A6095"/>
    <w:rsid w:val="001A6448"/>
    <w:rsid w:val="001B71B1"/>
    <w:rsid w:val="001C08E2"/>
    <w:rsid w:val="001C559A"/>
    <w:rsid w:val="001C5E81"/>
    <w:rsid w:val="001D0602"/>
    <w:rsid w:val="001D28B0"/>
    <w:rsid w:val="001D2D07"/>
    <w:rsid w:val="001D7353"/>
    <w:rsid w:val="001D7699"/>
    <w:rsid w:val="001E0315"/>
    <w:rsid w:val="001E2E05"/>
    <w:rsid w:val="001F0A77"/>
    <w:rsid w:val="001F2653"/>
    <w:rsid w:val="001F4346"/>
    <w:rsid w:val="001F5A2C"/>
    <w:rsid w:val="002000AB"/>
    <w:rsid w:val="002038E3"/>
    <w:rsid w:val="00203D85"/>
    <w:rsid w:val="00206373"/>
    <w:rsid w:val="00211B11"/>
    <w:rsid w:val="00212D28"/>
    <w:rsid w:val="002137D0"/>
    <w:rsid w:val="00215247"/>
    <w:rsid w:val="0021574F"/>
    <w:rsid w:val="00215DB3"/>
    <w:rsid w:val="00217134"/>
    <w:rsid w:val="002212B4"/>
    <w:rsid w:val="00221456"/>
    <w:rsid w:val="00224EA3"/>
    <w:rsid w:val="00227647"/>
    <w:rsid w:val="002300C6"/>
    <w:rsid w:val="00230177"/>
    <w:rsid w:val="0023275B"/>
    <w:rsid w:val="00233F72"/>
    <w:rsid w:val="00235BBB"/>
    <w:rsid w:val="00236409"/>
    <w:rsid w:val="0024133E"/>
    <w:rsid w:val="002440EF"/>
    <w:rsid w:val="00244B19"/>
    <w:rsid w:val="00261078"/>
    <w:rsid w:val="002714B8"/>
    <w:rsid w:val="00273A97"/>
    <w:rsid w:val="002740DD"/>
    <w:rsid w:val="002752C7"/>
    <w:rsid w:val="00275331"/>
    <w:rsid w:val="002760DC"/>
    <w:rsid w:val="0027624B"/>
    <w:rsid w:val="002766AA"/>
    <w:rsid w:val="002810BE"/>
    <w:rsid w:val="00281192"/>
    <w:rsid w:val="0028442C"/>
    <w:rsid w:val="00284B24"/>
    <w:rsid w:val="0028527D"/>
    <w:rsid w:val="00287514"/>
    <w:rsid w:val="00287A6D"/>
    <w:rsid w:val="00290D1D"/>
    <w:rsid w:val="00290D6A"/>
    <w:rsid w:val="00294230"/>
    <w:rsid w:val="002A1EDF"/>
    <w:rsid w:val="002A36F8"/>
    <w:rsid w:val="002A4425"/>
    <w:rsid w:val="002A49B4"/>
    <w:rsid w:val="002A52B3"/>
    <w:rsid w:val="002A69C4"/>
    <w:rsid w:val="002B02B0"/>
    <w:rsid w:val="002B1297"/>
    <w:rsid w:val="002B1D37"/>
    <w:rsid w:val="002B2E0E"/>
    <w:rsid w:val="002B3949"/>
    <w:rsid w:val="002B654A"/>
    <w:rsid w:val="002C246F"/>
    <w:rsid w:val="002C6011"/>
    <w:rsid w:val="002D3172"/>
    <w:rsid w:val="002D348C"/>
    <w:rsid w:val="002D4786"/>
    <w:rsid w:val="002D6113"/>
    <w:rsid w:val="002D7AD5"/>
    <w:rsid w:val="002E04F2"/>
    <w:rsid w:val="002E088C"/>
    <w:rsid w:val="002E0E62"/>
    <w:rsid w:val="002E2AD1"/>
    <w:rsid w:val="002E3121"/>
    <w:rsid w:val="002E4953"/>
    <w:rsid w:val="002E57C3"/>
    <w:rsid w:val="002E6728"/>
    <w:rsid w:val="002E7C4C"/>
    <w:rsid w:val="002F30D1"/>
    <w:rsid w:val="00301762"/>
    <w:rsid w:val="003030C8"/>
    <w:rsid w:val="003077B3"/>
    <w:rsid w:val="00315083"/>
    <w:rsid w:val="003150A7"/>
    <w:rsid w:val="00315A71"/>
    <w:rsid w:val="00316793"/>
    <w:rsid w:val="003179E4"/>
    <w:rsid w:val="00321FF4"/>
    <w:rsid w:val="00324FC0"/>
    <w:rsid w:val="003328DC"/>
    <w:rsid w:val="00333235"/>
    <w:rsid w:val="0033352B"/>
    <w:rsid w:val="00337937"/>
    <w:rsid w:val="003412AE"/>
    <w:rsid w:val="003415DB"/>
    <w:rsid w:val="00341856"/>
    <w:rsid w:val="003429E8"/>
    <w:rsid w:val="00342E05"/>
    <w:rsid w:val="00347F53"/>
    <w:rsid w:val="00350F8A"/>
    <w:rsid w:val="00351922"/>
    <w:rsid w:val="00355167"/>
    <w:rsid w:val="003576AB"/>
    <w:rsid w:val="003600D8"/>
    <w:rsid w:val="00361DEB"/>
    <w:rsid w:val="00365856"/>
    <w:rsid w:val="00365D23"/>
    <w:rsid w:val="0036795A"/>
    <w:rsid w:val="00371118"/>
    <w:rsid w:val="00371507"/>
    <w:rsid w:val="003729BB"/>
    <w:rsid w:val="003732D6"/>
    <w:rsid w:val="00374BEE"/>
    <w:rsid w:val="003754DA"/>
    <w:rsid w:val="00375904"/>
    <w:rsid w:val="00382CF3"/>
    <w:rsid w:val="00384030"/>
    <w:rsid w:val="003854EB"/>
    <w:rsid w:val="00395256"/>
    <w:rsid w:val="00396851"/>
    <w:rsid w:val="003A2480"/>
    <w:rsid w:val="003A2847"/>
    <w:rsid w:val="003A460E"/>
    <w:rsid w:val="003A73F2"/>
    <w:rsid w:val="003B07CC"/>
    <w:rsid w:val="003B47A8"/>
    <w:rsid w:val="003B6B72"/>
    <w:rsid w:val="003C1CEC"/>
    <w:rsid w:val="003C2CCD"/>
    <w:rsid w:val="003C2EDC"/>
    <w:rsid w:val="003C3B40"/>
    <w:rsid w:val="003C4572"/>
    <w:rsid w:val="003C59D2"/>
    <w:rsid w:val="003C6FB6"/>
    <w:rsid w:val="003D07F8"/>
    <w:rsid w:val="003D1FD8"/>
    <w:rsid w:val="003D3E0C"/>
    <w:rsid w:val="003D73A0"/>
    <w:rsid w:val="003E147D"/>
    <w:rsid w:val="003E7204"/>
    <w:rsid w:val="003F008F"/>
    <w:rsid w:val="003F5F39"/>
    <w:rsid w:val="003F7A06"/>
    <w:rsid w:val="004011CF"/>
    <w:rsid w:val="0040415A"/>
    <w:rsid w:val="004109F0"/>
    <w:rsid w:val="004132D9"/>
    <w:rsid w:val="004144FC"/>
    <w:rsid w:val="004158C0"/>
    <w:rsid w:val="00416259"/>
    <w:rsid w:val="00416890"/>
    <w:rsid w:val="00420201"/>
    <w:rsid w:val="00420512"/>
    <w:rsid w:val="0042318F"/>
    <w:rsid w:val="004233EF"/>
    <w:rsid w:val="00425D66"/>
    <w:rsid w:val="004265F1"/>
    <w:rsid w:val="00427C25"/>
    <w:rsid w:val="0043357A"/>
    <w:rsid w:val="00442674"/>
    <w:rsid w:val="00450A62"/>
    <w:rsid w:val="00454F49"/>
    <w:rsid w:val="00456454"/>
    <w:rsid w:val="00457679"/>
    <w:rsid w:val="00462967"/>
    <w:rsid w:val="00463E24"/>
    <w:rsid w:val="004668E5"/>
    <w:rsid w:val="00473033"/>
    <w:rsid w:val="00473C86"/>
    <w:rsid w:val="00474CFF"/>
    <w:rsid w:val="00475283"/>
    <w:rsid w:val="004755A0"/>
    <w:rsid w:val="0047586F"/>
    <w:rsid w:val="00475B5A"/>
    <w:rsid w:val="00480FFE"/>
    <w:rsid w:val="00481CA5"/>
    <w:rsid w:val="0048336F"/>
    <w:rsid w:val="00485D2F"/>
    <w:rsid w:val="00487B3C"/>
    <w:rsid w:val="004902C0"/>
    <w:rsid w:val="00490D83"/>
    <w:rsid w:val="004916C9"/>
    <w:rsid w:val="00491E4D"/>
    <w:rsid w:val="00494196"/>
    <w:rsid w:val="00495556"/>
    <w:rsid w:val="00495850"/>
    <w:rsid w:val="00497190"/>
    <w:rsid w:val="004A004B"/>
    <w:rsid w:val="004A12CB"/>
    <w:rsid w:val="004A2A58"/>
    <w:rsid w:val="004A2B0F"/>
    <w:rsid w:val="004A60DE"/>
    <w:rsid w:val="004A7DC6"/>
    <w:rsid w:val="004B123F"/>
    <w:rsid w:val="004B3462"/>
    <w:rsid w:val="004B47F1"/>
    <w:rsid w:val="004B6004"/>
    <w:rsid w:val="004C5E66"/>
    <w:rsid w:val="004C6FCE"/>
    <w:rsid w:val="004D140F"/>
    <w:rsid w:val="004D1B22"/>
    <w:rsid w:val="004D7040"/>
    <w:rsid w:val="004E1F67"/>
    <w:rsid w:val="004E5017"/>
    <w:rsid w:val="004F013C"/>
    <w:rsid w:val="004F0874"/>
    <w:rsid w:val="004F265C"/>
    <w:rsid w:val="004F57C5"/>
    <w:rsid w:val="004F65AB"/>
    <w:rsid w:val="0050310A"/>
    <w:rsid w:val="005049FA"/>
    <w:rsid w:val="00504FFB"/>
    <w:rsid w:val="00505054"/>
    <w:rsid w:val="005051EA"/>
    <w:rsid w:val="00506799"/>
    <w:rsid w:val="00511985"/>
    <w:rsid w:val="00513EC0"/>
    <w:rsid w:val="00514D03"/>
    <w:rsid w:val="00515C61"/>
    <w:rsid w:val="00515FA1"/>
    <w:rsid w:val="00516109"/>
    <w:rsid w:val="00523194"/>
    <w:rsid w:val="005262E9"/>
    <w:rsid w:val="0052764B"/>
    <w:rsid w:val="005276F2"/>
    <w:rsid w:val="00530F16"/>
    <w:rsid w:val="005334C6"/>
    <w:rsid w:val="0053392B"/>
    <w:rsid w:val="0053678D"/>
    <w:rsid w:val="00536B27"/>
    <w:rsid w:val="00544835"/>
    <w:rsid w:val="00552075"/>
    <w:rsid w:val="00552865"/>
    <w:rsid w:val="005529F8"/>
    <w:rsid w:val="00553430"/>
    <w:rsid w:val="00555642"/>
    <w:rsid w:val="00555CC5"/>
    <w:rsid w:val="00557433"/>
    <w:rsid w:val="005605CA"/>
    <w:rsid w:val="00565706"/>
    <w:rsid w:val="005666EC"/>
    <w:rsid w:val="00576784"/>
    <w:rsid w:val="005867F0"/>
    <w:rsid w:val="00586B8F"/>
    <w:rsid w:val="005910BC"/>
    <w:rsid w:val="005931D5"/>
    <w:rsid w:val="00593A5A"/>
    <w:rsid w:val="00593D17"/>
    <w:rsid w:val="0059604A"/>
    <w:rsid w:val="00596C59"/>
    <w:rsid w:val="005A1F51"/>
    <w:rsid w:val="005A2471"/>
    <w:rsid w:val="005A2FCC"/>
    <w:rsid w:val="005A50CC"/>
    <w:rsid w:val="005A61C2"/>
    <w:rsid w:val="005A7FB1"/>
    <w:rsid w:val="005B0D63"/>
    <w:rsid w:val="005B3C93"/>
    <w:rsid w:val="005B4B26"/>
    <w:rsid w:val="005B5AD7"/>
    <w:rsid w:val="005B63A4"/>
    <w:rsid w:val="005C0AA2"/>
    <w:rsid w:val="005C1353"/>
    <w:rsid w:val="005C2DF9"/>
    <w:rsid w:val="005C4C80"/>
    <w:rsid w:val="005C4E76"/>
    <w:rsid w:val="005D3ED8"/>
    <w:rsid w:val="005D5928"/>
    <w:rsid w:val="005D78B3"/>
    <w:rsid w:val="005E1D3F"/>
    <w:rsid w:val="005E675E"/>
    <w:rsid w:val="005E7961"/>
    <w:rsid w:val="005F14E2"/>
    <w:rsid w:val="005F4EA9"/>
    <w:rsid w:val="005F6006"/>
    <w:rsid w:val="00600543"/>
    <w:rsid w:val="006031B6"/>
    <w:rsid w:val="0060459D"/>
    <w:rsid w:val="0060536F"/>
    <w:rsid w:val="00610EA1"/>
    <w:rsid w:val="00617129"/>
    <w:rsid w:val="0061796E"/>
    <w:rsid w:val="006179FC"/>
    <w:rsid w:val="006225B5"/>
    <w:rsid w:val="0062447E"/>
    <w:rsid w:val="0062669F"/>
    <w:rsid w:val="00627D35"/>
    <w:rsid w:val="00632F8D"/>
    <w:rsid w:val="006370AA"/>
    <w:rsid w:val="00637263"/>
    <w:rsid w:val="00643C9F"/>
    <w:rsid w:val="006440B6"/>
    <w:rsid w:val="006452D6"/>
    <w:rsid w:val="0064709C"/>
    <w:rsid w:val="0064787A"/>
    <w:rsid w:val="006529A5"/>
    <w:rsid w:val="00654FD9"/>
    <w:rsid w:val="00657CE7"/>
    <w:rsid w:val="00657CF5"/>
    <w:rsid w:val="00660206"/>
    <w:rsid w:val="00660256"/>
    <w:rsid w:val="00660CAE"/>
    <w:rsid w:val="00664C5D"/>
    <w:rsid w:val="00665016"/>
    <w:rsid w:val="00667070"/>
    <w:rsid w:val="006675E3"/>
    <w:rsid w:val="00667BCC"/>
    <w:rsid w:val="00670428"/>
    <w:rsid w:val="00670AA8"/>
    <w:rsid w:val="00674539"/>
    <w:rsid w:val="006760A8"/>
    <w:rsid w:val="00676B0C"/>
    <w:rsid w:val="00677870"/>
    <w:rsid w:val="00680980"/>
    <w:rsid w:val="00682EB9"/>
    <w:rsid w:val="0068335F"/>
    <w:rsid w:val="0068566E"/>
    <w:rsid w:val="006867ED"/>
    <w:rsid w:val="006A239B"/>
    <w:rsid w:val="006A3186"/>
    <w:rsid w:val="006A48BC"/>
    <w:rsid w:val="006A51E5"/>
    <w:rsid w:val="006B1919"/>
    <w:rsid w:val="006B4835"/>
    <w:rsid w:val="006C0739"/>
    <w:rsid w:val="006C1E20"/>
    <w:rsid w:val="006C2458"/>
    <w:rsid w:val="006C276D"/>
    <w:rsid w:val="006C444C"/>
    <w:rsid w:val="006C5977"/>
    <w:rsid w:val="006D03DF"/>
    <w:rsid w:val="006D3E2B"/>
    <w:rsid w:val="006D5B66"/>
    <w:rsid w:val="006D63FF"/>
    <w:rsid w:val="006D68D7"/>
    <w:rsid w:val="006E0F03"/>
    <w:rsid w:val="006E4CAF"/>
    <w:rsid w:val="006F14F5"/>
    <w:rsid w:val="006F1744"/>
    <w:rsid w:val="006F27A7"/>
    <w:rsid w:val="006F34AD"/>
    <w:rsid w:val="006F3F9C"/>
    <w:rsid w:val="006F5DC4"/>
    <w:rsid w:val="006F60C4"/>
    <w:rsid w:val="006F6B18"/>
    <w:rsid w:val="006F732F"/>
    <w:rsid w:val="006F75ED"/>
    <w:rsid w:val="006F7EE6"/>
    <w:rsid w:val="00704692"/>
    <w:rsid w:val="00711228"/>
    <w:rsid w:val="00711B92"/>
    <w:rsid w:val="00711FBB"/>
    <w:rsid w:val="00713058"/>
    <w:rsid w:val="00713069"/>
    <w:rsid w:val="00714467"/>
    <w:rsid w:val="0071737A"/>
    <w:rsid w:val="00721523"/>
    <w:rsid w:val="00721FDC"/>
    <w:rsid w:val="007228E5"/>
    <w:rsid w:val="00722D56"/>
    <w:rsid w:val="00724411"/>
    <w:rsid w:val="007248D0"/>
    <w:rsid w:val="0072514A"/>
    <w:rsid w:val="007307AE"/>
    <w:rsid w:val="00733B33"/>
    <w:rsid w:val="00735A2E"/>
    <w:rsid w:val="0073618D"/>
    <w:rsid w:val="00741998"/>
    <w:rsid w:val="0074299B"/>
    <w:rsid w:val="007433F5"/>
    <w:rsid w:val="007448AD"/>
    <w:rsid w:val="007529AF"/>
    <w:rsid w:val="007541B3"/>
    <w:rsid w:val="00754685"/>
    <w:rsid w:val="00754D97"/>
    <w:rsid w:val="0075556B"/>
    <w:rsid w:val="00757667"/>
    <w:rsid w:val="00757985"/>
    <w:rsid w:val="00757E19"/>
    <w:rsid w:val="00761490"/>
    <w:rsid w:val="007618B1"/>
    <w:rsid w:val="007635CF"/>
    <w:rsid w:val="00763CB1"/>
    <w:rsid w:val="007642D3"/>
    <w:rsid w:val="0076744B"/>
    <w:rsid w:val="00773EE6"/>
    <w:rsid w:val="00774128"/>
    <w:rsid w:val="007763AF"/>
    <w:rsid w:val="007776A5"/>
    <w:rsid w:val="00783B04"/>
    <w:rsid w:val="0078447F"/>
    <w:rsid w:val="0078563F"/>
    <w:rsid w:val="007904CB"/>
    <w:rsid w:val="0079152F"/>
    <w:rsid w:val="00793493"/>
    <w:rsid w:val="00793C6B"/>
    <w:rsid w:val="00793D02"/>
    <w:rsid w:val="00793DC9"/>
    <w:rsid w:val="00794CC5"/>
    <w:rsid w:val="00795C56"/>
    <w:rsid w:val="00795C66"/>
    <w:rsid w:val="00797523"/>
    <w:rsid w:val="007A4990"/>
    <w:rsid w:val="007B3232"/>
    <w:rsid w:val="007B36D9"/>
    <w:rsid w:val="007B451A"/>
    <w:rsid w:val="007B72F4"/>
    <w:rsid w:val="007C1C9D"/>
    <w:rsid w:val="007C2953"/>
    <w:rsid w:val="007D30AE"/>
    <w:rsid w:val="007D4898"/>
    <w:rsid w:val="007D4D9F"/>
    <w:rsid w:val="007D4F68"/>
    <w:rsid w:val="007D6EC3"/>
    <w:rsid w:val="007E01B6"/>
    <w:rsid w:val="007E399D"/>
    <w:rsid w:val="007E5162"/>
    <w:rsid w:val="007E559E"/>
    <w:rsid w:val="007F1685"/>
    <w:rsid w:val="007F172C"/>
    <w:rsid w:val="007F501C"/>
    <w:rsid w:val="007F52B8"/>
    <w:rsid w:val="007F734C"/>
    <w:rsid w:val="008006A2"/>
    <w:rsid w:val="00801599"/>
    <w:rsid w:val="00801B9F"/>
    <w:rsid w:val="00801BF4"/>
    <w:rsid w:val="008034E2"/>
    <w:rsid w:val="0080561B"/>
    <w:rsid w:val="00806A0D"/>
    <w:rsid w:val="00811D35"/>
    <w:rsid w:val="008275F8"/>
    <w:rsid w:val="00827C1C"/>
    <w:rsid w:val="008314F3"/>
    <w:rsid w:val="00831DD3"/>
    <w:rsid w:val="00832E6C"/>
    <w:rsid w:val="00833D13"/>
    <w:rsid w:val="00834673"/>
    <w:rsid w:val="008346A1"/>
    <w:rsid w:val="00834AC7"/>
    <w:rsid w:val="008361FF"/>
    <w:rsid w:val="00836D12"/>
    <w:rsid w:val="008412F4"/>
    <w:rsid w:val="008426B8"/>
    <w:rsid w:val="008444AE"/>
    <w:rsid w:val="00845FC1"/>
    <w:rsid w:val="00846DDD"/>
    <w:rsid w:val="008477D9"/>
    <w:rsid w:val="0085129E"/>
    <w:rsid w:val="00856660"/>
    <w:rsid w:val="00866A71"/>
    <w:rsid w:val="00873A91"/>
    <w:rsid w:val="00876805"/>
    <w:rsid w:val="0088042C"/>
    <w:rsid w:val="008825AB"/>
    <w:rsid w:val="0088434E"/>
    <w:rsid w:val="00884B44"/>
    <w:rsid w:val="008868DD"/>
    <w:rsid w:val="008906E0"/>
    <w:rsid w:val="00891B01"/>
    <w:rsid w:val="00892230"/>
    <w:rsid w:val="008935CF"/>
    <w:rsid w:val="00894026"/>
    <w:rsid w:val="008A4299"/>
    <w:rsid w:val="008A4C87"/>
    <w:rsid w:val="008A5663"/>
    <w:rsid w:val="008A5A1F"/>
    <w:rsid w:val="008A5F9E"/>
    <w:rsid w:val="008A6569"/>
    <w:rsid w:val="008A688B"/>
    <w:rsid w:val="008A7886"/>
    <w:rsid w:val="008B0F3B"/>
    <w:rsid w:val="008B5061"/>
    <w:rsid w:val="008B5201"/>
    <w:rsid w:val="008B5AC6"/>
    <w:rsid w:val="008B64C6"/>
    <w:rsid w:val="008C2565"/>
    <w:rsid w:val="008C2FF8"/>
    <w:rsid w:val="008C4962"/>
    <w:rsid w:val="008C6265"/>
    <w:rsid w:val="008C7365"/>
    <w:rsid w:val="008D0A94"/>
    <w:rsid w:val="008D3C32"/>
    <w:rsid w:val="008D5429"/>
    <w:rsid w:val="008D6C13"/>
    <w:rsid w:val="008D734D"/>
    <w:rsid w:val="008E093E"/>
    <w:rsid w:val="008E5B3A"/>
    <w:rsid w:val="008E6714"/>
    <w:rsid w:val="008E7135"/>
    <w:rsid w:val="008F0466"/>
    <w:rsid w:val="008F202E"/>
    <w:rsid w:val="008F23A9"/>
    <w:rsid w:val="008F3090"/>
    <w:rsid w:val="008F3116"/>
    <w:rsid w:val="008F3A84"/>
    <w:rsid w:val="008F56C8"/>
    <w:rsid w:val="008F79D5"/>
    <w:rsid w:val="009011CC"/>
    <w:rsid w:val="0090275E"/>
    <w:rsid w:val="0090298D"/>
    <w:rsid w:val="009056F4"/>
    <w:rsid w:val="00905857"/>
    <w:rsid w:val="0091032C"/>
    <w:rsid w:val="009106F1"/>
    <w:rsid w:val="00911334"/>
    <w:rsid w:val="00913A28"/>
    <w:rsid w:val="00915DCA"/>
    <w:rsid w:val="009161F8"/>
    <w:rsid w:val="009166DF"/>
    <w:rsid w:val="00917F43"/>
    <w:rsid w:val="00923247"/>
    <w:rsid w:val="009241F7"/>
    <w:rsid w:val="00924705"/>
    <w:rsid w:val="00935738"/>
    <w:rsid w:val="009367DA"/>
    <w:rsid w:val="0094033C"/>
    <w:rsid w:val="009405EE"/>
    <w:rsid w:val="00946AB7"/>
    <w:rsid w:val="00950909"/>
    <w:rsid w:val="00950CF0"/>
    <w:rsid w:val="00950EB2"/>
    <w:rsid w:val="00952DDB"/>
    <w:rsid w:val="0095424F"/>
    <w:rsid w:val="009558F5"/>
    <w:rsid w:val="009576F6"/>
    <w:rsid w:val="009613C1"/>
    <w:rsid w:val="0096356E"/>
    <w:rsid w:val="00965F4F"/>
    <w:rsid w:val="00966C35"/>
    <w:rsid w:val="009704C4"/>
    <w:rsid w:val="009730AD"/>
    <w:rsid w:val="009757C4"/>
    <w:rsid w:val="00975F79"/>
    <w:rsid w:val="00975FF9"/>
    <w:rsid w:val="009769CD"/>
    <w:rsid w:val="009770DF"/>
    <w:rsid w:val="00977631"/>
    <w:rsid w:val="00977A1B"/>
    <w:rsid w:val="00977C55"/>
    <w:rsid w:val="00980D67"/>
    <w:rsid w:val="00982AFF"/>
    <w:rsid w:val="00990C67"/>
    <w:rsid w:val="00993247"/>
    <w:rsid w:val="00995309"/>
    <w:rsid w:val="00995756"/>
    <w:rsid w:val="009957AE"/>
    <w:rsid w:val="00995C8F"/>
    <w:rsid w:val="009962E2"/>
    <w:rsid w:val="00997443"/>
    <w:rsid w:val="009A0772"/>
    <w:rsid w:val="009A502E"/>
    <w:rsid w:val="009B0C0D"/>
    <w:rsid w:val="009B32C8"/>
    <w:rsid w:val="009C00A7"/>
    <w:rsid w:val="009C1549"/>
    <w:rsid w:val="009C1F11"/>
    <w:rsid w:val="009C2270"/>
    <w:rsid w:val="009C327E"/>
    <w:rsid w:val="009C48ED"/>
    <w:rsid w:val="009C637F"/>
    <w:rsid w:val="009C63BB"/>
    <w:rsid w:val="009D1122"/>
    <w:rsid w:val="009D2B76"/>
    <w:rsid w:val="009D7D1B"/>
    <w:rsid w:val="009D7EA8"/>
    <w:rsid w:val="009E37E6"/>
    <w:rsid w:val="009E4FE6"/>
    <w:rsid w:val="009E62F1"/>
    <w:rsid w:val="009E7988"/>
    <w:rsid w:val="009F1735"/>
    <w:rsid w:val="009F2E6D"/>
    <w:rsid w:val="009F4E28"/>
    <w:rsid w:val="009F6305"/>
    <w:rsid w:val="00A00909"/>
    <w:rsid w:val="00A0161F"/>
    <w:rsid w:val="00A02144"/>
    <w:rsid w:val="00A0420F"/>
    <w:rsid w:val="00A0507C"/>
    <w:rsid w:val="00A052AF"/>
    <w:rsid w:val="00A05B0F"/>
    <w:rsid w:val="00A11B38"/>
    <w:rsid w:val="00A12BF2"/>
    <w:rsid w:val="00A141AC"/>
    <w:rsid w:val="00A1777E"/>
    <w:rsid w:val="00A2383F"/>
    <w:rsid w:val="00A23D00"/>
    <w:rsid w:val="00A30B5B"/>
    <w:rsid w:val="00A31136"/>
    <w:rsid w:val="00A311B3"/>
    <w:rsid w:val="00A31BB7"/>
    <w:rsid w:val="00A33F09"/>
    <w:rsid w:val="00A34761"/>
    <w:rsid w:val="00A36189"/>
    <w:rsid w:val="00A37E0D"/>
    <w:rsid w:val="00A37E12"/>
    <w:rsid w:val="00A40D4A"/>
    <w:rsid w:val="00A46963"/>
    <w:rsid w:val="00A471F0"/>
    <w:rsid w:val="00A47819"/>
    <w:rsid w:val="00A50CCA"/>
    <w:rsid w:val="00A51CC8"/>
    <w:rsid w:val="00A52637"/>
    <w:rsid w:val="00A537C7"/>
    <w:rsid w:val="00A54DFA"/>
    <w:rsid w:val="00A550DE"/>
    <w:rsid w:val="00A57FCF"/>
    <w:rsid w:val="00A57FFE"/>
    <w:rsid w:val="00A60119"/>
    <w:rsid w:val="00A6258B"/>
    <w:rsid w:val="00A64A33"/>
    <w:rsid w:val="00A66655"/>
    <w:rsid w:val="00A71364"/>
    <w:rsid w:val="00A74BA2"/>
    <w:rsid w:val="00A75916"/>
    <w:rsid w:val="00A75925"/>
    <w:rsid w:val="00A802CF"/>
    <w:rsid w:val="00A810F1"/>
    <w:rsid w:val="00A84525"/>
    <w:rsid w:val="00A900A6"/>
    <w:rsid w:val="00A91E61"/>
    <w:rsid w:val="00A978AB"/>
    <w:rsid w:val="00AA2566"/>
    <w:rsid w:val="00AA3702"/>
    <w:rsid w:val="00AA6C11"/>
    <w:rsid w:val="00AA75A5"/>
    <w:rsid w:val="00AB4359"/>
    <w:rsid w:val="00AC37E5"/>
    <w:rsid w:val="00AC48F0"/>
    <w:rsid w:val="00AD2B55"/>
    <w:rsid w:val="00AE0BFA"/>
    <w:rsid w:val="00AE0DF6"/>
    <w:rsid w:val="00AE2262"/>
    <w:rsid w:val="00AE239B"/>
    <w:rsid w:val="00AE2450"/>
    <w:rsid w:val="00AE55AD"/>
    <w:rsid w:val="00AF3BB6"/>
    <w:rsid w:val="00AF512C"/>
    <w:rsid w:val="00AF7766"/>
    <w:rsid w:val="00AF7BA9"/>
    <w:rsid w:val="00B003CB"/>
    <w:rsid w:val="00B014C9"/>
    <w:rsid w:val="00B0388E"/>
    <w:rsid w:val="00B04199"/>
    <w:rsid w:val="00B04CDF"/>
    <w:rsid w:val="00B06C59"/>
    <w:rsid w:val="00B1149A"/>
    <w:rsid w:val="00B1447A"/>
    <w:rsid w:val="00B172E1"/>
    <w:rsid w:val="00B17926"/>
    <w:rsid w:val="00B17D5F"/>
    <w:rsid w:val="00B21B72"/>
    <w:rsid w:val="00B22D51"/>
    <w:rsid w:val="00B233A1"/>
    <w:rsid w:val="00B2553E"/>
    <w:rsid w:val="00B27DAD"/>
    <w:rsid w:val="00B33002"/>
    <w:rsid w:val="00B346FE"/>
    <w:rsid w:val="00B348DC"/>
    <w:rsid w:val="00B37B25"/>
    <w:rsid w:val="00B60BBF"/>
    <w:rsid w:val="00B61251"/>
    <w:rsid w:val="00B63ABF"/>
    <w:rsid w:val="00B642C7"/>
    <w:rsid w:val="00B66C6F"/>
    <w:rsid w:val="00B66D26"/>
    <w:rsid w:val="00B7650E"/>
    <w:rsid w:val="00B77906"/>
    <w:rsid w:val="00B8322F"/>
    <w:rsid w:val="00B833C6"/>
    <w:rsid w:val="00B87772"/>
    <w:rsid w:val="00B87870"/>
    <w:rsid w:val="00B91642"/>
    <w:rsid w:val="00B92730"/>
    <w:rsid w:val="00B97440"/>
    <w:rsid w:val="00BA02D7"/>
    <w:rsid w:val="00BA1274"/>
    <w:rsid w:val="00BA1ECB"/>
    <w:rsid w:val="00BA3D5A"/>
    <w:rsid w:val="00BA5622"/>
    <w:rsid w:val="00BA7E60"/>
    <w:rsid w:val="00BB042C"/>
    <w:rsid w:val="00BB10FC"/>
    <w:rsid w:val="00BB356D"/>
    <w:rsid w:val="00BB525C"/>
    <w:rsid w:val="00BB671B"/>
    <w:rsid w:val="00BC0AB0"/>
    <w:rsid w:val="00BC1100"/>
    <w:rsid w:val="00BC1611"/>
    <w:rsid w:val="00BC2E86"/>
    <w:rsid w:val="00BC43CF"/>
    <w:rsid w:val="00BC4A16"/>
    <w:rsid w:val="00BC728F"/>
    <w:rsid w:val="00BC77CA"/>
    <w:rsid w:val="00BD6F0E"/>
    <w:rsid w:val="00BE0C1E"/>
    <w:rsid w:val="00BE0E0B"/>
    <w:rsid w:val="00BE2159"/>
    <w:rsid w:val="00BE434E"/>
    <w:rsid w:val="00BE44ED"/>
    <w:rsid w:val="00BE4D43"/>
    <w:rsid w:val="00BE5303"/>
    <w:rsid w:val="00BE6FBF"/>
    <w:rsid w:val="00BE7041"/>
    <w:rsid w:val="00BE75C7"/>
    <w:rsid w:val="00BE7F01"/>
    <w:rsid w:val="00BF014B"/>
    <w:rsid w:val="00BF07A6"/>
    <w:rsid w:val="00BF0D1A"/>
    <w:rsid w:val="00BF24C4"/>
    <w:rsid w:val="00BF3664"/>
    <w:rsid w:val="00C007F3"/>
    <w:rsid w:val="00C0294E"/>
    <w:rsid w:val="00C06B36"/>
    <w:rsid w:val="00C07132"/>
    <w:rsid w:val="00C11853"/>
    <w:rsid w:val="00C12734"/>
    <w:rsid w:val="00C12B41"/>
    <w:rsid w:val="00C1511F"/>
    <w:rsid w:val="00C1552A"/>
    <w:rsid w:val="00C17109"/>
    <w:rsid w:val="00C20D02"/>
    <w:rsid w:val="00C25C85"/>
    <w:rsid w:val="00C262EE"/>
    <w:rsid w:val="00C265ED"/>
    <w:rsid w:val="00C3069B"/>
    <w:rsid w:val="00C30CB9"/>
    <w:rsid w:val="00C3116F"/>
    <w:rsid w:val="00C31A60"/>
    <w:rsid w:val="00C31D00"/>
    <w:rsid w:val="00C32C27"/>
    <w:rsid w:val="00C357DC"/>
    <w:rsid w:val="00C3727B"/>
    <w:rsid w:val="00C42B67"/>
    <w:rsid w:val="00C5073E"/>
    <w:rsid w:val="00C50882"/>
    <w:rsid w:val="00C50B03"/>
    <w:rsid w:val="00C50CB7"/>
    <w:rsid w:val="00C50F48"/>
    <w:rsid w:val="00C51459"/>
    <w:rsid w:val="00C51A51"/>
    <w:rsid w:val="00C528C1"/>
    <w:rsid w:val="00C546F0"/>
    <w:rsid w:val="00C554BF"/>
    <w:rsid w:val="00C61801"/>
    <w:rsid w:val="00C64B4E"/>
    <w:rsid w:val="00C67A0D"/>
    <w:rsid w:val="00C70008"/>
    <w:rsid w:val="00C70745"/>
    <w:rsid w:val="00C7495C"/>
    <w:rsid w:val="00C75676"/>
    <w:rsid w:val="00C77844"/>
    <w:rsid w:val="00C80837"/>
    <w:rsid w:val="00C80ABD"/>
    <w:rsid w:val="00C83A3E"/>
    <w:rsid w:val="00C8553B"/>
    <w:rsid w:val="00C911A4"/>
    <w:rsid w:val="00CA015A"/>
    <w:rsid w:val="00CA4E44"/>
    <w:rsid w:val="00CA5919"/>
    <w:rsid w:val="00CA5CA7"/>
    <w:rsid w:val="00CB0F22"/>
    <w:rsid w:val="00CB18E1"/>
    <w:rsid w:val="00CB2F33"/>
    <w:rsid w:val="00CB4EE8"/>
    <w:rsid w:val="00CB6C4F"/>
    <w:rsid w:val="00CD2D5C"/>
    <w:rsid w:val="00CD36E3"/>
    <w:rsid w:val="00CE04BC"/>
    <w:rsid w:val="00CE0C49"/>
    <w:rsid w:val="00CE1342"/>
    <w:rsid w:val="00CE1663"/>
    <w:rsid w:val="00CF1308"/>
    <w:rsid w:val="00CF3E80"/>
    <w:rsid w:val="00CF63BF"/>
    <w:rsid w:val="00D002B1"/>
    <w:rsid w:val="00D124E0"/>
    <w:rsid w:val="00D13BC9"/>
    <w:rsid w:val="00D153EC"/>
    <w:rsid w:val="00D172B9"/>
    <w:rsid w:val="00D1772C"/>
    <w:rsid w:val="00D1773B"/>
    <w:rsid w:val="00D209B2"/>
    <w:rsid w:val="00D20F81"/>
    <w:rsid w:val="00D21444"/>
    <w:rsid w:val="00D24D34"/>
    <w:rsid w:val="00D25D04"/>
    <w:rsid w:val="00D260E9"/>
    <w:rsid w:val="00D277E6"/>
    <w:rsid w:val="00D30C9A"/>
    <w:rsid w:val="00D31E75"/>
    <w:rsid w:val="00D322A5"/>
    <w:rsid w:val="00D35AE5"/>
    <w:rsid w:val="00D378FE"/>
    <w:rsid w:val="00D41D85"/>
    <w:rsid w:val="00D445A1"/>
    <w:rsid w:val="00D44E92"/>
    <w:rsid w:val="00D45032"/>
    <w:rsid w:val="00D46CA2"/>
    <w:rsid w:val="00D52AC5"/>
    <w:rsid w:val="00D52C5A"/>
    <w:rsid w:val="00D540C1"/>
    <w:rsid w:val="00D54A00"/>
    <w:rsid w:val="00D556C4"/>
    <w:rsid w:val="00D6274B"/>
    <w:rsid w:val="00D65EA9"/>
    <w:rsid w:val="00D66C63"/>
    <w:rsid w:val="00D7040D"/>
    <w:rsid w:val="00D721D9"/>
    <w:rsid w:val="00D7621B"/>
    <w:rsid w:val="00D7727B"/>
    <w:rsid w:val="00D8538E"/>
    <w:rsid w:val="00D8749B"/>
    <w:rsid w:val="00D901B3"/>
    <w:rsid w:val="00D93B63"/>
    <w:rsid w:val="00D95823"/>
    <w:rsid w:val="00DA0223"/>
    <w:rsid w:val="00DA0D66"/>
    <w:rsid w:val="00DA0FD2"/>
    <w:rsid w:val="00DA4DAA"/>
    <w:rsid w:val="00DA5C34"/>
    <w:rsid w:val="00DB6C43"/>
    <w:rsid w:val="00DB74E0"/>
    <w:rsid w:val="00DC154E"/>
    <w:rsid w:val="00DC46D7"/>
    <w:rsid w:val="00DC5764"/>
    <w:rsid w:val="00DC5B8C"/>
    <w:rsid w:val="00DC6759"/>
    <w:rsid w:val="00DC6F6F"/>
    <w:rsid w:val="00DD247A"/>
    <w:rsid w:val="00DD2775"/>
    <w:rsid w:val="00DD4FC1"/>
    <w:rsid w:val="00DD5955"/>
    <w:rsid w:val="00DD5E31"/>
    <w:rsid w:val="00DE011D"/>
    <w:rsid w:val="00DE186F"/>
    <w:rsid w:val="00DE7361"/>
    <w:rsid w:val="00DE7830"/>
    <w:rsid w:val="00DE7A51"/>
    <w:rsid w:val="00DF0BAB"/>
    <w:rsid w:val="00DF19AE"/>
    <w:rsid w:val="00DF59DC"/>
    <w:rsid w:val="00DF7C5F"/>
    <w:rsid w:val="00E00D68"/>
    <w:rsid w:val="00E04F74"/>
    <w:rsid w:val="00E0506D"/>
    <w:rsid w:val="00E066B6"/>
    <w:rsid w:val="00E072EF"/>
    <w:rsid w:val="00E11BF3"/>
    <w:rsid w:val="00E12B9C"/>
    <w:rsid w:val="00E17D78"/>
    <w:rsid w:val="00E20944"/>
    <w:rsid w:val="00E224FA"/>
    <w:rsid w:val="00E23146"/>
    <w:rsid w:val="00E24CE0"/>
    <w:rsid w:val="00E35D69"/>
    <w:rsid w:val="00E37146"/>
    <w:rsid w:val="00E47D60"/>
    <w:rsid w:val="00E51048"/>
    <w:rsid w:val="00E53E40"/>
    <w:rsid w:val="00E5546B"/>
    <w:rsid w:val="00E56378"/>
    <w:rsid w:val="00E56C5F"/>
    <w:rsid w:val="00E62AF4"/>
    <w:rsid w:val="00E656AA"/>
    <w:rsid w:val="00E70B6F"/>
    <w:rsid w:val="00E71105"/>
    <w:rsid w:val="00E7115E"/>
    <w:rsid w:val="00E75754"/>
    <w:rsid w:val="00E87E89"/>
    <w:rsid w:val="00E94009"/>
    <w:rsid w:val="00E95F03"/>
    <w:rsid w:val="00E97B42"/>
    <w:rsid w:val="00EA351F"/>
    <w:rsid w:val="00EA3C2C"/>
    <w:rsid w:val="00EA4CC9"/>
    <w:rsid w:val="00EA5006"/>
    <w:rsid w:val="00EB0CFB"/>
    <w:rsid w:val="00EB2311"/>
    <w:rsid w:val="00EB4BC3"/>
    <w:rsid w:val="00EB759B"/>
    <w:rsid w:val="00EC1153"/>
    <w:rsid w:val="00EC1819"/>
    <w:rsid w:val="00EC22D7"/>
    <w:rsid w:val="00EC4803"/>
    <w:rsid w:val="00EC5045"/>
    <w:rsid w:val="00EC7772"/>
    <w:rsid w:val="00ED33DD"/>
    <w:rsid w:val="00ED3989"/>
    <w:rsid w:val="00ED3A37"/>
    <w:rsid w:val="00ED3B7E"/>
    <w:rsid w:val="00ED5AC9"/>
    <w:rsid w:val="00ED62DD"/>
    <w:rsid w:val="00ED79A4"/>
    <w:rsid w:val="00EE4B2E"/>
    <w:rsid w:val="00EE5148"/>
    <w:rsid w:val="00EE6DD6"/>
    <w:rsid w:val="00EF1240"/>
    <w:rsid w:val="00EF1F4F"/>
    <w:rsid w:val="00EF4469"/>
    <w:rsid w:val="00F01429"/>
    <w:rsid w:val="00F0343F"/>
    <w:rsid w:val="00F077CF"/>
    <w:rsid w:val="00F13019"/>
    <w:rsid w:val="00F1476D"/>
    <w:rsid w:val="00F1483E"/>
    <w:rsid w:val="00F1492D"/>
    <w:rsid w:val="00F14995"/>
    <w:rsid w:val="00F2063D"/>
    <w:rsid w:val="00F2278D"/>
    <w:rsid w:val="00F22B06"/>
    <w:rsid w:val="00F25BF3"/>
    <w:rsid w:val="00F2655F"/>
    <w:rsid w:val="00F27C2A"/>
    <w:rsid w:val="00F3202C"/>
    <w:rsid w:val="00F32A48"/>
    <w:rsid w:val="00F34F36"/>
    <w:rsid w:val="00F40053"/>
    <w:rsid w:val="00F40086"/>
    <w:rsid w:val="00F429CA"/>
    <w:rsid w:val="00F45210"/>
    <w:rsid w:val="00F4566C"/>
    <w:rsid w:val="00F52EBD"/>
    <w:rsid w:val="00F5308A"/>
    <w:rsid w:val="00F53697"/>
    <w:rsid w:val="00F53BD2"/>
    <w:rsid w:val="00F53DA2"/>
    <w:rsid w:val="00F56C5F"/>
    <w:rsid w:val="00F56D9D"/>
    <w:rsid w:val="00F57BAC"/>
    <w:rsid w:val="00F6154E"/>
    <w:rsid w:val="00F65293"/>
    <w:rsid w:val="00F66FB4"/>
    <w:rsid w:val="00F71483"/>
    <w:rsid w:val="00F71636"/>
    <w:rsid w:val="00F753F5"/>
    <w:rsid w:val="00F8358E"/>
    <w:rsid w:val="00F85DA5"/>
    <w:rsid w:val="00F900DD"/>
    <w:rsid w:val="00F912FE"/>
    <w:rsid w:val="00F93940"/>
    <w:rsid w:val="00F9565B"/>
    <w:rsid w:val="00FA7864"/>
    <w:rsid w:val="00FB03C2"/>
    <w:rsid w:val="00FB07B0"/>
    <w:rsid w:val="00FB1E06"/>
    <w:rsid w:val="00FB2719"/>
    <w:rsid w:val="00FB571B"/>
    <w:rsid w:val="00FB727A"/>
    <w:rsid w:val="00FC14C0"/>
    <w:rsid w:val="00FC1857"/>
    <w:rsid w:val="00FC51B0"/>
    <w:rsid w:val="00FC524D"/>
    <w:rsid w:val="00FC5B7D"/>
    <w:rsid w:val="00FC5D2F"/>
    <w:rsid w:val="00FD00B2"/>
    <w:rsid w:val="00FD2973"/>
    <w:rsid w:val="00FE1C2F"/>
    <w:rsid w:val="00FE34B6"/>
    <w:rsid w:val="00FE3FE9"/>
    <w:rsid w:val="00FE4DDC"/>
    <w:rsid w:val="00FF417F"/>
    <w:rsid w:val="00FF4E1F"/>
    <w:rsid w:val="00FF70E1"/>
    <w:rsid w:val="00FF7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089B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after="120"/>
        <w:ind w:left="1021" w:hanging="102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5"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E03CD"/>
    <w:pPr>
      <w:spacing w:after="0"/>
      <w:ind w:left="0" w:firstLine="0"/>
    </w:pPr>
    <w:rPr>
      <w:rFonts w:ascii="Calibri" w:hAnsi="Calibri"/>
    </w:rPr>
  </w:style>
  <w:style w:type="paragraph" w:styleId="Heading1">
    <w:name w:val="heading 1"/>
    <w:basedOn w:val="Normal"/>
    <w:next w:val="BodyText"/>
    <w:uiPriority w:val="9"/>
    <w:qFormat/>
    <w:rsid w:val="00DE011D"/>
    <w:pPr>
      <w:keepNext/>
      <w:keepLines/>
      <w:spacing w:after="120" w:line="400" w:lineRule="atLeast"/>
      <w:outlineLvl w:val="0"/>
    </w:pPr>
    <w:rPr>
      <w:rFonts w:ascii="Cambria" w:eastAsiaTheme="majorEastAsia" w:hAnsi="Cambria" w:cstheme="majorBidi"/>
      <w:bCs/>
      <w:color w:val="00728F"/>
      <w:sz w:val="36"/>
      <w:szCs w:val="28"/>
    </w:rPr>
  </w:style>
  <w:style w:type="paragraph" w:styleId="Heading2">
    <w:name w:val="heading 2"/>
    <w:basedOn w:val="Normal"/>
    <w:next w:val="BodyText"/>
    <w:link w:val="Heading2Char"/>
    <w:uiPriority w:val="9"/>
    <w:qFormat/>
    <w:rsid w:val="00F3202C"/>
    <w:pPr>
      <w:keepNext/>
      <w:keepLines/>
      <w:spacing w:after="200" w:line="280" w:lineRule="atLeast"/>
      <w:outlineLvl w:val="1"/>
    </w:pPr>
    <w:rPr>
      <w:rFonts w:ascii="Cambria" w:eastAsiaTheme="majorEastAsia" w:hAnsi="Cambria" w:cstheme="majorBidi"/>
      <w:bCs/>
      <w:color w:val="00728F"/>
      <w:sz w:val="26"/>
      <w:szCs w:val="26"/>
    </w:rPr>
  </w:style>
  <w:style w:type="paragraph" w:styleId="Heading3">
    <w:name w:val="heading 3"/>
    <w:basedOn w:val="Normal"/>
    <w:next w:val="BodyText"/>
    <w:uiPriority w:val="9"/>
    <w:qFormat/>
    <w:rsid w:val="004E1F67"/>
    <w:pPr>
      <w:keepNext/>
      <w:keepLines/>
      <w:spacing w:before="200" w:after="120"/>
      <w:outlineLvl w:val="2"/>
    </w:pPr>
    <w:rPr>
      <w:rFonts w:ascii="Cambria" w:eastAsiaTheme="majorEastAsia" w:hAnsi="Cambria" w:cstheme="majorBidi"/>
      <w:b/>
      <w:bCs/>
      <w:color w:val="00728F"/>
    </w:rPr>
  </w:style>
  <w:style w:type="paragraph" w:styleId="Heading4">
    <w:name w:val="heading 4"/>
    <w:basedOn w:val="Normal"/>
    <w:next w:val="BodyText"/>
    <w:uiPriority w:val="9"/>
    <w:qFormat/>
    <w:rsid w:val="004E1F67"/>
    <w:pPr>
      <w:keepNext/>
      <w:keepLines/>
      <w:spacing w:before="200" w:after="120"/>
      <w:outlineLvl w:val="3"/>
    </w:pPr>
    <w:rPr>
      <w:rFonts w:ascii="Cambria" w:eastAsiaTheme="majorEastAsia" w:hAnsi="Cambria" w:cstheme="majorBidi"/>
      <w:b/>
      <w:bCs/>
      <w:iCs/>
    </w:rPr>
  </w:style>
  <w:style w:type="paragraph" w:styleId="Heading5">
    <w:name w:val="heading 5"/>
    <w:basedOn w:val="Normal"/>
    <w:next w:val="BodyText"/>
    <w:uiPriority w:val="9"/>
    <w:qFormat/>
    <w:rsid w:val="004E1F67"/>
    <w:pPr>
      <w:keepNext/>
      <w:keepLines/>
      <w:spacing w:before="200" w:after="120"/>
      <w:outlineLvl w:val="4"/>
    </w:pPr>
    <w:rPr>
      <w:rFonts w:ascii="Cambria" w:eastAsiaTheme="majorEastAsia" w:hAnsi="Cambria" w:cstheme="majorBidi"/>
    </w:rPr>
  </w:style>
  <w:style w:type="paragraph" w:styleId="Heading6">
    <w:name w:val="heading 6"/>
    <w:basedOn w:val="Normal"/>
    <w:next w:val="Normal"/>
    <w:uiPriority w:val="9"/>
    <w:semiHidden/>
    <w:unhideWhenUsed/>
    <w:qFormat/>
    <w:rsid w:val="00A0420F"/>
    <w:pPr>
      <w:keepNext/>
      <w:keepLines/>
      <w:numPr>
        <w:ilvl w:val="5"/>
        <w:numId w:val="20"/>
      </w:numPr>
      <w:spacing w:before="200"/>
      <w:outlineLvl w:val="5"/>
    </w:pPr>
    <w:rPr>
      <w:rFonts w:asciiTheme="majorHAnsi" w:eastAsiaTheme="majorEastAsia" w:hAnsiTheme="majorHAnsi" w:cstheme="majorBidi"/>
      <w:i/>
      <w:iCs/>
      <w:color w:val="003847" w:themeColor="accent1" w:themeShade="7F"/>
    </w:rPr>
  </w:style>
  <w:style w:type="paragraph" w:styleId="Heading7">
    <w:name w:val="heading 7"/>
    <w:basedOn w:val="Normal"/>
    <w:next w:val="Normal"/>
    <w:uiPriority w:val="9"/>
    <w:semiHidden/>
    <w:unhideWhenUsed/>
    <w:qFormat/>
    <w:rsid w:val="00A0420F"/>
    <w:pPr>
      <w:keepNext/>
      <w:keepLines/>
      <w:numPr>
        <w:ilvl w:val="6"/>
        <w:numId w:val="20"/>
      </w:numPr>
      <w:spacing w:before="200"/>
      <w:outlineLvl w:val="6"/>
    </w:pPr>
    <w:rPr>
      <w:rFonts w:asciiTheme="majorHAnsi" w:eastAsiaTheme="majorEastAsia" w:hAnsiTheme="majorHAnsi" w:cstheme="majorBidi"/>
      <w:i/>
      <w:iCs/>
      <w:color w:val="00BBEB" w:themeColor="text1" w:themeTint="BF"/>
    </w:rPr>
  </w:style>
  <w:style w:type="paragraph" w:styleId="Heading8">
    <w:name w:val="heading 8"/>
    <w:basedOn w:val="Normal"/>
    <w:next w:val="Normal"/>
    <w:uiPriority w:val="9"/>
    <w:semiHidden/>
    <w:unhideWhenUsed/>
    <w:qFormat/>
    <w:rsid w:val="00A0420F"/>
    <w:pPr>
      <w:keepNext/>
      <w:keepLines/>
      <w:numPr>
        <w:ilvl w:val="7"/>
        <w:numId w:val="20"/>
      </w:numPr>
      <w:spacing w:before="200"/>
      <w:outlineLvl w:val="7"/>
    </w:pPr>
    <w:rPr>
      <w:rFonts w:asciiTheme="majorHAnsi" w:eastAsiaTheme="majorEastAsia" w:hAnsiTheme="majorHAnsi" w:cstheme="majorBidi"/>
      <w:color w:val="00BBEB" w:themeColor="text1" w:themeTint="BF"/>
      <w:sz w:val="20"/>
      <w:szCs w:val="20"/>
    </w:rPr>
  </w:style>
  <w:style w:type="paragraph" w:styleId="Heading9">
    <w:name w:val="heading 9"/>
    <w:basedOn w:val="Normal"/>
    <w:next w:val="Normal"/>
    <w:uiPriority w:val="9"/>
    <w:semiHidden/>
    <w:unhideWhenUsed/>
    <w:qFormat/>
    <w:rsid w:val="00A0420F"/>
    <w:pPr>
      <w:keepNext/>
      <w:keepLines/>
      <w:numPr>
        <w:ilvl w:val="8"/>
        <w:numId w:val="20"/>
      </w:numPr>
      <w:spacing w:before="200"/>
      <w:outlineLvl w:val="8"/>
    </w:pPr>
    <w:rPr>
      <w:rFonts w:asciiTheme="majorHAnsi" w:eastAsiaTheme="majorEastAsia" w:hAnsiTheme="majorHAnsi" w:cstheme="majorBidi"/>
      <w:i/>
      <w:iCs/>
      <w:color w:val="00BBE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5622"/>
    <w:pPr>
      <w:spacing w:after="240"/>
    </w:pPr>
  </w:style>
  <w:style w:type="paragraph" w:customStyle="1" w:styleId="Titleheading">
    <w:name w:val="Title heading"/>
    <w:basedOn w:val="Normal"/>
    <w:next w:val="BodyText"/>
    <w:uiPriority w:val="15"/>
    <w:qFormat/>
    <w:rsid w:val="00DF59DC"/>
    <w:pPr>
      <w:spacing w:before="480" w:after="360" w:line="440" w:lineRule="atLeast"/>
    </w:pPr>
    <w:rPr>
      <w:rFonts w:ascii="Cambria" w:hAnsi="Cambria"/>
      <w:b/>
      <w:color w:val="00728F"/>
      <w:sz w:val="44"/>
    </w:rPr>
  </w:style>
  <w:style w:type="paragraph" w:customStyle="1" w:styleId="Tablecellheading">
    <w:name w:val="Table cell heading"/>
    <w:basedOn w:val="Tabletext"/>
    <w:uiPriority w:val="12"/>
    <w:qFormat/>
    <w:rsid w:val="009B32C8"/>
    <w:pPr>
      <w:keepNext/>
    </w:pPr>
    <w:rPr>
      <w:bCs/>
      <w:color w:val="FFFFFF"/>
    </w:rPr>
  </w:style>
  <w:style w:type="paragraph" w:customStyle="1" w:styleId="Tabletext">
    <w:name w:val="Table text"/>
    <w:basedOn w:val="BodyText"/>
    <w:uiPriority w:val="12"/>
    <w:qFormat/>
    <w:rsid w:val="00763CB1"/>
    <w:pPr>
      <w:spacing w:before="120" w:after="120"/>
    </w:pPr>
    <w:rPr>
      <w:rFonts w:eastAsia="Calibri" w:cs="Times New Roman"/>
      <w:sz w:val="21"/>
      <w:lang w:eastAsia="en-AU"/>
    </w:rPr>
  </w:style>
  <w:style w:type="paragraph" w:styleId="Caption">
    <w:name w:val="caption"/>
    <w:basedOn w:val="Normal"/>
    <w:next w:val="Normal"/>
    <w:uiPriority w:val="35"/>
    <w:semiHidden/>
    <w:qFormat/>
    <w:rsid w:val="0052764B"/>
    <w:pPr>
      <w:tabs>
        <w:tab w:val="left" w:pos="1021"/>
      </w:tabs>
      <w:spacing w:after="120"/>
      <w:ind w:left="1021" w:hanging="1021"/>
    </w:pPr>
    <w:rPr>
      <w:b/>
      <w:bCs/>
      <w:color w:val="00728F"/>
      <w:sz w:val="18"/>
      <w:szCs w:val="18"/>
    </w:rPr>
  </w:style>
  <w:style w:type="paragraph" w:customStyle="1" w:styleId="Tablecaption">
    <w:name w:val="Table caption"/>
    <w:basedOn w:val="Caption"/>
    <w:next w:val="Tabledescription"/>
    <w:uiPriority w:val="11"/>
    <w:qFormat/>
    <w:rsid w:val="00CE04BC"/>
    <w:pPr>
      <w:keepNext/>
    </w:pPr>
  </w:style>
  <w:style w:type="character" w:styleId="Strong">
    <w:name w:val="Strong"/>
    <w:basedOn w:val="DefaultParagraphFont"/>
    <w:uiPriority w:val="2"/>
    <w:qFormat/>
    <w:rsid w:val="00BF014B"/>
    <w:rPr>
      <w:b/>
      <w:bCs/>
    </w:rPr>
  </w:style>
  <w:style w:type="paragraph" w:styleId="BalloonText">
    <w:name w:val="Balloon Text"/>
    <w:basedOn w:val="Normal"/>
    <w:uiPriority w:val="99"/>
    <w:semiHidden/>
    <w:rsid w:val="00A66655"/>
    <w:rPr>
      <w:rFonts w:ascii="Tahoma" w:hAnsi="Tahoma" w:cs="Tahoma"/>
      <w:sz w:val="16"/>
      <w:szCs w:val="16"/>
    </w:rPr>
  </w:style>
  <w:style w:type="character" w:styleId="Hyperlink">
    <w:name w:val="Hyperlink"/>
    <w:basedOn w:val="DefaultParagraphFont"/>
    <w:uiPriority w:val="99"/>
    <w:unhideWhenUsed/>
    <w:rsid w:val="00A66655"/>
    <w:rPr>
      <w:color w:val="0000FF" w:themeColor="hyperlink"/>
      <w:u w:val="single"/>
    </w:rPr>
  </w:style>
  <w:style w:type="paragraph" w:customStyle="1" w:styleId="Tablebullet-Level1">
    <w:name w:val="Table bullet - Level 1"/>
    <w:basedOn w:val="Tabletext"/>
    <w:uiPriority w:val="13"/>
    <w:qFormat/>
    <w:rsid w:val="0068566E"/>
    <w:pPr>
      <w:numPr>
        <w:numId w:val="12"/>
      </w:numPr>
    </w:pPr>
  </w:style>
  <w:style w:type="paragraph" w:customStyle="1" w:styleId="Tabledescription">
    <w:name w:val="Table description"/>
    <w:basedOn w:val="Tablecaption"/>
    <w:uiPriority w:val="11"/>
    <w:qFormat/>
    <w:rsid w:val="0052764B"/>
    <w:pPr>
      <w:tabs>
        <w:tab w:val="clear" w:pos="1021"/>
      </w:tabs>
      <w:spacing w:before="120" w:after="240"/>
      <w:ind w:firstLine="0"/>
    </w:pPr>
    <w:rPr>
      <w:b w:val="0"/>
      <w:color w:val="auto"/>
    </w:rPr>
  </w:style>
  <w:style w:type="paragraph" w:customStyle="1" w:styleId="Endmatter-Heading1">
    <w:name w:val="End matter - Heading 1"/>
    <w:basedOn w:val="Heading1"/>
    <w:next w:val="BodyText"/>
    <w:uiPriority w:val="19"/>
    <w:qFormat/>
    <w:rsid w:val="00997443"/>
    <w:pPr>
      <w:pageBreakBefore/>
    </w:pPr>
  </w:style>
  <w:style w:type="paragraph" w:styleId="TOCHeading">
    <w:name w:val="TOC Heading"/>
    <w:basedOn w:val="Heading1"/>
    <w:next w:val="BodyText"/>
    <w:uiPriority w:val="38"/>
    <w:qFormat/>
    <w:rsid w:val="00D153EC"/>
    <w:pPr>
      <w:spacing w:after="360"/>
      <w:outlineLvl w:val="9"/>
    </w:pPr>
  </w:style>
  <w:style w:type="paragraph" w:styleId="TOC1">
    <w:name w:val="toc 1"/>
    <w:basedOn w:val="Normal"/>
    <w:next w:val="Normal"/>
    <w:autoRedefine/>
    <w:uiPriority w:val="39"/>
    <w:rsid w:val="00D556C4"/>
    <w:pPr>
      <w:tabs>
        <w:tab w:val="right" w:leader="dot" w:pos="9016"/>
      </w:tabs>
      <w:spacing w:before="120" w:after="100"/>
    </w:pPr>
    <w:rPr>
      <w:noProof/>
      <w:color w:val="00728F"/>
      <w:sz w:val="24"/>
    </w:rPr>
  </w:style>
  <w:style w:type="paragraph" w:styleId="TOC2">
    <w:name w:val="toc 2"/>
    <w:basedOn w:val="Normal"/>
    <w:next w:val="Normal"/>
    <w:autoRedefine/>
    <w:uiPriority w:val="39"/>
    <w:rsid w:val="00D556C4"/>
    <w:pPr>
      <w:tabs>
        <w:tab w:val="right" w:leader="dot" w:pos="9016"/>
      </w:tabs>
      <w:spacing w:before="0" w:after="100"/>
      <w:ind w:left="220"/>
    </w:pPr>
  </w:style>
  <w:style w:type="paragraph" w:styleId="TOC3">
    <w:name w:val="toc 3"/>
    <w:basedOn w:val="Normal"/>
    <w:next w:val="Normal"/>
    <w:autoRedefine/>
    <w:uiPriority w:val="39"/>
    <w:rsid w:val="00D556C4"/>
    <w:pPr>
      <w:tabs>
        <w:tab w:val="right" w:leader="dot" w:pos="9016"/>
      </w:tabs>
      <w:spacing w:before="0" w:after="100"/>
      <w:ind w:left="440"/>
    </w:pPr>
  </w:style>
  <w:style w:type="paragraph" w:customStyle="1" w:styleId="Titlesub-heading">
    <w:name w:val="Title sub-heading"/>
    <w:basedOn w:val="Normal"/>
    <w:next w:val="BodyText"/>
    <w:uiPriority w:val="15"/>
    <w:qFormat/>
    <w:rsid w:val="003C3B40"/>
    <w:pPr>
      <w:spacing w:after="120" w:line="440" w:lineRule="atLeast"/>
      <w:contextualSpacing/>
    </w:pPr>
    <w:rPr>
      <w:rFonts w:ascii="Cambria" w:eastAsiaTheme="majorEastAsia" w:hAnsi="Cambria" w:cstheme="majorBidi"/>
      <w:color w:val="00728F"/>
      <w:kern w:val="28"/>
      <w:sz w:val="36"/>
      <w:szCs w:val="52"/>
    </w:rPr>
  </w:style>
  <w:style w:type="paragraph" w:customStyle="1" w:styleId="Endmatter-Heading2">
    <w:name w:val="End matter - Heading 2"/>
    <w:basedOn w:val="Heading2"/>
    <w:next w:val="BodyText"/>
    <w:uiPriority w:val="19"/>
    <w:qFormat/>
    <w:rsid w:val="00002089"/>
  </w:style>
  <w:style w:type="paragraph" w:styleId="Header">
    <w:name w:val="header"/>
    <w:basedOn w:val="Normal"/>
    <w:link w:val="HeaderChar"/>
    <w:rsid w:val="00DE011D"/>
    <w:pPr>
      <w:tabs>
        <w:tab w:val="center" w:pos="4513"/>
        <w:tab w:val="right" w:pos="9026"/>
      </w:tabs>
      <w:spacing w:before="0"/>
    </w:pPr>
    <w:rPr>
      <w:color w:val="00728F"/>
      <w:sz w:val="20"/>
    </w:rPr>
  </w:style>
  <w:style w:type="paragraph" w:styleId="Footer">
    <w:name w:val="footer"/>
    <w:basedOn w:val="Normal"/>
    <w:link w:val="FooterChar"/>
    <w:rsid w:val="00F53697"/>
    <w:pPr>
      <w:tabs>
        <w:tab w:val="center" w:pos="4513"/>
        <w:tab w:val="right" w:pos="9026"/>
      </w:tabs>
    </w:pPr>
    <w:rPr>
      <w:color w:val="00728F"/>
      <w:sz w:val="20"/>
    </w:rPr>
  </w:style>
  <w:style w:type="paragraph" w:customStyle="1" w:styleId="Bodybullet-Level1">
    <w:name w:val="Body bullet - Level 1"/>
    <w:basedOn w:val="BodyText"/>
    <w:uiPriority w:val="1"/>
    <w:qFormat/>
    <w:rsid w:val="00793DC9"/>
    <w:pPr>
      <w:numPr>
        <w:numId w:val="11"/>
      </w:numPr>
      <w:spacing w:before="120" w:after="180"/>
    </w:pPr>
  </w:style>
  <w:style w:type="paragraph" w:customStyle="1" w:styleId="Bodybullet-Level2">
    <w:name w:val="Body bullet - Level 2"/>
    <w:basedOn w:val="Bodybullet-Level1"/>
    <w:uiPriority w:val="1"/>
    <w:qFormat/>
    <w:rsid w:val="008825AB"/>
    <w:pPr>
      <w:numPr>
        <w:ilvl w:val="1"/>
      </w:numPr>
    </w:pPr>
  </w:style>
  <w:style w:type="paragraph" w:customStyle="1" w:styleId="Bodybullet-Level3">
    <w:name w:val="Body bullet - Level 3"/>
    <w:basedOn w:val="Bodybullet-Level1"/>
    <w:uiPriority w:val="1"/>
    <w:qFormat/>
    <w:rsid w:val="00617129"/>
    <w:pPr>
      <w:numPr>
        <w:ilvl w:val="2"/>
      </w:numPr>
    </w:pPr>
  </w:style>
  <w:style w:type="paragraph" w:customStyle="1" w:styleId="Tablebullet-Level2">
    <w:name w:val="Table bullet - Level 2"/>
    <w:basedOn w:val="Tablebullet-Level1"/>
    <w:uiPriority w:val="13"/>
    <w:qFormat/>
    <w:rsid w:val="00AC37E5"/>
    <w:pPr>
      <w:numPr>
        <w:ilvl w:val="1"/>
      </w:numPr>
    </w:pPr>
  </w:style>
  <w:style w:type="paragraph" w:customStyle="1" w:styleId="Figurecaption">
    <w:name w:val="Figure caption"/>
    <w:basedOn w:val="Caption"/>
    <w:next w:val="Figuredescription"/>
    <w:link w:val="FigurecaptionCharChar"/>
    <w:uiPriority w:val="10"/>
    <w:qFormat/>
    <w:rsid w:val="00224EA3"/>
    <w:pPr>
      <w:keepNext/>
    </w:pPr>
  </w:style>
  <w:style w:type="character" w:styleId="PageNumber">
    <w:name w:val="page number"/>
    <w:basedOn w:val="DefaultParagraphFont"/>
    <w:uiPriority w:val="49"/>
    <w:rsid w:val="00F53697"/>
    <w:rPr>
      <w:color w:val="00728F"/>
      <w:sz w:val="22"/>
    </w:rPr>
  </w:style>
  <w:style w:type="paragraph" w:customStyle="1" w:styleId="Figuredescription">
    <w:name w:val="Figure description"/>
    <w:basedOn w:val="Figurecaption"/>
    <w:uiPriority w:val="10"/>
    <w:qFormat/>
    <w:rsid w:val="00593A5A"/>
    <w:pPr>
      <w:tabs>
        <w:tab w:val="clear" w:pos="1021"/>
      </w:tabs>
      <w:spacing w:before="120" w:after="240"/>
      <w:ind w:firstLine="0"/>
    </w:pPr>
    <w:rPr>
      <w:b w:val="0"/>
      <w:color w:val="auto"/>
    </w:rPr>
  </w:style>
  <w:style w:type="paragraph" w:customStyle="1" w:styleId="Bodynumbered-Level1">
    <w:name w:val="Body numbered - Level 1"/>
    <w:basedOn w:val="BodyText"/>
    <w:uiPriority w:val="1"/>
    <w:qFormat/>
    <w:rsid w:val="00783B04"/>
    <w:pPr>
      <w:numPr>
        <w:numId w:val="13"/>
      </w:numPr>
      <w:spacing w:before="120" w:after="180"/>
    </w:pPr>
  </w:style>
  <w:style w:type="paragraph" w:customStyle="1" w:styleId="Bodynumbered-Level2">
    <w:name w:val="Body numbered - Level 2"/>
    <w:basedOn w:val="Bodynumbered-Level1"/>
    <w:uiPriority w:val="1"/>
    <w:qFormat/>
    <w:rsid w:val="00A6258B"/>
    <w:pPr>
      <w:numPr>
        <w:ilvl w:val="1"/>
      </w:numPr>
    </w:pPr>
  </w:style>
  <w:style w:type="paragraph" w:customStyle="1" w:styleId="Bodynumbered-Level3">
    <w:name w:val="Body numbered - Level 3"/>
    <w:basedOn w:val="Bodynumbered-Level1"/>
    <w:uiPriority w:val="1"/>
    <w:qFormat/>
    <w:rsid w:val="00A6258B"/>
    <w:pPr>
      <w:numPr>
        <w:ilvl w:val="2"/>
      </w:numPr>
    </w:pPr>
  </w:style>
  <w:style w:type="paragraph" w:customStyle="1" w:styleId="Preliminaries-Heading1">
    <w:name w:val="Preliminaries - Heading 1"/>
    <w:basedOn w:val="Heading1"/>
    <w:next w:val="BodyText"/>
    <w:uiPriority w:val="18"/>
    <w:qFormat/>
    <w:rsid w:val="00107198"/>
  </w:style>
  <w:style w:type="paragraph" w:customStyle="1" w:styleId="Preliminaries-Heading2">
    <w:name w:val="Preliminaries - Heading 2"/>
    <w:basedOn w:val="Heading2"/>
    <w:next w:val="BodyText"/>
    <w:uiPriority w:val="18"/>
    <w:qFormat/>
    <w:rsid w:val="00107198"/>
  </w:style>
  <w:style w:type="paragraph" w:customStyle="1" w:styleId="Preliminaries-Heading3">
    <w:name w:val="Preliminaries - Heading 3"/>
    <w:basedOn w:val="Heading3"/>
    <w:next w:val="BodyText"/>
    <w:uiPriority w:val="18"/>
    <w:qFormat/>
    <w:rsid w:val="00107198"/>
  </w:style>
  <w:style w:type="paragraph" w:styleId="FootnoteText">
    <w:name w:val="footnote text"/>
    <w:basedOn w:val="Normal"/>
    <w:uiPriority w:val="36"/>
    <w:rsid w:val="008D0A94"/>
    <w:rPr>
      <w:sz w:val="20"/>
      <w:szCs w:val="20"/>
    </w:rPr>
  </w:style>
  <w:style w:type="character" w:styleId="FootnoteReference">
    <w:name w:val="footnote reference"/>
    <w:basedOn w:val="DefaultParagraphFont"/>
    <w:uiPriority w:val="36"/>
    <w:rsid w:val="008D0A94"/>
    <w:rPr>
      <w:vertAlign w:val="superscript"/>
    </w:rPr>
  </w:style>
  <w:style w:type="paragraph" w:customStyle="1" w:styleId="Bodytext-Indent">
    <w:name w:val="Body text - Indent"/>
    <w:basedOn w:val="BodyText"/>
    <w:next w:val="BodyText"/>
    <w:qFormat/>
    <w:rsid w:val="00DF7C5F"/>
    <w:pPr>
      <w:ind w:left="340"/>
    </w:pPr>
  </w:style>
  <w:style w:type="paragraph" w:customStyle="1" w:styleId="Boxtext">
    <w:name w:val="Box text"/>
    <w:basedOn w:val="BodyText"/>
    <w:uiPriority w:val="14"/>
    <w:qFormat/>
    <w:rsid w:val="004B47F1"/>
    <w:pPr>
      <w:pBdr>
        <w:top w:val="single" w:sz="4" w:space="8" w:color="00728F"/>
        <w:left w:val="single" w:sz="4" w:space="8" w:color="00728F"/>
        <w:bottom w:val="single" w:sz="4" w:space="8" w:color="00728F"/>
        <w:right w:val="single" w:sz="4" w:space="0" w:color="00728F"/>
      </w:pBdr>
      <w:shd w:val="clear" w:color="auto" w:fill="DBEEF3" w:themeFill="background2"/>
      <w:ind w:left="198"/>
    </w:pPr>
  </w:style>
  <w:style w:type="paragraph" w:customStyle="1" w:styleId="Boxheading">
    <w:name w:val="Box heading"/>
    <w:basedOn w:val="Boxtext"/>
    <w:next w:val="Boxtext"/>
    <w:uiPriority w:val="14"/>
    <w:qFormat/>
    <w:rsid w:val="004B47F1"/>
    <w:pPr>
      <w:spacing w:after="120"/>
    </w:pPr>
    <w:rPr>
      <w:rFonts w:asciiTheme="majorHAnsi" w:hAnsiTheme="majorHAnsi"/>
      <w:color w:val="00728F"/>
      <w:sz w:val="28"/>
    </w:rPr>
  </w:style>
  <w:style w:type="paragraph" w:customStyle="1" w:styleId="Boxbullet">
    <w:name w:val="Box bullet"/>
    <w:basedOn w:val="Boxtext"/>
    <w:uiPriority w:val="15"/>
    <w:qFormat/>
    <w:rsid w:val="00F01429"/>
    <w:pPr>
      <w:numPr>
        <w:numId w:val="14"/>
      </w:numPr>
      <w:spacing w:before="0" w:after="180"/>
      <w:ind w:left="652" w:hanging="454"/>
    </w:pPr>
  </w:style>
  <w:style w:type="paragraph" w:customStyle="1" w:styleId="Boxsub-heading">
    <w:name w:val="Box sub-heading"/>
    <w:basedOn w:val="Boxtext"/>
    <w:next w:val="Boxtext"/>
    <w:uiPriority w:val="14"/>
    <w:qFormat/>
    <w:rsid w:val="004B47F1"/>
    <w:rPr>
      <w:b/>
      <w:color w:val="00728F"/>
    </w:rPr>
  </w:style>
  <w:style w:type="paragraph" w:customStyle="1" w:styleId="SourceNotes">
    <w:name w:val="Source/Notes"/>
    <w:basedOn w:val="BodyText"/>
    <w:next w:val="BodyText"/>
    <w:uiPriority w:val="10"/>
    <w:qFormat/>
    <w:rsid w:val="007D6EC3"/>
    <w:pPr>
      <w:spacing w:before="0"/>
    </w:pPr>
    <w:rPr>
      <w:sz w:val="20"/>
    </w:rPr>
  </w:style>
  <w:style w:type="paragraph" w:customStyle="1" w:styleId="Boxcaption">
    <w:name w:val="Box caption"/>
    <w:basedOn w:val="Caption"/>
    <w:uiPriority w:val="14"/>
    <w:qFormat/>
    <w:rsid w:val="00CE04BC"/>
  </w:style>
  <w:style w:type="paragraph" w:customStyle="1" w:styleId="Endmatter-Heading3">
    <w:name w:val="End matter - Heading 3"/>
    <w:basedOn w:val="Heading3"/>
    <w:next w:val="BodyText"/>
    <w:uiPriority w:val="19"/>
    <w:qFormat/>
    <w:rsid w:val="00AF3BB6"/>
  </w:style>
  <w:style w:type="paragraph" w:customStyle="1" w:styleId="Titledate">
    <w:name w:val="Title date"/>
    <w:basedOn w:val="Normal"/>
    <w:uiPriority w:val="16"/>
    <w:qFormat/>
    <w:rsid w:val="00A40D4A"/>
    <w:pPr>
      <w:spacing w:before="80" w:after="120" w:line="460" w:lineRule="atLeast"/>
      <w:contextualSpacing/>
    </w:pPr>
    <w:rPr>
      <w:rFonts w:ascii="Cambria" w:eastAsiaTheme="majorEastAsia" w:hAnsi="Cambria" w:cstheme="majorBidi"/>
      <w:b/>
      <w:color w:val="00728F"/>
      <w:kern w:val="28"/>
      <w:sz w:val="32"/>
      <w:szCs w:val="52"/>
    </w:rPr>
  </w:style>
  <w:style w:type="paragraph" w:customStyle="1" w:styleId="Boxlist-Numbered">
    <w:name w:val="Box list - Numbered"/>
    <w:basedOn w:val="Boxtext"/>
    <w:uiPriority w:val="15"/>
    <w:qFormat/>
    <w:rsid w:val="00B1447A"/>
    <w:pPr>
      <w:numPr>
        <w:numId w:val="15"/>
      </w:numPr>
      <w:spacing w:before="120" w:after="180"/>
    </w:pPr>
  </w:style>
  <w:style w:type="paragraph" w:customStyle="1" w:styleId="Boxlist-Alpha">
    <w:name w:val="Box list - Alpha"/>
    <w:basedOn w:val="Boxtext"/>
    <w:uiPriority w:val="15"/>
    <w:qFormat/>
    <w:rsid w:val="004B47F1"/>
    <w:pPr>
      <w:numPr>
        <w:numId w:val="16"/>
      </w:numPr>
      <w:spacing w:before="120" w:after="0"/>
    </w:pPr>
  </w:style>
  <w:style w:type="paragraph" w:customStyle="1" w:styleId="FigureImagewithrule">
    <w:name w:val="Figure/Image with rule"/>
    <w:basedOn w:val="BodyText"/>
    <w:next w:val="SourceNotes"/>
    <w:uiPriority w:val="10"/>
    <w:qFormat/>
    <w:rsid w:val="007F1685"/>
    <w:pPr>
      <w:pBdr>
        <w:bottom w:val="single" w:sz="4" w:space="8" w:color="00728F"/>
      </w:pBdr>
      <w:spacing w:after="0"/>
    </w:pPr>
  </w:style>
  <w:style w:type="paragraph" w:customStyle="1" w:styleId="Tablelist-Numbered">
    <w:name w:val="Table list - Numbered"/>
    <w:basedOn w:val="Tabletext"/>
    <w:uiPriority w:val="13"/>
    <w:qFormat/>
    <w:rsid w:val="00EF4469"/>
    <w:pPr>
      <w:numPr>
        <w:numId w:val="17"/>
      </w:numPr>
    </w:pPr>
  </w:style>
  <w:style w:type="paragraph" w:customStyle="1" w:styleId="Tablecellsub-heading">
    <w:name w:val="Table cell sub-heading"/>
    <w:basedOn w:val="Tablecellheading"/>
    <w:uiPriority w:val="12"/>
    <w:qFormat/>
    <w:rsid w:val="00133178"/>
    <w:rPr>
      <w:color w:val="auto"/>
    </w:rPr>
  </w:style>
  <w:style w:type="character" w:styleId="Emphasis">
    <w:name w:val="Emphasis"/>
    <w:basedOn w:val="DefaultParagraphFont"/>
    <w:uiPriority w:val="2"/>
    <w:qFormat/>
    <w:rsid w:val="00D52C5A"/>
    <w:rPr>
      <w:i/>
      <w:iCs/>
    </w:rPr>
  </w:style>
  <w:style w:type="character" w:styleId="CommentReference">
    <w:name w:val="annotation reference"/>
    <w:basedOn w:val="DefaultParagraphFont"/>
    <w:uiPriority w:val="99"/>
    <w:semiHidden/>
    <w:rsid w:val="008F23A9"/>
    <w:rPr>
      <w:sz w:val="16"/>
      <w:szCs w:val="16"/>
    </w:rPr>
  </w:style>
  <w:style w:type="paragraph" w:styleId="CommentText">
    <w:name w:val="annotation text"/>
    <w:basedOn w:val="Normal"/>
    <w:link w:val="CommentTextChar"/>
    <w:uiPriority w:val="99"/>
    <w:semiHidden/>
    <w:rsid w:val="008F23A9"/>
    <w:rPr>
      <w:sz w:val="20"/>
      <w:szCs w:val="20"/>
    </w:rPr>
  </w:style>
  <w:style w:type="paragraph" w:styleId="CommentSubject">
    <w:name w:val="annotation subject"/>
    <w:basedOn w:val="CommentText"/>
    <w:next w:val="CommentText"/>
    <w:uiPriority w:val="99"/>
    <w:semiHidden/>
    <w:rsid w:val="008F23A9"/>
    <w:rPr>
      <w:b/>
      <w:bCs/>
    </w:rPr>
  </w:style>
  <w:style w:type="numbering" w:styleId="111111">
    <w:name w:val="Outline List 2"/>
    <w:basedOn w:val="NoList"/>
    <w:uiPriority w:val="99"/>
    <w:semiHidden/>
    <w:unhideWhenUsed/>
    <w:rsid w:val="00A0420F"/>
    <w:pPr>
      <w:numPr>
        <w:numId w:val="18"/>
      </w:numPr>
    </w:pPr>
  </w:style>
  <w:style w:type="numbering" w:styleId="1ai">
    <w:name w:val="Outline List 1"/>
    <w:basedOn w:val="NoList"/>
    <w:uiPriority w:val="99"/>
    <w:semiHidden/>
    <w:unhideWhenUsed/>
    <w:rsid w:val="00A0420F"/>
    <w:pPr>
      <w:numPr>
        <w:numId w:val="19"/>
      </w:numPr>
    </w:pPr>
  </w:style>
  <w:style w:type="numbering" w:styleId="ArticleSection">
    <w:name w:val="Outline List 3"/>
    <w:basedOn w:val="NoList"/>
    <w:uiPriority w:val="99"/>
    <w:semiHidden/>
    <w:unhideWhenUsed/>
    <w:rsid w:val="00A0420F"/>
    <w:pPr>
      <w:numPr>
        <w:numId w:val="20"/>
      </w:numPr>
    </w:pPr>
  </w:style>
  <w:style w:type="paragraph" w:styleId="Bibliography">
    <w:name w:val="Bibliography"/>
    <w:basedOn w:val="Normal"/>
    <w:next w:val="Normal"/>
    <w:uiPriority w:val="37"/>
    <w:semiHidden/>
    <w:unhideWhenUsed/>
    <w:rsid w:val="00A0420F"/>
  </w:style>
  <w:style w:type="paragraph" w:styleId="BlockText">
    <w:name w:val="Block Text"/>
    <w:basedOn w:val="Normal"/>
    <w:uiPriority w:val="99"/>
    <w:semiHidden/>
    <w:rsid w:val="00A0420F"/>
    <w:pPr>
      <w:pBdr>
        <w:top w:val="single" w:sz="2" w:space="10" w:color="00728F" w:themeColor="accent1" w:shadow="1" w:frame="1"/>
        <w:left w:val="single" w:sz="2" w:space="10" w:color="00728F" w:themeColor="accent1" w:shadow="1" w:frame="1"/>
        <w:bottom w:val="single" w:sz="2" w:space="10" w:color="00728F" w:themeColor="accent1" w:shadow="1" w:frame="1"/>
        <w:right w:val="single" w:sz="2" w:space="10" w:color="00728F" w:themeColor="accent1" w:shadow="1" w:frame="1"/>
      </w:pBdr>
      <w:ind w:left="1152" w:right="1152"/>
    </w:pPr>
    <w:rPr>
      <w:rFonts w:asciiTheme="minorHAnsi" w:eastAsiaTheme="minorEastAsia" w:hAnsiTheme="minorHAnsi"/>
      <w:i/>
      <w:iCs/>
      <w:color w:val="00728F" w:themeColor="accent1"/>
    </w:rPr>
  </w:style>
  <w:style w:type="paragraph" w:styleId="BodyText2">
    <w:name w:val="Body Text 2"/>
    <w:basedOn w:val="Normal"/>
    <w:uiPriority w:val="99"/>
    <w:semiHidden/>
    <w:rsid w:val="00A0420F"/>
    <w:pPr>
      <w:spacing w:after="120" w:line="480" w:lineRule="auto"/>
    </w:pPr>
  </w:style>
  <w:style w:type="paragraph" w:styleId="BodyText3">
    <w:name w:val="Body Text 3"/>
    <w:basedOn w:val="Normal"/>
    <w:uiPriority w:val="99"/>
    <w:semiHidden/>
    <w:rsid w:val="00A0420F"/>
    <w:pPr>
      <w:spacing w:after="120"/>
    </w:pPr>
    <w:rPr>
      <w:sz w:val="16"/>
      <w:szCs w:val="16"/>
    </w:rPr>
  </w:style>
  <w:style w:type="paragraph" w:styleId="BodyTextFirstIndent">
    <w:name w:val="Body Text First Indent"/>
    <w:basedOn w:val="BodyText"/>
    <w:uiPriority w:val="99"/>
    <w:semiHidden/>
    <w:rsid w:val="00A0420F"/>
    <w:pPr>
      <w:spacing w:before="0" w:after="0"/>
      <w:ind w:firstLine="360"/>
    </w:pPr>
  </w:style>
  <w:style w:type="paragraph" w:styleId="BodyTextIndent">
    <w:name w:val="Body Text Indent"/>
    <w:basedOn w:val="Normal"/>
    <w:uiPriority w:val="99"/>
    <w:semiHidden/>
    <w:rsid w:val="00A0420F"/>
    <w:pPr>
      <w:spacing w:after="120"/>
      <w:ind w:left="283"/>
    </w:pPr>
  </w:style>
  <w:style w:type="paragraph" w:styleId="BodyTextFirstIndent2">
    <w:name w:val="Body Text First Indent 2"/>
    <w:basedOn w:val="BodyTextIndent"/>
    <w:uiPriority w:val="99"/>
    <w:semiHidden/>
    <w:rsid w:val="00A0420F"/>
    <w:pPr>
      <w:spacing w:after="0"/>
      <w:ind w:left="360" w:firstLine="360"/>
    </w:pPr>
  </w:style>
  <w:style w:type="paragraph" w:styleId="BodyTextIndent2">
    <w:name w:val="Body Text Indent 2"/>
    <w:basedOn w:val="Normal"/>
    <w:uiPriority w:val="99"/>
    <w:semiHidden/>
    <w:rsid w:val="00A0420F"/>
    <w:pPr>
      <w:spacing w:after="120" w:line="480" w:lineRule="auto"/>
      <w:ind w:left="283"/>
    </w:pPr>
  </w:style>
  <w:style w:type="paragraph" w:styleId="BodyTextIndent3">
    <w:name w:val="Body Text Indent 3"/>
    <w:basedOn w:val="Normal"/>
    <w:uiPriority w:val="99"/>
    <w:semiHidden/>
    <w:rsid w:val="00A0420F"/>
    <w:pPr>
      <w:spacing w:after="120"/>
      <w:ind w:left="283"/>
    </w:pPr>
    <w:rPr>
      <w:sz w:val="16"/>
      <w:szCs w:val="16"/>
    </w:rPr>
  </w:style>
  <w:style w:type="character" w:styleId="BookTitle">
    <w:name w:val="Book Title"/>
    <w:basedOn w:val="DefaultParagraphFont"/>
    <w:uiPriority w:val="33"/>
    <w:semiHidden/>
    <w:qFormat/>
    <w:rsid w:val="00A0420F"/>
    <w:rPr>
      <w:b/>
      <w:bCs/>
      <w:smallCaps/>
      <w:spacing w:val="5"/>
    </w:rPr>
  </w:style>
  <w:style w:type="paragraph" w:styleId="Closing">
    <w:name w:val="Closing"/>
    <w:basedOn w:val="Normal"/>
    <w:link w:val="ClosingChar"/>
    <w:uiPriority w:val="99"/>
    <w:semiHidden/>
    <w:rsid w:val="00A0420F"/>
    <w:pPr>
      <w:ind w:left="4252"/>
    </w:pPr>
  </w:style>
  <w:style w:type="character" w:customStyle="1" w:styleId="ClosingChar">
    <w:name w:val="Closing Char"/>
    <w:basedOn w:val="DefaultParagraphFont"/>
    <w:link w:val="Closing"/>
    <w:uiPriority w:val="99"/>
    <w:semiHidden/>
    <w:rsid w:val="00A0420F"/>
    <w:rPr>
      <w:rFonts w:ascii="Calibri" w:hAnsi="Calibri"/>
    </w:rPr>
  </w:style>
  <w:style w:type="paragraph" w:styleId="Date">
    <w:name w:val="Date"/>
    <w:basedOn w:val="Normal"/>
    <w:next w:val="Normal"/>
    <w:link w:val="DateChar"/>
    <w:uiPriority w:val="99"/>
    <w:semiHidden/>
    <w:rsid w:val="00A0420F"/>
  </w:style>
  <w:style w:type="character" w:customStyle="1" w:styleId="DateChar">
    <w:name w:val="Date Char"/>
    <w:basedOn w:val="DefaultParagraphFont"/>
    <w:link w:val="Date"/>
    <w:uiPriority w:val="99"/>
    <w:semiHidden/>
    <w:rsid w:val="00A0420F"/>
    <w:rPr>
      <w:rFonts w:ascii="Calibri" w:hAnsi="Calibri"/>
    </w:rPr>
  </w:style>
  <w:style w:type="paragraph" w:styleId="DocumentMap">
    <w:name w:val="Document Map"/>
    <w:basedOn w:val="Normal"/>
    <w:link w:val="DocumentMapChar"/>
    <w:uiPriority w:val="99"/>
    <w:semiHidden/>
    <w:rsid w:val="00A0420F"/>
    <w:rPr>
      <w:rFonts w:ascii="Tahoma" w:hAnsi="Tahoma" w:cs="Tahoma"/>
      <w:sz w:val="16"/>
      <w:szCs w:val="16"/>
    </w:rPr>
  </w:style>
  <w:style w:type="character" w:customStyle="1" w:styleId="DocumentMapChar">
    <w:name w:val="Document Map Char"/>
    <w:basedOn w:val="DefaultParagraphFont"/>
    <w:link w:val="DocumentMap"/>
    <w:uiPriority w:val="99"/>
    <w:semiHidden/>
    <w:rsid w:val="00A0420F"/>
    <w:rPr>
      <w:rFonts w:ascii="Tahoma" w:hAnsi="Tahoma" w:cs="Tahoma"/>
      <w:sz w:val="16"/>
      <w:szCs w:val="16"/>
    </w:rPr>
  </w:style>
  <w:style w:type="paragraph" w:styleId="E-mailSignature">
    <w:name w:val="E-mail Signature"/>
    <w:basedOn w:val="Normal"/>
    <w:link w:val="E-mailSignatureChar"/>
    <w:uiPriority w:val="99"/>
    <w:semiHidden/>
    <w:rsid w:val="00A0420F"/>
  </w:style>
  <w:style w:type="character" w:customStyle="1" w:styleId="E-mailSignatureChar">
    <w:name w:val="E-mail Signature Char"/>
    <w:basedOn w:val="DefaultParagraphFont"/>
    <w:link w:val="E-mailSignature"/>
    <w:uiPriority w:val="99"/>
    <w:semiHidden/>
    <w:rsid w:val="00A0420F"/>
    <w:rPr>
      <w:rFonts w:ascii="Calibri" w:hAnsi="Calibri"/>
    </w:rPr>
  </w:style>
  <w:style w:type="character" w:styleId="EndnoteReference">
    <w:name w:val="endnote reference"/>
    <w:basedOn w:val="DefaultParagraphFont"/>
    <w:uiPriority w:val="99"/>
    <w:semiHidden/>
    <w:unhideWhenUsed/>
    <w:rsid w:val="00A0420F"/>
    <w:rPr>
      <w:vertAlign w:val="superscript"/>
    </w:rPr>
  </w:style>
  <w:style w:type="paragraph" w:styleId="EndnoteText">
    <w:name w:val="endnote text"/>
    <w:basedOn w:val="Normal"/>
    <w:link w:val="EndnoteTextChar"/>
    <w:uiPriority w:val="99"/>
    <w:semiHidden/>
    <w:unhideWhenUsed/>
    <w:rsid w:val="00A0420F"/>
    <w:rPr>
      <w:sz w:val="20"/>
      <w:szCs w:val="20"/>
    </w:rPr>
  </w:style>
  <w:style w:type="character" w:customStyle="1" w:styleId="EndnoteTextChar">
    <w:name w:val="Endnote Text Char"/>
    <w:basedOn w:val="DefaultParagraphFont"/>
    <w:link w:val="EndnoteText"/>
    <w:uiPriority w:val="99"/>
    <w:semiHidden/>
    <w:rsid w:val="00A0420F"/>
    <w:rPr>
      <w:rFonts w:ascii="Calibri" w:hAnsi="Calibri"/>
      <w:sz w:val="20"/>
      <w:szCs w:val="20"/>
    </w:rPr>
  </w:style>
  <w:style w:type="paragraph" w:styleId="EnvelopeAddress">
    <w:name w:val="envelope address"/>
    <w:basedOn w:val="Normal"/>
    <w:uiPriority w:val="99"/>
    <w:semiHidden/>
    <w:rsid w:val="00A04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A0420F"/>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A0420F"/>
    <w:rPr>
      <w:color w:val="800080" w:themeColor="followedHyperlink"/>
      <w:u w:val="single"/>
    </w:rPr>
  </w:style>
  <w:style w:type="character" w:styleId="HTMLAcronym">
    <w:name w:val="HTML Acronym"/>
    <w:basedOn w:val="DefaultParagraphFont"/>
    <w:uiPriority w:val="99"/>
    <w:semiHidden/>
    <w:rsid w:val="00A0420F"/>
  </w:style>
  <w:style w:type="paragraph" w:styleId="HTMLAddress">
    <w:name w:val="HTML Address"/>
    <w:basedOn w:val="Normal"/>
    <w:link w:val="HTMLAddressChar"/>
    <w:uiPriority w:val="99"/>
    <w:semiHidden/>
    <w:rsid w:val="00A0420F"/>
    <w:rPr>
      <w:i/>
      <w:iCs/>
    </w:rPr>
  </w:style>
  <w:style w:type="character" w:customStyle="1" w:styleId="HTMLAddressChar">
    <w:name w:val="HTML Address Char"/>
    <w:basedOn w:val="DefaultParagraphFont"/>
    <w:link w:val="HTMLAddress"/>
    <w:uiPriority w:val="99"/>
    <w:semiHidden/>
    <w:rsid w:val="00A0420F"/>
    <w:rPr>
      <w:rFonts w:ascii="Calibri" w:hAnsi="Calibri"/>
      <w:i/>
      <w:iCs/>
    </w:rPr>
  </w:style>
  <w:style w:type="character" w:styleId="HTMLCite">
    <w:name w:val="HTML Cite"/>
    <w:basedOn w:val="DefaultParagraphFont"/>
    <w:uiPriority w:val="99"/>
    <w:semiHidden/>
    <w:rsid w:val="00A0420F"/>
    <w:rPr>
      <w:i/>
      <w:iCs/>
    </w:rPr>
  </w:style>
  <w:style w:type="character" w:styleId="HTMLCode">
    <w:name w:val="HTML Code"/>
    <w:basedOn w:val="DefaultParagraphFont"/>
    <w:uiPriority w:val="99"/>
    <w:semiHidden/>
    <w:rsid w:val="00A0420F"/>
    <w:rPr>
      <w:rFonts w:ascii="Consolas" w:hAnsi="Consolas" w:cs="Consolas"/>
      <w:sz w:val="20"/>
      <w:szCs w:val="20"/>
    </w:rPr>
  </w:style>
  <w:style w:type="character" w:styleId="HTMLDefinition">
    <w:name w:val="HTML Definition"/>
    <w:basedOn w:val="DefaultParagraphFont"/>
    <w:uiPriority w:val="99"/>
    <w:semiHidden/>
    <w:rsid w:val="00A0420F"/>
    <w:rPr>
      <w:i/>
      <w:iCs/>
    </w:rPr>
  </w:style>
  <w:style w:type="character" w:styleId="HTMLKeyboard">
    <w:name w:val="HTML Keyboard"/>
    <w:basedOn w:val="DefaultParagraphFont"/>
    <w:uiPriority w:val="99"/>
    <w:semiHidden/>
    <w:rsid w:val="00A0420F"/>
    <w:rPr>
      <w:rFonts w:ascii="Consolas" w:hAnsi="Consolas" w:cs="Consolas"/>
      <w:sz w:val="20"/>
      <w:szCs w:val="20"/>
    </w:rPr>
  </w:style>
  <w:style w:type="paragraph" w:styleId="HTMLPreformatted">
    <w:name w:val="HTML Preformatted"/>
    <w:basedOn w:val="Normal"/>
    <w:link w:val="HTMLPreformattedChar"/>
    <w:uiPriority w:val="99"/>
    <w:semiHidden/>
    <w:rsid w:val="00A042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0420F"/>
    <w:rPr>
      <w:rFonts w:ascii="Consolas" w:hAnsi="Consolas" w:cs="Consolas"/>
      <w:sz w:val="20"/>
      <w:szCs w:val="20"/>
    </w:rPr>
  </w:style>
  <w:style w:type="character" w:styleId="HTMLSample">
    <w:name w:val="HTML Sample"/>
    <w:basedOn w:val="DefaultParagraphFont"/>
    <w:uiPriority w:val="99"/>
    <w:semiHidden/>
    <w:rsid w:val="00A0420F"/>
    <w:rPr>
      <w:rFonts w:ascii="Consolas" w:hAnsi="Consolas" w:cs="Consolas"/>
      <w:sz w:val="24"/>
      <w:szCs w:val="24"/>
    </w:rPr>
  </w:style>
  <w:style w:type="character" w:styleId="HTMLTypewriter">
    <w:name w:val="HTML Typewriter"/>
    <w:basedOn w:val="DefaultParagraphFont"/>
    <w:uiPriority w:val="99"/>
    <w:semiHidden/>
    <w:rsid w:val="00A0420F"/>
    <w:rPr>
      <w:rFonts w:ascii="Consolas" w:hAnsi="Consolas" w:cs="Consolas"/>
      <w:sz w:val="20"/>
      <w:szCs w:val="20"/>
    </w:rPr>
  </w:style>
  <w:style w:type="character" w:styleId="HTMLVariable">
    <w:name w:val="HTML Variable"/>
    <w:basedOn w:val="DefaultParagraphFont"/>
    <w:uiPriority w:val="99"/>
    <w:semiHidden/>
    <w:rsid w:val="00A0420F"/>
    <w:rPr>
      <w:i/>
      <w:iCs/>
    </w:rPr>
  </w:style>
  <w:style w:type="paragraph" w:styleId="Index1">
    <w:name w:val="index 1"/>
    <w:basedOn w:val="Normal"/>
    <w:next w:val="Normal"/>
    <w:autoRedefine/>
    <w:uiPriority w:val="99"/>
    <w:semiHidden/>
    <w:rsid w:val="00A0420F"/>
    <w:pPr>
      <w:ind w:left="220" w:hanging="220"/>
    </w:pPr>
  </w:style>
  <w:style w:type="paragraph" w:styleId="Index2">
    <w:name w:val="index 2"/>
    <w:basedOn w:val="Normal"/>
    <w:next w:val="Normal"/>
    <w:autoRedefine/>
    <w:uiPriority w:val="99"/>
    <w:semiHidden/>
    <w:rsid w:val="00A0420F"/>
    <w:pPr>
      <w:ind w:left="440" w:hanging="220"/>
    </w:pPr>
  </w:style>
  <w:style w:type="paragraph" w:styleId="Index3">
    <w:name w:val="index 3"/>
    <w:basedOn w:val="Normal"/>
    <w:next w:val="Normal"/>
    <w:autoRedefine/>
    <w:uiPriority w:val="99"/>
    <w:semiHidden/>
    <w:rsid w:val="00A0420F"/>
    <w:pPr>
      <w:ind w:left="660" w:hanging="220"/>
    </w:pPr>
  </w:style>
  <w:style w:type="paragraph" w:styleId="Index4">
    <w:name w:val="index 4"/>
    <w:basedOn w:val="Normal"/>
    <w:next w:val="Normal"/>
    <w:autoRedefine/>
    <w:uiPriority w:val="99"/>
    <w:semiHidden/>
    <w:rsid w:val="00A0420F"/>
    <w:pPr>
      <w:ind w:left="880" w:hanging="220"/>
    </w:pPr>
  </w:style>
  <w:style w:type="paragraph" w:styleId="Index5">
    <w:name w:val="index 5"/>
    <w:basedOn w:val="Normal"/>
    <w:next w:val="Normal"/>
    <w:autoRedefine/>
    <w:uiPriority w:val="99"/>
    <w:semiHidden/>
    <w:rsid w:val="00A0420F"/>
    <w:pPr>
      <w:ind w:left="1100" w:hanging="220"/>
    </w:pPr>
  </w:style>
  <w:style w:type="paragraph" w:styleId="Index6">
    <w:name w:val="index 6"/>
    <w:basedOn w:val="Normal"/>
    <w:next w:val="Normal"/>
    <w:autoRedefine/>
    <w:uiPriority w:val="99"/>
    <w:semiHidden/>
    <w:rsid w:val="00A0420F"/>
    <w:pPr>
      <w:ind w:left="1320" w:hanging="220"/>
    </w:pPr>
  </w:style>
  <w:style w:type="paragraph" w:styleId="Index7">
    <w:name w:val="index 7"/>
    <w:basedOn w:val="Normal"/>
    <w:next w:val="Normal"/>
    <w:autoRedefine/>
    <w:uiPriority w:val="99"/>
    <w:semiHidden/>
    <w:rsid w:val="00A0420F"/>
    <w:pPr>
      <w:ind w:left="1540" w:hanging="220"/>
    </w:pPr>
  </w:style>
  <w:style w:type="paragraph" w:styleId="Index8">
    <w:name w:val="index 8"/>
    <w:basedOn w:val="Normal"/>
    <w:next w:val="Normal"/>
    <w:autoRedefine/>
    <w:uiPriority w:val="99"/>
    <w:semiHidden/>
    <w:rsid w:val="00A0420F"/>
    <w:pPr>
      <w:ind w:left="1760" w:hanging="220"/>
    </w:pPr>
  </w:style>
  <w:style w:type="paragraph" w:styleId="Index9">
    <w:name w:val="index 9"/>
    <w:basedOn w:val="Normal"/>
    <w:next w:val="Normal"/>
    <w:autoRedefine/>
    <w:uiPriority w:val="99"/>
    <w:semiHidden/>
    <w:rsid w:val="00A0420F"/>
    <w:pPr>
      <w:ind w:left="1980" w:hanging="220"/>
    </w:pPr>
  </w:style>
  <w:style w:type="paragraph" w:styleId="IndexHeading">
    <w:name w:val="index heading"/>
    <w:basedOn w:val="Normal"/>
    <w:next w:val="Index1"/>
    <w:uiPriority w:val="99"/>
    <w:semiHidden/>
    <w:rsid w:val="00A0420F"/>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A0420F"/>
    <w:rPr>
      <w:b/>
      <w:bCs/>
      <w:i/>
      <w:iCs/>
      <w:color w:val="00728F" w:themeColor="accent1"/>
    </w:rPr>
  </w:style>
  <w:style w:type="paragraph" w:styleId="IntenseQuote">
    <w:name w:val="Intense Quote"/>
    <w:basedOn w:val="Normal"/>
    <w:next w:val="Normal"/>
    <w:link w:val="IntenseQuoteChar"/>
    <w:uiPriority w:val="30"/>
    <w:semiHidden/>
    <w:qFormat/>
    <w:rsid w:val="00A0420F"/>
    <w:pPr>
      <w:pBdr>
        <w:bottom w:val="single" w:sz="4" w:space="4" w:color="00728F" w:themeColor="accent1"/>
      </w:pBdr>
      <w:spacing w:before="200" w:after="280"/>
      <w:ind w:left="936" w:right="936"/>
    </w:pPr>
    <w:rPr>
      <w:b/>
      <w:bCs/>
      <w:i/>
      <w:iCs/>
      <w:color w:val="00728F" w:themeColor="accent1"/>
    </w:rPr>
  </w:style>
  <w:style w:type="character" w:customStyle="1" w:styleId="IntenseQuoteChar">
    <w:name w:val="Intense Quote Char"/>
    <w:basedOn w:val="DefaultParagraphFont"/>
    <w:link w:val="IntenseQuote"/>
    <w:uiPriority w:val="30"/>
    <w:semiHidden/>
    <w:rsid w:val="00A0420F"/>
    <w:rPr>
      <w:rFonts w:ascii="Calibri" w:hAnsi="Calibri"/>
      <w:b/>
      <w:bCs/>
      <w:i/>
      <w:iCs/>
      <w:color w:val="00728F" w:themeColor="accent1"/>
    </w:rPr>
  </w:style>
  <w:style w:type="character" w:styleId="IntenseReference">
    <w:name w:val="Intense Reference"/>
    <w:basedOn w:val="DefaultParagraphFont"/>
    <w:uiPriority w:val="32"/>
    <w:semiHidden/>
    <w:qFormat/>
    <w:rsid w:val="00A0420F"/>
    <w:rPr>
      <w:b/>
      <w:bCs/>
      <w:smallCaps/>
      <w:color w:val="B7DDE8" w:themeColor="accent2"/>
      <w:spacing w:val="5"/>
      <w:u w:val="single"/>
    </w:rPr>
  </w:style>
  <w:style w:type="character" w:styleId="LineNumber">
    <w:name w:val="line number"/>
    <w:basedOn w:val="DefaultParagraphFont"/>
    <w:uiPriority w:val="99"/>
    <w:semiHidden/>
    <w:rsid w:val="00A0420F"/>
  </w:style>
  <w:style w:type="paragraph" w:styleId="List">
    <w:name w:val="List"/>
    <w:basedOn w:val="Normal"/>
    <w:uiPriority w:val="99"/>
    <w:semiHidden/>
    <w:rsid w:val="00A0420F"/>
    <w:pPr>
      <w:ind w:left="283" w:hanging="283"/>
      <w:contextualSpacing/>
    </w:pPr>
  </w:style>
  <w:style w:type="paragraph" w:styleId="List2">
    <w:name w:val="List 2"/>
    <w:basedOn w:val="Normal"/>
    <w:uiPriority w:val="99"/>
    <w:semiHidden/>
    <w:rsid w:val="00A0420F"/>
    <w:pPr>
      <w:ind w:left="566" w:hanging="283"/>
      <w:contextualSpacing/>
    </w:pPr>
  </w:style>
  <w:style w:type="paragraph" w:styleId="List3">
    <w:name w:val="List 3"/>
    <w:basedOn w:val="Normal"/>
    <w:uiPriority w:val="99"/>
    <w:semiHidden/>
    <w:rsid w:val="00A0420F"/>
    <w:pPr>
      <w:ind w:left="849" w:hanging="283"/>
      <w:contextualSpacing/>
    </w:pPr>
  </w:style>
  <w:style w:type="paragraph" w:styleId="List4">
    <w:name w:val="List 4"/>
    <w:basedOn w:val="Normal"/>
    <w:uiPriority w:val="99"/>
    <w:semiHidden/>
    <w:rsid w:val="00A0420F"/>
    <w:pPr>
      <w:ind w:left="1132" w:hanging="283"/>
      <w:contextualSpacing/>
    </w:pPr>
  </w:style>
  <w:style w:type="paragraph" w:styleId="List5">
    <w:name w:val="List 5"/>
    <w:basedOn w:val="Normal"/>
    <w:uiPriority w:val="99"/>
    <w:semiHidden/>
    <w:rsid w:val="00A0420F"/>
    <w:pPr>
      <w:ind w:left="1415" w:hanging="283"/>
      <w:contextualSpacing/>
    </w:pPr>
  </w:style>
  <w:style w:type="paragraph" w:styleId="ListBullet">
    <w:name w:val="List Bullet"/>
    <w:basedOn w:val="Normal"/>
    <w:uiPriority w:val="99"/>
    <w:semiHidden/>
    <w:rsid w:val="00A0420F"/>
    <w:pPr>
      <w:numPr>
        <w:numId w:val="1"/>
      </w:numPr>
      <w:contextualSpacing/>
    </w:pPr>
  </w:style>
  <w:style w:type="paragraph" w:styleId="ListBullet2">
    <w:name w:val="List Bullet 2"/>
    <w:basedOn w:val="Normal"/>
    <w:uiPriority w:val="99"/>
    <w:semiHidden/>
    <w:rsid w:val="00A0420F"/>
    <w:pPr>
      <w:numPr>
        <w:numId w:val="2"/>
      </w:numPr>
      <w:contextualSpacing/>
    </w:pPr>
  </w:style>
  <w:style w:type="paragraph" w:styleId="ListBullet3">
    <w:name w:val="List Bullet 3"/>
    <w:basedOn w:val="Normal"/>
    <w:uiPriority w:val="99"/>
    <w:semiHidden/>
    <w:rsid w:val="00A0420F"/>
    <w:pPr>
      <w:numPr>
        <w:numId w:val="3"/>
      </w:numPr>
      <w:contextualSpacing/>
    </w:pPr>
  </w:style>
  <w:style w:type="paragraph" w:styleId="ListBullet4">
    <w:name w:val="List Bullet 4"/>
    <w:basedOn w:val="Normal"/>
    <w:uiPriority w:val="99"/>
    <w:semiHidden/>
    <w:rsid w:val="00A0420F"/>
    <w:pPr>
      <w:numPr>
        <w:numId w:val="4"/>
      </w:numPr>
      <w:contextualSpacing/>
    </w:pPr>
  </w:style>
  <w:style w:type="paragraph" w:styleId="ListBullet5">
    <w:name w:val="List Bullet 5"/>
    <w:basedOn w:val="Normal"/>
    <w:uiPriority w:val="99"/>
    <w:semiHidden/>
    <w:rsid w:val="00A0420F"/>
    <w:pPr>
      <w:numPr>
        <w:numId w:val="5"/>
      </w:numPr>
      <w:contextualSpacing/>
    </w:pPr>
  </w:style>
  <w:style w:type="paragraph" w:styleId="ListContinue">
    <w:name w:val="List Continue"/>
    <w:basedOn w:val="Normal"/>
    <w:uiPriority w:val="99"/>
    <w:semiHidden/>
    <w:rsid w:val="00A0420F"/>
    <w:pPr>
      <w:spacing w:after="120"/>
      <w:ind w:left="283"/>
      <w:contextualSpacing/>
    </w:pPr>
  </w:style>
  <w:style w:type="paragraph" w:styleId="ListContinue2">
    <w:name w:val="List Continue 2"/>
    <w:basedOn w:val="Normal"/>
    <w:uiPriority w:val="99"/>
    <w:semiHidden/>
    <w:rsid w:val="00A0420F"/>
    <w:pPr>
      <w:spacing w:after="120"/>
      <w:ind w:left="566"/>
      <w:contextualSpacing/>
    </w:pPr>
  </w:style>
  <w:style w:type="paragraph" w:styleId="ListContinue3">
    <w:name w:val="List Continue 3"/>
    <w:basedOn w:val="Normal"/>
    <w:uiPriority w:val="99"/>
    <w:semiHidden/>
    <w:rsid w:val="00A0420F"/>
    <w:pPr>
      <w:spacing w:after="120"/>
      <w:ind w:left="849"/>
      <w:contextualSpacing/>
    </w:pPr>
  </w:style>
  <w:style w:type="paragraph" w:styleId="ListContinue4">
    <w:name w:val="List Continue 4"/>
    <w:basedOn w:val="Normal"/>
    <w:uiPriority w:val="99"/>
    <w:semiHidden/>
    <w:rsid w:val="00A0420F"/>
    <w:pPr>
      <w:spacing w:after="120"/>
      <w:ind w:left="1132"/>
      <w:contextualSpacing/>
    </w:pPr>
  </w:style>
  <w:style w:type="paragraph" w:styleId="ListContinue5">
    <w:name w:val="List Continue 5"/>
    <w:basedOn w:val="Normal"/>
    <w:uiPriority w:val="99"/>
    <w:semiHidden/>
    <w:rsid w:val="00A0420F"/>
    <w:pPr>
      <w:spacing w:after="120"/>
      <w:ind w:left="1415"/>
      <w:contextualSpacing/>
    </w:pPr>
  </w:style>
  <w:style w:type="paragraph" w:styleId="ListNumber">
    <w:name w:val="List Number"/>
    <w:basedOn w:val="Normal"/>
    <w:uiPriority w:val="99"/>
    <w:semiHidden/>
    <w:rsid w:val="00A0420F"/>
    <w:pPr>
      <w:numPr>
        <w:numId w:val="6"/>
      </w:numPr>
      <w:contextualSpacing/>
    </w:pPr>
  </w:style>
  <w:style w:type="paragraph" w:styleId="ListNumber2">
    <w:name w:val="List Number 2"/>
    <w:basedOn w:val="Normal"/>
    <w:uiPriority w:val="99"/>
    <w:semiHidden/>
    <w:rsid w:val="00A0420F"/>
    <w:pPr>
      <w:numPr>
        <w:numId w:val="7"/>
      </w:numPr>
      <w:contextualSpacing/>
    </w:pPr>
  </w:style>
  <w:style w:type="paragraph" w:styleId="ListNumber3">
    <w:name w:val="List Number 3"/>
    <w:basedOn w:val="Normal"/>
    <w:uiPriority w:val="99"/>
    <w:semiHidden/>
    <w:rsid w:val="00A0420F"/>
    <w:pPr>
      <w:numPr>
        <w:numId w:val="8"/>
      </w:numPr>
      <w:contextualSpacing/>
    </w:pPr>
  </w:style>
  <w:style w:type="paragraph" w:styleId="ListNumber4">
    <w:name w:val="List Number 4"/>
    <w:basedOn w:val="Normal"/>
    <w:uiPriority w:val="99"/>
    <w:semiHidden/>
    <w:rsid w:val="00A0420F"/>
    <w:pPr>
      <w:numPr>
        <w:numId w:val="9"/>
      </w:numPr>
      <w:contextualSpacing/>
    </w:pPr>
  </w:style>
  <w:style w:type="paragraph" w:styleId="ListNumber5">
    <w:name w:val="List Number 5"/>
    <w:basedOn w:val="Normal"/>
    <w:uiPriority w:val="99"/>
    <w:semiHidden/>
    <w:rsid w:val="00A0420F"/>
    <w:pPr>
      <w:numPr>
        <w:numId w:val="10"/>
      </w:numPr>
      <w:contextualSpacing/>
    </w:pPr>
  </w:style>
  <w:style w:type="paragraph" w:styleId="ListParagraph">
    <w:name w:val="List Paragraph"/>
    <w:basedOn w:val="Normal"/>
    <w:uiPriority w:val="34"/>
    <w:qFormat/>
    <w:rsid w:val="00A0420F"/>
    <w:pPr>
      <w:ind w:left="720"/>
      <w:contextualSpacing/>
    </w:pPr>
  </w:style>
  <w:style w:type="paragraph" w:styleId="MacroText">
    <w:name w:val="macro"/>
    <w:link w:val="MacroTextChar"/>
    <w:uiPriority w:val="99"/>
    <w:semiHidden/>
    <w:rsid w:val="00A04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0420F"/>
    <w:rPr>
      <w:rFonts w:ascii="Consolas" w:hAnsi="Consolas" w:cs="Consolas"/>
      <w:sz w:val="20"/>
      <w:szCs w:val="20"/>
    </w:rPr>
  </w:style>
  <w:style w:type="paragraph" w:styleId="MessageHeader">
    <w:name w:val="Message Header"/>
    <w:basedOn w:val="Normal"/>
    <w:link w:val="MessageHeaderChar"/>
    <w:uiPriority w:val="99"/>
    <w:semiHidden/>
    <w:rsid w:val="00A042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420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A0420F"/>
    <w:pPr>
      <w:spacing w:after="0"/>
    </w:pPr>
    <w:rPr>
      <w:rFonts w:ascii="Calibri" w:hAnsi="Calibri"/>
    </w:rPr>
  </w:style>
  <w:style w:type="paragraph" w:styleId="NormalWeb">
    <w:name w:val="Normal (Web)"/>
    <w:basedOn w:val="Normal"/>
    <w:uiPriority w:val="99"/>
    <w:semiHidden/>
    <w:rsid w:val="00A0420F"/>
    <w:rPr>
      <w:rFonts w:ascii="Times New Roman" w:hAnsi="Times New Roman" w:cs="Times New Roman"/>
      <w:sz w:val="24"/>
      <w:szCs w:val="24"/>
    </w:rPr>
  </w:style>
  <w:style w:type="paragraph" w:styleId="NormalIndent">
    <w:name w:val="Normal Indent"/>
    <w:basedOn w:val="Normal"/>
    <w:uiPriority w:val="99"/>
    <w:semiHidden/>
    <w:rsid w:val="00A0420F"/>
    <w:pPr>
      <w:ind w:left="720"/>
    </w:pPr>
  </w:style>
  <w:style w:type="paragraph" w:styleId="NoteHeading">
    <w:name w:val="Note Heading"/>
    <w:basedOn w:val="Normal"/>
    <w:next w:val="Normal"/>
    <w:link w:val="NoteHeadingChar"/>
    <w:uiPriority w:val="99"/>
    <w:semiHidden/>
    <w:rsid w:val="00A0420F"/>
  </w:style>
  <w:style w:type="character" w:customStyle="1" w:styleId="NoteHeadingChar">
    <w:name w:val="Note Heading Char"/>
    <w:basedOn w:val="DefaultParagraphFont"/>
    <w:link w:val="NoteHeading"/>
    <w:uiPriority w:val="99"/>
    <w:semiHidden/>
    <w:rsid w:val="00A0420F"/>
    <w:rPr>
      <w:rFonts w:ascii="Calibri" w:hAnsi="Calibri"/>
    </w:rPr>
  </w:style>
  <w:style w:type="character" w:styleId="PlaceholderText">
    <w:name w:val="Placeholder Text"/>
    <w:basedOn w:val="DefaultParagraphFont"/>
    <w:uiPriority w:val="99"/>
    <w:semiHidden/>
    <w:rsid w:val="00A0420F"/>
    <w:rPr>
      <w:color w:val="808080"/>
    </w:rPr>
  </w:style>
  <w:style w:type="paragraph" w:styleId="PlainText">
    <w:name w:val="Plain Text"/>
    <w:basedOn w:val="Normal"/>
    <w:link w:val="PlainTextChar"/>
    <w:uiPriority w:val="99"/>
    <w:semiHidden/>
    <w:rsid w:val="00A0420F"/>
    <w:rPr>
      <w:rFonts w:ascii="Consolas" w:hAnsi="Consolas" w:cs="Consolas"/>
      <w:sz w:val="21"/>
      <w:szCs w:val="21"/>
    </w:rPr>
  </w:style>
  <w:style w:type="character" w:customStyle="1" w:styleId="PlainTextChar">
    <w:name w:val="Plain Text Char"/>
    <w:basedOn w:val="DefaultParagraphFont"/>
    <w:link w:val="PlainText"/>
    <w:uiPriority w:val="99"/>
    <w:semiHidden/>
    <w:rsid w:val="00A0420F"/>
    <w:rPr>
      <w:rFonts w:ascii="Consolas" w:hAnsi="Consolas" w:cs="Consolas"/>
      <w:sz w:val="21"/>
      <w:szCs w:val="21"/>
    </w:rPr>
  </w:style>
  <w:style w:type="paragraph" w:styleId="Quote">
    <w:name w:val="Quote"/>
    <w:basedOn w:val="Normal"/>
    <w:next w:val="Normal"/>
    <w:link w:val="QuoteChar"/>
    <w:uiPriority w:val="29"/>
    <w:semiHidden/>
    <w:qFormat/>
    <w:rsid w:val="00A0420F"/>
    <w:rPr>
      <w:i/>
      <w:iCs/>
      <w:color w:val="00728F" w:themeColor="text1"/>
    </w:rPr>
  </w:style>
  <w:style w:type="character" w:customStyle="1" w:styleId="QuoteChar">
    <w:name w:val="Quote Char"/>
    <w:basedOn w:val="DefaultParagraphFont"/>
    <w:link w:val="Quote"/>
    <w:uiPriority w:val="29"/>
    <w:semiHidden/>
    <w:rsid w:val="00A0420F"/>
    <w:rPr>
      <w:rFonts w:ascii="Calibri" w:hAnsi="Calibri"/>
      <w:i/>
      <w:iCs/>
      <w:color w:val="00728F" w:themeColor="text1"/>
    </w:rPr>
  </w:style>
  <w:style w:type="paragraph" w:styleId="Salutation">
    <w:name w:val="Salutation"/>
    <w:basedOn w:val="Normal"/>
    <w:next w:val="Normal"/>
    <w:link w:val="SalutationChar"/>
    <w:uiPriority w:val="99"/>
    <w:semiHidden/>
    <w:rsid w:val="00A0420F"/>
  </w:style>
  <w:style w:type="character" w:customStyle="1" w:styleId="SalutationChar">
    <w:name w:val="Salutation Char"/>
    <w:basedOn w:val="DefaultParagraphFont"/>
    <w:link w:val="Salutation"/>
    <w:uiPriority w:val="99"/>
    <w:semiHidden/>
    <w:rsid w:val="00A0420F"/>
    <w:rPr>
      <w:rFonts w:ascii="Calibri" w:hAnsi="Calibri"/>
    </w:rPr>
  </w:style>
  <w:style w:type="paragraph" w:styleId="Signature">
    <w:name w:val="Signature"/>
    <w:basedOn w:val="Normal"/>
    <w:link w:val="SignatureChar"/>
    <w:uiPriority w:val="99"/>
    <w:semiHidden/>
    <w:rsid w:val="00A0420F"/>
    <w:pPr>
      <w:ind w:left="4252"/>
    </w:pPr>
  </w:style>
  <w:style w:type="character" w:customStyle="1" w:styleId="SignatureChar">
    <w:name w:val="Signature Char"/>
    <w:basedOn w:val="DefaultParagraphFont"/>
    <w:link w:val="Signature"/>
    <w:uiPriority w:val="99"/>
    <w:semiHidden/>
    <w:rsid w:val="00A0420F"/>
    <w:rPr>
      <w:rFonts w:ascii="Calibri" w:hAnsi="Calibri"/>
    </w:rPr>
  </w:style>
  <w:style w:type="paragraph" w:styleId="Subtitle">
    <w:name w:val="Subtitle"/>
    <w:basedOn w:val="Normal"/>
    <w:next w:val="Normal"/>
    <w:link w:val="SubtitleChar"/>
    <w:uiPriority w:val="15"/>
    <w:semiHidden/>
    <w:qFormat/>
    <w:rsid w:val="00A0420F"/>
    <w:pPr>
      <w:numPr>
        <w:ilvl w:val="1"/>
      </w:numPr>
      <w:ind w:left="1021" w:hanging="1021"/>
    </w:pPr>
    <w:rPr>
      <w:rFonts w:asciiTheme="majorHAnsi" w:eastAsiaTheme="majorEastAsia" w:hAnsiTheme="majorHAnsi" w:cstheme="majorBidi"/>
      <w:i/>
      <w:iCs/>
      <w:color w:val="00728F" w:themeColor="accent1"/>
      <w:spacing w:val="15"/>
      <w:sz w:val="24"/>
      <w:szCs w:val="24"/>
    </w:rPr>
  </w:style>
  <w:style w:type="character" w:customStyle="1" w:styleId="SubtitleChar">
    <w:name w:val="Subtitle Char"/>
    <w:basedOn w:val="DefaultParagraphFont"/>
    <w:link w:val="Subtitle"/>
    <w:uiPriority w:val="15"/>
    <w:semiHidden/>
    <w:rsid w:val="00A0420F"/>
    <w:rPr>
      <w:rFonts w:asciiTheme="majorHAnsi" w:eastAsiaTheme="majorEastAsia" w:hAnsiTheme="majorHAnsi" w:cstheme="majorBidi"/>
      <w:i/>
      <w:iCs/>
      <w:color w:val="00728F" w:themeColor="accent1"/>
      <w:spacing w:val="15"/>
      <w:sz w:val="24"/>
      <w:szCs w:val="24"/>
    </w:rPr>
  </w:style>
  <w:style w:type="character" w:styleId="SubtleEmphasis">
    <w:name w:val="Subtle Emphasis"/>
    <w:basedOn w:val="DefaultParagraphFont"/>
    <w:uiPriority w:val="19"/>
    <w:semiHidden/>
    <w:qFormat/>
    <w:rsid w:val="00A0420F"/>
    <w:rPr>
      <w:i/>
      <w:iCs/>
      <w:color w:val="48D9FF" w:themeColor="text1" w:themeTint="7F"/>
    </w:rPr>
  </w:style>
  <w:style w:type="character" w:styleId="SubtleReference">
    <w:name w:val="Subtle Reference"/>
    <w:basedOn w:val="DefaultParagraphFont"/>
    <w:uiPriority w:val="31"/>
    <w:semiHidden/>
    <w:qFormat/>
    <w:rsid w:val="00A0420F"/>
    <w:rPr>
      <w:smallCaps/>
      <w:color w:val="B7DDE8" w:themeColor="accent2"/>
      <w:u w:val="single"/>
    </w:rPr>
  </w:style>
  <w:style w:type="table" w:styleId="Table3Deffects1">
    <w:name w:val="Table 3D effects 1"/>
    <w:basedOn w:val="TableNormal"/>
    <w:uiPriority w:val="99"/>
    <w:semiHidden/>
    <w:unhideWhenUsed/>
    <w:rsid w:val="00A0420F"/>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420F"/>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420F"/>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420F"/>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420F"/>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420F"/>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0420F"/>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420F"/>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420F"/>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420F"/>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420F"/>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420F"/>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420F"/>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420F"/>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420F"/>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420F"/>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420F"/>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420F"/>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420F"/>
    <w:pPr>
      <w:ind w:left="220" w:hanging="220"/>
    </w:pPr>
  </w:style>
  <w:style w:type="paragraph" w:styleId="TableofFigures">
    <w:name w:val="table of figures"/>
    <w:basedOn w:val="Normal"/>
    <w:next w:val="Normal"/>
    <w:uiPriority w:val="99"/>
    <w:semiHidden/>
    <w:rsid w:val="00A0420F"/>
  </w:style>
  <w:style w:type="table" w:styleId="TableProfessional">
    <w:name w:val="Table Professional"/>
    <w:basedOn w:val="TableNormal"/>
    <w:uiPriority w:val="99"/>
    <w:semiHidden/>
    <w:unhideWhenUsed/>
    <w:rsid w:val="00A0420F"/>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420F"/>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420F"/>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420F"/>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420F"/>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420F"/>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420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420F"/>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420F"/>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420F"/>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420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420F"/>
    <w:pPr>
      <w:spacing w:after="100"/>
      <w:ind w:left="660"/>
    </w:pPr>
  </w:style>
  <w:style w:type="paragraph" w:styleId="TOC5">
    <w:name w:val="toc 5"/>
    <w:basedOn w:val="Normal"/>
    <w:next w:val="Normal"/>
    <w:autoRedefine/>
    <w:uiPriority w:val="39"/>
    <w:semiHidden/>
    <w:unhideWhenUsed/>
    <w:rsid w:val="00A0420F"/>
    <w:pPr>
      <w:spacing w:after="100"/>
      <w:ind w:left="880"/>
    </w:pPr>
  </w:style>
  <w:style w:type="paragraph" w:styleId="TOC6">
    <w:name w:val="toc 6"/>
    <w:basedOn w:val="Normal"/>
    <w:next w:val="Normal"/>
    <w:autoRedefine/>
    <w:uiPriority w:val="39"/>
    <w:semiHidden/>
    <w:unhideWhenUsed/>
    <w:rsid w:val="00A0420F"/>
    <w:pPr>
      <w:spacing w:after="100"/>
      <w:ind w:left="1100"/>
    </w:pPr>
  </w:style>
  <w:style w:type="paragraph" w:styleId="TOC7">
    <w:name w:val="toc 7"/>
    <w:basedOn w:val="Normal"/>
    <w:next w:val="Normal"/>
    <w:autoRedefine/>
    <w:uiPriority w:val="39"/>
    <w:semiHidden/>
    <w:unhideWhenUsed/>
    <w:rsid w:val="00A0420F"/>
    <w:pPr>
      <w:spacing w:after="100"/>
      <w:ind w:left="1320"/>
    </w:pPr>
  </w:style>
  <w:style w:type="paragraph" w:styleId="TOC8">
    <w:name w:val="toc 8"/>
    <w:basedOn w:val="Normal"/>
    <w:next w:val="Normal"/>
    <w:autoRedefine/>
    <w:uiPriority w:val="39"/>
    <w:semiHidden/>
    <w:unhideWhenUsed/>
    <w:rsid w:val="00A0420F"/>
    <w:pPr>
      <w:spacing w:after="100"/>
      <w:ind w:left="1540"/>
    </w:pPr>
  </w:style>
  <w:style w:type="paragraph" w:styleId="TOC9">
    <w:name w:val="toc 9"/>
    <w:basedOn w:val="Normal"/>
    <w:next w:val="Normal"/>
    <w:autoRedefine/>
    <w:uiPriority w:val="39"/>
    <w:semiHidden/>
    <w:unhideWhenUsed/>
    <w:rsid w:val="00A0420F"/>
    <w:pPr>
      <w:spacing w:after="100"/>
      <w:ind w:left="1760"/>
    </w:pPr>
  </w:style>
  <w:style w:type="paragraph" w:customStyle="1" w:styleId="Definitiontext">
    <w:name w:val="Definition text"/>
    <w:basedOn w:val="BodyText"/>
    <w:uiPriority w:val="20"/>
    <w:qFormat/>
    <w:rsid w:val="00C80837"/>
    <w:pPr>
      <w:spacing w:before="120"/>
    </w:pPr>
  </w:style>
  <w:style w:type="paragraph" w:customStyle="1" w:styleId="Definitionterm">
    <w:name w:val="Definition term"/>
    <w:basedOn w:val="Definitiontext"/>
    <w:next w:val="Definitiontext"/>
    <w:uiPriority w:val="20"/>
    <w:qFormat/>
    <w:rsid w:val="00A34761"/>
    <w:pPr>
      <w:spacing w:before="240" w:after="120"/>
    </w:pPr>
    <w:rPr>
      <w:b/>
    </w:rPr>
  </w:style>
  <w:style w:type="table" w:customStyle="1" w:styleId="ColorfulGrid1">
    <w:name w:val="Colorful Grid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text1" w:themeFillTint="33"/>
    </w:tcPr>
    <w:tblStylePr w:type="firstRow">
      <w:rPr>
        <w:b/>
        <w:bCs/>
      </w:rPr>
      <w:tblPr/>
      <w:tcPr>
        <w:shd w:val="clear" w:color="auto" w:fill="6CE1FF" w:themeFill="text1" w:themeFillTint="66"/>
      </w:tcPr>
    </w:tblStylePr>
    <w:tblStylePr w:type="lastRow">
      <w:rPr>
        <w:b/>
        <w:bCs/>
        <w:color w:val="00728F" w:themeColor="text1"/>
      </w:rPr>
      <w:tblPr/>
      <w:tcPr>
        <w:shd w:val="clear" w:color="auto" w:fill="6CE1FF" w:themeFill="text1" w:themeFillTint="66"/>
      </w:tcPr>
    </w:tblStylePr>
    <w:tblStylePr w:type="firstCol">
      <w:rPr>
        <w:color w:val="FFFFFF" w:themeColor="background1"/>
      </w:rPr>
      <w:tblPr/>
      <w:tcPr>
        <w:shd w:val="clear" w:color="auto" w:fill="00556B" w:themeFill="text1" w:themeFillShade="BF"/>
      </w:tcPr>
    </w:tblStylePr>
    <w:tblStylePr w:type="lastCol">
      <w:rPr>
        <w:color w:val="FFFFFF" w:themeColor="background1"/>
      </w:rPr>
      <w:tblPr/>
      <w:tcPr>
        <w:shd w:val="clear" w:color="auto" w:fill="00556B" w:themeFill="text1" w:themeFillShade="BF"/>
      </w:tc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ColorfulGrid-Accent1">
    <w:name w:val="Colorful Grid Accent 1"/>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B5EFFF" w:themeFill="accent1" w:themeFillTint="33"/>
    </w:tcPr>
    <w:tblStylePr w:type="firstRow">
      <w:rPr>
        <w:b/>
        <w:bCs/>
      </w:rPr>
      <w:tblPr/>
      <w:tcPr>
        <w:shd w:val="clear" w:color="auto" w:fill="6CE1FF" w:themeFill="accent1" w:themeFillTint="66"/>
      </w:tcPr>
    </w:tblStylePr>
    <w:tblStylePr w:type="lastRow">
      <w:rPr>
        <w:b/>
        <w:bCs/>
        <w:color w:val="00728F" w:themeColor="text1"/>
      </w:rPr>
      <w:tblPr/>
      <w:tcPr>
        <w:shd w:val="clear" w:color="auto" w:fill="6CE1FF" w:themeFill="accent1" w:themeFillTint="66"/>
      </w:tcPr>
    </w:tblStylePr>
    <w:tblStylePr w:type="firstCol">
      <w:rPr>
        <w:color w:val="FFFFFF" w:themeColor="background1"/>
      </w:rPr>
      <w:tblPr/>
      <w:tcPr>
        <w:shd w:val="clear" w:color="auto" w:fill="00556B" w:themeFill="accent1" w:themeFillShade="BF"/>
      </w:tcPr>
    </w:tblStylePr>
    <w:tblStylePr w:type="lastCol">
      <w:rPr>
        <w:color w:val="FFFFFF" w:themeColor="background1"/>
      </w:rPr>
      <w:tblPr/>
      <w:tcPr>
        <w:shd w:val="clear" w:color="auto" w:fill="00556B" w:themeFill="accent1" w:themeFillShade="BF"/>
      </w:tc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ColorfulGrid-Accent2">
    <w:name w:val="Colorful Grid Accent 2"/>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0F8FA" w:themeFill="accent2" w:themeFillTint="33"/>
    </w:tcPr>
    <w:tblStylePr w:type="firstRow">
      <w:rPr>
        <w:b/>
        <w:bCs/>
      </w:rPr>
      <w:tblPr/>
      <w:tcPr>
        <w:shd w:val="clear" w:color="auto" w:fill="E2F1F5" w:themeFill="accent2" w:themeFillTint="66"/>
      </w:tcPr>
    </w:tblStylePr>
    <w:tblStylePr w:type="lastRow">
      <w:rPr>
        <w:b/>
        <w:bCs/>
        <w:color w:val="00728F" w:themeColor="text1"/>
      </w:rPr>
      <w:tblPr/>
      <w:tcPr>
        <w:shd w:val="clear" w:color="auto" w:fill="E2F1F5" w:themeFill="accent2" w:themeFillTint="66"/>
      </w:tcPr>
    </w:tblStylePr>
    <w:tblStylePr w:type="firstCol">
      <w:rPr>
        <w:color w:val="FFFFFF" w:themeColor="background1"/>
      </w:rPr>
      <w:tblPr/>
      <w:tcPr>
        <w:shd w:val="clear" w:color="auto" w:fill="67B7CE" w:themeFill="accent2" w:themeFillShade="BF"/>
      </w:tcPr>
    </w:tblStylePr>
    <w:tblStylePr w:type="lastCol">
      <w:rPr>
        <w:color w:val="FFFFFF" w:themeColor="background1"/>
      </w:rPr>
      <w:tblPr/>
      <w:tcPr>
        <w:shd w:val="clear" w:color="auto" w:fill="67B7CE" w:themeFill="accent2" w:themeFillShade="BF"/>
      </w:tc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ColorfulGrid-Accent3">
    <w:name w:val="Colorful Grid Accent 3"/>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F7FBFC" w:themeFill="accent3" w:themeFillTint="33"/>
    </w:tcPr>
    <w:tblStylePr w:type="firstRow">
      <w:rPr>
        <w:b/>
        <w:bCs/>
      </w:rPr>
      <w:tblPr/>
      <w:tcPr>
        <w:shd w:val="clear" w:color="auto" w:fill="F0F8FA" w:themeFill="accent3" w:themeFillTint="66"/>
      </w:tcPr>
    </w:tblStylePr>
    <w:tblStylePr w:type="lastRow">
      <w:rPr>
        <w:b/>
        <w:bCs/>
        <w:color w:val="00728F" w:themeColor="text1"/>
      </w:rPr>
      <w:tblPr/>
      <w:tcPr>
        <w:shd w:val="clear" w:color="auto" w:fill="F0F8FA" w:themeFill="accent3" w:themeFillTint="66"/>
      </w:tcPr>
    </w:tblStylePr>
    <w:tblStylePr w:type="firstCol">
      <w:rPr>
        <w:color w:val="FFFFFF" w:themeColor="background1"/>
      </w:rPr>
      <w:tblPr/>
      <w:tcPr>
        <w:shd w:val="clear" w:color="auto" w:fill="84C4D6" w:themeFill="accent3" w:themeFillShade="BF"/>
      </w:tcPr>
    </w:tblStylePr>
    <w:tblStylePr w:type="lastCol">
      <w:rPr>
        <w:color w:val="FFFFFF" w:themeColor="background1"/>
      </w:rPr>
      <w:tblPr/>
      <w:tcPr>
        <w:shd w:val="clear" w:color="auto" w:fill="84C4D6" w:themeFill="accent3" w:themeFillShade="BF"/>
      </w:tc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ColorfulGrid-Accent4">
    <w:name w:val="Colorful Grid Accent 4"/>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E9F4F8" w:themeFill="accent4" w:themeFillTint="33"/>
    </w:tcPr>
    <w:tblStylePr w:type="firstRow">
      <w:rPr>
        <w:b/>
        <w:bCs/>
      </w:rPr>
      <w:tblPr/>
      <w:tcPr>
        <w:shd w:val="clear" w:color="auto" w:fill="D3EAF1" w:themeFill="accent4" w:themeFillTint="66"/>
      </w:tcPr>
    </w:tblStylePr>
    <w:tblStylePr w:type="lastRow">
      <w:rPr>
        <w:b/>
        <w:bCs/>
        <w:color w:val="00728F" w:themeColor="text1"/>
      </w:rPr>
      <w:tblPr/>
      <w:tcPr>
        <w:shd w:val="clear" w:color="auto" w:fill="D3EAF1" w:themeFill="accent4" w:themeFillTint="66"/>
      </w:tcPr>
    </w:tblStylePr>
    <w:tblStylePr w:type="firstCol">
      <w:rPr>
        <w:color w:val="FFFFFF" w:themeColor="background1"/>
      </w:rPr>
      <w:tblPr/>
      <w:tcPr>
        <w:shd w:val="clear" w:color="auto" w:fill="4CACC5" w:themeFill="accent4" w:themeFillShade="BF"/>
      </w:tcPr>
    </w:tblStylePr>
    <w:tblStylePr w:type="lastCol">
      <w:rPr>
        <w:color w:val="FFFFFF" w:themeColor="background1"/>
      </w:rPr>
      <w:tblPr/>
      <w:tcPr>
        <w:shd w:val="clear" w:color="auto" w:fill="4CACC5" w:themeFill="accent4" w:themeFillShade="BF"/>
      </w:tc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ColorfulGrid-Accent5">
    <w:name w:val="Colorful Grid Accent 5"/>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0E9F0" w:themeFill="accent5" w:themeFillTint="33"/>
    </w:tcPr>
    <w:tblStylePr w:type="firstRow">
      <w:rPr>
        <w:b/>
        <w:bCs/>
      </w:rPr>
      <w:tblPr/>
      <w:tcPr>
        <w:shd w:val="clear" w:color="auto" w:fill="A1D4E1" w:themeFill="accent5" w:themeFillTint="66"/>
      </w:tcPr>
    </w:tblStylePr>
    <w:tblStylePr w:type="lastRow">
      <w:rPr>
        <w:b/>
        <w:bCs/>
        <w:color w:val="00728F" w:themeColor="text1"/>
      </w:rPr>
      <w:tblPr/>
      <w:tcPr>
        <w:shd w:val="clear" w:color="auto" w:fill="A1D4E1" w:themeFill="accent5" w:themeFillTint="66"/>
      </w:tcPr>
    </w:tblStylePr>
    <w:tblStylePr w:type="firstCol">
      <w:rPr>
        <w:color w:val="FFFFFF" w:themeColor="background1"/>
      </w:rPr>
      <w:tblPr/>
      <w:tcPr>
        <w:shd w:val="clear" w:color="auto" w:fill="246373" w:themeFill="accent5" w:themeFillShade="BF"/>
      </w:tcPr>
    </w:tblStylePr>
    <w:tblStylePr w:type="lastCol">
      <w:rPr>
        <w:color w:val="FFFFFF" w:themeColor="background1"/>
      </w:rPr>
      <w:tblPr/>
      <w:tcPr>
        <w:shd w:val="clear" w:color="auto" w:fill="246373" w:themeFill="accent5" w:themeFillShade="BF"/>
      </w:tc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ColorfulGrid-Accent6">
    <w:name w:val="Colorful Grid Accent 6"/>
    <w:basedOn w:val="TableNormal"/>
    <w:uiPriority w:val="99"/>
    <w:semiHidden/>
    <w:rsid w:val="00361DEB"/>
    <w:pPr>
      <w:spacing w:after="0"/>
    </w:pPr>
    <w:rPr>
      <w:color w:val="00728F" w:themeColor="text1"/>
    </w:rPr>
    <w:tblPr>
      <w:tblStyleRowBandSize w:val="1"/>
      <w:tblStyleColBandSize w:val="1"/>
      <w:tblBorders>
        <w:insideH w:val="single" w:sz="4" w:space="0" w:color="FFFFFF" w:themeColor="background1"/>
      </w:tblBorders>
    </w:tblPr>
    <w:tcPr>
      <w:shd w:val="clear" w:color="auto" w:fill="DFF0F5" w:themeFill="accent6" w:themeFillTint="33"/>
    </w:tcPr>
    <w:tblStylePr w:type="firstRow">
      <w:rPr>
        <w:b/>
        <w:bCs/>
      </w:rPr>
      <w:tblPr/>
      <w:tcPr>
        <w:shd w:val="clear" w:color="auto" w:fill="C0E2EB" w:themeFill="accent6" w:themeFillTint="66"/>
      </w:tcPr>
    </w:tblStylePr>
    <w:tblStylePr w:type="lastRow">
      <w:rPr>
        <w:b/>
        <w:bCs/>
        <w:color w:val="00728F" w:themeColor="text1"/>
      </w:rPr>
      <w:tblPr/>
      <w:tcPr>
        <w:shd w:val="clear" w:color="auto" w:fill="C0E2EB" w:themeFill="accent6" w:themeFillTint="66"/>
      </w:tcPr>
    </w:tblStylePr>
    <w:tblStylePr w:type="firstCol">
      <w:rPr>
        <w:color w:val="FFFFFF" w:themeColor="background1"/>
      </w:rPr>
      <w:tblPr/>
      <w:tcPr>
        <w:shd w:val="clear" w:color="auto" w:fill="3795AD" w:themeFill="accent6" w:themeFillShade="BF"/>
      </w:tcPr>
    </w:tblStylePr>
    <w:tblStylePr w:type="lastCol">
      <w:rPr>
        <w:color w:val="FFFFFF" w:themeColor="background1"/>
      </w:rPr>
      <w:tblPr/>
      <w:tcPr>
        <w:shd w:val="clear" w:color="auto" w:fill="3795AD" w:themeFill="accent6" w:themeFillShade="BF"/>
      </w:tc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ColorfulList1">
    <w:name w:val="Colorful List1"/>
    <w:basedOn w:val="TableNormal"/>
    <w:uiPriority w:val="99"/>
    <w:semiHidden/>
    <w:rsid w:val="00361DEB"/>
    <w:pPr>
      <w:spacing w:after="0"/>
    </w:pPr>
    <w:rPr>
      <w:color w:val="00728F" w:themeColor="text1"/>
    </w:rPr>
    <w:tblPr>
      <w:tblStyleRowBandSize w:val="1"/>
      <w:tblStyleColBandSize w:val="1"/>
    </w:tblPr>
    <w:tcPr>
      <w:shd w:val="clear" w:color="auto" w:fill="DBF7FF" w:themeFill="tex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text1" w:themeFillTint="3F"/>
      </w:tcPr>
    </w:tblStylePr>
    <w:tblStylePr w:type="band1Horz">
      <w:tblPr/>
      <w:tcPr>
        <w:shd w:val="clear" w:color="auto" w:fill="B5EFFF" w:themeFill="text1" w:themeFillTint="33"/>
      </w:tcPr>
    </w:tblStylePr>
  </w:style>
  <w:style w:type="table" w:styleId="ColorfulList-Accent1">
    <w:name w:val="Colorful List Accent 1"/>
    <w:basedOn w:val="TableNormal"/>
    <w:uiPriority w:val="99"/>
    <w:semiHidden/>
    <w:rsid w:val="00361DEB"/>
    <w:pPr>
      <w:spacing w:after="0"/>
    </w:pPr>
    <w:rPr>
      <w:color w:val="00728F" w:themeColor="text1"/>
    </w:rPr>
    <w:tblPr>
      <w:tblStyleRowBandSize w:val="1"/>
      <w:tblStyleColBandSize w:val="1"/>
    </w:tblPr>
    <w:tcPr>
      <w:shd w:val="clear" w:color="auto" w:fill="DBF7FF" w:themeFill="accent1"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CFF" w:themeFill="accent1" w:themeFillTint="3F"/>
      </w:tcPr>
    </w:tblStylePr>
    <w:tblStylePr w:type="band1Horz">
      <w:tblPr/>
      <w:tcPr>
        <w:shd w:val="clear" w:color="auto" w:fill="B5EFFF" w:themeFill="accent1" w:themeFillTint="33"/>
      </w:tcPr>
    </w:tblStylePr>
  </w:style>
  <w:style w:type="table" w:styleId="ColorfulList-Accent2">
    <w:name w:val="Colorful List Accent 2"/>
    <w:basedOn w:val="TableNormal"/>
    <w:uiPriority w:val="99"/>
    <w:semiHidden/>
    <w:rsid w:val="00361DEB"/>
    <w:pPr>
      <w:spacing w:after="0"/>
    </w:pPr>
    <w:rPr>
      <w:color w:val="00728F" w:themeColor="text1"/>
    </w:rPr>
    <w:tblPr>
      <w:tblStyleRowBandSize w:val="1"/>
      <w:tblStyleColBandSize w:val="1"/>
    </w:tblPr>
    <w:tcPr>
      <w:shd w:val="clear" w:color="auto" w:fill="F7FBFC" w:themeFill="accent2" w:themeFillTint="19"/>
    </w:tcPr>
    <w:tblStylePr w:type="firstRow">
      <w:rPr>
        <w:b/>
        <w:bCs/>
        <w:color w:val="FFFFFF" w:themeColor="background1"/>
      </w:rPr>
      <w:tblPr/>
      <w:tcPr>
        <w:tcBorders>
          <w:bottom w:val="single" w:sz="12" w:space="0" w:color="FFFFFF" w:themeColor="background1"/>
        </w:tcBorders>
        <w:shd w:val="clear" w:color="auto" w:fill="78BFD4" w:themeFill="accent2" w:themeFillShade="CC"/>
      </w:tcPr>
    </w:tblStylePr>
    <w:tblStylePr w:type="lastRow">
      <w:rPr>
        <w:b/>
        <w:bCs/>
        <w:color w:val="78BFD4" w:themeColor="accent2"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F9" w:themeFill="accent2" w:themeFillTint="3F"/>
      </w:tcPr>
    </w:tblStylePr>
    <w:tblStylePr w:type="band1Horz">
      <w:tblPr/>
      <w:tcPr>
        <w:shd w:val="clear" w:color="auto" w:fill="F0F8FA" w:themeFill="accent2" w:themeFillTint="33"/>
      </w:tcPr>
    </w:tblStylePr>
  </w:style>
  <w:style w:type="table" w:styleId="ColorfulList-Accent3">
    <w:name w:val="Colorful List Accent 3"/>
    <w:basedOn w:val="TableNormal"/>
    <w:uiPriority w:val="99"/>
    <w:semiHidden/>
    <w:rsid w:val="00361DEB"/>
    <w:pPr>
      <w:spacing w:after="0"/>
    </w:pPr>
    <w:rPr>
      <w:color w:val="00728F" w:themeColor="text1"/>
    </w:rPr>
    <w:tblPr>
      <w:tblStyleRowBandSize w:val="1"/>
      <w:tblStyleColBandSize w:val="1"/>
    </w:tblPr>
    <w:tcPr>
      <w:shd w:val="clear" w:color="auto" w:fill="FBFDFD" w:themeFill="accent3" w:themeFillTint="19"/>
    </w:tcPr>
    <w:tblStylePr w:type="firstRow">
      <w:rPr>
        <w:b/>
        <w:bCs/>
        <w:color w:val="FFFFFF" w:themeColor="background1"/>
      </w:rPr>
      <w:tblPr/>
      <w:tcPr>
        <w:tcBorders>
          <w:bottom w:val="single" w:sz="12" w:space="0" w:color="FFFFFF" w:themeColor="background1"/>
        </w:tcBorders>
        <w:shd w:val="clear" w:color="auto" w:fill="5AB3CA" w:themeFill="accent4" w:themeFillShade="CC"/>
      </w:tcPr>
    </w:tblStylePr>
    <w:tblStylePr w:type="lastRow">
      <w:rPr>
        <w:b/>
        <w:bCs/>
        <w:color w:val="5AB3CA" w:themeColor="accent4"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AFC" w:themeFill="accent3" w:themeFillTint="3F"/>
      </w:tcPr>
    </w:tblStylePr>
    <w:tblStylePr w:type="band1Horz">
      <w:tblPr/>
      <w:tcPr>
        <w:shd w:val="clear" w:color="auto" w:fill="F7FBFC" w:themeFill="accent3" w:themeFillTint="33"/>
      </w:tcPr>
    </w:tblStylePr>
  </w:style>
  <w:style w:type="table" w:styleId="ColorfulList-Accent4">
    <w:name w:val="Colorful List Accent 4"/>
    <w:basedOn w:val="TableNormal"/>
    <w:uiPriority w:val="99"/>
    <w:semiHidden/>
    <w:rsid w:val="00361DEB"/>
    <w:pPr>
      <w:spacing w:after="0"/>
    </w:pPr>
    <w:rPr>
      <w:color w:val="00728F" w:themeColor="text1"/>
    </w:rPr>
    <w:tblPr>
      <w:tblStyleRowBandSize w:val="1"/>
      <w:tblStyleColBandSize w:val="1"/>
    </w:tblPr>
    <w:tcPr>
      <w:shd w:val="clear" w:color="auto" w:fill="F4FAFB" w:themeFill="accent4" w:themeFillTint="19"/>
    </w:tcPr>
    <w:tblStylePr w:type="firstRow">
      <w:rPr>
        <w:b/>
        <w:bCs/>
        <w:color w:val="FFFFFF" w:themeColor="background1"/>
      </w:rPr>
      <w:tblPr/>
      <w:tcPr>
        <w:tcBorders>
          <w:bottom w:val="single" w:sz="12" w:space="0" w:color="FFFFFF" w:themeColor="background1"/>
        </w:tcBorders>
        <w:shd w:val="clear" w:color="auto" w:fill="95CCDB" w:themeFill="accent3" w:themeFillShade="CC"/>
      </w:tcPr>
    </w:tblStylePr>
    <w:tblStylePr w:type="lastRow">
      <w:rPr>
        <w:b/>
        <w:bCs/>
        <w:color w:val="95CCDB" w:themeColor="accent3"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2F6" w:themeFill="accent4" w:themeFillTint="3F"/>
      </w:tcPr>
    </w:tblStylePr>
    <w:tblStylePr w:type="band1Horz">
      <w:tblPr/>
      <w:tcPr>
        <w:shd w:val="clear" w:color="auto" w:fill="E9F4F8" w:themeFill="accent4" w:themeFillTint="33"/>
      </w:tcPr>
    </w:tblStylePr>
  </w:style>
  <w:style w:type="table" w:styleId="ColorfulList-Accent5">
    <w:name w:val="Colorful List Accent 5"/>
    <w:basedOn w:val="TableNormal"/>
    <w:uiPriority w:val="99"/>
    <w:semiHidden/>
    <w:rsid w:val="00361DEB"/>
    <w:pPr>
      <w:spacing w:after="0"/>
    </w:pPr>
    <w:rPr>
      <w:color w:val="00728F" w:themeColor="text1"/>
    </w:rPr>
    <w:tblPr>
      <w:tblStyleRowBandSize w:val="1"/>
      <w:tblStyleColBandSize w:val="1"/>
    </w:tblPr>
    <w:tcPr>
      <w:shd w:val="clear" w:color="auto" w:fill="E8F4F7" w:themeFill="accent5" w:themeFillTint="19"/>
    </w:tcPr>
    <w:tblStylePr w:type="firstRow">
      <w:rPr>
        <w:b/>
        <w:bCs/>
        <w:color w:val="FFFFFF" w:themeColor="background1"/>
      </w:rPr>
      <w:tblPr/>
      <w:tcPr>
        <w:tcBorders>
          <w:bottom w:val="single" w:sz="12" w:space="0" w:color="FFFFFF" w:themeColor="background1"/>
        </w:tcBorders>
        <w:shd w:val="clear" w:color="auto" w:fill="3A9FB9" w:themeFill="accent6" w:themeFillShade="CC"/>
      </w:tcPr>
    </w:tblStylePr>
    <w:tblStylePr w:type="lastRow">
      <w:rPr>
        <w:b/>
        <w:bCs/>
        <w:color w:val="3A9FB9" w:themeColor="accent6"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4EC" w:themeFill="accent5" w:themeFillTint="3F"/>
      </w:tcPr>
    </w:tblStylePr>
    <w:tblStylePr w:type="band1Horz">
      <w:tblPr/>
      <w:tcPr>
        <w:shd w:val="clear" w:color="auto" w:fill="D0E9F0" w:themeFill="accent5" w:themeFillTint="33"/>
      </w:tcPr>
    </w:tblStylePr>
  </w:style>
  <w:style w:type="table" w:styleId="ColorfulList-Accent6">
    <w:name w:val="Colorful List Accent 6"/>
    <w:basedOn w:val="TableNormal"/>
    <w:uiPriority w:val="99"/>
    <w:semiHidden/>
    <w:rsid w:val="00361DEB"/>
    <w:pPr>
      <w:spacing w:after="0"/>
    </w:pPr>
    <w:rPr>
      <w:color w:val="00728F" w:themeColor="text1"/>
    </w:rPr>
    <w:tblPr>
      <w:tblStyleRowBandSize w:val="1"/>
      <w:tblStyleColBandSize w:val="1"/>
    </w:tblPr>
    <w:tcPr>
      <w:shd w:val="clear" w:color="auto" w:fill="EFF8FA" w:themeFill="accent6" w:themeFillTint="19"/>
    </w:tcPr>
    <w:tblStylePr w:type="firstRow">
      <w:rPr>
        <w:b/>
        <w:bCs/>
        <w:color w:val="FFFFFF" w:themeColor="background1"/>
      </w:rPr>
      <w:tblPr/>
      <w:tcPr>
        <w:tcBorders>
          <w:bottom w:val="single" w:sz="12" w:space="0" w:color="FFFFFF" w:themeColor="background1"/>
        </w:tcBorders>
        <w:shd w:val="clear" w:color="auto" w:fill="276A7B" w:themeFill="accent5" w:themeFillShade="CC"/>
      </w:tcPr>
    </w:tblStylePr>
    <w:tblStylePr w:type="lastRow">
      <w:rPr>
        <w:b/>
        <w:bCs/>
        <w:color w:val="276A7B" w:themeColor="accent5" w:themeShade="CC"/>
      </w:rPr>
      <w:tblPr/>
      <w:tcPr>
        <w:tcBorders>
          <w:top w:val="single" w:sz="12" w:space="0" w:color="00728F"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F2" w:themeFill="accent6" w:themeFillTint="3F"/>
      </w:tcPr>
    </w:tblStylePr>
    <w:tblStylePr w:type="band1Horz">
      <w:tblPr/>
      <w:tcPr>
        <w:shd w:val="clear" w:color="auto" w:fill="DFF0F5" w:themeFill="accent6" w:themeFillTint="33"/>
      </w:tcPr>
    </w:tblStylePr>
  </w:style>
  <w:style w:type="table" w:customStyle="1" w:styleId="ColorfulShading1">
    <w:name w:val="Colorful Shading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text1"/>
        <w:bottom w:val="single" w:sz="4" w:space="0" w:color="00728F" w:themeColor="text1"/>
        <w:right w:val="single" w:sz="4" w:space="0" w:color="00728F" w:themeColor="text1"/>
        <w:insideH w:val="single" w:sz="4" w:space="0" w:color="FFFFFF" w:themeColor="background1"/>
        <w:insideV w:val="single" w:sz="4" w:space="0" w:color="FFFFFF" w:themeColor="background1"/>
      </w:tblBorders>
    </w:tblPr>
    <w:tcPr>
      <w:shd w:val="clear" w:color="auto" w:fill="DBF7FF" w:themeFill="tex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text1" w:themeFillShade="99"/>
      </w:tcPr>
    </w:tblStylePr>
    <w:tblStylePr w:type="firstCol">
      <w:rPr>
        <w:color w:val="FFFFFF" w:themeColor="background1"/>
      </w:rPr>
      <w:tblPr/>
      <w:tcPr>
        <w:tcBorders>
          <w:top w:val="nil"/>
          <w:left w:val="nil"/>
          <w:bottom w:val="nil"/>
          <w:right w:val="nil"/>
          <w:insideH w:val="single" w:sz="4" w:space="0" w:color="004455" w:themeColor="text1" w:themeShade="99"/>
          <w:insideV w:val="nil"/>
        </w:tcBorders>
        <w:shd w:val="clear" w:color="auto" w:fill="00445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556B" w:themeFill="text1" w:themeFillShade="BF"/>
      </w:tcPr>
    </w:tblStylePr>
    <w:tblStylePr w:type="band1Vert">
      <w:tblPr/>
      <w:tcPr>
        <w:shd w:val="clear" w:color="auto" w:fill="6CE1FF" w:themeFill="text1" w:themeFillTint="66"/>
      </w:tcPr>
    </w:tblStylePr>
    <w:tblStylePr w:type="band1Horz">
      <w:tblPr/>
      <w:tcPr>
        <w:shd w:val="clear" w:color="auto" w:fill="48D9FF" w:themeFill="text1" w:themeFillTint="7F"/>
      </w:tcPr>
    </w:tblStylePr>
    <w:tblStylePr w:type="neCell">
      <w:rPr>
        <w:color w:val="00728F" w:themeColor="text1"/>
      </w:rPr>
    </w:tblStylePr>
    <w:tblStylePr w:type="nwCell">
      <w:rPr>
        <w:color w:val="00728F" w:themeColor="text1"/>
      </w:rPr>
    </w:tblStylePr>
  </w:style>
  <w:style w:type="table" w:styleId="ColorfulShading-Accent1">
    <w:name w:val="Colorful Shading Accent 1"/>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00728F" w:themeColor="accent1"/>
        <w:bottom w:val="single" w:sz="4" w:space="0" w:color="00728F" w:themeColor="accent1"/>
        <w:right w:val="single" w:sz="4" w:space="0" w:color="00728F" w:themeColor="accent1"/>
        <w:insideH w:val="single" w:sz="4" w:space="0" w:color="FFFFFF" w:themeColor="background1"/>
        <w:insideV w:val="single" w:sz="4" w:space="0" w:color="FFFFFF" w:themeColor="background1"/>
      </w:tblBorders>
    </w:tblPr>
    <w:tcPr>
      <w:shd w:val="clear" w:color="auto" w:fill="DBF7FF" w:themeFill="accent1"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55" w:themeFill="accent1" w:themeFillShade="99"/>
      </w:tcPr>
    </w:tblStylePr>
    <w:tblStylePr w:type="firstCol">
      <w:rPr>
        <w:color w:val="FFFFFF" w:themeColor="background1"/>
      </w:rPr>
      <w:tblPr/>
      <w:tcPr>
        <w:tcBorders>
          <w:top w:val="nil"/>
          <w:left w:val="nil"/>
          <w:bottom w:val="nil"/>
          <w:right w:val="nil"/>
          <w:insideH w:val="single" w:sz="4" w:space="0" w:color="004455" w:themeColor="accent1" w:themeShade="99"/>
          <w:insideV w:val="nil"/>
        </w:tcBorders>
        <w:shd w:val="clear" w:color="auto" w:fill="0044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55" w:themeFill="accent1" w:themeFillShade="99"/>
      </w:tcPr>
    </w:tblStylePr>
    <w:tblStylePr w:type="band1Vert">
      <w:tblPr/>
      <w:tcPr>
        <w:shd w:val="clear" w:color="auto" w:fill="6CE1FF" w:themeFill="accent1" w:themeFillTint="66"/>
      </w:tcPr>
    </w:tblStylePr>
    <w:tblStylePr w:type="band1Horz">
      <w:tblPr/>
      <w:tcPr>
        <w:shd w:val="clear" w:color="auto" w:fill="48D9FF" w:themeFill="accent1" w:themeFillTint="7F"/>
      </w:tcPr>
    </w:tblStylePr>
    <w:tblStylePr w:type="neCell">
      <w:rPr>
        <w:color w:val="00728F" w:themeColor="text1"/>
      </w:rPr>
    </w:tblStylePr>
    <w:tblStylePr w:type="nwCell">
      <w:rPr>
        <w:color w:val="00728F" w:themeColor="text1"/>
      </w:rPr>
    </w:tblStylePr>
  </w:style>
  <w:style w:type="table" w:styleId="ColorfulShading-Accent2">
    <w:name w:val="Colorful Shading Accent 2"/>
    <w:basedOn w:val="TableNormal"/>
    <w:uiPriority w:val="99"/>
    <w:semiHidden/>
    <w:rsid w:val="00361DEB"/>
    <w:pPr>
      <w:spacing w:after="0"/>
    </w:pPr>
    <w:rPr>
      <w:color w:val="00728F" w:themeColor="text1"/>
    </w:rPr>
    <w:tblPr>
      <w:tblStyleRowBandSize w:val="1"/>
      <w:tblStyleColBandSize w:val="1"/>
      <w:tblBorders>
        <w:top w:val="single" w:sz="24" w:space="0" w:color="B7DDE8" w:themeColor="accent2"/>
        <w:left w:val="single" w:sz="4" w:space="0" w:color="B7DDE8" w:themeColor="accent2"/>
        <w:bottom w:val="single" w:sz="4" w:space="0" w:color="B7DDE8" w:themeColor="accent2"/>
        <w:right w:val="single" w:sz="4" w:space="0" w:color="B7DDE8" w:themeColor="accent2"/>
        <w:insideH w:val="single" w:sz="4" w:space="0" w:color="FFFFFF" w:themeColor="background1"/>
        <w:insideV w:val="single" w:sz="4" w:space="0" w:color="FFFFFF" w:themeColor="background1"/>
      </w:tblBorders>
    </w:tblPr>
    <w:tcPr>
      <w:shd w:val="clear" w:color="auto" w:fill="F7FBFC" w:themeFill="accent2" w:themeFillTint="19"/>
    </w:tcPr>
    <w:tblStylePr w:type="firstRow">
      <w:rPr>
        <w:b/>
        <w:bCs/>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9FBC" w:themeFill="accent2" w:themeFillShade="99"/>
      </w:tcPr>
    </w:tblStylePr>
    <w:tblStylePr w:type="firstCol">
      <w:rPr>
        <w:color w:val="FFFFFF" w:themeColor="background1"/>
      </w:rPr>
      <w:tblPr/>
      <w:tcPr>
        <w:tcBorders>
          <w:top w:val="nil"/>
          <w:left w:val="nil"/>
          <w:bottom w:val="nil"/>
          <w:right w:val="nil"/>
          <w:insideH w:val="single" w:sz="4" w:space="0" w:color="3C9FBC" w:themeColor="accent2" w:themeShade="99"/>
          <w:insideV w:val="nil"/>
        </w:tcBorders>
        <w:shd w:val="clear" w:color="auto" w:fill="3C9FB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9FBC" w:themeFill="accent2" w:themeFillShade="99"/>
      </w:tcPr>
    </w:tblStylePr>
    <w:tblStylePr w:type="band1Vert">
      <w:tblPr/>
      <w:tcPr>
        <w:shd w:val="clear" w:color="auto" w:fill="E2F1F5" w:themeFill="accent2" w:themeFillTint="66"/>
      </w:tcPr>
    </w:tblStylePr>
    <w:tblStylePr w:type="band1Horz">
      <w:tblPr/>
      <w:tcPr>
        <w:shd w:val="clear" w:color="auto" w:fill="DBEEF3" w:themeFill="accent2" w:themeFillTint="7F"/>
      </w:tcPr>
    </w:tblStylePr>
    <w:tblStylePr w:type="neCell">
      <w:rPr>
        <w:color w:val="00728F" w:themeColor="text1"/>
      </w:rPr>
    </w:tblStylePr>
    <w:tblStylePr w:type="nwCell">
      <w:rPr>
        <w:color w:val="00728F" w:themeColor="text1"/>
      </w:rPr>
    </w:tblStylePr>
  </w:style>
  <w:style w:type="table" w:styleId="ColorfulShading-Accent3">
    <w:name w:val="Colorful Shading Accent 3"/>
    <w:basedOn w:val="TableNormal"/>
    <w:uiPriority w:val="99"/>
    <w:semiHidden/>
    <w:rsid w:val="00361DEB"/>
    <w:pPr>
      <w:spacing w:after="0"/>
    </w:pPr>
    <w:rPr>
      <w:color w:val="00728F" w:themeColor="text1"/>
    </w:rPr>
    <w:tblPr>
      <w:tblStyleRowBandSize w:val="1"/>
      <w:tblStyleColBandSize w:val="1"/>
      <w:tblBorders>
        <w:top w:val="single" w:sz="24" w:space="0" w:color="92CDDC" w:themeColor="accent4"/>
        <w:left w:val="single" w:sz="4" w:space="0" w:color="DBEEF3" w:themeColor="accent3"/>
        <w:bottom w:val="single" w:sz="4" w:space="0" w:color="DBEEF3" w:themeColor="accent3"/>
        <w:right w:val="single" w:sz="4" w:space="0" w:color="DBEEF3" w:themeColor="accent3"/>
        <w:insideH w:val="single" w:sz="4" w:space="0" w:color="FFFFFF" w:themeColor="background1"/>
        <w:insideV w:val="single" w:sz="4" w:space="0" w:color="FFFFFF" w:themeColor="background1"/>
      </w:tblBorders>
    </w:tblPr>
    <w:tcPr>
      <w:shd w:val="clear" w:color="auto" w:fill="FBFDFD" w:themeFill="accent3" w:themeFillTint="19"/>
    </w:tcPr>
    <w:tblStylePr w:type="firstRow">
      <w:rPr>
        <w:b/>
        <w:bCs/>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ACC4" w:themeFill="accent3" w:themeFillShade="99"/>
      </w:tcPr>
    </w:tblStylePr>
    <w:tblStylePr w:type="firstCol">
      <w:rPr>
        <w:color w:val="FFFFFF" w:themeColor="background1"/>
      </w:rPr>
      <w:tblPr/>
      <w:tcPr>
        <w:tcBorders>
          <w:top w:val="nil"/>
          <w:left w:val="nil"/>
          <w:bottom w:val="nil"/>
          <w:right w:val="nil"/>
          <w:insideH w:val="single" w:sz="4" w:space="0" w:color="50ACC4" w:themeColor="accent3" w:themeShade="99"/>
          <w:insideV w:val="nil"/>
        </w:tcBorders>
        <w:shd w:val="clear" w:color="auto" w:fill="50ACC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0ACC4" w:themeFill="accent3" w:themeFillShade="99"/>
      </w:tcPr>
    </w:tblStylePr>
    <w:tblStylePr w:type="band1Vert">
      <w:tblPr/>
      <w:tcPr>
        <w:shd w:val="clear" w:color="auto" w:fill="F0F8FA" w:themeFill="accent3" w:themeFillTint="66"/>
      </w:tcPr>
    </w:tblStylePr>
    <w:tblStylePr w:type="band1Horz">
      <w:tblPr/>
      <w:tcPr>
        <w:shd w:val="clear" w:color="auto" w:fill="EDF6F9" w:themeFill="accent3" w:themeFillTint="7F"/>
      </w:tcPr>
    </w:tblStylePr>
  </w:style>
  <w:style w:type="table" w:styleId="ColorfulShading-Accent4">
    <w:name w:val="Colorful Shading Accent 4"/>
    <w:basedOn w:val="TableNormal"/>
    <w:uiPriority w:val="99"/>
    <w:semiHidden/>
    <w:rsid w:val="00361DEB"/>
    <w:pPr>
      <w:spacing w:after="0"/>
    </w:pPr>
    <w:rPr>
      <w:color w:val="00728F" w:themeColor="text1"/>
    </w:rPr>
    <w:tblPr>
      <w:tblStyleRowBandSize w:val="1"/>
      <w:tblStyleColBandSize w:val="1"/>
      <w:tblBorders>
        <w:top w:val="single" w:sz="24" w:space="0" w:color="DBEEF3" w:themeColor="accent3"/>
        <w:left w:val="single" w:sz="4" w:space="0" w:color="92CDDC" w:themeColor="accent4"/>
        <w:bottom w:val="single" w:sz="4" w:space="0" w:color="92CDDC" w:themeColor="accent4"/>
        <w:right w:val="single" w:sz="4" w:space="0" w:color="92CDDC" w:themeColor="accent4"/>
        <w:insideH w:val="single" w:sz="4" w:space="0" w:color="FFFFFF" w:themeColor="background1"/>
        <w:insideV w:val="single" w:sz="4" w:space="0" w:color="FFFFFF" w:themeColor="background1"/>
      </w:tblBorders>
    </w:tblPr>
    <w:tcPr>
      <w:shd w:val="clear" w:color="auto" w:fill="F4FAFB" w:themeFill="accent4" w:themeFillTint="19"/>
    </w:tcPr>
    <w:tblStylePr w:type="firstRow">
      <w:rPr>
        <w:b/>
        <w:bCs/>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8FA6" w:themeFill="accent4" w:themeFillShade="99"/>
      </w:tcPr>
    </w:tblStylePr>
    <w:tblStylePr w:type="firstCol">
      <w:rPr>
        <w:color w:val="FFFFFF" w:themeColor="background1"/>
      </w:rPr>
      <w:tblPr/>
      <w:tcPr>
        <w:tcBorders>
          <w:top w:val="nil"/>
          <w:left w:val="nil"/>
          <w:bottom w:val="nil"/>
          <w:right w:val="nil"/>
          <w:insideH w:val="single" w:sz="4" w:space="0" w:color="358FA6" w:themeColor="accent4" w:themeShade="99"/>
          <w:insideV w:val="nil"/>
        </w:tcBorders>
        <w:shd w:val="clear" w:color="auto" w:fill="358FA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8FA6" w:themeFill="accent4" w:themeFillShade="99"/>
      </w:tcPr>
    </w:tblStylePr>
    <w:tblStylePr w:type="band1Vert">
      <w:tblPr/>
      <w:tcPr>
        <w:shd w:val="clear" w:color="auto" w:fill="D3EAF1" w:themeFill="accent4" w:themeFillTint="66"/>
      </w:tcPr>
    </w:tblStylePr>
    <w:tblStylePr w:type="band1Horz">
      <w:tblPr/>
      <w:tcPr>
        <w:shd w:val="clear" w:color="auto" w:fill="C8E5ED" w:themeFill="accent4" w:themeFillTint="7F"/>
      </w:tcPr>
    </w:tblStylePr>
    <w:tblStylePr w:type="neCell">
      <w:rPr>
        <w:color w:val="00728F" w:themeColor="text1"/>
      </w:rPr>
    </w:tblStylePr>
    <w:tblStylePr w:type="nwCell">
      <w:rPr>
        <w:color w:val="00728F" w:themeColor="text1"/>
      </w:rPr>
    </w:tblStylePr>
  </w:style>
  <w:style w:type="table" w:styleId="ColorfulShading-Accent5">
    <w:name w:val="Colorful Shading Accent 5"/>
    <w:basedOn w:val="TableNormal"/>
    <w:uiPriority w:val="99"/>
    <w:semiHidden/>
    <w:rsid w:val="00361DEB"/>
    <w:pPr>
      <w:spacing w:after="0"/>
    </w:pPr>
    <w:rPr>
      <w:color w:val="00728F" w:themeColor="text1"/>
    </w:rPr>
    <w:tblPr>
      <w:tblStyleRowBandSize w:val="1"/>
      <w:tblStyleColBandSize w:val="1"/>
      <w:tblBorders>
        <w:top w:val="single" w:sz="24" w:space="0" w:color="64B8CE" w:themeColor="accent6"/>
        <w:left w:val="single" w:sz="4" w:space="0" w:color="31859B" w:themeColor="accent5"/>
        <w:bottom w:val="single" w:sz="4" w:space="0" w:color="31859B" w:themeColor="accent5"/>
        <w:right w:val="single" w:sz="4" w:space="0" w:color="31859B" w:themeColor="accent5"/>
        <w:insideH w:val="single" w:sz="4" w:space="0" w:color="FFFFFF" w:themeColor="background1"/>
        <w:insideV w:val="single" w:sz="4" w:space="0" w:color="FFFFFF" w:themeColor="background1"/>
      </w:tblBorders>
    </w:tblPr>
    <w:tcPr>
      <w:shd w:val="clear" w:color="auto" w:fill="E8F4F7" w:themeFill="accent5" w:themeFillTint="19"/>
    </w:tcPr>
    <w:tblStylePr w:type="firstRow">
      <w:rPr>
        <w:b/>
        <w:bCs/>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F5C" w:themeFill="accent5" w:themeFillShade="99"/>
      </w:tcPr>
    </w:tblStylePr>
    <w:tblStylePr w:type="firstCol">
      <w:rPr>
        <w:color w:val="FFFFFF" w:themeColor="background1"/>
      </w:rPr>
      <w:tblPr/>
      <w:tcPr>
        <w:tcBorders>
          <w:top w:val="nil"/>
          <w:left w:val="nil"/>
          <w:bottom w:val="nil"/>
          <w:right w:val="nil"/>
          <w:insideH w:val="single" w:sz="4" w:space="0" w:color="1D4F5C" w:themeColor="accent5" w:themeShade="99"/>
          <w:insideV w:val="nil"/>
        </w:tcBorders>
        <w:shd w:val="clear" w:color="auto" w:fill="1D4F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D4F5C" w:themeFill="accent5" w:themeFillShade="99"/>
      </w:tcPr>
    </w:tblStylePr>
    <w:tblStylePr w:type="band1Vert">
      <w:tblPr/>
      <w:tcPr>
        <w:shd w:val="clear" w:color="auto" w:fill="A1D4E1" w:themeFill="accent5" w:themeFillTint="66"/>
      </w:tcPr>
    </w:tblStylePr>
    <w:tblStylePr w:type="band1Horz">
      <w:tblPr/>
      <w:tcPr>
        <w:shd w:val="clear" w:color="auto" w:fill="8BC9DA" w:themeFill="accent5" w:themeFillTint="7F"/>
      </w:tcPr>
    </w:tblStylePr>
    <w:tblStylePr w:type="neCell">
      <w:rPr>
        <w:color w:val="00728F" w:themeColor="text1"/>
      </w:rPr>
    </w:tblStylePr>
    <w:tblStylePr w:type="nwCell">
      <w:rPr>
        <w:color w:val="00728F" w:themeColor="text1"/>
      </w:rPr>
    </w:tblStylePr>
  </w:style>
  <w:style w:type="table" w:styleId="ColorfulShading-Accent6">
    <w:name w:val="Colorful Shading Accent 6"/>
    <w:basedOn w:val="TableNormal"/>
    <w:uiPriority w:val="99"/>
    <w:semiHidden/>
    <w:rsid w:val="00361DEB"/>
    <w:pPr>
      <w:spacing w:after="0"/>
    </w:pPr>
    <w:rPr>
      <w:color w:val="00728F" w:themeColor="text1"/>
    </w:rPr>
    <w:tblPr>
      <w:tblStyleRowBandSize w:val="1"/>
      <w:tblStyleColBandSize w:val="1"/>
      <w:tblBorders>
        <w:top w:val="single" w:sz="24" w:space="0" w:color="31859B" w:themeColor="accent5"/>
        <w:left w:val="single" w:sz="4" w:space="0" w:color="64B8CE" w:themeColor="accent6"/>
        <w:bottom w:val="single" w:sz="4" w:space="0" w:color="64B8CE" w:themeColor="accent6"/>
        <w:right w:val="single" w:sz="4" w:space="0" w:color="64B8CE" w:themeColor="accent6"/>
        <w:insideH w:val="single" w:sz="4" w:space="0" w:color="FFFFFF" w:themeColor="background1"/>
        <w:insideV w:val="single" w:sz="4" w:space="0" w:color="FFFFFF" w:themeColor="background1"/>
      </w:tblBorders>
    </w:tblPr>
    <w:tcPr>
      <w:shd w:val="clear" w:color="auto" w:fill="EFF8FA" w:themeFill="accent6" w:themeFillTint="19"/>
    </w:tcPr>
    <w:tblStylePr w:type="firstRow">
      <w:rPr>
        <w:b/>
        <w:bCs/>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78B" w:themeFill="accent6" w:themeFillShade="99"/>
      </w:tcPr>
    </w:tblStylePr>
    <w:tblStylePr w:type="firstCol">
      <w:rPr>
        <w:color w:val="FFFFFF" w:themeColor="background1"/>
      </w:rPr>
      <w:tblPr/>
      <w:tcPr>
        <w:tcBorders>
          <w:top w:val="nil"/>
          <w:left w:val="nil"/>
          <w:bottom w:val="nil"/>
          <w:right w:val="nil"/>
          <w:insideH w:val="single" w:sz="4" w:space="0" w:color="2C778B" w:themeColor="accent6" w:themeShade="99"/>
          <w:insideV w:val="nil"/>
        </w:tcBorders>
        <w:shd w:val="clear" w:color="auto" w:fill="2C778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C778B" w:themeFill="accent6" w:themeFillShade="99"/>
      </w:tcPr>
    </w:tblStylePr>
    <w:tblStylePr w:type="band1Vert">
      <w:tblPr/>
      <w:tcPr>
        <w:shd w:val="clear" w:color="auto" w:fill="C0E2EB" w:themeFill="accent6" w:themeFillTint="66"/>
      </w:tcPr>
    </w:tblStylePr>
    <w:tblStylePr w:type="band1Horz">
      <w:tblPr/>
      <w:tcPr>
        <w:shd w:val="clear" w:color="auto" w:fill="B1DBE6" w:themeFill="accent6" w:themeFillTint="7F"/>
      </w:tcPr>
    </w:tblStylePr>
    <w:tblStylePr w:type="neCell">
      <w:rPr>
        <w:color w:val="00728F" w:themeColor="text1"/>
      </w:rPr>
    </w:tblStylePr>
    <w:tblStylePr w:type="nwCell">
      <w:rPr>
        <w:color w:val="00728F" w:themeColor="text1"/>
      </w:rPr>
    </w:tblStylePr>
  </w:style>
  <w:style w:type="table" w:customStyle="1" w:styleId="DarkList1">
    <w:name w:val="Dark List1"/>
    <w:basedOn w:val="TableNormal"/>
    <w:uiPriority w:val="99"/>
    <w:semiHidden/>
    <w:rsid w:val="00361DEB"/>
    <w:pPr>
      <w:spacing w:after="0"/>
    </w:pPr>
    <w:rPr>
      <w:color w:val="FFFFFF" w:themeColor="background1"/>
    </w:rPr>
    <w:tblPr>
      <w:tblStyleRowBandSize w:val="1"/>
      <w:tblStyleColBandSize w:val="1"/>
    </w:tblPr>
    <w:tcPr>
      <w:shd w:val="clear" w:color="auto" w:fill="00728F"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text1" w:themeFillShade="BF"/>
      </w:tcPr>
    </w:tblStylePr>
    <w:tblStylePr w:type="band1Vert">
      <w:tblPr/>
      <w:tcPr>
        <w:tcBorders>
          <w:top w:val="nil"/>
          <w:left w:val="nil"/>
          <w:bottom w:val="nil"/>
          <w:right w:val="nil"/>
          <w:insideH w:val="nil"/>
          <w:insideV w:val="nil"/>
        </w:tcBorders>
        <w:shd w:val="clear" w:color="auto" w:fill="00556B" w:themeFill="text1" w:themeFillShade="BF"/>
      </w:tcPr>
    </w:tblStylePr>
    <w:tblStylePr w:type="band1Horz">
      <w:tblPr/>
      <w:tcPr>
        <w:tcBorders>
          <w:top w:val="nil"/>
          <w:left w:val="nil"/>
          <w:bottom w:val="nil"/>
          <w:right w:val="nil"/>
          <w:insideH w:val="nil"/>
          <w:insideV w:val="nil"/>
        </w:tcBorders>
        <w:shd w:val="clear" w:color="auto" w:fill="00556B" w:themeFill="text1" w:themeFillShade="BF"/>
      </w:tcPr>
    </w:tblStylePr>
  </w:style>
  <w:style w:type="table" w:styleId="DarkList-Accent1">
    <w:name w:val="Dark List Accent 1"/>
    <w:basedOn w:val="TableNormal"/>
    <w:uiPriority w:val="99"/>
    <w:semiHidden/>
    <w:rsid w:val="00361DEB"/>
    <w:pPr>
      <w:spacing w:after="0"/>
    </w:pPr>
    <w:rPr>
      <w:color w:val="FFFFFF" w:themeColor="background1"/>
    </w:rPr>
    <w:tblPr>
      <w:tblStyleRowBandSize w:val="1"/>
      <w:tblStyleColBandSize w:val="1"/>
    </w:tblPr>
    <w:tcPr>
      <w:shd w:val="clear" w:color="auto" w:fill="0072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00384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6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6B" w:themeFill="accent1" w:themeFillShade="BF"/>
      </w:tcPr>
    </w:tblStylePr>
    <w:tblStylePr w:type="band1Vert">
      <w:tblPr/>
      <w:tcPr>
        <w:tcBorders>
          <w:top w:val="nil"/>
          <w:left w:val="nil"/>
          <w:bottom w:val="nil"/>
          <w:right w:val="nil"/>
          <w:insideH w:val="nil"/>
          <w:insideV w:val="nil"/>
        </w:tcBorders>
        <w:shd w:val="clear" w:color="auto" w:fill="00556B" w:themeFill="accent1" w:themeFillShade="BF"/>
      </w:tcPr>
    </w:tblStylePr>
    <w:tblStylePr w:type="band1Horz">
      <w:tblPr/>
      <w:tcPr>
        <w:tcBorders>
          <w:top w:val="nil"/>
          <w:left w:val="nil"/>
          <w:bottom w:val="nil"/>
          <w:right w:val="nil"/>
          <w:insideH w:val="nil"/>
          <w:insideV w:val="nil"/>
        </w:tcBorders>
        <w:shd w:val="clear" w:color="auto" w:fill="00556B" w:themeFill="accent1" w:themeFillShade="BF"/>
      </w:tcPr>
    </w:tblStylePr>
  </w:style>
  <w:style w:type="table" w:styleId="DarkList-Accent2">
    <w:name w:val="Dark List Accent 2"/>
    <w:basedOn w:val="TableNormal"/>
    <w:uiPriority w:val="99"/>
    <w:semiHidden/>
    <w:rsid w:val="00361DEB"/>
    <w:pPr>
      <w:spacing w:after="0"/>
    </w:pPr>
    <w:rPr>
      <w:color w:val="FFFFFF" w:themeColor="background1"/>
    </w:rPr>
    <w:tblPr>
      <w:tblStyleRowBandSize w:val="1"/>
      <w:tblStyleColBandSize w:val="1"/>
    </w:tblPr>
    <w:tcPr>
      <w:shd w:val="clear" w:color="auto" w:fill="B7DDE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2849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B7C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B7CE" w:themeFill="accent2" w:themeFillShade="BF"/>
      </w:tcPr>
    </w:tblStylePr>
    <w:tblStylePr w:type="band1Vert">
      <w:tblPr/>
      <w:tcPr>
        <w:tcBorders>
          <w:top w:val="nil"/>
          <w:left w:val="nil"/>
          <w:bottom w:val="nil"/>
          <w:right w:val="nil"/>
          <w:insideH w:val="nil"/>
          <w:insideV w:val="nil"/>
        </w:tcBorders>
        <w:shd w:val="clear" w:color="auto" w:fill="67B7CE" w:themeFill="accent2" w:themeFillShade="BF"/>
      </w:tcPr>
    </w:tblStylePr>
    <w:tblStylePr w:type="band1Horz">
      <w:tblPr/>
      <w:tcPr>
        <w:tcBorders>
          <w:top w:val="nil"/>
          <w:left w:val="nil"/>
          <w:bottom w:val="nil"/>
          <w:right w:val="nil"/>
          <w:insideH w:val="nil"/>
          <w:insideV w:val="nil"/>
        </w:tcBorders>
        <w:shd w:val="clear" w:color="auto" w:fill="67B7CE" w:themeFill="accent2" w:themeFillShade="BF"/>
      </w:tcPr>
    </w:tblStylePr>
  </w:style>
  <w:style w:type="table" w:styleId="DarkList-Accent3">
    <w:name w:val="Dark List Accent 3"/>
    <w:basedOn w:val="TableNormal"/>
    <w:uiPriority w:val="99"/>
    <w:semiHidden/>
    <w:rsid w:val="00361DEB"/>
    <w:pPr>
      <w:spacing w:after="0"/>
    </w:pPr>
    <w:rPr>
      <w:color w:val="FFFFFF" w:themeColor="background1"/>
    </w:rPr>
    <w:tblPr>
      <w:tblStyleRowBandSize w:val="1"/>
      <w:tblStyleColBandSize w:val="1"/>
    </w:tblPr>
    <w:tcPr>
      <w:shd w:val="clear" w:color="auto" w:fill="DBEEF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3994A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C4D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C4D6" w:themeFill="accent3" w:themeFillShade="BF"/>
      </w:tcPr>
    </w:tblStylePr>
    <w:tblStylePr w:type="band1Vert">
      <w:tblPr/>
      <w:tcPr>
        <w:tcBorders>
          <w:top w:val="nil"/>
          <w:left w:val="nil"/>
          <w:bottom w:val="nil"/>
          <w:right w:val="nil"/>
          <w:insideH w:val="nil"/>
          <w:insideV w:val="nil"/>
        </w:tcBorders>
        <w:shd w:val="clear" w:color="auto" w:fill="84C4D6" w:themeFill="accent3" w:themeFillShade="BF"/>
      </w:tcPr>
    </w:tblStylePr>
    <w:tblStylePr w:type="band1Horz">
      <w:tblPr/>
      <w:tcPr>
        <w:tcBorders>
          <w:top w:val="nil"/>
          <w:left w:val="nil"/>
          <w:bottom w:val="nil"/>
          <w:right w:val="nil"/>
          <w:insideH w:val="nil"/>
          <w:insideV w:val="nil"/>
        </w:tcBorders>
        <w:shd w:val="clear" w:color="auto" w:fill="84C4D6" w:themeFill="accent3" w:themeFillShade="BF"/>
      </w:tcPr>
    </w:tblStylePr>
  </w:style>
  <w:style w:type="table" w:styleId="DarkList-Accent4">
    <w:name w:val="Dark List Accent 4"/>
    <w:basedOn w:val="TableNormal"/>
    <w:uiPriority w:val="99"/>
    <w:semiHidden/>
    <w:rsid w:val="00361DEB"/>
    <w:pPr>
      <w:spacing w:after="0"/>
    </w:pPr>
    <w:rPr>
      <w:color w:val="FFFFFF" w:themeColor="background1"/>
    </w:rPr>
    <w:tblPr>
      <w:tblStyleRowBandSize w:val="1"/>
      <w:tblStyleColBandSize w:val="1"/>
    </w:tblPr>
    <w:tcPr>
      <w:shd w:val="clear" w:color="auto" w:fill="92CDD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C768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CACC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CACC5" w:themeFill="accent4" w:themeFillShade="BF"/>
      </w:tcPr>
    </w:tblStylePr>
    <w:tblStylePr w:type="band1Vert">
      <w:tblPr/>
      <w:tcPr>
        <w:tcBorders>
          <w:top w:val="nil"/>
          <w:left w:val="nil"/>
          <w:bottom w:val="nil"/>
          <w:right w:val="nil"/>
          <w:insideH w:val="nil"/>
          <w:insideV w:val="nil"/>
        </w:tcBorders>
        <w:shd w:val="clear" w:color="auto" w:fill="4CACC5" w:themeFill="accent4" w:themeFillShade="BF"/>
      </w:tcPr>
    </w:tblStylePr>
    <w:tblStylePr w:type="band1Horz">
      <w:tblPr/>
      <w:tcPr>
        <w:tcBorders>
          <w:top w:val="nil"/>
          <w:left w:val="nil"/>
          <w:bottom w:val="nil"/>
          <w:right w:val="nil"/>
          <w:insideH w:val="nil"/>
          <w:insideV w:val="nil"/>
        </w:tcBorders>
        <w:shd w:val="clear" w:color="auto" w:fill="4CACC5" w:themeFill="accent4" w:themeFillShade="BF"/>
      </w:tcPr>
    </w:tblStylePr>
  </w:style>
  <w:style w:type="table" w:styleId="DarkList-Accent5">
    <w:name w:val="Dark List Accent 5"/>
    <w:basedOn w:val="TableNormal"/>
    <w:uiPriority w:val="99"/>
    <w:semiHidden/>
    <w:rsid w:val="00361DEB"/>
    <w:pPr>
      <w:spacing w:after="0"/>
    </w:pPr>
    <w:rPr>
      <w:color w:val="FFFFFF" w:themeColor="background1"/>
    </w:rPr>
    <w:tblPr>
      <w:tblStyleRowBandSize w:val="1"/>
      <w:tblStyleColBandSize w:val="1"/>
    </w:tblPr>
    <w:tcPr>
      <w:shd w:val="clear" w:color="auto" w:fill="31859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18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63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6373" w:themeFill="accent5" w:themeFillShade="BF"/>
      </w:tcPr>
    </w:tblStylePr>
    <w:tblStylePr w:type="band1Vert">
      <w:tblPr/>
      <w:tcPr>
        <w:tcBorders>
          <w:top w:val="nil"/>
          <w:left w:val="nil"/>
          <w:bottom w:val="nil"/>
          <w:right w:val="nil"/>
          <w:insideH w:val="nil"/>
          <w:insideV w:val="nil"/>
        </w:tcBorders>
        <w:shd w:val="clear" w:color="auto" w:fill="246373" w:themeFill="accent5" w:themeFillShade="BF"/>
      </w:tcPr>
    </w:tblStylePr>
    <w:tblStylePr w:type="band1Horz">
      <w:tblPr/>
      <w:tcPr>
        <w:tcBorders>
          <w:top w:val="nil"/>
          <w:left w:val="nil"/>
          <w:bottom w:val="nil"/>
          <w:right w:val="nil"/>
          <w:insideH w:val="nil"/>
          <w:insideV w:val="nil"/>
        </w:tcBorders>
        <w:shd w:val="clear" w:color="auto" w:fill="246373" w:themeFill="accent5" w:themeFillShade="BF"/>
      </w:tcPr>
    </w:tblStylePr>
  </w:style>
  <w:style w:type="table" w:styleId="DarkList-Accent6">
    <w:name w:val="Dark List Accent 6"/>
    <w:basedOn w:val="TableNormal"/>
    <w:uiPriority w:val="99"/>
    <w:semiHidden/>
    <w:rsid w:val="00361DEB"/>
    <w:pPr>
      <w:spacing w:after="0"/>
    </w:pPr>
    <w:rPr>
      <w:color w:val="FFFFFF" w:themeColor="background1"/>
    </w:rPr>
    <w:tblPr>
      <w:tblStyleRowBandSize w:val="1"/>
      <w:tblStyleColBandSize w:val="1"/>
    </w:tblPr>
    <w:tcPr>
      <w:shd w:val="clear" w:color="auto" w:fill="64B8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728F" w:themeFill="text1"/>
      </w:tcPr>
    </w:tblStylePr>
    <w:tblStylePr w:type="lastRow">
      <w:tblPr/>
      <w:tcPr>
        <w:tcBorders>
          <w:top w:val="single" w:sz="18" w:space="0" w:color="FFFFFF" w:themeColor="background1"/>
          <w:left w:val="nil"/>
          <w:bottom w:val="nil"/>
          <w:right w:val="nil"/>
          <w:insideH w:val="nil"/>
          <w:insideV w:val="nil"/>
        </w:tcBorders>
        <w:shd w:val="clear" w:color="auto" w:fill="24637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795A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795AD" w:themeFill="accent6" w:themeFillShade="BF"/>
      </w:tcPr>
    </w:tblStylePr>
    <w:tblStylePr w:type="band1Vert">
      <w:tblPr/>
      <w:tcPr>
        <w:tcBorders>
          <w:top w:val="nil"/>
          <w:left w:val="nil"/>
          <w:bottom w:val="nil"/>
          <w:right w:val="nil"/>
          <w:insideH w:val="nil"/>
          <w:insideV w:val="nil"/>
        </w:tcBorders>
        <w:shd w:val="clear" w:color="auto" w:fill="3795AD" w:themeFill="accent6" w:themeFillShade="BF"/>
      </w:tcPr>
    </w:tblStylePr>
    <w:tblStylePr w:type="band1Horz">
      <w:tblPr/>
      <w:tcPr>
        <w:tcBorders>
          <w:top w:val="nil"/>
          <w:left w:val="nil"/>
          <w:bottom w:val="nil"/>
          <w:right w:val="nil"/>
          <w:insideH w:val="nil"/>
          <w:insideV w:val="nil"/>
        </w:tcBorders>
        <w:shd w:val="clear" w:color="auto" w:fill="3795AD" w:themeFill="accent6" w:themeFillShade="BF"/>
      </w:tcPr>
    </w:tblStylePr>
  </w:style>
  <w:style w:type="table" w:customStyle="1" w:styleId="LightGrid1">
    <w:name w:val="Light Grid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18" w:space="0" w:color="00728F" w:themeColor="text1"/>
          <w:right w:val="single" w:sz="8" w:space="0" w:color="00728F" w:themeColor="text1"/>
          <w:insideH w:val="nil"/>
          <w:insideV w:val="single" w:sz="8" w:space="0" w:color="00728F"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insideH w:val="nil"/>
          <w:insideV w:val="single" w:sz="8" w:space="0" w:color="00728F"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shd w:val="clear" w:color="auto" w:fill="A4ECFF" w:themeFill="text1" w:themeFillTint="3F"/>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shd w:val="clear" w:color="auto" w:fill="A4ECFF" w:themeFill="text1" w:themeFillTint="3F"/>
      </w:tcPr>
    </w:tblStylePr>
    <w:tblStylePr w:type="band2Horz">
      <w:tblPr/>
      <w:tcPr>
        <w:tcBorders>
          <w:top w:val="single" w:sz="8" w:space="0" w:color="00728F" w:themeColor="text1"/>
          <w:left w:val="single" w:sz="8" w:space="0" w:color="00728F" w:themeColor="text1"/>
          <w:bottom w:val="single" w:sz="8" w:space="0" w:color="00728F" w:themeColor="text1"/>
          <w:right w:val="single" w:sz="8" w:space="0" w:color="00728F" w:themeColor="text1"/>
          <w:insideV w:val="single" w:sz="8" w:space="0" w:color="00728F" w:themeColor="text1"/>
        </w:tcBorders>
      </w:tcPr>
    </w:tblStylePr>
  </w:style>
  <w:style w:type="table" w:customStyle="1" w:styleId="LightGrid-Accent11">
    <w:name w:val="Light Grid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18" w:space="0" w:color="00728F" w:themeColor="accent1"/>
          <w:right w:val="single" w:sz="8" w:space="0" w:color="00728F" w:themeColor="accent1"/>
          <w:insideH w:val="nil"/>
          <w:insideV w:val="single" w:sz="8" w:space="0" w:color="0072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insideH w:val="nil"/>
          <w:insideV w:val="single" w:sz="8" w:space="0" w:color="0072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shd w:val="clear" w:color="auto" w:fill="A4ECFF" w:themeFill="accent1" w:themeFillTint="3F"/>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shd w:val="clear" w:color="auto" w:fill="A4ECFF" w:themeFill="accent1" w:themeFillTint="3F"/>
      </w:tcPr>
    </w:tblStylePr>
    <w:tblStylePr w:type="band2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insideV w:val="single" w:sz="8" w:space="0" w:color="00728F" w:themeColor="accent1"/>
        </w:tcBorders>
      </w:tcPr>
    </w:tblStylePr>
  </w:style>
  <w:style w:type="table" w:styleId="LightGrid-Accent2">
    <w:name w:val="Light Grid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18" w:space="0" w:color="B7DDE8" w:themeColor="accent2"/>
          <w:right w:val="single" w:sz="8" w:space="0" w:color="B7DDE8" w:themeColor="accent2"/>
          <w:insideH w:val="nil"/>
          <w:insideV w:val="single" w:sz="8" w:space="0" w:color="B7DDE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insideH w:val="nil"/>
          <w:insideV w:val="single" w:sz="8" w:space="0" w:color="B7DDE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shd w:val="clear" w:color="auto" w:fill="EDF6F9" w:themeFill="accent2" w:themeFillTint="3F"/>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shd w:val="clear" w:color="auto" w:fill="EDF6F9" w:themeFill="accent2" w:themeFillTint="3F"/>
      </w:tcPr>
    </w:tblStylePr>
    <w:tblStylePr w:type="band2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insideV w:val="single" w:sz="8" w:space="0" w:color="B7DDE8" w:themeColor="accent2"/>
        </w:tcBorders>
      </w:tcPr>
    </w:tblStylePr>
  </w:style>
  <w:style w:type="table" w:styleId="LightGrid-Accent3">
    <w:name w:val="Light Grid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18" w:space="0" w:color="DBEEF3" w:themeColor="accent3"/>
          <w:right w:val="single" w:sz="8" w:space="0" w:color="DBEEF3" w:themeColor="accent3"/>
          <w:insideH w:val="nil"/>
          <w:insideV w:val="single" w:sz="8" w:space="0" w:color="DBEEF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insideH w:val="nil"/>
          <w:insideV w:val="single" w:sz="8" w:space="0" w:color="DBEEF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shd w:val="clear" w:color="auto" w:fill="F6FAFC" w:themeFill="accent3" w:themeFillTint="3F"/>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shd w:val="clear" w:color="auto" w:fill="F6FAFC" w:themeFill="accent3" w:themeFillTint="3F"/>
      </w:tcPr>
    </w:tblStylePr>
    <w:tblStylePr w:type="band2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insideV w:val="single" w:sz="8" w:space="0" w:color="DBEEF3" w:themeColor="accent3"/>
        </w:tcBorders>
      </w:tcPr>
    </w:tblStylePr>
  </w:style>
  <w:style w:type="table" w:styleId="LightGrid-Accent4">
    <w:name w:val="Light Grid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18" w:space="0" w:color="92CDDC" w:themeColor="accent4"/>
          <w:right w:val="single" w:sz="8" w:space="0" w:color="92CDDC" w:themeColor="accent4"/>
          <w:insideH w:val="nil"/>
          <w:insideV w:val="single" w:sz="8" w:space="0" w:color="92C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insideH w:val="nil"/>
          <w:insideV w:val="single" w:sz="8" w:space="0" w:color="92C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shd w:val="clear" w:color="auto" w:fill="E4F2F6" w:themeFill="accent4" w:themeFillTint="3F"/>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shd w:val="clear" w:color="auto" w:fill="E4F2F6" w:themeFill="accent4" w:themeFillTint="3F"/>
      </w:tcPr>
    </w:tblStylePr>
    <w:tblStylePr w:type="band2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insideV w:val="single" w:sz="8" w:space="0" w:color="92CDDC" w:themeColor="accent4"/>
        </w:tcBorders>
      </w:tcPr>
    </w:tblStylePr>
  </w:style>
  <w:style w:type="table" w:styleId="LightGrid-Accent5">
    <w:name w:val="Light Grid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18" w:space="0" w:color="31859B" w:themeColor="accent5"/>
          <w:right w:val="single" w:sz="8" w:space="0" w:color="31859B" w:themeColor="accent5"/>
          <w:insideH w:val="nil"/>
          <w:insideV w:val="single" w:sz="8" w:space="0" w:color="31859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insideH w:val="nil"/>
          <w:insideV w:val="single" w:sz="8" w:space="0" w:color="31859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shd w:val="clear" w:color="auto" w:fill="C5E4EC" w:themeFill="accent5" w:themeFillTint="3F"/>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shd w:val="clear" w:color="auto" w:fill="C5E4EC" w:themeFill="accent5" w:themeFillTint="3F"/>
      </w:tcPr>
    </w:tblStylePr>
    <w:tblStylePr w:type="band2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insideV w:val="single" w:sz="8" w:space="0" w:color="31859B" w:themeColor="accent5"/>
        </w:tcBorders>
      </w:tcPr>
    </w:tblStylePr>
  </w:style>
  <w:style w:type="table" w:styleId="LightGrid-Accent6">
    <w:name w:val="Light Grid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18" w:space="0" w:color="64B8CE" w:themeColor="accent6"/>
          <w:right w:val="single" w:sz="8" w:space="0" w:color="64B8CE" w:themeColor="accent6"/>
          <w:insideH w:val="nil"/>
          <w:insideV w:val="single" w:sz="8" w:space="0" w:color="64B8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insideH w:val="nil"/>
          <w:insideV w:val="single" w:sz="8" w:space="0" w:color="64B8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shd w:val="clear" w:color="auto" w:fill="D8EDF2" w:themeFill="accent6" w:themeFillTint="3F"/>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shd w:val="clear" w:color="auto" w:fill="D8EDF2" w:themeFill="accent6" w:themeFillTint="3F"/>
      </w:tcPr>
    </w:tblStylePr>
    <w:tblStylePr w:type="band2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insideV w:val="single" w:sz="8" w:space="0" w:color="64B8CE" w:themeColor="accent6"/>
        </w:tcBorders>
      </w:tcPr>
    </w:tblStylePr>
  </w:style>
  <w:style w:type="table" w:customStyle="1" w:styleId="LightList1">
    <w:name w:val="Light List1"/>
    <w:basedOn w:val="TableNormal"/>
    <w:uiPriority w:val="99"/>
    <w:semiHidden/>
    <w:rsid w:val="00361DEB"/>
    <w:pPr>
      <w:spacing w:after="0"/>
    </w:p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pPr>
        <w:spacing w:before="0" w:after="0" w:line="240" w:lineRule="auto"/>
      </w:pPr>
      <w:rPr>
        <w:b/>
        <w:bCs/>
        <w:color w:val="FFFFFF" w:themeColor="background1"/>
      </w:rPr>
      <w:tblPr/>
      <w:tcPr>
        <w:shd w:val="clear" w:color="auto" w:fill="00728F" w:themeFill="text1"/>
      </w:tcPr>
    </w:tblStylePr>
    <w:tblStylePr w:type="lastRow">
      <w:pPr>
        <w:spacing w:before="0" w:after="0" w:line="240" w:lineRule="auto"/>
      </w:pPr>
      <w:rPr>
        <w:b/>
        <w:bCs/>
      </w:rPr>
      <w:tblPr/>
      <w:tcPr>
        <w:tcBorders>
          <w:top w:val="double" w:sz="6" w:space="0" w:color="00728F" w:themeColor="text1"/>
          <w:left w:val="single" w:sz="8" w:space="0" w:color="00728F" w:themeColor="text1"/>
          <w:bottom w:val="single" w:sz="8" w:space="0" w:color="00728F" w:themeColor="text1"/>
          <w:right w:val="single" w:sz="8" w:space="0" w:color="00728F" w:themeColor="text1"/>
        </w:tcBorders>
      </w:tcPr>
    </w:tblStylePr>
    <w:tblStylePr w:type="firstCol">
      <w:rPr>
        <w:b/>
        <w:bCs/>
      </w:rPr>
    </w:tblStylePr>
    <w:tblStylePr w:type="lastCol">
      <w:rPr>
        <w:b/>
        <w:bCs/>
      </w:rPr>
    </w:tblStylePr>
    <w:tblStylePr w:type="band1Vert">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tblStylePr w:type="band1Horz">
      <w:tblPr/>
      <w:tcPr>
        <w:tcBorders>
          <w:top w:val="single" w:sz="8" w:space="0" w:color="00728F" w:themeColor="text1"/>
          <w:left w:val="single" w:sz="8" w:space="0" w:color="00728F" w:themeColor="text1"/>
          <w:bottom w:val="single" w:sz="8" w:space="0" w:color="00728F" w:themeColor="text1"/>
          <w:right w:val="single" w:sz="8" w:space="0" w:color="00728F" w:themeColor="text1"/>
        </w:tcBorders>
      </w:tcPr>
    </w:tblStylePr>
  </w:style>
  <w:style w:type="table" w:customStyle="1" w:styleId="LightList-Accent11">
    <w:name w:val="Light List - Accent 11"/>
    <w:basedOn w:val="TableNormal"/>
    <w:uiPriority w:val="99"/>
    <w:semiHidden/>
    <w:rsid w:val="00361DEB"/>
    <w:pPr>
      <w:spacing w:after="0"/>
    </w:p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pPr>
        <w:spacing w:before="0" w:after="0" w:line="240" w:lineRule="auto"/>
      </w:pPr>
      <w:rPr>
        <w:b/>
        <w:bCs/>
        <w:color w:val="FFFFFF" w:themeColor="background1"/>
      </w:rPr>
      <w:tblPr/>
      <w:tcPr>
        <w:shd w:val="clear" w:color="auto" w:fill="00728F" w:themeFill="accent1"/>
      </w:tcPr>
    </w:tblStylePr>
    <w:tblStylePr w:type="lastRow">
      <w:pPr>
        <w:spacing w:before="0" w:after="0" w:line="240" w:lineRule="auto"/>
      </w:pPr>
      <w:rPr>
        <w:b/>
        <w:bCs/>
      </w:rPr>
      <w:tblPr/>
      <w:tcPr>
        <w:tcBorders>
          <w:top w:val="double" w:sz="6" w:space="0" w:color="00728F" w:themeColor="accent1"/>
          <w:left w:val="single" w:sz="8" w:space="0" w:color="00728F" w:themeColor="accent1"/>
          <w:bottom w:val="single" w:sz="8" w:space="0" w:color="00728F" w:themeColor="accent1"/>
          <w:right w:val="single" w:sz="8" w:space="0" w:color="00728F" w:themeColor="accent1"/>
        </w:tcBorders>
      </w:tcPr>
    </w:tblStylePr>
    <w:tblStylePr w:type="firstCol">
      <w:rPr>
        <w:b/>
        <w:bCs/>
      </w:rPr>
    </w:tblStylePr>
    <w:tblStylePr w:type="lastCol">
      <w:rPr>
        <w:b/>
        <w:bCs/>
      </w:rPr>
    </w:tblStylePr>
    <w:tblStylePr w:type="band1Vert">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tblStylePr w:type="band1Horz">
      <w:tblPr/>
      <w:tcPr>
        <w:tcBorders>
          <w:top w:val="single" w:sz="8" w:space="0" w:color="00728F" w:themeColor="accent1"/>
          <w:left w:val="single" w:sz="8" w:space="0" w:color="00728F" w:themeColor="accent1"/>
          <w:bottom w:val="single" w:sz="8" w:space="0" w:color="00728F" w:themeColor="accent1"/>
          <w:right w:val="single" w:sz="8" w:space="0" w:color="00728F" w:themeColor="accent1"/>
        </w:tcBorders>
      </w:tcPr>
    </w:tblStylePr>
  </w:style>
  <w:style w:type="table" w:styleId="LightList-Accent2">
    <w:name w:val="Light List Accent 2"/>
    <w:basedOn w:val="TableNormal"/>
    <w:uiPriority w:val="99"/>
    <w:semiHidden/>
    <w:rsid w:val="00361DEB"/>
    <w:pPr>
      <w:spacing w:after="0"/>
    </w:p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pPr>
        <w:spacing w:before="0" w:after="0" w:line="240" w:lineRule="auto"/>
      </w:pPr>
      <w:rPr>
        <w:b/>
        <w:bCs/>
        <w:color w:val="FFFFFF" w:themeColor="background1"/>
      </w:rPr>
      <w:tblPr/>
      <w:tcPr>
        <w:shd w:val="clear" w:color="auto" w:fill="B7DDE8" w:themeFill="accent2"/>
      </w:tcPr>
    </w:tblStylePr>
    <w:tblStylePr w:type="lastRow">
      <w:pPr>
        <w:spacing w:before="0" w:after="0" w:line="240" w:lineRule="auto"/>
      </w:pPr>
      <w:rPr>
        <w:b/>
        <w:bCs/>
      </w:rPr>
      <w:tblPr/>
      <w:tcPr>
        <w:tcBorders>
          <w:top w:val="double" w:sz="6" w:space="0" w:color="B7DDE8" w:themeColor="accent2"/>
          <w:left w:val="single" w:sz="8" w:space="0" w:color="B7DDE8" w:themeColor="accent2"/>
          <w:bottom w:val="single" w:sz="8" w:space="0" w:color="B7DDE8" w:themeColor="accent2"/>
          <w:right w:val="single" w:sz="8" w:space="0" w:color="B7DDE8" w:themeColor="accent2"/>
        </w:tcBorders>
      </w:tcPr>
    </w:tblStylePr>
    <w:tblStylePr w:type="firstCol">
      <w:rPr>
        <w:b/>
        <w:bCs/>
      </w:rPr>
    </w:tblStylePr>
    <w:tblStylePr w:type="lastCol">
      <w:rPr>
        <w:b/>
        <w:bCs/>
      </w:rPr>
    </w:tblStylePr>
    <w:tblStylePr w:type="band1Vert">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tblStylePr w:type="band1Horz">
      <w:tblPr/>
      <w:tcPr>
        <w:tcBorders>
          <w:top w:val="single" w:sz="8" w:space="0" w:color="B7DDE8" w:themeColor="accent2"/>
          <w:left w:val="single" w:sz="8" w:space="0" w:color="B7DDE8" w:themeColor="accent2"/>
          <w:bottom w:val="single" w:sz="8" w:space="0" w:color="B7DDE8" w:themeColor="accent2"/>
          <w:right w:val="single" w:sz="8" w:space="0" w:color="B7DDE8" w:themeColor="accent2"/>
        </w:tcBorders>
      </w:tcPr>
    </w:tblStylePr>
  </w:style>
  <w:style w:type="table" w:styleId="LightList-Accent3">
    <w:name w:val="Light List Accent 3"/>
    <w:basedOn w:val="TableNormal"/>
    <w:uiPriority w:val="99"/>
    <w:semiHidden/>
    <w:rsid w:val="00361DEB"/>
    <w:pPr>
      <w:spacing w:after="0"/>
    </w:p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pPr>
        <w:spacing w:before="0" w:after="0" w:line="240" w:lineRule="auto"/>
      </w:pPr>
      <w:rPr>
        <w:b/>
        <w:bCs/>
        <w:color w:val="FFFFFF" w:themeColor="background1"/>
      </w:rPr>
      <w:tblPr/>
      <w:tcPr>
        <w:shd w:val="clear" w:color="auto" w:fill="DBEEF3" w:themeFill="accent3"/>
      </w:tcPr>
    </w:tblStylePr>
    <w:tblStylePr w:type="lastRow">
      <w:pPr>
        <w:spacing w:before="0" w:after="0" w:line="240" w:lineRule="auto"/>
      </w:pPr>
      <w:rPr>
        <w:b/>
        <w:bCs/>
      </w:rPr>
      <w:tblPr/>
      <w:tcPr>
        <w:tcBorders>
          <w:top w:val="double" w:sz="6" w:space="0" w:color="DBEEF3" w:themeColor="accent3"/>
          <w:left w:val="single" w:sz="8" w:space="0" w:color="DBEEF3" w:themeColor="accent3"/>
          <w:bottom w:val="single" w:sz="8" w:space="0" w:color="DBEEF3" w:themeColor="accent3"/>
          <w:right w:val="single" w:sz="8" w:space="0" w:color="DBEEF3" w:themeColor="accent3"/>
        </w:tcBorders>
      </w:tcPr>
    </w:tblStylePr>
    <w:tblStylePr w:type="firstCol">
      <w:rPr>
        <w:b/>
        <w:bCs/>
      </w:rPr>
    </w:tblStylePr>
    <w:tblStylePr w:type="lastCol">
      <w:rPr>
        <w:b/>
        <w:bCs/>
      </w:rPr>
    </w:tblStylePr>
    <w:tblStylePr w:type="band1Vert">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tblStylePr w:type="band1Horz">
      <w:tblPr/>
      <w:tcPr>
        <w:tcBorders>
          <w:top w:val="single" w:sz="8" w:space="0" w:color="DBEEF3" w:themeColor="accent3"/>
          <w:left w:val="single" w:sz="8" w:space="0" w:color="DBEEF3" w:themeColor="accent3"/>
          <w:bottom w:val="single" w:sz="8" w:space="0" w:color="DBEEF3" w:themeColor="accent3"/>
          <w:right w:val="single" w:sz="8" w:space="0" w:color="DBEEF3" w:themeColor="accent3"/>
        </w:tcBorders>
      </w:tcPr>
    </w:tblStylePr>
  </w:style>
  <w:style w:type="table" w:styleId="LightList-Accent4">
    <w:name w:val="Light List Accent 4"/>
    <w:basedOn w:val="TableNormal"/>
    <w:uiPriority w:val="99"/>
    <w:semiHidden/>
    <w:rsid w:val="00361DEB"/>
    <w:pPr>
      <w:spacing w:after="0"/>
    </w:p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pPr>
        <w:spacing w:before="0" w:after="0" w:line="240" w:lineRule="auto"/>
      </w:pPr>
      <w:rPr>
        <w:b/>
        <w:bCs/>
        <w:color w:val="FFFFFF" w:themeColor="background1"/>
      </w:rPr>
      <w:tblPr/>
      <w:tcPr>
        <w:shd w:val="clear" w:color="auto" w:fill="92CDDC" w:themeFill="accent4"/>
      </w:tcPr>
    </w:tblStylePr>
    <w:tblStylePr w:type="lastRow">
      <w:pPr>
        <w:spacing w:before="0" w:after="0" w:line="240" w:lineRule="auto"/>
      </w:pPr>
      <w:rPr>
        <w:b/>
        <w:bCs/>
      </w:rPr>
      <w:tblPr/>
      <w:tcPr>
        <w:tcBorders>
          <w:top w:val="double" w:sz="6" w:space="0" w:color="92CDDC" w:themeColor="accent4"/>
          <w:left w:val="single" w:sz="8" w:space="0" w:color="92CDDC" w:themeColor="accent4"/>
          <w:bottom w:val="single" w:sz="8" w:space="0" w:color="92CDDC" w:themeColor="accent4"/>
          <w:right w:val="single" w:sz="8" w:space="0" w:color="92CDDC" w:themeColor="accent4"/>
        </w:tcBorders>
      </w:tcPr>
    </w:tblStylePr>
    <w:tblStylePr w:type="firstCol">
      <w:rPr>
        <w:b/>
        <w:bCs/>
      </w:rPr>
    </w:tblStylePr>
    <w:tblStylePr w:type="lastCol">
      <w:rPr>
        <w:b/>
        <w:bCs/>
      </w:rPr>
    </w:tblStylePr>
    <w:tblStylePr w:type="band1Vert">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tblStylePr w:type="band1Horz">
      <w:tblPr/>
      <w:tcPr>
        <w:tcBorders>
          <w:top w:val="single" w:sz="8" w:space="0" w:color="92CDDC" w:themeColor="accent4"/>
          <w:left w:val="single" w:sz="8" w:space="0" w:color="92CDDC" w:themeColor="accent4"/>
          <w:bottom w:val="single" w:sz="8" w:space="0" w:color="92CDDC" w:themeColor="accent4"/>
          <w:right w:val="single" w:sz="8" w:space="0" w:color="92CDDC" w:themeColor="accent4"/>
        </w:tcBorders>
      </w:tcPr>
    </w:tblStylePr>
  </w:style>
  <w:style w:type="table" w:styleId="LightList-Accent5">
    <w:name w:val="Light List Accent 5"/>
    <w:basedOn w:val="TableNormal"/>
    <w:uiPriority w:val="99"/>
    <w:semiHidden/>
    <w:rsid w:val="00361DEB"/>
    <w:pPr>
      <w:spacing w:after="0"/>
    </w:p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pPr>
        <w:spacing w:before="0" w:after="0" w:line="240" w:lineRule="auto"/>
      </w:pPr>
      <w:rPr>
        <w:b/>
        <w:bCs/>
        <w:color w:val="FFFFFF" w:themeColor="background1"/>
      </w:rPr>
      <w:tblPr/>
      <w:tcPr>
        <w:shd w:val="clear" w:color="auto" w:fill="31859B" w:themeFill="accent5"/>
      </w:tcPr>
    </w:tblStylePr>
    <w:tblStylePr w:type="lastRow">
      <w:pPr>
        <w:spacing w:before="0" w:after="0" w:line="240" w:lineRule="auto"/>
      </w:pPr>
      <w:rPr>
        <w:b/>
        <w:bCs/>
      </w:rPr>
      <w:tblPr/>
      <w:tcPr>
        <w:tcBorders>
          <w:top w:val="double" w:sz="6" w:space="0" w:color="31859B" w:themeColor="accent5"/>
          <w:left w:val="single" w:sz="8" w:space="0" w:color="31859B" w:themeColor="accent5"/>
          <w:bottom w:val="single" w:sz="8" w:space="0" w:color="31859B" w:themeColor="accent5"/>
          <w:right w:val="single" w:sz="8" w:space="0" w:color="31859B" w:themeColor="accent5"/>
        </w:tcBorders>
      </w:tcPr>
    </w:tblStylePr>
    <w:tblStylePr w:type="firstCol">
      <w:rPr>
        <w:b/>
        <w:bCs/>
      </w:rPr>
    </w:tblStylePr>
    <w:tblStylePr w:type="lastCol">
      <w:rPr>
        <w:b/>
        <w:bCs/>
      </w:rPr>
    </w:tblStylePr>
    <w:tblStylePr w:type="band1Vert">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tblStylePr w:type="band1Horz">
      <w:tblPr/>
      <w:tcPr>
        <w:tcBorders>
          <w:top w:val="single" w:sz="8" w:space="0" w:color="31859B" w:themeColor="accent5"/>
          <w:left w:val="single" w:sz="8" w:space="0" w:color="31859B" w:themeColor="accent5"/>
          <w:bottom w:val="single" w:sz="8" w:space="0" w:color="31859B" w:themeColor="accent5"/>
          <w:right w:val="single" w:sz="8" w:space="0" w:color="31859B" w:themeColor="accent5"/>
        </w:tcBorders>
      </w:tcPr>
    </w:tblStylePr>
  </w:style>
  <w:style w:type="table" w:styleId="LightList-Accent6">
    <w:name w:val="Light List Accent 6"/>
    <w:basedOn w:val="TableNormal"/>
    <w:uiPriority w:val="99"/>
    <w:semiHidden/>
    <w:rsid w:val="00361DEB"/>
    <w:pPr>
      <w:spacing w:after="0"/>
    </w:p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pPr>
        <w:spacing w:before="0" w:after="0" w:line="240" w:lineRule="auto"/>
      </w:pPr>
      <w:rPr>
        <w:b/>
        <w:bCs/>
        <w:color w:val="FFFFFF" w:themeColor="background1"/>
      </w:rPr>
      <w:tblPr/>
      <w:tcPr>
        <w:shd w:val="clear" w:color="auto" w:fill="64B8CE" w:themeFill="accent6"/>
      </w:tcPr>
    </w:tblStylePr>
    <w:tblStylePr w:type="lastRow">
      <w:pPr>
        <w:spacing w:before="0" w:after="0" w:line="240" w:lineRule="auto"/>
      </w:pPr>
      <w:rPr>
        <w:b/>
        <w:bCs/>
      </w:rPr>
      <w:tblPr/>
      <w:tcPr>
        <w:tcBorders>
          <w:top w:val="double" w:sz="6" w:space="0" w:color="64B8CE" w:themeColor="accent6"/>
          <w:left w:val="single" w:sz="8" w:space="0" w:color="64B8CE" w:themeColor="accent6"/>
          <w:bottom w:val="single" w:sz="8" w:space="0" w:color="64B8CE" w:themeColor="accent6"/>
          <w:right w:val="single" w:sz="8" w:space="0" w:color="64B8CE" w:themeColor="accent6"/>
        </w:tcBorders>
      </w:tcPr>
    </w:tblStylePr>
    <w:tblStylePr w:type="firstCol">
      <w:rPr>
        <w:b/>
        <w:bCs/>
      </w:rPr>
    </w:tblStylePr>
    <w:tblStylePr w:type="lastCol">
      <w:rPr>
        <w:b/>
        <w:bCs/>
      </w:rPr>
    </w:tblStylePr>
    <w:tblStylePr w:type="band1Vert">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tblStylePr w:type="band1Horz">
      <w:tblPr/>
      <w:tcPr>
        <w:tcBorders>
          <w:top w:val="single" w:sz="8" w:space="0" w:color="64B8CE" w:themeColor="accent6"/>
          <w:left w:val="single" w:sz="8" w:space="0" w:color="64B8CE" w:themeColor="accent6"/>
          <w:bottom w:val="single" w:sz="8" w:space="0" w:color="64B8CE" w:themeColor="accent6"/>
          <w:right w:val="single" w:sz="8" w:space="0" w:color="64B8CE" w:themeColor="accent6"/>
        </w:tcBorders>
      </w:tcPr>
    </w:tblStylePr>
  </w:style>
  <w:style w:type="table" w:customStyle="1" w:styleId="LightShading1">
    <w:name w:val="Light Shading1"/>
    <w:basedOn w:val="TableNormal"/>
    <w:uiPriority w:val="99"/>
    <w:semiHidden/>
    <w:rsid w:val="00361DEB"/>
    <w:pPr>
      <w:spacing w:after="0"/>
    </w:pPr>
    <w:rPr>
      <w:color w:val="00556B" w:themeColor="text1" w:themeShade="BF"/>
    </w:rPr>
    <w:tblPr>
      <w:tblStyleRowBandSize w:val="1"/>
      <w:tblStyleColBandSize w:val="1"/>
      <w:tblBorders>
        <w:top w:val="single" w:sz="8" w:space="0" w:color="00728F" w:themeColor="text1"/>
        <w:bottom w:val="single" w:sz="8" w:space="0" w:color="00728F" w:themeColor="text1"/>
      </w:tblBorders>
    </w:tblPr>
    <w:tblStylePr w:type="fir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lastRow">
      <w:pPr>
        <w:spacing w:before="0" w:after="0" w:line="240" w:lineRule="auto"/>
      </w:pPr>
      <w:rPr>
        <w:b/>
        <w:bCs/>
      </w:rPr>
      <w:tblPr/>
      <w:tcPr>
        <w:tcBorders>
          <w:top w:val="single" w:sz="8" w:space="0" w:color="00728F" w:themeColor="text1"/>
          <w:left w:val="nil"/>
          <w:bottom w:val="single" w:sz="8" w:space="0" w:color="00728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left w:val="nil"/>
          <w:right w:val="nil"/>
          <w:insideH w:val="nil"/>
          <w:insideV w:val="nil"/>
        </w:tcBorders>
        <w:shd w:val="clear" w:color="auto" w:fill="A4ECFF" w:themeFill="text1" w:themeFillTint="3F"/>
      </w:tcPr>
    </w:tblStylePr>
  </w:style>
  <w:style w:type="table" w:customStyle="1" w:styleId="LightShading-Accent11">
    <w:name w:val="Light Shading - Accent 11"/>
    <w:basedOn w:val="TableNormal"/>
    <w:uiPriority w:val="99"/>
    <w:semiHidden/>
    <w:rsid w:val="00361DEB"/>
    <w:pPr>
      <w:spacing w:after="0"/>
    </w:pPr>
    <w:rPr>
      <w:color w:val="00556B" w:themeColor="accent1" w:themeShade="BF"/>
    </w:rPr>
    <w:tblPr>
      <w:tblStyleRowBandSize w:val="1"/>
      <w:tblStyleColBandSize w:val="1"/>
      <w:tblBorders>
        <w:top w:val="single" w:sz="8" w:space="0" w:color="00728F" w:themeColor="accent1"/>
        <w:bottom w:val="single" w:sz="8" w:space="0" w:color="00728F" w:themeColor="accent1"/>
      </w:tblBorders>
    </w:tblPr>
    <w:tblStylePr w:type="fir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lastRow">
      <w:pPr>
        <w:spacing w:before="0" w:after="0" w:line="240" w:lineRule="auto"/>
      </w:pPr>
      <w:rPr>
        <w:b/>
        <w:bCs/>
      </w:rPr>
      <w:tblPr/>
      <w:tcPr>
        <w:tcBorders>
          <w:top w:val="single" w:sz="8" w:space="0" w:color="00728F" w:themeColor="accent1"/>
          <w:left w:val="nil"/>
          <w:bottom w:val="single" w:sz="8" w:space="0" w:color="0072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left w:val="nil"/>
          <w:right w:val="nil"/>
          <w:insideH w:val="nil"/>
          <w:insideV w:val="nil"/>
        </w:tcBorders>
        <w:shd w:val="clear" w:color="auto" w:fill="A4ECFF" w:themeFill="accent1" w:themeFillTint="3F"/>
      </w:tcPr>
    </w:tblStylePr>
  </w:style>
  <w:style w:type="table" w:styleId="LightShading-Accent2">
    <w:name w:val="Light Shading Accent 2"/>
    <w:basedOn w:val="TableNormal"/>
    <w:uiPriority w:val="99"/>
    <w:semiHidden/>
    <w:rsid w:val="00361DEB"/>
    <w:pPr>
      <w:spacing w:after="0"/>
    </w:pPr>
    <w:rPr>
      <w:color w:val="67B7CE" w:themeColor="accent2" w:themeShade="BF"/>
    </w:rPr>
    <w:tblPr>
      <w:tblStyleRowBandSize w:val="1"/>
      <w:tblStyleColBandSize w:val="1"/>
      <w:tblBorders>
        <w:top w:val="single" w:sz="8" w:space="0" w:color="B7DDE8" w:themeColor="accent2"/>
        <w:bottom w:val="single" w:sz="8" w:space="0" w:color="B7DDE8" w:themeColor="accent2"/>
      </w:tblBorders>
    </w:tblPr>
    <w:tblStylePr w:type="fir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lastRow">
      <w:pPr>
        <w:spacing w:before="0" w:after="0" w:line="240" w:lineRule="auto"/>
      </w:pPr>
      <w:rPr>
        <w:b/>
        <w:bCs/>
      </w:rPr>
      <w:tblPr/>
      <w:tcPr>
        <w:tcBorders>
          <w:top w:val="single" w:sz="8" w:space="0" w:color="B7DDE8" w:themeColor="accent2"/>
          <w:left w:val="nil"/>
          <w:bottom w:val="single" w:sz="8" w:space="0" w:color="B7DDE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left w:val="nil"/>
          <w:right w:val="nil"/>
          <w:insideH w:val="nil"/>
          <w:insideV w:val="nil"/>
        </w:tcBorders>
        <w:shd w:val="clear" w:color="auto" w:fill="EDF6F9" w:themeFill="accent2" w:themeFillTint="3F"/>
      </w:tcPr>
    </w:tblStylePr>
  </w:style>
  <w:style w:type="table" w:styleId="LightShading-Accent3">
    <w:name w:val="Light Shading Accent 3"/>
    <w:basedOn w:val="TableNormal"/>
    <w:uiPriority w:val="99"/>
    <w:semiHidden/>
    <w:rsid w:val="00361DEB"/>
    <w:pPr>
      <w:spacing w:after="0"/>
    </w:pPr>
    <w:rPr>
      <w:color w:val="84C4D6" w:themeColor="accent3" w:themeShade="BF"/>
    </w:rPr>
    <w:tblPr>
      <w:tblStyleRowBandSize w:val="1"/>
      <w:tblStyleColBandSize w:val="1"/>
      <w:tblBorders>
        <w:top w:val="single" w:sz="8" w:space="0" w:color="DBEEF3" w:themeColor="accent3"/>
        <w:bottom w:val="single" w:sz="8" w:space="0" w:color="DBEEF3" w:themeColor="accent3"/>
      </w:tblBorders>
    </w:tblPr>
    <w:tblStylePr w:type="fir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lastRow">
      <w:pPr>
        <w:spacing w:before="0" w:after="0" w:line="240" w:lineRule="auto"/>
      </w:pPr>
      <w:rPr>
        <w:b/>
        <w:bCs/>
      </w:rPr>
      <w:tblPr/>
      <w:tcPr>
        <w:tcBorders>
          <w:top w:val="single" w:sz="8" w:space="0" w:color="DBEEF3" w:themeColor="accent3"/>
          <w:left w:val="nil"/>
          <w:bottom w:val="single" w:sz="8" w:space="0" w:color="DBEEF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left w:val="nil"/>
          <w:right w:val="nil"/>
          <w:insideH w:val="nil"/>
          <w:insideV w:val="nil"/>
        </w:tcBorders>
        <w:shd w:val="clear" w:color="auto" w:fill="F6FAFC" w:themeFill="accent3" w:themeFillTint="3F"/>
      </w:tcPr>
    </w:tblStylePr>
  </w:style>
  <w:style w:type="table" w:styleId="LightShading-Accent4">
    <w:name w:val="Light Shading Accent 4"/>
    <w:basedOn w:val="TableNormal"/>
    <w:uiPriority w:val="99"/>
    <w:semiHidden/>
    <w:rsid w:val="00361DEB"/>
    <w:pPr>
      <w:spacing w:after="0"/>
    </w:pPr>
    <w:rPr>
      <w:color w:val="4CACC5" w:themeColor="accent4" w:themeShade="BF"/>
    </w:rPr>
    <w:tblPr>
      <w:tblStyleRowBandSize w:val="1"/>
      <w:tblStyleColBandSize w:val="1"/>
      <w:tblBorders>
        <w:top w:val="single" w:sz="8" w:space="0" w:color="92CDDC" w:themeColor="accent4"/>
        <w:bottom w:val="single" w:sz="8" w:space="0" w:color="92CDDC" w:themeColor="accent4"/>
      </w:tblBorders>
    </w:tblPr>
    <w:tblStylePr w:type="fir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lastRow">
      <w:pPr>
        <w:spacing w:before="0" w:after="0" w:line="240" w:lineRule="auto"/>
      </w:pPr>
      <w:rPr>
        <w:b/>
        <w:bCs/>
      </w:rPr>
      <w:tblPr/>
      <w:tcPr>
        <w:tcBorders>
          <w:top w:val="single" w:sz="8" w:space="0" w:color="92CDDC" w:themeColor="accent4"/>
          <w:left w:val="nil"/>
          <w:bottom w:val="single" w:sz="8" w:space="0" w:color="92C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left w:val="nil"/>
          <w:right w:val="nil"/>
          <w:insideH w:val="nil"/>
          <w:insideV w:val="nil"/>
        </w:tcBorders>
        <w:shd w:val="clear" w:color="auto" w:fill="E4F2F6" w:themeFill="accent4" w:themeFillTint="3F"/>
      </w:tcPr>
    </w:tblStylePr>
  </w:style>
  <w:style w:type="table" w:styleId="LightShading-Accent5">
    <w:name w:val="Light Shading Accent 5"/>
    <w:basedOn w:val="TableNormal"/>
    <w:uiPriority w:val="99"/>
    <w:semiHidden/>
    <w:rsid w:val="00361DEB"/>
    <w:pPr>
      <w:spacing w:after="0"/>
    </w:pPr>
    <w:rPr>
      <w:color w:val="246373" w:themeColor="accent5" w:themeShade="BF"/>
    </w:rPr>
    <w:tblPr>
      <w:tblStyleRowBandSize w:val="1"/>
      <w:tblStyleColBandSize w:val="1"/>
      <w:tblBorders>
        <w:top w:val="single" w:sz="8" w:space="0" w:color="31859B" w:themeColor="accent5"/>
        <w:bottom w:val="single" w:sz="8" w:space="0" w:color="31859B" w:themeColor="accent5"/>
      </w:tblBorders>
    </w:tblPr>
    <w:tblStylePr w:type="fir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lastRow">
      <w:pPr>
        <w:spacing w:before="0" w:after="0" w:line="240" w:lineRule="auto"/>
      </w:pPr>
      <w:rPr>
        <w:b/>
        <w:bCs/>
      </w:rPr>
      <w:tblPr/>
      <w:tcPr>
        <w:tcBorders>
          <w:top w:val="single" w:sz="8" w:space="0" w:color="31859B" w:themeColor="accent5"/>
          <w:left w:val="nil"/>
          <w:bottom w:val="single" w:sz="8" w:space="0" w:color="31859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left w:val="nil"/>
          <w:right w:val="nil"/>
          <w:insideH w:val="nil"/>
          <w:insideV w:val="nil"/>
        </w:tcBorders>
        <w:shd w:val="clear" w:color="auto" w:fill="C5E4EC" w:themeFill="accent5" w:themeFillTint="3F"/>
      </w:tcPr>
    </w:tblStylePr>
  </w:style>
  <w:style w:type="table" w:styleId="LightShading-Accent6">
    <w:name w:val="Light Shading Accent 6"/>
    <w:basedOn w:val="TableNormal"/>
    <w:uiPriority w:val="99"/>
    <w:semiHidden/>
    <w:rsid w:val="00361DEB"/>
    <w:pPr>
      <w:spacing w:after="0"/>
    </w:pPr>
    <w:rPr>
      <w:color w:val="3795AD" w:themeColor="accent6" w:themeShade="BF"/>
    </w:rPr>
    <w:tblPr>
      <w:tblStyleRowBandSize w:val="1"/>
      <w:tblStyleColBandSize w:val="1"/>
      <w:tblBorders>
        <w:top w:val="single" w:sz="8" w:space="0" w:color="64B8CE" w:themeColor="accent6"/>
        <w:bottom w:val="single" w:sz="8" w:space="0" w:color="64B8CE" w:themeColor="accent6"/>
      </w:tblBorders>
    </w:tblPr>
    <w:tblStylePr w:type="fir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lastRow">
      <w:pPr>
        <w:spacing w:before="0" w:after="0" w:line="240" w:lineRule="auto"/>
      </w:pPr>
      <w:rPr>
        <w:b/>
        <w:bCs/>
      </w:rPr>
      <w:tblPr/>
      <w:tcPr>
        <w:tcBorders>
          <w:top w:val="single" w:sz="8" w:space="0" w:color="64B8CE" w:themeColor="accent6"/>
          <w:left w:val="nil"/>
          <w:bottom w:val="single" w:sz="8" w:space="0" w:color="64B8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left w:val="nil"/>
          <w:right w:val="nil"/>
          <w:insideH w:val="nil"/>
          <w:insideV w:val="nil"/>
        </w:tcBorders>
        <w:shd w:val="clear" w:color="auto" w:fill="D8EDF2" w:themeFill="accent6" w:themeFillTint="3F"/>
      </w:tcPr>
    </w:tblStylePr>
  </w:style>
  <w:style w:type="table" w:customStyle="1" w:styleId="MediumGrid11">
    <w:name w:val="Medium Grid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insideV w:val="single" w:sz="8" w:space="0" w:color="00BBEB" w:themeColor="text1" w:themeTint="BF"/>
      </w:tblBorders>
    </w:tblPr>
    <w:tcPr>
      <w:shd w:val="clear" w:color="auto" w:fill="A4ECFF" w:themeFill="text1" w:themeFillTint="3F"/>
    </w:tcPr>
    <w:tblStylePr w:type="firstRow">
      <w:rPr>
        <w:b/>
        <w:bCs/>
      </w:rPr>
    </w:tblStylePr>
    <w:tblStylePr w:type="lastRow">
      <w:rPr>
        <w:b/>
        <w:bCs/>
      </w:rPr>
      <w:tblPr/>
      <w:tcPr>
        <w:tcBorders>
          <w:top w:val="single" w:sz="18" w:space="0" w:color="00BBEB" w:themeColor="text1" w:themeTint="BF"/>
        </w:tcBorders>
      </w:tcPr>
    </w:tblStylePr>
    <w:tblStylePr w:type="firstCol">
      <w:rPr>
        <w:b/>
        <w:bCs/>
      </w:rPr>
    </w:tblStylePr>
    <w:tblStylePr w:type="lastCol">
      <w:rPr>
        <w:b/>
        <w:bCs/>
      </w:rPr>
    </w:tblStylePr>
    <w:tblStylePr w:type="band1Vert">
      <w:tblPr/>
      <w:tcPr>
        <w:shd w:val="clear" w:color="auto" w:fill="48D9FF" w:themeFill="text1" w:themeFillTint="7F"/>
      </w:tcPr>
    </w:tblStylePr>
    <w:tblStylePr w:type="band1Horz">
      <w:tblPr/>
      <w:tcPr>
        <w:shd w:val="clear" w:color="auto" w:fill="48D9FF" w:themeFill="text1" w:themeFillTint="7F"/>
      </w:tcPr>
    </w:tblStylePr>
  </w:style>
  <w:style w:type="table" w:styleId="MediumGrid1-Accent1">
    <w:name w:val="Medium Grid 1 Accent 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insideV w:val="single" w:sz="8" w:space="0" w:color="00BBEB" w:themeColor="accent1" w:themeTint="BF"/>
      </w:tblBorders>
    </w:tblPr>
    <w:tcPr>
      <w:shd w:val="clear" w:color="auto" w:fill="A4ECFF" w:themeFill="accent1" w:themeFillTint="3F"/>
    </w:tcPr>
    <w:tblStylePr w:type="firstRow">
      <w:rPr>
        <w:b/>
        <w:bCs/>
      </w:rPr>
    </w:tblStylePr>
    <w:tblStylePr w:type="lastRow">
      <w:rPr>
        <w:b/>
        <w:bCs/>
      </w:rPr>
      <w:tblPr/>
      <w:tcPr>
        <w:tcBorders>
          <w:top w:val="single" w:sz="18" w:space="0" w:color="00BBEB" w:themeColor="accent1" w:themeTint="BF"/>
        </w:tcBorders>
      </w:tcPr>
    </w:tblStylePr>
    <w:tblStylePr w:type="firstCol">
      <w:rPr>
        <w:b/>
        <w:bCs/>
      </w:rPr>
    </w:tblStylePr>
    <w:tblStylePr w:type="lastCol">
      <w:rPr>
        <w:b/>
        <w:bCs/>
      </w:rPr>
    </w:tblStylePr>
    <w:tblStylePr w:type="band1Vert">
      <w:tblPr/>
      <w:tcPr>
        <w:shd w:val="clear" w:color="auto" w:fill="48D9FF" w:themeFill="accent1" w:themeFillTint="7F"/>
      </w:tcPr>
    </w:tblStylePr>
    <w:tblStylePr w:type="band1Horz">
      <w:tblPr/>
      <w:tcPr>
        <w:shd w:val="clear" w:color="auto" w:fill="48D9FF" w:themeFill="accent1" w:themeFillTint="7F"/>
      </w:tcPr>
    </w:tblStylePr>
  </w:style>
  <w:style w:type="table" w:styleId="MediumGrid1-Accent2">
    <w:name w:val="Medium Grid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insideV w:val="single" w:sz="8" w:space="0" w:color="C8E5ED" w:themeColor="accent2" w:themeTint="BF"/>
      </w:tblBorders>
    </w:tblPr>
    <w:tcPr>
      <w:shd w:val="clear" w:color="auto" w:fill="EDF6F9" w:themeFill="accent2" w:themeFillTint="3F"/>
    </w:tcPr>
    <w:tblStylePr w:type="firstRow">
      <w:rPr>
        <w:b/>
        <w:bCs/>
      </w:rPr>
    </w:tblStylePr>
    <w:tblStylePr w:type="lastRow">
      <w:rPr>
        <w:b/>
        <w:bCs/>
      </w:rPr>
      <w:tblPr/>
      <w:tcPr>
        <w:tcBorders>
          <w:top w:val="single" w:sz="18" w:space="0" w:color="C8E5ED" w:themeColor="accent2" w:themeTint="BF"/>
        </w:tcBorders>
      </w:tcPr>
    </w:tblStylePr>
    <w:tblStylePr w:type="firstCol">
      <w:rPr>
        <w:b/>
        <w:bCs/>
      </w:rPr>
    </w:tblStylePr>
    <w:tblStylePr w:type="lastCol">
      <w:rPr>
        <w:b/>
        <w:bCs/>
      </w:rPr>
    </w:tblStylePr>
    <w:tblStylePr w:type="band1Vert">
      <w:tblPr/>
      <w:tcPr>
        <w:shd w:val="clear" w:color="auto" w:fill="DBEEF3" w:themeFill="accent2" w:themeFillTint="7F"/>
      </w:tcPr>
    </w:tblStylePr>
    <w:tblStylePr w:type="band1Horz">
      <w:tblPr/>
      <w:tcPr>
        <w:shd w:val="clear" w:color="auto" w:fill="DBEEF3" w:themeFill="accent2" w:themeFillTint="7F"/>
      </w:tcPr>
    </w:tblStylePr>
  </w:style>
  <w:style w:type="table" w:styleId="MediumGrid1-Accent3">
    <w:name w:val="Medium Grid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insideV w:val="single" w:sz="8" w:space="0" w:color="E4F2F6" w:themeColor="accent3" w:themeTint="BF"/>
      </w:tblBorders>
    </w:tblPr>
    <w:tcPr>
      <w:shd w:val="clear" w:color="auto" w:fill="F6FAFC" w:themeFill="accent3" w:themeFillTint="3F"/>
    </w:tcPr>
    <w:tblStylePr w:type="firstRow">
      <w:rPr>
        <w:b/>
        <w:bCs/>
      </w:rPr>
    </w:tblStylePr>
    <w:tblStylePr w:type="lastRow">
      <w:rPr>
        <w:b/>
        <w:bCs/>
      </w:rPr>
      <w:tblPr/>
      <w:tcPr>
        <w:tcBorders>
          <w:top w:val="single" w:sz="18" w:space="0" w:color="E4F2F6" w:themeColor="accent3" w:themeTint="BF"/>
        </w:tcBorders>
      </w:tcPr>
    </w:tblStylePr>
    <w:tblStylePr w:type="firstCol">
      <w:rPr>
        <w:b/>
        <w:bCs/>
      </w:rPr>
    </w:tblStylePr>
    <w:tblStylePr w:type="lastCol">
      <w:rPr>
        <w:b/>
        <w:bCs/>
      </w:rPr>
    </w:tblStylePr>
    <w:tblStylePr w:type="band1Vert">
      <w:tblPr/>
      <w:tcPr>
        <w:shd w:val="clear" w:color="auto" w:fill="EDF6F9" w:themeFill="accent3" w:themeFillTint="7F"/>
      </w:tcPr>
    </w:tblStylePr>
    <w:tblStylePr w:type="band1Horz">
      <w:tblPr/>
      <w:tcPr>
        <w:shd w:val="clear" w:color="auto" w:fill="EDF6F9" w:themeFill="accent3" w:themeFillTint="7F"/>
      </w:tcPr>
    </w:tblStylePr>
  </w:style>
  <w:style w:type="table" w:styleId="MediumGrid1-Accent4">
    <w:name w:val="Medium Grid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insideV w:val="single" w:sz="8" w:space="0" w:color="ADD9E4" w:themeColor="accent4" w:themeTint="BF"/>
      </w:tblBorders>
    </w:tblPr>
    <w:tcPr>
      <w:shd w:val="clear" w:color="auto" w:fill="E4F2F6" w:themeFill="accent4" w:themeFillTint="3F"/>
    </w:tcPr>
    <w:tblStylePr w:type="firstRow">
      <w:rPr>
        <w:b/>
        <w:bCs/>
      </w:rPr>
    </w:tblStylePr>
    <w:tblStylePr w:type="lastRow">
      <w:rPr>
        <w:b/>
        <w:bCs/>
      </w:rPr>
      <w:tblPr/>
      <w:tcPr>
        <w:tcBorders>
          <w:top w:val="single" w:sz="18" w:space="0" w:color="ADD9E4" w:themeColor="accent4" w:themeTint="BF"/>
        </w:tcBorders>
      </w:tcPr>
    </w:tblStylePr>
    <w:tblStylePr w:type="firstCol">
      <w:rPr>
        <w:b/>
        <w:bCs/>
      </w:rPr>
    </w:tblStylePr>
    <w:tblStylePr w:type="lastCol">
      <w:rPr>
        <w:b/>
        <w:bCs/>
      </w:rPr>
    </w:tblStylePr>
    <w:tblStylePr w:type="band1Vert">
      <w:tblPr/>
      <w:tcPr>
        <w:shd w:val="clear" w:color="auto" w:fill="C8E5ED" w:themeFill="accent4" w:themeFillTint="7F"/>
      </w:tcPr>
    </w:tblStylePr>
    <w:tblStylePr w:type="band1Horz">
      <w:tblPr/>
      <w:tcPr>
        <w:shd w:val="clear" w:color="auto" w:fill="C8E5ED" w:themeFill="accent4" w:themeFillTint="7F"/>
      </w:tcPr>
    </w:tblStylePr>
  </w:style>
  <w:style w:type="table" w:styleId="MediumGrid1-Accent5">
    <w:name w:val="Medium Grid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insideV w:val="single" w:sz="8" w:space="0" w:color="50AFC8" w:themeColor="accent5" w:themeTint="BF"/>
      </w:tblBorders>
    </w:tblPr>
    <w:tcPr>
      <w:shd w:val="clear" w:color="auto" w:fill="C5E4EC" w:themeFill="accent5" w:themeFillTint="3F"/>
    </w:tcPr>
    <w:tblStylePr w:type="firstRow">
      <w:rPr>
        <w:b/>
        <w:bCs/>
      </w:rPr>
    </w:tblStylePr>
    <w:tblStylePr w:type="lastRow">
      <w:rPr>
        <w:b/>
        <w:bCs/>
      </w:rPr>
      <w:tblPr/>
      <w:tcPr>
        <w:tcBorders>
          <w:top w:val="single" w:sz="18" w:space="0" w:color="50AFC8" w:themeColor="accent5" w:themeTint="BF"/>
        </w:tcBorders>
      </w:tcPr>
    </w:tblStylePr>
    <w:tblStylePr w:type="firstCol">
      <w:rPr>
        <w:b/>
        <w:bCs/>
      </w:rPr>
    </w:tblStylePr>
    <w:tblStylePr w:type="lastCol">
      <w:rPr>
        <w:b/>
        <w:bCs/>
      </w:rPr>
    </w:tblStylePr>
    <w:tblStylePr w:type="band1Vert">
      <w:tblPr/>
      <w:tcPr>
        <w:shd w:val="clear" w:color="auto" w:fill="8BC9DA" w:themeFill="accent5" w:themeFillTint="7F"/>
      </w:tcPr>
    </w:tblStylePr>
    <w:tblStylePr w:type="band1Horz">
      <w:tblPr/>
      <w:tcPr>
        <w:shd w:val="clear" w:color="auto" w:fill="8BC9DA" w:themeFill="accent5" w:themeFillTint="7F"/>
      </w:tcPr>
    </w:tblStylePr>
  </w:style>
  <w:style w:type="table" w:styleId="MediumGrid1-Accent6">
    <w:name w:val="Medium Grid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insideV w:val="single" w:sz="8" w:space="0" w:color="8AC9DA" w:themeColor="accent6" w:themeTint="BF"/>
      </w:tblBorders>
    </w:tblPr>
    <w:tcPr>
      <w:shd w:val="clear" w:color="auto" w:fill="D8EDF2" w:themeFill="accent6" w:themeFillTint="3F"/>
    </w:tcPr>
    <w:tblStylePr w:type="firstRow">
      <w:rPr>
        <w:b/>
        <w:bCs/>
      </w:rPr>
    </w:tblStylePr>
    <w:tblStylePr w:type="lastRow">
      <w:rPr>
        <w:b/>
        <w:bCs/>
      </w:rPr>
      <w:tblPr/>
      <w:tcPr>
        <w:tcBorders>
          <w:top w:val="single" w:sz="18" w:space="0" w:color="8AC9DA" w:themeColor="accent6" w:themeTint="BF"/>
        </w:tcBorders>
      </w:tcPr>
    </w:tblStylePr>
    <w:tblStylePr w:type="firstCol">
      <w:rPr>
        <w:b/>
        <w:bCs/>
      </w:rPr>
    </w:tblStylePr>
    <w:tblStylePr w:type="lastCol">
      <w:rPr>
        <w:b/>
        <w:bCs/>
      </w:rPr>
    </w:tblStylePr>
    <w:tblStylePr w:type="band1Vert">
      <w:tblPr/>
      <w:tcPr>
        <w:shd w:val="clear" w:color="auto" w:fill="B1DBE6" w:themeFill="accent6" w:themeFillTint="7F"/>
      </w:tcPr>
    </w:tblStylePr>
    <w:tblStylePr w:type="band1Horz">
      <w:tblPr/>
      <w:tcPr>
        <w:shd w:val="clear" w:color="auto" w:fill="B1DBE6" w:themeFill="accent6" w:themeFillTint="7F"/>
      </w:tcPr>
    </w:tblStylePr>
  </w:style>
  <w:style w:type="table" w:customStyle="1" w:styleId="MediumGrid21">
    <w:name w:val="Medium Grid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insideH w:val="single" w:sz="8" w:space="0" w:color="00728F" w:themeColor="text1"/>
        <w:insideV w:val="single" w:sz="8" w:space="0" w:color="00728F" w:themeColor="text1"/>
      </w:tblBorders>
    </w:tblPr>
    <w:tcPr>
      <w:shd w:val="clear" w:color="auto" w:fill="A4ECFF" w:themeFill="text1" w:themeFillTint="3F"/>
    </w:tcPr>
    <w:tblStylePr w:type="firstRow">
      <w:rPr>
        <w:b/>
        <w:bCs/>
        <w:color w:val="00728F" w:themeColor="text1"/>
      </w:rPr>
      <w:tblPr/>
      <w:tcPr>
        <w:shd w:val="clear" w:color="auto" w:fill="DBF7FF" w:themeFill="tex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text1" w:themeFillTint="33"/>
      </w:tcPr>
    </w:tblStylePr>
    <w:tblStylePr w:type="band1Vert">
      <w:tblPr/>
      <w:tcPr>
        <w:shd w:val="clear" w:color="auto" w:fill="48D9FF" w:themeFill="text1" w:themeFillTint="7F"/>
      </w:tcPr>
    </w:tblStylePr>
    <w:tblStylePr w:type="band1Horz">
      <w:tblPr/>
      <w:tcPr>
        <w:tcBorders>
          <w:insideH w:val="single" w:sz="6" w:space="0" w:color="00728F" w:themeColor="text1"/>
          <w:insideV w:val="single" w:sz="6" w:space="0" w:color="00728F" w:themeColor="text1"/>
        </w:tcBorders>
        <w:shd w:val="clear" w:color="auto" w:fill="48D9F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insideH w:val="single" w:sz="8" w:space="0" w:color="00728F" w:themeColor="accent1"/>
        <w:insideV w:val="single" w:sz="8" w:space="0" w:color="00728F" w:themeColor="accent1"/>
      </w:tblBorders>
    </w:tblPr>
    <w:tcPr>
      <w:shd w:val="clear" w:color="auto" w:fill="A4ECFF" w:themeFill="accent1" w:themeFillTint="3F"/>
    </w:tcPr>
    <w:tblStylePr w:type="firstRow">
      <w:rPr>
        <w:b/>
        <w:bCs/>
        <w:color w:val="00728F" w:themeColor="text1"/>
      </w:rPr>
      <w:tblPr/>
      <w:tcPr>
        <w:shd w:val="clear" w:color="auto" w:fill="DBF7FF" w:themeFill="accent1"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B5EFFF" w:themeFill="accent1" w:themeFillTint="33"/>
      </w:tcPr>
    </w:tblStylePr>
    <w:tblStylePr w:type="band1Vert">
      <w:tblPr/>
      <w:tcPr>
        <w:shd w:val="clear" w:color="auto" w:fill="48D9FF" w:themeFill="accent1" w:themeFillTint="7F"/>
      </w:tcPr>
    </w:tblStylePr>
    <w:tblStylePr w:type="band1Horz">
      <w:tblPr/>
      <w:tcPr>
        <w:tcBorders>
          <w:insideH w:val="single" w:sz="6" w:space="0" w:color="00728F" w:themeColor="accent1"/>
          <w:insideV w:val="single" w:sz="6" w:space="0" w:color="00728F" w:themeColor="accent1"/>
        </w:tcBorders>
        <w:shd w:val="clear" w:color="auto" w:fill="48D9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insideH w:val="single" w:sz="8" w:space="0" w:color="B7DDE8" w:themeColor="accent2"/>
        <w:insideV w:val="single" w:sz="8" w:space="0" w:color="B7DDE8" w:themeColor="accent2"/>
      </w:tblBorders>
    </w:tblPr>
    <w:tcPr>
      <w:shd w:val="clear" w:color="auto" w:fill="EDF6F9" w:themeFill="accent2" w:themeFillTint="3F"/>
    </w:tcPr>
    <w:tblStylePr w:type="firstRow">
      <w:rPr>
        <w:b/>
        <w:bCs/>
        <w:color w:val="00728F" w:themeColor="text1"/>
      </w:rPr>
      <w:tblPr/>
      <w:tcPr>
        <w:shd w:val="clear" w:color="auto" w:fill="F7FBFC" w:themeFill="accent2"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0F8FA" w:themeFill="accent2" w:themeFillTint="33"/>
      </w:tcPr>
    </w:tblStylePr>
    <w:tblStylePr w:type="band1Vert">
      <w:tblPr/>
      <w:tcPr>
        <w:shd w:val="clear" w:color="auto" w:fill="DBEEF3" w:themeFill="accent2" w:themeFillTint="7F"/>
      </w:tcPr>
    </w:tblStylePr>
    <w:tblStylePr w:type="band1Horz">
      <w:tblPr/>
      <w:tcPr>
        <w:tcBorders>
          <w:insideH w:val="single" w:sz="6" w:space="0" w:color="B7DDE8" w:themeColor="accent2"/>
          <w:insideV w:val="single" w:sz="6" w:space="0" w:color="B7DDE8" w:themeColor="accent2"/>
        </w:tcBorders>
        <w:shd w:val="clear" w:color="auto" w:fill="DBEEF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insideH w:val="single" w:sz="8" w:space="0" w:color="DBEEF3" w:themeColor="accent3"/>
        <w:insideV w:val="single" w:sz="8" w:space="0" w:color="DBEEF3" w:themeColor="accent3"/>
      </w:tblBorders>
    </w:tblPr>
    <w:tcPr>
      <w:shd w:val="clear" w:color="auto" w:fill="F6FAFC" w:themeFill="accent3" w:themeFillTint="3F"/>
    </w:tcPr>
    <w:tblStylePr w:type="firstRow">
      <w:rPr>
        <w:b/>
        <w:bCs/>
        <w:color w:val="00728F" w:themeColor="text1"/>
      </w:rPr>
      <w:tblPr/>
      <w:tcPr>
        <w:shd w:val="clear" w:color="auto" w:fill="FBFDFD" w:themeFill="accent3"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F7FBFC" w:themeFill="accent3" w:themeFillTint="33"/>
      </w:tcPr>
    </w:tblStylePr>
    <w:tblStylePr w:type="band1Vert">
      <w:tblPr/>
      <w:tcPr>
        <w:shd w:val="clear" w:color="auto" w:fill="EDF6F9" w:themeFill="accent3" w:themeFillTint="7F"/>
      </w:tcPr>
    </w:tblStylePr>
    <w:tblStylePr w:type="band1Horz">
      <w:tblPr/>
      <w:tcPr>
        <w:tcBorders>
          <w:insideH w:val="single" w:sz="6" w:space="0" w:color="DBEEF3" w:themeColor="accent3"/>
          <w:insideV w:val="single" w:sz="6" w:space="0" w:color="DBEEF3" w:themeColor="accent3"/>
        </w:tcBorders>
        <w:shd w:val="clear" w:color="auto" w:fill="EDF6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insideH w:val="single" w:sz="8" w:space="0" w:color="92CDDC" w:themeColor="accent4"/>
        <w:insideV w:val="single" w:sz="8" w:space="0" w:color="92CDDC" w:themeColor="accent4"/>
      </w:tblBorders>
    </w:tblPr>
    <w:tcPr>
      <w:shd w:val="clear" w:color="auto" w:fill="E4F2F6" w:themeFill="accent4" w:themeFillTint="3F"/>
    </w:tcPr>
    <w:tblStylePr w:type="firstRow">
      <w:rPr>
        <w:b/>
        <w:bCs/>
        <w:color w:val="00728F" w:themeColor="text1"/>
      </w:rPr>
      <w:tblPr/>
      <w:tcPr>
        <w:shd w:val="clear" w:color="auto" w:fill="F4FAFB" w:themeFill="accent4"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E9F4F8" w:themeFill="accent4" w:themeFillTint="33"/>
      </w:tcPr>
    </w:tblStylePr>
    <w:tblStylePr w:type="band1Vert">
      <w:tblPr/>
      <w:tcPr>
        <w:shd w:val="clear" w:color="auto" w:fill="C8E5ED" w:themeFill="accent4" w:themeFillTint="7F"/>
      </w:tcPr>
    </w:tblStylePr>
    <w:tblStylePr w:type="band1Horz">
      <w:tblPr/>
      <w:tcPr>
        <w:tcBorders>
          <w:insideH w:val="single" w:sz="6" w:space="0" w:color="92CDDC" w:themeColor="accent4"/>
          <w:insideV w:val="single" w:sz="6" w:space="0" w:color="92CDDC" w:themeColor="accent4"/>
        </w:tcBorders>
        <w:shd w:val="clear" w:color="auto" w:fill="C8E5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insideH w:val="single" w:sz="8" w:space="0" w:color="31859B" w:themeColor="accent5"/>
        <w:insideV w:val="single" w:sz="8" w:space="0" w:color="31859B" w:themeColor="accent5"/>
      </w:tblBorders>
    </w:tblPr>
    <w:tcPr>
      <w:shd w:val="clear" w:color="auto" w:fill="C5E4EC" w:themeFill="accent5" w:themeFillTint="3F"/>
    </w:tcPr>
    <w:tblStylePr w:type="firstRow">
      <w:rPr>
        <w:b/>
        <w:bCs/>
        <w:color w:val="00728F" w:themeColor="text1"/>
      </w:rPr>
      <w:tblPr/>
      <w:tcPr>
        <w:shd w:val="clear" w:color="auto" w:fill="E8F4F7" w:themeFill="accent5"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0E9F0" w:themeFill="accent5" w:themeFillTint="33"/>
      </w:tcPr>
    </w:tblStylePr>
    <w:tblStylePr w:type="band1Vert">
      <w:tblPr/>
      <w:tcPr>
        <w:shd w:val="clear" w:color="auto" w:fill="8BC9DA" w:themeFill="accent5" w:themeFillTint="7F"/>
      </w:tcPr>
    </w:tblStylePr>
    <w:tblStylePr w:type="band1Horz">
      <w:tblPr/>
      <w:tcPr>
        <w:tcBorders>
          <w:insideH w:val="single" w:sz="6" w:space="0" w:color="31859B" w:themeColor="accent5"/>
          <w:insideV w:val="single" w:sz="6" w:space="0" w:color="31859B" w:themeColor="accent5"/>
        </w:tcBorders>
        <w:shd w:val="clear" w:color="auto" w:fill="8BC9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insideH w:val="single" w:sz="8" w:space="0" w:color="64B8CE" w:themeColor="accent6"/>
        <w:insideV w:val="single" w:sz="8" w:space="0" w:color="64B8CE" w:themeColor="accent6"/>
      </w:tblBorders>
    </w:tblPr>
    <w:tcPr>
      <w:shd w:val="clear" w:color="auto" w:fill="D8EDF2" w:themeFill="accent6" w:themeFillTint="3F"/>
    </w:tcPr>
    <w:tblStylePr w:type="firstRow">
      <w:rPr>
        <w:b/>
        <w:bCs/>
        <w:color w:val="00728F" w:themeColor="text1"/>
      </w:rPr>
      <w:tblPr/>
      <w:tcPr>
        <w:shd w:val="clear" w:color="auto" w:fill="EFF8FA" w:themeFill="accent6" w:themeFillTint="19"/>
      </w:tcPr>
    </w:tblStylePr>
    <w:tblStylePr w:type="lastRow">
      <w:rPr>
        <w:b/>
        <w:bCs/>
        <w:color w:val="00728F" w:themeColor="text1"/>
      </w:rPr>
      <w:tblPr/>
      <w:tcPr>
        <w:tcBorders>
          <w:top w:val="single" w:sz="12" w:space="0" w:color="00728F" w:themeColor="text1"/>
          <w:left w:val="nil"/>
          <w:bottom w:val="nil"/>
          <w:right w:val="nil"/>
          <w:insideH w:val="nil"/>
          <w:insideV w:val="nil"/>
        </w:tcBorders>
        <w:shd w:val="clear" w:color="auto" w:fill="FFFFFF" w:themeFill="background1"/>
      </w:tcPr>
    </w:tblStylePr>
    <w:tblStylePr w:type="firstCol">
      <w:rPr>
        <w:b/>
        <w:bCs/>
        <w:color w:val="00728F"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728F" w:themeColor="text1"/>
      </w:rPr>
      <w:tblPr/>
      <w:tcPr>
        <w:tcBorders>
          <w:top w:val="nil"/>
          <w:left w:val="nil"/>
          <w:bottom w:val="nil"/>
          <w:right w:val="nil"/>
          <w:insideH w:val="nil"/>
          <w:insideV w:val="nil"/>
        </w:tcBorders>
        <w:shd w:val="clear" w:color="auto" w:fill="DFF0F5" w:themeFill="accent6" w:themeFillTint="33"/>
      </w:tcPr>
    </w:tblStylePr>
    <w:tblStylePr w:type="band1Vert">
      <w:tblPr/>
      <w:tcPr>
        <w:shd w:val="clear" w:color="auto" w:fill="B1DBE6" w:themeFill="accent6" w:themeFillTint="7F"/>
      </w:tcPr>
    </w:tblStylePr>
    <w:tblStylePr w:type="band1Horz">
      <w:tblPr/>
      <w:tcPr>
        <w:tcBorders>
          <w:insideH w:val="single" w:sz="6" w:space="0" w:color="64B8CE" w:themeColor="accent6"/>
          <w:insideV w:val="single" w:sz="6" w:space="0" w:color="64B8CE" w:themeColor="accent6"/>
        </w:tcBorders>
        <w:shd w:val="clear" w:color="auto" w:fill="B1DBE6"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text1" w:themeFillTint="7F"/>
      </w:tcPr>
    </w:tblStylePr>
  </w:style>
  <w:style w:type="table" w:styleId="MediumGrid3-Accent1">
    <w:name w:val="Medium Grid 3 Accent 1"/>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9FF" w:themeFill="accent1" w:themeFillTint="7F"/>
      </w:tcPr>
    </w:tblStylePr>
  </w:style>
  <w:style w:type="table" w:styleId="MediumGrid3-Accent2">
    <w:name w:val="Medium Grid 3 Accent 2"/>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DE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DE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DE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F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F3" w:themeFill="accent2" w:themeFillTint="7F"/>
      </w:tcPr>
    </w:tblStylePr>
  </w:style>
  <w:style w:type="table" w:styleId="MediumGrid3-Accent3">
    <w:name w:val="Medium Grid 3 Accent 3"/>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A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BEEF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BEEF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BEEF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F6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F6F9" w:themeFill="accent3" w:themeFillTint="7F"/>
      </w:tcPr>
    </w:tblStylePr>
  </w:style>
  <w:style w:type="table" w:styleId="MediumGrid3-Accent4">
    <w:name w:val="Medium Grid 3 Accent 4"/>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2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C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C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C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5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5ED" w:themeFill="accent4" w:themeFillTint="7F"/>
      </w:tcPr>
    </w:tblStylePr>
  </w:style>
  <w:style w:type="table" w:styleId="MediumGrid3-Accent5">
    <w:name w:val="Medium Grid 3 Accent 5"/>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4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859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859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859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C9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C9DA" w:themeFill="accent5" w:themeFillTint="7F"/>
      </w:tcPr>
    </w:tblStylePr>
  </w:style>
  <w:style w:type="table" w:styleId="MediumGrid3-Accent6">
    <w:name w:val="Medium Grid 3 Accent 6"/>
    <w:basedOn w:val="TableNormal"/>
    <w:uiPriority w:val="99"/>
    <w:semiHidden/>
    <w:rsid w:val="00361DE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D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B8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B8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B8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B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BE6" w:themeFill="accent6" w:themeFillTint="7F"/>
      </w:tcPr>
    </w:tblStylePr>
  </w:style>
  <w:style w:type="table" w:customStyle="1" w:styleId="MediumList11">
    <w:name w:val="Medium List 11"/>
    <w:basedOn w:val="TableNormal"/>
    <w:uiPriority w:val="99"/>
    <w:semiHidden/>
    <w:rsid w:val="00361DEB"/>
    <w:pPr>
      <w:spacing w:after="0"/>
    </w:pPr>
    <w:rPr>
      <w:color w:val="00728F" w:themeColor="text1"/>
    </w:rPr>
    <w:tblPr>
      <w:tblStyleRowBandSize w:val="1"/>
      <w:tblStyleColBandSize w:val="1"/>
      <w:tblBorders>
        <w:top w:val="single" w:sz="8" w:space="0" w:color="00728F" w:themeColor="text1"/>
        <w:bottom w:val="single" w:sz="8" w:space="0" w:color="00728F" w:themeColor="text1"/>
      </w:tblBorders>
    </w:tblPr>
    <w:tblStylePr w:type="firstRow">
      <w:rPr>
        <w:rFonts w:asciiTheme="majorHAnsi" w:eastAsiaTheme="majorEastAsia" w:hAnsiTheme="majorHAnsi" w:cstheme="majorBidi"/>
      </w:rPr>
      <w:tblPr/>
      <w:tcPr>
        <w:tcBorders>
          <w:top w:val="nil"/>
          <w:bottom w:val="single" w:sz="8" w:space="0" w:color="00728F" w:themeColor="text1"/>
        </w:tcBorders>
      </w:tcPr>
    </w:tblStylePr>
    <w:tblStylePr w:type="lastRow">
      <w:rPr>
        <w:b/>
        <w:bCs/>
        <w:color w:val="B7DDE8" w:themeColor="text2"/>
      </w:rPr>
      <w:tblPr/>
      <w:tcPr>
        <w:tcBorders>
          <w:top w:val="single" w:sz="8" w:space="0" w:color="00728F" w:themeColor="text1"/>
          <w:bottom w:val="single" w:sz="8" w:space="0" w:color="00728F" w:themeColor="text1"/>
        </w:tcBorders>
      </w:tcPr>
    </w:tblStylePr>
    <w:tblStylePr w:type="firstCol">
      <w:rPr>
        <w:b/>
        <w:bCs/>
      </w:rPr>
    </w:tblStylePr>
    <w:tblStylePr w:type="lastCol">
      <w:rPr>
        <w:b/>
        <w:bCs/>
      </w:rPr>
      <w:tblPr/>
      <w:tcPr>
        <w:tcBorders>
          <w:top w:val="single" w:sz="8" w:space="0" w:color="00728F" w:themeColor="text1"/>
          <w:bottom w:val="single" w:sz="8" w:space="0" w:color="00728F" w:themeColor="text1"/>
        </w:tcBorders>
      </w:tcPr>
    </w:tblStylePr>
    <w:tblStylePr w:type="band1Vert">
      <w:tblPr/>
      <w:tcPr>
        <w:shd w:val="clear" w:color="auto" w:fill="A4ECFF" w:themeFill="text1" w:themeFillTint="3F"/>
      </w:tcPr>
    </w:tblStylePr>
    <w:tblStylePr w:type="band1Horz">
      <w:tblPr/>
      <w:tcPr>
        <w:shd w:val="clear" w:color="auto" w:fill="A4ECFF" w:themeFill="text1" w:themeFillTint="3F"/>
      </w:tcPr>
    </w:tblStylePr>
  </w:style>
  <w:style w:type="table" w:customStyle="1" w:styleId="MediumList1-Accent11">
    <w:name w:val="Medium List 1 - Accent 11"/>
    <w:basedOn w:val="TableNormal"/>
    <w:uiPriority w:val="99"/>
    <w:semiHidden/>
    <w:rsid w:val="00361DEB"/>
    <w:pPr>
      <w:spacing w:after="0"/>
    </w:pPr>
    <w:rPr>
      <w:color w:val="00728F" w:themeColor="text1"/>
    </w:rPr>
    <w:tblPr>
      <w:tblStyleRowBandSize w:val="1"/>
      <w:tblStyleColBandSize w:val="1"/>
      <w:tblBorders>
        <w:top w:val="single" w:sz="8" w:space="0" w:color="00728F" w:themeColor="accent1"/>
        <w:bottom w:val="single" w:sz="8" w:space="0" w:color="00728F" w:themeColor="accent1"/>
      </w:tblBorders>
    </w:tblPr>
    <w:tblStylePr w:type="firstRow">
      <w:rPr>
        <w:rFonts w:asciiTheme="majorHAnsi" w:eastAsiaTheme="majorEastAsia" w:hAnsiTheme="majorHAnsi" w:cstheme="majorBidi"/>
      </w:rPr>
      <w:tblPr/>
      <w:tcPr>
        <w:tcBorders>
          <w:top w:val="nil"/>
          <w:bottom w:val="single" w:sz="8" w:space="0" w:color="00728F" w:themeColor="accent1"/>
        </w:tcBorders>
      </w:tcPr>
    </w:tblStylePr>
    <w:tblStylePr w:type="lastRow">
      <w:rPr>
        <w:b/>
        <w:bCs/>
        <w:color w:val="B7DDE8" w:themeColor="text2"/>
      </w:rPr>
      <w:tblPr/>
      <w:tcPr>
        <w:tcBorders>
          <w:top w:val="single" w:sz="8" w:space="0" w:color="00728F" w:themeColor="accent1"/>
          <w:bottom w:val="single" w:sz="8" w:space="0" w:color="00728F" w:themeColor="accent1"/>
        </w:tcBorders>
      </w:tcPr>
    </w:tblStylePr>
    <w:tblStylePr w:type="firstCol">
      <w:rPr>
        <w:b/>
        <w:bCs/>
      </w:rPr>
    </w:tblStylePr>
    <w:tblStylePr w:type="lastCol">
      <w:rPr>
        <w:b/>
        <w:bCs/>
      </w:rPr>
      <w:tblPr/>
      <w:tcPr>
        <w:tcBorders>
          <w:top w:val="single" w:sz="8" w:space="0" w:color="00728F" w:themeColor="accent1"/>
          <w:bottom w:val="single" w:sz="8" w:space="0" w:color="00728F" w:themeColor="accent1"/>
        </w:tcBorders>
      </w:tcPr>
    </w:tblStylePr>
    <w:tblStylePr w:type="band1Vert">
      <w:tblPr/>
      <w:tcPr>
        <w:shd w:val="clear" w:color="auto" w:fill="A4ECFF" w:themeFill="accent1" w:themeFillTint="3F"/>
      </w:tcPr>
    </w:tblStylePr>
    <w:tblStylePr w:type="band1Horz">
      <w:tblPr/>
      <w:tcPr>
        <w:shd w:val="clear" w:color="auto" w:fill="A4ECFF" w:themeFill="accent1" w:themeFillTint="3F"/>
      </w:tcPr>
    </w:tblStylePr>
  </w:style>
  <w:style w:type="table" w:styleId="MediumList1-Accent2">
    <w:name w:val="Medium List 1 Accent 2"/>
    <w:basedOn w:val="TableNormal"/>
    <w:uiPriority w:val="99"/>
    <w:semiHidden/>
    <w:rsid w:val="00361DEB"/>
    <w:pPr>
      <w:spacing w:after="0"/>
    </w:pPr>
    <w:rPr>
      <w:color w:val="00728F" w:themeColor="text1"/>
    </w:rPr>
    <w:tblPr>
      <w:tblStyleRowBandSize w:val="1"/>
      <w:tblStyleColBandSize w:val="1"/>
      <w:tblBorders>
        <w:top w:val="single" w:sz="8" w:space="0" w:color="B7DDE8" w:themeColor="accent2"/>
        <w:bottom w:val="single" w:sz="8" w:space="0" w:color="B7DDE8" w:themeColor="accent2"/>
      </w:tblBorders>
    </w:tblPr>
    <w:tblStylePr w:type="firstRow">
      <w:rPr>
        <w:rFonts w:asciiTheme="majorHAnsi" w:eastAsiaTheme="majorEastAsia" w:hAnsiTheme="majorHAnsi" w:cstheme="majorBidi"/>
      </w:rPr>
      <w:tblPr/>
      <w:tcPr>
        <w:tcBorders>
          <w:top w:val="nil"/>
          <w:bottom w:val="single" w:sz="8" w:space="0" w:color="B7DDE8" w:themeColor="accent2"/>
        </w:tcBorders>
      </w:tcPr>
    </w:tblStylePr>
    <w:tblStylePr w:type="lastRow">
      <w:rPr>
        <w:b/>
        <w:bCs/>
        <w:color w:val="B7DDE8" w:themeColor="text2"/>
      </w:rPr>
      <w:tblPr/>
      <w:tcPr>
        <w:tcBorders>
          <w:top w:val="single" w:sz="8" w:space="0" w:color="B7DDE8" w:themeColor="accent2"/>
          <w:bottom w:val="single" w:sz="8" w:space="0" w:color="B7DDE8" w:themeColor="accent2"/>
        </w:tcBorders>
      </w:tcPr>
    </w:tblStylePr>
    <w:tblStylePr w:type="firstCol">
      <w:rPr>
        <w:b/>
        <w:bCs/>
      </w:rPr>
    </w:tblStylePr>
    <w:tblStylePr w:type="lastCol">
      <w:rPr>
        <w:b/>
        <w:bCs/>
      </w:rPr>
      <w:tblPr/>
      <w:tcPr>
        <w:tcBorders>
          <w:top w:val="single" w:sz="8" w:space="0" w:color="B7DDE8" w:themeColor="accent2"/>
          <w:bottom w:val="single" w:sz="8" w:space="0" w:color="B7DDE8" w:themeColor="accent2"/>
        </w:tcBorders>
      </w:tcPr>
    </w:tblStylePr>
    <w:tblStylePr w:type="band1Vert">
      <w:tblPr/>
      <w:tcPr>
        <w:shd w:val="clear" w:color="auto" w:fill="EDF6F9" w:themeFill="accent2" w:themeFillTint="3F"/>
      </w:tcPr>
    </w:tblStylePr>
    <w:tblStylePr w:type="band1Horz">
      <w:tblPr/>
      <w:tcPr>
        <w:shd w:val="clear" w:color="auto" w:fill="EDF6F9" w:themeFill="accent2" w:themeFillTint="3F"/>
      </w:tcPr>
    </w:tblStylePr>
  </w:style>
  <w:style w:type="table" w:styleId="MediumList1-Accent3">
    <w:name w:val="Medium List 1 Accent 3"/>
    <w:basedOn w:val="TableNormal"/>
    <w:uiPriority w:val="99"/>
    <w:semiHidden/>
    <w:rsid w:val="00361DEB"/>
    <w:pPr>
      <w:spacing w:after="0"/>
    </w:pPr>
    <w:rPr>
      <w:color w:val="00728F" w:themeColor="text1"/>
    </w:rPr>
    <w:tblPr>
      <w:tblStyleRowBandSize w:val="1"/>
      <w:tblStyleColBandSize w:val="1"/>
      <w:tblBorders>
        <w:top w:val="single" w:sz="8" w:space="0" w:color="DBEEF3" w:themeColor="accent3"/>
        <w:bottom w:val="single" w:sz="8" w:space="0" w:color="DBEEF3" w:themeColor="accent3"/>
      </w:tblBorders>
    </w:tblPr>
    <w:tblStylePr w:type="firstRow">
      <w:rPr>
        <w:rFonts w:asciiTheme="majorHAnsi" w:eastAsiaTheme="majorEastAsia" w:hAnsiTheme="majorHAnsi" w:cstheme="majorBidi"/>
      </w:rPr>
      <w:tblPr/>
      <w:tcPr>
        <w:tcBorders>
          <w:top w:val="nil"/>
          <w:bottom w:val="single" w:sz="8" w:space="0" w:color="DBEEF3" w:themeColor="accent3"/>
        </w:tcBorders>
      </w:tcPr>
    </w:tblStylePr>
    <w:tblStylePr w:type="lastRow">
      <w:rPr>
        <w:b/>
        <w:bCs/>
        <w:color w:val="B7DDE8" w:themeColor="text2"/>
      </w:rPr>
      <w:tblPr/>
      <w:tcPr>
        <w:tcBorders>
          <w:top w:val="single" w:sz="8" w:space="0" w:color="DBEEF3" w:themeColor="accent3"/>
          <w:bottom w:val="single" w:sz="8" w:space="0" w:color="DBEEF3" w:themeColor="accent3"/>
        </w:tcBorders>
      </w:tcPr>
    </w:tblStylePr>
    <w:tblStylePr w:type="firstCol">
      <w:rPr>
        <w:b/>
        <w:bCs/>
      </w:rPr>
    </w:tblStylePr>
    <w:tblStylePr w:type="lastCol">
      <w:rPr>
        <w:b/>
        <w:bCs/>
      </w:rPr>
      <w:tblPr/>
      <w:tcPr>
        <w:tcBorders>
          <w:top w:val="single" w:sz="8" w:space="0" w:color="DBEEF3" w:themeColor="accent3"/>
          <w:bottom w:val="single" w:sz="8" w:space="0" w:color="DBEEF3" w:themeColor="accent3"/>
        </w:tcBorders>
      </w:tcPr>
    </w:tblStylePr>
    <w:tblStylePr w:type="band1Vert">
      <w:tblPr/>
      <w:tcPr>
        <w:shd w:val="clear" w:color="auto" w:fill="F6FAFC" w:themeFill="accent3" w:themeFillTint="3F"/>
      </w:tcPr>
    </w:tblStylePr>
    <w:tblStylePr w:type="band1Horz">
      <w:tblPr/>
      <w:tcPr>
        <w:shd w:val="clear" w:color="auto" w:fill="F6FAFC" w:themeFill="accent3" w:themeFillTint="3F"/>
      </w:tcPr>
    </w:tblStylePr>
  </w:style>
  <w:style w:type="table" w:styleId="MediumList1-Accent4">
    <w:name w:val="Medium List 1 Accent 4"/>
    <w:basedOn w:val="TableNormal"/>
    <w:uiPriority w:val="99"/>
    <w:semiHidden/>
    <w:rsid w:val="00361DEB"/>
    <w:pPr>
      <w:spacing w:after="0"/>
    </w:pPr>
    <w:rPr>
      <w:color w:val="00728F" w:themeColor="text1"/>
    </w:rPr>
    <w:tblPr>
      <w:tblStyleRowBandSize w:val="1"/>
      <w:tblStyleColBandSize w:val="1"/>
      <w:tblBorders>
        <w:top w:val="single" w:sz="8" w:space="0" w:color="92CDDC" w:themeColor="accent4"/>
        <w:bottom w:val="single" w:sz="8" w:space="0" w:color="92CDDC" w:themeColor="accent4"/>
      </w:tblBorders>
    </w:tblPr>
    <w:tblStylePr w:type="firstRow">
      <w:rPr>
        <w:rFonts w:asciiTheme="majorHAnsi" w:eastAsiaTheme="majorEastAsia" w:hAnsiTheme="majorHAnsi" w:cstheme="majorBidi"/>
      </w:rPr>
      <w:tblPr/>
      <w:tcPr>
        <w:tcBorders>
          <w:top w:val="nil"/>
          <w:bottom w:val="single" w:sz="8" w:space="0" w:color="92CDDC" w:themeColor="accent4"/>
        </w:tcBorders>
      </w:tcPr>
    </w:tblStylePr>
    <w:tblStylePr w:type="lastRow">
      <w:rPr>
        <w:b/>
        <w:bCs/>
        <w:color w:val="B7DDE8" w:themeColor="text2"/>
      </w:rPr>
      <w:tblPr/>
      <w:tcPr>
        <w:tcBorders>
          <w:top w:val="single" w:sz="8" w:space="0" w:color="92CDDC" w:themeColor="accent4"/>
          <w:bottom w:val="single" w:sz="8" w:space="0" w:color="92CDDC" w:themeColor="accent4"/>
        </w:tcBorders>
      </w:tcPr>
    </w:tblStylePr>
    <w:tblStylePr w:type="firstCol">
      <w:rPr>
        <w:b/>
        <w:bCs/>
      </w:rPr>
    </w:tblStylePr>
    <w:tblStylePr w:type="lastCol">
      <w:rPr>
        <w:b/>
        <w:bCs/>
      </w:rPr>
      <w:tblPr/>
      <w:tcPr>
        <w:tcBorders>
          <w:top w:val="single" w:sz="8" w:space="0" w:color="92CDDC" w:themeColor="accent4"/>
          <w:bottom w:val="single" w:sz="8" w:space="0" w:color="92CDDC" w:themeColor="accent4"/>
        </w:tcBorders>
      </w:tcPr>
    </w:tblStylePr>
    <w:tblStylePr w:type="band1Vert">
      <w:tblPr/>
      <w:tcPr>
        <w:shd w:val="clear" w:color="auto" w:fill="E4F2F6" w:themeFill="accent4" w:themeFillTint="3F"/>
      </w:tcPr>
    </w:tblStylePr>
    <w:tblStylePr w:type="band1Horz">
      <w:tblPr/>
      <w:tcPr>
        <w:shd w:val="clear" w:color="auto" w:fill="E4F2F6" w:themeFill="accent4" w:themeFillTint="3F"/>
      </w:tcPr>
    </w:tblStylePr>
  </w:style>
  <w:style w:type="table" w:styleId="MediumList1-Accent5">
    <w:name w:val="Medium List 1 Accent 5"/>
    <w:basedOn w:val="TableNormal"/>
    <w:uiPriority w:val="99"/>
    <w:semiHidden/>
    <w:rsid w:val="00361DEB"/>
    <w:pPr>
      <w:spacing w:after="0"/>
    </w:pPr>
    <w:rPr>
      <w:color w:val="00728F" w:themeColor="text1"/>
    </w:rPr>
    <w:tblPr>
      <w:tblStyleRowBandSize w:val="1"/>
      <w:tblStyleColBandSize w:val="1"/>
      <w:tblBorders>
        <w:top w:val="single" w:sz="8" w:space="0" w:color="31859B" w:themeColor="accent5"/>
        <w:bottom w:val="single" w:sz="8" w:space="0" w:color="31859B" w:themeColor="accent5"/>
      </w:tblBorders>
    </w:tblPr>
    <w:tblStylePr w:type="firstRow">
      <w:rPr>
        <w:rFonts w:asciiTheme="majorHAnsi" w:eastAsiaTheme="majorEastAsia" w:hAnsiTheme="majorHAnsi" w:cstheme="majorBidi"/>
      </w:rPr>
      <w:tblPr/>
      <w:tcPr>
        <w:tcBorders>
          <w:top w:val="nil"/>
          <w:bottom w:val="single" w:sz="8" w:space="0" w:color="31859B" w:themeColor="accent5"/>
        </w:tcBorders>
      </w:tcPr>
    </w:tblStylePr>
    <w:tblStylePr w:type="lastRow">
      <w:rPr>
        <w:b/>
        <w:bCs/>
        <w:color w:val="B7DDE8" w:themeColor="text2"/>
      </w:rPr>
      <w:tblPr/>
      <w:tcPr>
        <w:tcBorders>
          <w:top w:val="single" w:sz="8" w:space="0" w:color="31859B" w:themeColor="accent5"/>
          <w:bottom w:val="single" w:sz="8" w:space="0" w:color="31859B" w:themeColor="accent5"/>
        </w:tcBorders>
      </w:tcPr>
    </w:tblStylePr>
    <w:tblStylePr w:type="firstCol">
      <w:rPr>
        <w:b/>
        <w:bCs/>
      </w:rPr>
    </w:tblStylePr>
    <w:tblStylePr w:type="lastCol">
      <w:rPr>
        <w:b/>
        <w:bCs/>
      </w:rPr>
      <w:tblPr/>
      <w:tcPr>
        <w:tcBorders>
          <w:top w:val="single" w:sz="8" w:space="0" w:color="31859B" w:themeColor="accent5"/>
          <w:bottom w:val="single" w:sz="8" w:space="0" w:color="31859B" w:themeColor="accent5"/>
        </w:tcBorders>
      </w:tcPr>
    </w:tblStylePr>
    <w:tblStylePr w:type="band1Vert">
      <w:tblPr/>
      <w:tcPr>
        <w:shd w:val="clear" w:color="auto" w:fill="C5E4EC" w:themeFill="accent5" w:themeFillTint="3F"/>
      </w:tcPr>
    </w:tblStylePr>
    <w:tblStylePr w:type="band1Horz">
      <w:tblPr/>
      <w:tcPr>
        <w:shd w:val="clear" w:color="auto" w:fill="C5E4EC" w:themeFill="accent5" w:themeFillTint="3F"/>
      </w:tcPr>
    </w:tblStylePr>
  </w:style>
  <w:style w:type="table" w:styleId="MediumList1-Accent6">
    <w:name w:val="Medium List 1 Accent 6"/>
    <w:basedOn w:val="TableNormal"/>
    <w:uiPriority w:val="99"/>
    <w:semiHidden/>
    <w:rsid w:val="00361DEB"/>
    <w:pPr>
      <w:spacing w:after="0"/>
    </w:pPr>
    <w:rPr>
      <w:color w:val="00728F" w:themeColor="text1"/>
    </w:rPr>
    <w:tblPr>
      <w:tblStyleRowBandSize w:val="1"/>
      <w:tblStyleColBandSize w:val="1"/>
      <w:tblBorders>
        <w:top w:val="single" w:sz="8" w:space="0" w:color="64B8CE" w:themeColor="accent6"/>
        <w:bottom w:val="single" w:sz="8" w:space="0" w:color="64B8CE" w:themeColor="accent6"/>
      </w:tblBorders>
    </w:tblPr>
    <w:tblStylePr w:type="firstRow">
      <w:rPr>
        <w:rFonts w:asciiTheme="majorHAnsi" w:eastAsiaTheme="majorEastAsia" w:hAnsiTheme="majorHAnsi" w:cstheme="majorBidi"/>
      </w:rPr>
      <w:tblPr/>
      <w:tcPr>
        <w:tcBorders>
          <w:top w:val="nil"/>
          <w:bottom w:val="single" w:sz="8" w:space="0" w:color="64B8CE" w:themeColor="accent6"/>
        </w:tcBorders>
      </w:tcPr>
    </w:tblStylePr>
    <w:tblStylePr w:type="lastRow">
      <w:rPr>
        <w:b/>
        <w:bCs/>
        <w:color w:val="B7DDE8" w:themeColor="text2"/>
      </w:rPr>
      <w:tblPr/>
      <w:tcPr>
        <w:tcBorders>
          <w:top w:val="single" w:sz="8" w:space="0" w:color="64B8CE" w:themeColor="accent6"/>
          <w:bottom w:val="single" w:sz="8" w:space="0" w:color="64B8CE" w:themeColor="accent6"/>
        </w:tcBorders>
      </w:tcPr>
    </w:tblStylePr>
    <w:tblStylePr w:type="firstCol">
      <w:rPr>
        <w:b/>
        <w:bCs/>
      </w:rPr>
    </w:tblStylePr>
    <w:tblStylePr w:type="lastCol">
      <w:rPr>
        <w:b/>
        <w:bCs/>
      </w:rPr>
      <w:tblPr/>
      <w:tcPr>
        <w:tcBorders>
          <w:top w:val="single" w:sz="8" w:space="0" w:color="64B8CE" w:themeColor="accent6"/>
          <w:bottom w:val="single" w:sz="8" w:space="0" w:color="64B8CE" w:themeColor="accent6"/>
        </w:tcBorders>
      </w:tcPr>
    </w:tblStylePr>
    <w:tblStylePr w:type="band1Vert">
      <w:tblPr/>
      <w:tcPr>
        <w:shd w:val="clear" w:color="auto" w:fill="D8EDF2" w:themeFill="accent6" w:themeFillTint="3F"/>
      </w:tcPr>
    </w:tblStylePr>
    <w:tblStylePr w:type="band1Horz">
      <w:tblPr/>
      <w:tcPr>
        <w:shd w:val="clear" w:color="auto" w:fill="D8EDF2" w:themeFill="accent6" w:themeFillTint="3F"/>
      </w:tcPr>
    </w:tblStylePr>
  </w:style>
  <w:style w:type="table" w:customStyle="1" w:styleId="MediumList21">
    <w:name w:val="Medium List 2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text1"/>
        <w:left w:val="single" w:sz="8" w:space="0" w:color="00728F" w:themeColor="text1"/>
        <w:bottom w:val="single" w:sz="8" w:space="0" w:color="00728F" w:themeColor="text1"/>
        <w:right w:val="single" w:sz="8" w:space="0" w:color="00728F" w:themeColor="text1"/>
      </w:tblBorders>
    </w:tblPr>
    <w:tblStylePr w:type="firstRow">
      <w:rPr>
        <w:sz w:val="24"/>
        <w:szCs w:val="24"/>
      </w:rPr>
      <w:tblPr/>
      <w:tcPr>
        <w:tcBorders>
          <w:top w:val="nil"/>
          <w:left w:val="nil"/>
          <w:bottom w:val="single" w:sz="24" w:space="0" w:color="00728F" w:themeColor="text1"/>
          <w:right w:val="nil"/>
          <w:insideH w:val="nil"/>
          <w:insideV w:val="nil"/>
        </w:tcBorders>
        <w:shd w:val="clear" w:color="auto" w:fill="FFFFFF" w:themeFill="background1"/>
      </w:tcPr>
    </w:tblStylePr>
    <w:tblStylePr w:type="lastRow">
      <w:tblPr/>
      <w:tcPr>
        <w:tcBorders>
          <w:top w:val="single" w:sz="8" w:space="0" w:color="00728F"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text1"/>
          <w:insideH w:val="nil"/>
          <w:insideV w:val="nil"/>
        </w:tcBorders>
        <w:shd w:val="clear" w:color="auto" w:fill="FFFFFF" w:themeFill="background1"/>
      </w:tcPr>
    </w:tblStylePr>
    <w:tblStylePr w:type="lastCol">
      <w:tblPr/>
      <w:tcPr>
        <w:tcBorders>
          <w:top w:val="nil"/>
          <w:left w:val="single" w:sz="8" w:space="0" w:color="00728F"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text1" w:themeFillTint="3F"/>
      </w:tcPr>
    </w:tblStylePr>
    <w:tblStylePr w:type="band1Horz">
      <w:tblPr/>
      <w:tcPr>
        <w:tcBorders>
          <w:top w:val="nil"/>
          <w:bottom w:val="nil"/>
          <w:insideH w:val="nil"/>
          <w:insideV w:val="nil"/>
        </w:tcBorders>
        <w:shd w:val="clear" w:color="auto" w:fill="A4E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00728F" w:themeColor="accent1"/>
        <w:left w:val="single" w:sz="8" w:space="0" w:color="00728F" w:themeColor="accent1"/>
        <w:bottom w:val="single" w:sz="8" w:space="0" w:color="00728F" w:themeColor="accent1"/>
        <w:right w:val="single" w:sz="8" w:space="0" w:color="00728F" w:themeColor="accent1"/>
      </w:tblBorders>
    </w:tblPr>
    <w:tblStylePr w:type="firstRow">
      <w:rPr>
        <w:sz w:val="24"/>
        <w:szCs w:val="24"/>
      </w:rPr>
      <w:tblPr/>
      <w:tcPr>
        <w:tcBorders>
          <w:top w:val="nil"/>
          <w:left w:val="nil"/>
          <w:bottom w:val="single" w:sz="24" w:space="0" w:color="00728F" w:themeColor="accent1"/>
          <w:right w:val="nil"/>
          <w:insideH w:val="nil"/>
          <w:insideV w:val="nil"/>
        </w:tcBorders>
        <w:shd w:val="clear" w:color="auto" w:fill="FFFFFF" w:themeFill="background1"/>
      </w:tcPr>
    </w:tblStylePr>
    <w:tblStylePr w:type="lastRow">
      <w:tblPr/>
      <w:tcPr>
        <w:tcBorders>
          <w:top w:val="single" w:sz="8" w:space="0" w:color="0072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8F" w:themeColor="accent1"/>
          <w:insideH w:val="nil"/>
          <w:insideV w:val="nil"/>
        </w:tcBorders>
        <w:shd w:val="clear" w:color="auto" w:fill="FFFFFF" w:themeFill="background1"/>
      </w:tcPr>
    </w:tblStylePr>
    <w:tblStylePr w:type="lastCol">
      <w:tblPr/>
      <w:tcPr>
        <w:tcBorders>
          <w:top w:val="nil"/>
          <w:left w:val="single" w:sz="8" w:space="0" w:color="0072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CFF" w:themeFill="accent1" w:themeFillTint="3F"/>
      </w:tcPr>
    </w:tblStylePr>
    <w:tblStylePr w:type="band1Horz">
      <w:tblPr/>
      <w:tcPr>
        <w:tcBorders>
          <w:top w:val="nil"/>
          <w:bottom w:val="nil"/>
          <w:insideH w:val="nil"/>
          <w:insideV w:val="nil"/>
        </w:tcBorders>
        <w:shd w:val="clear" w:color="auto" w:fill="A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B7DDE8" w:themeColor="accent2"/>
        <w:left w:val="single" w:sz="8" w:space="0" w:color="B7DDE8" w:themeColor="accent2"/>
        <w:bottom w:val="single" w:sz="8" w:space="0" w:color="B7DDE8" w:themeColor="accent2"/>
        <w:right w:val="single" w:sz="8" w:space="0" w:color="B7DDE8" w:themeColor="accent2"/>
      </w:tblBorders>
    </w:tblPr>
    <w:tblStylePr w:type="firstRow">
      <w:rPr>
        <w:sz w:val="24"/>
        <w:szCs w:val="24"/>
      </w:rPr>
      <w:tblPr/>
      <w:tcPr>
        <w:tcBorders>
          <w:top w:val="nil"/>
          <w:left w:val="nil"/>
          <w:bottom w:val="single" w:sz="24" w:space="0" w:color="B7DDE8" w:themeColor="accent2"/>
          <w:right w:val="nil"/>
          <w:insideH w:val="nil"/>
          <w:insideV w:val="nil"/>
        </w:tcBorders>
        <w:shd w:val="clear" w:color="auto" w:fill="FFFFFF" w:themeFill="background1"/>
      </w:tcPr>
    </w:tblStylePr>
    <w:tblStylePr w:type="lastRow">
      <w:tblPr/>
      <w:tcPr>
        <w:tcBorders>
          <w:top w:val="single" w:sz="8" w:space="0" w:color="B7DDE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DE8" w:themeColor="accent2"/>
          <w:insideH w:val="nil"/>
          <w:insideV w:val="nil"/>
        </w:tcBorders>
        <w:shd w:val="clear" w:color="auto" w:fill="FFFFFF" w:themeFill="background1"/>
      </w:tcPr>
    </w:tblStylePr>
    <w:tblStylePr w:type="lastCol">
      <w:tblPr/>
      <w:tcPr>
        <w:tcBorders>
          <w:top w:val="nil"/>
          <w:left w:val="single" w:sz="8" w:space="0" w:color="B7DDE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F9" w:themeFill="accent2" w:themeFillTint="3F"/>
      </w:tcPr>
    </w:tblStylePr>
    <w:tblStylePr w:type="band1Horz">
      <w:tblPr/>
      <w:tcPr>
        <w:tcBorders>
          <w:top w:val="nil"/>
          <w:bottom w:val="nil"/>
          <w:insideH w:val="nil"/>
          <w:insideV w:val="nil"/>
        </w:tcBorders>
        <w:shd w:val="clear" w:color="auto" w:fill="EDF6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DBEEF3" w:themeColor="accent3"/>
        <w:left w:val="single" w:sz="8" w:space="0" w:color="DBEEF3" w:themeColor="accent3"/>
        <w:bottom w:val="single" w:sz="8" w:space="0" w:color="DBEEF3" w:themeColor="accent3"/>
        <w:right w:val="single" w:sz="8" w:space="0" w:color="DBEEF3" w:themeColor="accent3"/>
      </w:tblBorders>
    </w:tblPr>
    <w:tblStylePr w:type="firstRow">
      <w:rPr>
        <w:sz w:val="24"/>
        <w:szCs w:val="24"/>
      </w:rPr>
      <w:tblPr/>
      <w:tcPr>
        <w:tcBorders>
          <w:top w:val="nil"/>
          <w:left w:val="nil"/>
          <w:bottom w:val="single" w:sz="24" w:space="0" w:color="DBEEF3" w:themeColor="accent3"/>
          <w:right w:val="nil"/>
          <w:insideH w:val="nil"/>
          <w:insideV w:val="nil"/>
        </w:tcBorders>
        <w:shd w:val="clear" w:color="auto" w:fill="FFFFFF" w:themeFill="background1"/>
      </w:tcPr>
    </w:tblStylePr>
    <w:tblStylePr w:type="lastRow">
      <w:tblPr/>
      <w:tcPr>
        <w:tcBorders>
          <w:top w:val="single" w:sz="8" w:space="0" w:color="DBEEF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BEEF3" w:themeColor="accent3"/>
          <w:insideH w:val="nil"/>
          <w:insideV w:val="nil"/>
        </w:tcBorders>
        <w:shd w:val="clear" w:color="auto" w:fill="FFFFFF" w:themeFill="background1"/>
      </w:tcPr>
    </w:tblStylePr>
    <w:tblStylePr w:type="lastCol">
      <w:tblPr/>
      <w:tcPr>
        <w:tcBorders>
          <w:top w:val="nil"/>
          <w:left w:val="single" w:sz="8" w:space="0" w:color="DBEEF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AFC" w:themeFill="accent3" w:themeFillTint="3F"/>
      </w:tcPr>
    </w:tblStylePr>
    <w:tblStylePr w:type="band1Horz">
      <w:tblPr/>
      <w:tcPr>
        <w:tcBorders>
          <w:top w:val="nil"/>
          <w:bottom w:val="nil"/>
          <w:insideH w:val="nil"/>
          <w:insideV w:val="nil"/>
        </w:tcBorders>
        <w:shd w:val="clear" w:color="auto" w:fill="F6FA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92CDDC" w:themeColor="accent4"/>
        <w:left w:val="single" w:sz="8" w:space="0" w:color="92CDDC" w:themeColor="accent4"/>
        <w:bottom w:val="single" w:sz="8" w:space="0" w:color="92CDDC" w:themeColor="accent4"/>
        <w:right w:val="single" w:sz="8" w:space="0" w:color="92CDDC" w:themeColor="accent4"/>
      </w:tblBorders>
    </w:tblPr>
    <w:tblStylePr w:type="firstRow">
      <w:rPr>
        <w:sz w:val="24"/>
        <w:szCs w:val="24"/>
      </w:rPr>
      <w:tblPr/>
      <w:tcPr>
        <w:tcBorders>
          <w:top w:val="nil"/>
          <w:left w:val="nil"/>
          <w:bottom w:val="single" w:sz="24" w:space="0" w:color="92CDDC" w:themeColor="accent4"/>
          <w:right w:val="nil"/>
          <w:insideH w:val="nil"/>
          <w:insideV w:val="nil"/>
        </w:tcBorders>
        <w:shd w:val="clear" w:color="auto" w:fill="FFFFFF" w:themeFill="background1"/>
      </w:tcPr>
    </w:tblStylePr>
    <w:tblStylePr w:type="lastRow">
      <w:tblPr/>
      <w:tcPr>
        <w:tcBorders>
          <w:top w:val="single" w:sz="8" w:space="0" w:color="92CDD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CDDC" w:themeColor="accent4"/>
          <w:insideH w:val="nil"/>
          <w:insideV w:val="nil"/>
        </w:tcBorders>
        <w:shd w:val="clear" w:color="auto" w:fill="FFFFFF" w:themeFill="background1"/>
      </w:tcPr>
    </w:tblStylePr>
    <w:tblStylePr w:type="lastCol">
      <w:tblPr/>
      <w:tcPr>
        <w:tcBorders>
          <w:top w:val="nil"/>
          <w:left w:val="single" w:sz="8" w:space="0" w:color="92CDD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2F6" w:themeFill="accent4" w:themeFillTint="3F"/>
      </w:tcPr>
    </w:tblStylePr>
    <w:tblStylePr w:type="band1Horz">
      <w:tblPr/>
      <w:tcPr>
        <w:tcBorders>
          <w:top w:val="nil"/>
          <w:bottom w:val="nil"/>
          <w:insideH w:val="nil"/>
          <w:insideV w:val="nil"/>
        </w:tcBorders>
        <w:shd w:val="clear" w:color="auto" w:fill="E4F2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31859B" w:themeColor="accent5"/>
        <w:left w:val="single" w:sz="8" w:space="0" w:color="31859B" w:themeColor="accent5"/>
        <w:bottom w:val="single" w:sz="8" w:space="0" w:color="31859B" w:themeColor="accent5"/>
        <w:right w:val="single" w:sz="8" w:space="0" w:color="31859B" w:themeColor="accent5"/>
      </w:tblBorders>
    </w:tblPr>
    <w:tblStylePr w:type="firstRow">
      <w:rPr>
        <w:sz w:val="24"/>
        <w:szCs w:val="24"/>
      </w:rPr>
      <w:tblPr/>
      <w:tcPr>
        <w:tcBorders>
          <w:top w:val="nil"/>
          <w:left w:val="nil"/>
          <w:bottom w:val="single" w:sz="24" w:space="0" w:color="31859B" w:themeColor="accent5"/>
          <w:right w:val="nil"/>
          <w:insideH w:val="nil"/>
          <w:insideV w:val="nil"/>
        </w:tcBorders>
        <w:shd w:val="clear" w:color="auto" w:fill="FFFFFF" w:themeFill="background1"/>
      </w:tcPr>
    </w:tblStylePr>
    <w:tblStylePr w:type="lastRow">
      <w:tblPr/>
      <w:tcPr>
        <w:tcBorders>
          <w:top w:val="single" w:sz="8" w:space="0" w:color="31859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1859B" w:themeColor="accent5"/>
          <w:insideH w:val="nil"/>
          <w:insideV w:val="nil"/>
        </w:tcBorders>
        <w:shd w:val="clear" w:color="auto" w:fill="FFFFFF" w:themeFill="background1"/>
      </w:tcPr>
    </w:tblStylePr>
    <w:tblStylePr w:type="lastCol">
      <w:tblPr/>
      <w:tcPr>
        <w:tcBorders>
          <w:top w:val="nil"/>
          <w:left w:val="single" w:sz="8" w:space="0" w:color="31859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4EC" w:themeFill="accent5" w:themeFillTint="3F"/>
      </w:tcPr>
    </w:tblStylePr>
    <w:tblStylePr w:type="band1Horz">
      <w:tblPr/>
      <w:tcPr>
        <w:tcBorders>
          <w:top w:val="nil"/>
          <w:bottom w:val="nil"/>
          <w:insideH w:val="nil"/>
          <w:insideV w:val="nil"/>
        </w:tcBorders>
        <w:shd w:val="clear" w:color="auto" w:fill="C5E4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361DEB"/>
    <w:pPr>
      <w:spacing w:after="0"/>
    </w:pPr>
    <w:rPr>
      <w:rFonts w:asciiTheme="majorHAnsi" w:eastAsiaTheme="majorEastAsia" w:hAnsiTheme="majorHAnsi" w:cstheme="majorBidi"/>
      <w:color w:val="00728F" w:themeColor="text1"/>
    </w:rPr>
    <w:tblPr>
      <w:tblStyleRowBandSize w:val="1"/>
      <w:tblStyleColBandSize w:val="1"/>
      <w:tblBorders>
        <w:top w:val="single" w:sz="8" w:space="0" w:color="64B8CE" w:themeColor="accent6"/>
        <w:left w:val="single" w:sz="8" w:space="0" w:color="64B8CE" w:themeColor="accent6"/>
        <w:bottom w:val="single" w:sz="8" w:space="0" w:color="64B8CE" w:themeColor="accent6"/>
        <w:right w:val="single" w:sz="8" w:space="0" w:color="64B8CE" w:themeColor="accent6"/>
      </w:tblBorders>
    </w:tblPr>
    <w:tblStylePr w:type="firstRow">
      <w:rPr>
        <w:sz w:val="24"/>
        <w:szCs w:val="24"/>
      </w:rPr>
      <w:tblPr/>
      <w:tcPr>
        <w:tcBorders>
          <w:top w:val="nil"/>
          <w:left w:val="nil"/>
          <w:bottom w:val="single" w:sz="24" w:space="0" w:color="64B8CE" w:themeColor="accent6"/>
          <w:right w:val="nil"/>
          <w:insideH w:val="nil"/>
          <w:insideV w:val="nil"/>
        </w:tcBorders>
        <w:shd w:val="clear" w:color="auto" w:fill="FFFFFF" w:themeFill="background1"/>
      </w:tcPr>
    </w:tblStylePr>
    <w:tblStylePr w:type="lastRow">
      <w:tblPr/>
      <w:tcPr>
        <w:tcBorders>
          <w:top w:val="single" w:sz="8" w:space="0" w:color="64B8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B8CE" w:themeColor="accent6"/>
          <w:insideH w:val="nil"/>
          <w:insideV w:val="nil"/>
        </w:tcBorders>
        <w:shd w:val="clear" w:color="auto" w:fill="FFFFFF" w:themeFill="background1"/>
      </w:tcPr>
    </w:tblStylePr>
    <w:tblStylePr w:type="lastCol">
      <w:tblPr/>
      <w:tcPr>
        <w:tcBorders>
          <w:top w:val="nil"/>
          <w:left w:val="single" w:sz="8" w:space="0" w:color="64B8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DF2" w:themeFill="accent6" w:themeFillTint="3F"/>
      </w:tcPr>
    </w:tblStylePr>
    <w:tblStylePr w:type="band1Horz">
      <w:tblPr/>
      <w:tcPr>
        <w:tcBorders>
          <w:top w:val="nil"/>
          <w:bottom w:val="nil"/>
          <w:insideH w:val="nil"/>
          <w:insideV w:val="nil"/>
        </w:tcBorders>
        <w:shd w:val="clear" w:color="auto" w:fill="D8ED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99"/>
    <w:semiHidden/>
    <w:rsid w:val="00361DEB"/>
    <w:pPr>
      <w:spacing w:after="0"/>
    </w:pPr>
    <w:tblPr>
      <w:tblStyleRowBandSize w:val="1"/>
      <w:tblStyleColBandSize w:val="1"/>
      <w:tbl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single" w:sz="8" w:space="0" w:color="00BBEB" w:themeColor="text1" w:themeTint="BF"/>
      </w:tblBorders>
    </w:tblPr>
    <w:tblStylePr w:type="firstRow">
      <w:pPr>
        <w:spacing w:before="0" w:after="0" w:line="240" w:lineRule="auto"/>
      </w:pPr>
      <w:rPr>
        <w:b/>
        <w:bCs/>
        <w:color w:val="FFFFFF" w:themeColor="background1"/>
      </w:rPr>
      <w:tblPr/>
      <w:tcPr>
        <w:tcBorders>
          <w:top w:val="single" w:sz="8"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shd w:val="clear" w:color="auto" w:fill="00728F" w:themeFill="text1"/>
      </w:tcPr>
    </w:tblStylePr>
    <w:tblStylePr w:type="lastRow">
      <w:pPr>
        <w:spacing w:before="0" w:after="0" w:line="240" w:lineRule="auto"/>
      </w:pPr>
      <w:rPr>
        <w:b/>
        <w:bCs/>
      </w:rPr>
      <w:tblPr/>
      <w:tcPr>
        <w:tcBorders>
          <w:top w:val="double" w:sz="6" w:space="0" w:color="00BBEB" w:themeColor="text1" w:themeTint="BF"/>
          <w:left w:val="single" w:sz="8" w:space="0" w:color="00BBEB" w:themeColor="text1" w:themeTint="BF"/>
          <w:bottom w:val="single" w:sz="8" w:space="0" w:color="00BBEB" w:themeColor="text1" w:themeTint="BF"/>
          <w:right w:val="single" w:sz="8" w:space="0" w:color="00BBEB" w:themeColor="text1" w:themeTint="BF"/>
          <w:insideH w:val="nil"/>
          <w:insideV w:val="nil"/>
        </w:tcBorders>
      </w:tcPr>
    </w:tblStylePr>
    <w:tblStylePr w:type="firstCol">
      <w:rPr>
        <w:b/>
        <w:bCs/>
      </w:rPr>
    </w:tblStylePr>
    <w:tblStylePr w:type="lastCol">
      <w:rPr>
        <w:b/>
        <w:bCs/>
      </w:rPr>
    </w:tblStylePr>
    <w:tblStylePr w:type="band1Vert">
      <w:tblPr/>
      <w:tcPr>
        <w:shd w:val="clear" w:color="auto" w:fill="A4ECFF" w:themeFill="text1" w:themeFillTint="3F"/>
      </w:tcPr>
    </w:tblStylePr>
    <w:tblStylePr w:type="band1Horz">
      <w:tblPr/>
      <w:tcPr>
        <w:tcBorders>
          <w:insideH w:val="nil"/>
          <w:insideV w:val="nil"/>
        </w:tcBorders>
        <w:shd w:val="clear" w:color="auto" w:fill="A4EC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99"/>
    <w:semiHidden/>
    <w:rsid w:val="00361DEB"/>
    <w:pPr>
      <w:spacing w:after="0"/>
    </w:pPr>
    <w:tblPr>
      <w:tblStyleRowBandSize w:val="1"/>
      <w:tblStyleColBandSize w:val="1"/>
      <w:tbl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single" w:sz="8" w:space="0" w:color="00BBEB" w:themeColor="accent1" w:themeTint="BF"/>
      </w:tblBorders>
    </w:tblPr>
    <w:tblStylePr w:type="firstRow">
      <w:pPr>
        <w:spacing w:before="0" w:after="0" w:line="240" w:lineRule="auto"/>
      </w:pPr>
      <w:rPr>
        <w:b/>
        <w:bCs/>
        <w:color w:val="FFFFFF" w:themeColor="background1"/>
      </w:rPr>
      <w:tblPr/>
      <w:tcPr>
        <w:tcBorders>
          <w:top w:val="single" w:sz="8"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shd w:val="clear" w:color="auto" w:fill="00728F" w:themeFill="accent1"/>
      </w:tcPr>
    </w:tblStylePr>
    <w:tblStylePr w:type="lastRow">
      <w:pPr>
        <w:spacing w:before="0" w:after="0" w:line="240" w:lineRule="auto"/>
      </w:pPr>
      <w:rPr>
        <w:b/>
        <w:bCs/>
      </w:rPr>
      <w:tblPr/>
      <w:tcPr>
        <w:tcBorders>
          <w:top w:val="double" w:sz="6" w:space="0" w:color="00BBEB" w:themeColor="accent1" w:themeTint="BF"/>
          <w:left w:val="single" w:sz="8" w:space="0" w:color="00BBEB" w:themeColor="accent1" w:themeTint="BF"/>
          <w:bottom w:val="single" w:sz="8" w:space="0" w:color="00BBEB" w:themeColor="accent1" w:themeTint="BF"/>
          <w:right w:val="single" w:sz="8" w:space="0" w:color="00B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ECFF" w:themeFill="accent1" w:themeFillTint="3F"/>
      </w:tcPr>
    </w:tblStylePr>
    <w:tblStylePr w:type="band1Horz">
      <w:tblPr/>
      <w:tcPr>
        <w:tcBorders>
          <w:insideH w:val="nil"/>
          <w:insideV w:val="nil"/>
        </w:tcBorders>
        <w:shd w:val="clear" w:color="auto" w:fill="A4E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361DEB"/>
    <w:pPr>
      <w:spacing w:after="0"/>
    </w:pPr>
    <w:tblPr>
      <w:tblStyleRowBandSize w:val="1"/>
      <w:tblStyleColBandSize w:val="1"/>
      <w:tbl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single" w:sz="8" w:space="0" w:color="C8E5ED" w:themeColor="accent2" w:themeTint="BF"/>
      </w:tblBorders>
    </w:tblPr>
    <w:tblStylePr w:type="firstRow">
      <w:pPr>
        <w:spacing w:before="0" w:after="0" w:line="240" w:lineRule="auto"/>
      </w:pPr>
      <w:rPr>
        <w:b/>
        <w:bCs/>
        <w:color w:val="FFFFFF" w:themeColor="background1"/>
      </w:rPr>
      <w:tblPr/>
      <w:tcPr>
        <w:tcBorders>
          <w:top w:val="single" w:sz="8"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shd w:val="clear" w:color="auto" w:fill="B7DDE8" w:themeFill="accent2"/>
      </w:tcPr>
    </w:tblStylePr>
    <w:tblStylePr w:type="lastRow">
      <w:pPr>
        <w:spacing w:before="0" w:after="0" w:line="240" w:lineRule="auto"/>
      </w:pPr>
      <w:rPr>
        <w:b/>
        <w:bCs/>
      </w:rPr>
      <w:tblPr/>
      <w:tcPr>
        <w:tcBorders>
          <w:top w:val="double" w:sz="6" w:space="0" w:color="C8E5ED" w:themeColor="accent2" w:themeTint="BF"/>
          <w:left w:val="single" w:sz="8" w:space="0" w:color="C8E5ED" w:themeColor="accent2" w:themeTint="BF"/>
          <w:bottom w:val="single" w:sz="8" w:space="0" w:color="C8E5ED" w:themeColor="accent2" w:themeTint="BF"/>
          <w:right w:val="single" w:sz="8" w:space="0" w:color="C8E5E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F9" w:themeFill="accent2" w:themeFillTint="3F"/>
      </w:tcPr>
    </w:tblStylePr>
    <w:tblStylePr w:type="band1Horz">
      <w:tblPr/>
      <w:tcPr>
        <w:tcBorders>
          <w:insideH w:val="nil"/>
          <w:insideV w:val="nil"/>
        </w:tcBorders>
        <w:shd w:val="clear" w:color="auto" w:fill="EDF6F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361DEB"/>
    <w:pPr>
      <w:spacing w:after="0"/>
    </w:pPr>
    <w:tblPr>
      <w:tblStyleRowBandSize w:val="1"/>
      <w:tblStyleColBandSize w:val="1"/>
      <w:tbl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single" w:sz="8" w:space="0" w:color="E4F2F6" w:themeColor="accent3" w:themeTint="BF"/>
      </w:tblBorders>
    </w:tblPr>
    <w:tblStylePr w:type="firstRow">
      <w:pPr>
        <w:spacing w:before="0" w:after="0" w:line="240" w:lineRule="auto"/>
      </w:pPr>
      <w:rPr>
        <w:b/>
        <w:bCs/>
        <w:color w:val="FFFFFF" w:themeColor="background1"/>
      </w:rPr>
      <w:tblPr/>
      <w:tcPr>
        <w:tcBorders>
          <w:top w:val="single" w:sz="8"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shd w:val="clear" w:color="auto" w:fill="DBEEF3" w:themeFill="accent3"/>
      </w:tcPr>
    </w:tblStylePr>
    <w:tblStylePr w:type="lastRow">
      <w:pPr>
        <w:spacing w:before="0" w:after="0" w:line="240" w:lineRule="auto"/>
      </w:pPr>
      <w:rPr>
        <w:b/>
        <w:bCs/>
      </w:rPr>
      <w:tblPr/>
      <w:tcPr>
        <w:tcBorders>
          <w:top w:val="double" w:sz="6" w:space="0" w:color="E4F2F6" w:themeColor="accent3" w:themeTint="BF"/>
          <w:left w:val="single" w:sz="8" w:space="0" w:color="E4F2F6" w:themeColor="accent3" w:themeTint="BF"/>
          <w:bottom w:val="single" w:sz="8" w:space="0" w:color="E4F2F6" w:themeColor="accent3" w:themeTint="BF"/>
          <w:right w:val="single" w:sz="8" w:space="0" w:color="E4F2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AFC" w:themeFill="accent3" w:themeFillTint="3F"/>
      </w:tcPr>
    </w:tblStylePr>
    <w:tblStylePr w:type="band1Horz">
      <w:tblPr/>
      <w:tcPr>
        <w:tcBorders>
          <w:insideH w:val="nil"/>
          <w:insideV w:val="nil"/>
        </w:tcBorders>
        <w:shd w:val="clear" w:color="auto" w:fill="F6FA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361DEB"/>
    <w:pPr>
      <w:spacing w:after="0"/>
    </w:pPr>
    <w:tblPr>
      <w:tblStyleRowBandSize w:val="1"/>
      <w:tblStyleColBandSize w:val="1"/>
      <w:tbl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single" w:sz="8" w:space="0" w:color="ADD9E4" w:themeColor="accent4" w:themeTint="BF"/>
      </w:tblBorders>
    </w:tblPr>
    <w:tblStylePr w:type="firstRow">
      <w:pPr>
        <w:spacing w:before="0" w:after="0" w:line="240" w:lineRule="auto"/>
      </w:pPr>
      <w:rPr>
        <w:b/>
        <w:bCs/>
        <w:color w:val="FFFFFF" w:themeColor="background1"/>
      </w:rPr>
      <w:tblPr/>
      <w:tcPr>
        <w:tcBorders>
          <w:top w:val="single" w:sz="8"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shd w:val="clear" w:color="auto" w:fill="92CDDC" w:themeFill="accent4"/>
      </w:tcPr>
    </w:tblStylePr>
    <w:tblStylePr w:type="lastRow">
      <w:pPr>
        <w:spacing w:before="0" w:after="0" w:line="240" w:lineRule="auto"/>
      </w:pPr>
      <w:rPr>
        <w:b/>
        <w:bCs/>
      </w:rPr>
      <w:tblPr/>
      <w:tcPr>
        <w:tcBorders>
          <w:top w:val="double" w:sz="6" w:space="0" w:color="ADD9E4" w:themeColor="accent4" w:themeTint="BF"/>
          <w:left w:val="single" w:sz="8" w:space="0" w:color="ADD9E4" w:themeColor="accent4" w:themeTint="BF"/>
          <w:bottom w:val="single" w:sz="8" w:space="0" w:color="ADD9E4" w:themeColor="accent4" w:themeTint="BF"/>
          <w:right w:val="single" w:sz="8" w:space="0" w:color="ADD9E4"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F2F6" w:themeFill="accent4" w:themeFillTint="3F"/>
      </w:tcPr>
    </w:tblStylePr>
    <w:tblStylePr w:type="band1Horz">
      <w:tblPr/>
      <w:tcPr>
        <w:tcBorders>
          <w:insideH w:val="nil"/>
          <w:insideV w:val="nil"/>
        </w:tcBorders>
        <w:shd w:val="clear" w:color="auto" w:fill="E4F2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361DEB"/>
    <w:pPr>
      <w:spacing w:after="0"/>
    </w:pPr>
    <w:tblPr>
      <w:tblStyleRowBandSize w:val="1"/>
      <w:tblStyleColBandSize w:val="1"/>
      <w:tbl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single" w:sz="8" w:space="0" w:color="50AFC8" w:themeColor="accent5" w:themeTint="BF"/>
      </w:tblBorders>
    </w:tblPr>
    <w:tblStylePr w:type="firstRow">
      <w:pPr>
        <w:spacing w:before="0" w:after="0" w:line="240" w:lineRule="auto"/>
      </w:pPr>
      <w:rPr>
        <w:b/>
        <w:bCs/>
        <w:color w:val="FFFFFF" w:themeColor="background1"/>
      </w:rPr>
      <w:tblPr/>
      <w:tcPr>
        <w:tcBorders>
          <w:top w:val="single" w:sz="8"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shd w:val="clear" w:color="auto" w:fill="31859B" w:themeFill="accent5"/>
      </w:tcPr>
    </w:tblStylePr>
    <w:tblStylePr w:type="lastRow">
      <w:pPr>
        <w:spacing w:before="0" w:after="0" w:line="240" w:lineRule="auto"/>
      </w:pPr>
      <w:rPr>
        <w:b/>
        <w:bCs/>
      </w:rPr>
      <w:tblPr/>
      <w:tcPr>
        <w:tcBorders>
          <w:top w:val="double" w:sz="6" w:space="0" w:color="50AFC8" w:themeColor="accent5" w:themeTint="BF"/>
          <w:left w:val="single" w:sz="8" w:space="0" w:color="50AFC8" w:themeColor="accent5" w:themeTint="BF"/>
          <w:bottom w:val="single" w:sz="8" w:space="0" w:color="50AFC8" w:themeColor="accent5" w:themeTint="BF"/>
          <w:right w:val="single" w:sz="8" w:space="0" w:color="50A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C5E4EC" w:themeFill="accent5" w:themeFillTint="3F"/>
      </w:tcPr>
    </w:tblStylePr>
    <w:tblStylePr w:type="band1Horz">
      <w:tblPr/>
      <w:tcPr>
        <w:tcBorders>
          <w:insideH w:val="nil"/>
          <w:insideV w:val="nil"/>
        </w:tcBorders>
        <w:shd w:val="clear" w:color="auto" w:fill="C5E4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361DEB"/>
    <w:pPr>
      <w:spacing w:after="0"/>
    </w:pPr>
    <w:tblPr>
      <w:tblStyleRowBandSize w:val="1"/>
      <w:tblStyleColBandSize w:val="1"/>
      <w:tbl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single" w:sz="8" w:space="0" w:color="8AC9DA" w:themeColor="accent6" w:themeTint="BF"/>
      </w:tblBorders>
    </w:tblPr>
    <w:tblStylePr w:type="firstRow">
      <w:pPr>
        <w:spacing w:before="0" w:after="0" w:line="240" w:lineRule="auto"/>
      </w:pPr>
      <w:rPr>
        <w:b/>
        <w:bCs/>
        <w:color w:val="FFFFFF" w:themeColor="background1"/>
      </w:rPr>
      <w:tblPr/>
      <w:tcPr>
        <w:tcBorders>
          <w:top w:val="single" w:sz="8"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shd w:val="clear" w:color="auto" w:fill="64B8CE" w:themeFill="accent6"/>
      </w:tcPr>
    </w:tblStylePr>
    <w:tblStylePr w:type="lastRow">
      <w:pPr>
        <w:spacing w:before="0" w:after="0" w:line="240" w:lineRule="auto"/>
      </w:pPr>
      <w:rPr>
        <w:b/>
        <w:bCs/>
      </w:rPr>
      <w:tblPr/>
      <w:tcPr>
        <w:tcBorders>
          <w:top w:val="double" w:sz="6" w:space="0" w:color="8AC9DA" w:themeColor="accent6" w:themeTint="BF"/>
          <w:left w:val="single" w:sz="8" w:space="0" w:color="8AC9DA" w:themeColor="accent6" w:themeTint="BF"/>
          <w:bottom w:val="single" w:sz="8" w:space="0" w:color="8AC9DA" w:themeColor="accent6" w:themeTint="BF"/>
          <w:right w:val="single" w:sz="8" w:space="0" w:color="8AC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8EDF2" w:themeFill="accent6" w:themeFillTint="3F"/>
      </w:tcPr>
    </w:tblStylePr>
    <w:tblStylePr w:type="band1Horz">
      <w:tblPr/>
      <w:tcPr>
        <w:tcBorders>
          <w:insideH w:val="nil"/>
          <w:insideV w:val="nil"/>
        </w:tcBorders>
        <w:shd w:val="clear" w:color="auto" w:fill="D8EDF2"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text1"/>
      </w:tcPr>
    </w:tblStylePr>
    <w:tblStylePr w:type="lastCol">
      <w:rPr>
        <w:b/>
        <w:bCs/>
        <w:color w:val="FFFFFF" w:themeColor="background1"/>
      </w:rPr>
      <w:tblPr/>
      <w:tcPr>
        <w:tcBorders>
          <w:left w:val="nil"/>
          <w:right w:val="nil"/>
          <w:insideH w:val="nil"/>
          <w:insideV w:val="nil"/>
        </w:tcBorders>
        <w:shd w:val="clear" w:color="auto" w:fill="00728F"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8F" w:themeFill="accent1"/>
      </w:tcPr>
    </w:tblStylePr>
    <w:tblStylePr w:type="lastCol">
      <w:rPr>
        <w:b/>
        <w:bCs/>
        <w:color w:val="FFFFFF" w:themeColor="background1"/>
      </w:rPr>
      <w:tblPr/>
      <w:tcPr>
        <w:tcBorders>
          <w:left w:val="nil"/>
          <w:right w:val="nil"/>
          <w:insideH w:val="nil"/>
          <w:insideV w:val="nil"/>
        </w:tcBorders>
        <w:shd w:val="clear" w:color="auto" w:fill="0072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DE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DE8" w:themeFill="accent2"/>
      </w:tcPr>
    </w:tblStylePr>
    <w:tblStylePr w:type="lastCol">
      <w:rPr>
        <w:b/>
        <w:bCs/>
        <w:color w:val="FFFFFF" w:themeColor="background1"/>
      </w:rPr>
      <w:tblPr/>
      <w:tcPr>
        <w:tcBorders>
          <w:left w:val="nil"/>
          <w:right w:val="nil"/>
          <w:insideH w:val="nil"/>
          <w:insideV w:val="nil"/>
        </w:tcBorders>
        <w:shd w:val="clear" w:color="auto" w:fill="B7DDE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BEEF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BEEF3" w:themeFill="accent3"/>
      </w:tcPr>
    </w:tblStylePr>
    <w:tblStylePr w:type="lastCol">
      <w:rPr>
        <w:b/>
        <w:bCs/>
        <w:color w:val="FFFFFF" w:themeColor="background1"/>
      </w:rPr>
      <w:tblPr/>
      <w:tcPr>
        <w:tcBorders>
          <w:left w:val="nil"/>
          <w:right w:val="nil"/>
          <w:insideH w:val="nil"/>
          <w:insideV w:val="nil"/>
        </w:tcBorders>
        <w:shd w:val="clear" w:color="auto" w:fill="DBEEF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CDD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CDDC" w:themeFill="accent4"/>
      </w:tcPr>
    </w:tblStylePr>
    <w:tblStylePr w:type="lastCol">
      <w:rPr>
        <w:b/>
        <w:bCs/>
        <w:color w:val="FFFFFF" w:themeColor="background1"/>
      </w:rPr>
      <w:tblPr/>
      <w:tcPr>
        <w:tcBorders>
          <w:left w:val="nil"/>
          <w:right w:val="nil"/>
          <w:insideH w:val="nil"/>
          <w:insideV w:val="nil"/>
        </w:tcBorders>
        <w:shd w:val="clear" w:color="auto" w:fill="92CDD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1859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1859B" w:themeFill="accent5"/>
      </w:tcPr>
    </w:tblStylePr>
    <w:tblStylePr w:type="lastCol">
      <w:rPr>
        <w:b/>
        <w:bCs/>
        <w:color w:val="FFFFFF" w:themeColor="background1"/>
      </w:rPr>
      <w:tblPr/>
      <w:tcPr>
        <w:tcBorders>
          <w:left w:val="nil"/>
          <w:right w:val="nil"/>
          <w:insideH w:val="nil"/>
          <w:insideV w:val="nil"/>
        </w:tcBorders>
        <w:shd w:val="clear" w:color="auto" w:fill="31859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361DE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B8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4B8CE" w:themeFill="accent6"/>
      </w:tcPr>
    </w:tblStylePr>
    <w:tblStylePr w:type="lastCol">
      <w:rPr>
        <w:b/>
        <w:bCs/>
        <w:color w:val="FFFFFF" w:themeColor="background1"/>
      </w:rPr>
      <w:tblPr/>
      <w:tcPr>
        <w:tcBorders>
          <w:left w:val="nil"/>
          <w:right w:val="nil"/>
          <w:insideH w:val="nil"/>
          <w:insideV w:val="nil"/>
        </w:tcBorders>
        <w:shd w:val="clear" w:color="auto" w:fill="64B8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lorful1">
    <w:name w:val="Table Colorful 1"/>
    <w:basedOn w:val="TableNormal"/>
    <w:uiPriority w:val="99"/>
    <w:semiHidden/>
    <w:rsid w:val="00361DE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DE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DE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361D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61DE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DE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DE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DE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DE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DE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DE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5"/>
    <w:semiHidden/>
    <w:qFormat/>
    <w:rsid w:val="00361DEB"/>
    <w:pPr>
      <w:pBdr>
        <w:bottom w:val="single" w:sz="8" w:space="4" w:color="00728F" w:themeColor="accent1"/>
      </w:pBdr>
      <w:spacing w:after="300"/>
      <w:contextualSpacing/>
    </w:pPr>
    <w:rPr>
      <w:rFonts w:asciiTheme="majorHAnsi" w:eastAsiaTheme="majorEastAsia" w:hAnsiTheme="majorHAnsi" w:cstheme="majorBidi"/>
      <w:color w:val="67B7CE" w:themeColor="text2" w:themeShade="BF"/>
      <w:spacing w:val="5"/>
      <w:kern w:val="28"/>
      <w:sz w:val="52"/>
      <w:szCs w:val="52"/>
    </w:rPr>
  </w:style>
  <w:style w:type="character" w:customStyle="1" w:styleId="TitleChar">
    <w:name w:val="Title Char"/>
    <w:basedOn w:val="DefaultParagraphFont"/>
    <w:link w:val="Title"/>
    <w:uiPriority w:val="15"/>
    <w:semiHidden/>
    <w:rsid w:val="00361DEB"/>
    <w:rPr>
      <w:rFonts w:asciiTheme="majorHAnsi" w:eastAsiaTheme="majorEastAsia" w:hAnsiTheme="majorHAnsi" w:cstheme="majorBidi"/>
      <w:color w:val="67B7CE" w:themeColor="text2" w:themeShade="BF"/>
      <w:spacing w:val="5"/>
      <w:kern w:val="28"/>
      <w:sz w:val="52"/>
      <w:szCs w:val="52"/>
    </w:rPr>
  </w:style>
  <w:style w:type="character" w:customStyle="1" w:styleId="FigurecaptionCharChar">
    <w:name w:val="Figure caption Char Char"/>
    <w:basedOn w:val="DefaultParagraphFont"/>
    <w:link w:val="Figurecaption"/>
    <w:uiPriority w:val="10"/>
    <w:locked/>
    <w:rsid w:val="004902C0"/>
    <w:rPr>
      <w:rFonts w:ascii="Calibri" w:hAnsi="Calibri"/>
      <w:b/>
      <w:bCs/>
      <w:color w:val="00728F"/>
      <w:sz w:val="18"/>
      <w:szCs w:val="18"/>
    </w:rPr>
  </w:style>
  <w:style w:type="paragraph" w:customStyle="1" w:styleId="Reference">
    <w:name w:val="Reference"/>
    <w:basedOn w:val="BodyText"/>
    <w:uiPriority w:val="20"/>
    <w:qFormat/>
    <w:rsid w:val="00D24D34"/>
    <w:pPr>
      <w:spacing w:before="360" w:after="360"/>
    </w:pPr>
    <w:rPr>
      <w:noProof/>
    </w:rPr>
  </w:style>
  <w:style w:type="character" w:customStyle="1" w:styleId="BodyTextChar">
    <w:name w:val="Body Text Char"/>
    <w:basedOn w:val="DefaultParagraphFont"/>
    <w:link w:val="BodyText"/>
    <w:rsid w:val="00BA5622"/>
    <w:rPr>
      <w:rFonts w:ascii="Calibri" w:hAnsi="Calibri"/>
    </w:rPr>
  </w:style>
  <w:style w:type="paragraph" w:customStyle="1" w:styleId="Bodytext-Quote">
    <w:name w:val="Body text - Quote"/>
    <w:basedOn w:val="BodyText"/>
    <w:next w:val="BodyText"/>
    <w:qFormat/>
    <w:rsid w:val="00DF7C5F"/>
    <w:pPr>
      <w:ind w:left="567" w:right="567"/>
    </w:pPr>
  </w:style>
  <w:style w:type="paragraph" w:customStyle="1" w:styleId="FigureImagewithoutrule">
    <w:name w:val="Figure/Image without rule"/>
    <w:basedOn w:val="BodyText"/>
    <w:next w:val="BodyText"/>
    <w:uiPriority w:val="10"/>
    <w:qFormat/>
    <w:rsid w:val="002A69C4"/>
    <w:pPr>
      <w:spacing w:after="360"/>
    </w:pPr>
    <w:rPr>
      <w:noProof/>
      <w:lang w:eastAsia="en-AU"/>
    </w:rPr>
  </w:style>
  <w:style w:type="paragraph" w:customStyle="1" w:styleId="DBCDElogo">
    <w:name w:val="DBCDE logo"/>
    <w:basedOn w:val="Normal"/>
    <w:next w:val="BodyText"/>
    <w:semiHidden/>
    <w:qFormat/>
    <w:rsid w:val="00665016"/>
    <w:pPr>
      <w:jc w:val="center"/>
    </w:pPr>
    <w:rPr>
      <w:noProof/>
      <w:lang w:eastAsia="en-AU"/>
    </w:rPr>
  </w:style>
  <w:style w:type="character" w:customStyle="1" w:styleId="Instructionaltext">
    <w:name w:val="Instructional text"/>
    <w:basedOn w:val="DefaultParagraphFont"/>
    <w:uiPriority w:val="59"/>
    <w:qFormat/>
    <w:rsid w:val="003600D8"/>
    <w:rPr>
      <w:i/>
      <w:color w:val="0066FF"/>
    </w:rPr>
  </w:style>
  <w:style w:type="paragraph" w:customStyle="1" w:styleId="Instructionaltext-Numberedlist">
    <w:name w:val="Instructional text - Numbered list"/>
    <w:basedOn w:val="Normal"/>
    <w:uiPriority w:val="59"/>
    <w:qFormat/>
    <w:rsid w:val="003C6FB6"/>
    <w:pPr>
      <w:numPr>
        <w:numId w:val="21"/>
      </w:numPr>
      <w:spacing w:after="240"/>
    </w:pPr>
    <w:rPr>
      <w:i/>
      <w:color w:val="0066FF"/>
    </w:rPr>
  </w:style>
  <w:style w:type="character" w:customStyle="1" w:styleId="Exampletext">
    <w:name w:val="Example text"/>
    <w:basedOn w:val="DefaultParagraphFont"/>
    <w:uiPriority w:val="60"/>
    <w:qFormat/>
    <w:rsid w:val="00135456"/>
    <w:rPr>
      <w:color w:val="CC0000"/>
    </w:rPr>
  </w:style>
  <w:style w:type="character" w:customStyle="1" w:styleId="Heading2Char">
    <w:name w:val="Heading 2 Char"/>
    <w:basedOn w:val="DefaultParagraphFont"/>
    <w:link w:val="Heading2"/>
    <w:uiPriority w:val="9"/>
    <w:rsid w:val="000E03CD"/>
    <w:rPr>
      <w:rFonts w:ascii="Cambria" w:eastAsiaTheme="majorEastAsia" w:hAnsi="Cambria" w:cstheme="majorBidi"/>
      <w:bCs/>
      <w:color w:val="00728F"/>
      <w:sz w:val="26"/>
      <w:szCs w:val="26"/>
    </w:rPr>
  </w:style>
  <w:style w:type="character" w:customStyle="1" w:styleId="HeaderChar">
    <w:name w:val="Header Char"/>
    <w:basedOn w:val="DefaultParagraphFont"/>
    <w:link w:val="Header"/>
    <w:rsid w:val="00AE2450"/>
    <w:rPr>
      <w:rFonts w:ascii="Calibri" w:hAnsi="Calibri"/>
      <w:color w:val="00728F"/>
      <w:sz w:val="20"/>
    </w:rPr>
  </w:style>
  <w:style w:type="paragraph" w:customStyle="1" w:styleId="Documenttype">
    <w:name w:val="Document type"/>
    <w:basedOn w:val="Normal"/>
    <w:uiPriority w:val="17"/>
    <w:qFormat/>
    <w:rsid w:val="00AE2450"/>
    <w:pPr>
      <w:spacing w:before="120"/>
      <w:jc w:val="right"/>
    </w:pPr>
    <w:rPr>
      <w:rFonts w:ascii="Cambria" w:eastAsia="Times New Roman" w:hAnsi="Cambria" w:cs="Times New Roman"/>
      <w:b/>
      <w:color w:val="00728F"/>
      <w:kern w:val="28"/>
      <w:sz w:val="24"/>
      <w:szCs w:val="52"/>
    </w:rPr>
  </w:style>
  <w:style w:type="character" w:customStyle="1" w:styleId="FooterChar">
    <w:name w:val="Footer Char"/>
    <w:basedOn w:val="DefaultParagraphFont"/>
    <w:link w:val="Footer"/>
    <w:rsid w:val="00AE2450"/>
    <w:rPr>
      <w:rFonts w:ascii="Calibri" w:hAnsi="Calibri"/>
      <w:color w:val="00728F"/>
      <w:sz w:val="20"/>
    </w:rPr>
  </w:style>
  <w:style w:type="character" w:customStyle="1" w:styleId="CommentTextChar">
    <w:name w:val="Comment Text Char"/>
    <w:basedOn w:val="DefaultParagraphFont"/>
    <w:link w:val="CommentText"/>
    <w:uiPriority w:val="99"/>
    <w:semiHidden/>
    <w:rsid w:val="004A004B"/>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590">
      <w:bodyDiv w:val="1"/>
      <w:marLeft w:val="0"/>
      <w:marRight w:val="0"/>
      <w:marTop w:val="0"/>
      <w:marBottom w:val="0"/>
      <w:divBdr>
        <w:top w:val="none" w:sz="0" w:space="0" w:color="auto"/>
        <w:left w:val="none" w:sz="0" w:space="0" w:color="auto"/>
        <w:bottom w:val="none" w:sz="0" w:space="0" w:color="auto"/>
        <w:right w:val="none" w:sz="0" w:space="0" w:color="auto"/>
      </w:divBdr>
    </w:div>
    <w:div w:id="473182892">
      <w:bodyDiv w:val="1"/>
      <w:marLeft w:val="0"/>
      <w:marRight w:val="0"/>
      <w:marTop w:val="0"/>
      <w:marBottom w:val="0"/>
      <w:divBdr>
        <w:top w:val="none" w:sz="0" w:space="0" w:color="auto"/>
        <w:left w:val="none" w:sz="0" w:space="0" w:color="auto"/>
        <w:bottom w:val="none" w:sz="0" w:space="0" w:color="auto"/>
        <w:right w:val="none" w:sz="0" w:space="0" w:color="auto"/>
      </w:divBdr>
    </w:div>
    <w:div w:id="590286324">
      <w:bodyDiv w:val="1"/>
      <w:marLeft w:val="0"/>
      <w:marRight w:val="0"/>
      <w:marTop w:val="0"/>
      <w:marBottom w:val="0"/>
      <w:divBdr>
        <w:top w:val="none" w:sz="0" w:space="0" w:color="auto"/>
        <w:left w:val="none" w:sz="0" w:space="0" w:color="auto"/>
        <w:bottom w:val="none" w:sz="0" w:space="0" w:color="auto"/>
        <w:right w:val="none" w:sz="0" w:space="0" w:color="auto"/>
      </w:divBdr>
    </w:div>
    <w:div w:id="679744597">
      <w:bodyDiv w:val="1"/>
      <w:marLeft w:val="0"/>
      <w:marRight w:val="0"/>
      <w:marTop w:val="0"/>
      <w:marBottom w:val="0"/>
      <w:divBdr>
        <w:top w:val="none" w:sz="0" w:space="0" w:color="auto"/>
        <w:left w:val="none" w:sz="0" w:space="0" w:color="auto"/>
        <w:bottom w:val="none" w:sz="0" w:space="0" w:color="auto"/>
        <w:right w:val="none" w:sz="0" w:space="0" w:color="auto"/>
      </w:divBdr>
    </w:div>
    <w:div w:id="1094671970">
      <w:bodyDiv w:val="1"/>
      <w:marLeft w:val="0"/>
      <w:marRight w:val="0"/>
      <w:marTop w:val="0"/>
      <w:marBottom w:val="0"/>
      <w:divBdr>
        <w:top w:val="none" w:sz="0" w:space="0" w:color="auto"/>
        <w:left w:val="none" w:sz="0" w:space="0" w:color="auto"/>
        <w:bottom w:val="none" w:sz="0" w:space="0" w:color="auto"/>
        <w:right w:val="none" w:sz="0" w:space="0" w:color="auto"/>
      </w:divBdr>
    </w:div>
    <w:div w:id="1163164907">
      <w:bodyDiv w:val="1"/>
      <w:marLeft w:val="0"/>
      <w:marRight w:val="0"/>
      <w:marTop w:val="0"/>
      <w:marBottom w:val="0"/>
      <w:divBdr>
        <w:top w:val="none" w:sz="0" w:space="0" w:color="auto"/>
        <w:left w:val="none" w:sz="0" w:space="0" w:color="auto"/>
        <w:bottom w:val="none" w:sz="0" w:space="0" w:color="auto"/>
        <w:right w:val="none" w:sz="0" w:space="0" w:color="auto"/>
      </w:divBdr>
    </w:div>
    <w:div w:id="1165902111">
      <w:bodyDiv w:val="1"/>
      <w:marLeft w:val="0"/>
      <w:marRight w:val="0"/>
      <w:marTop w:val="0"/>
      <w:marBottom w:val="0"/>
      <w:divBdr>
        <w:top w:val="none" w:sz="0" w:space="0" w:color="auto"/>
        <w:left w:val="none" w:sz="0" w:space="0" w:color="auto"/>
        <w:bottom w:val="none" w:sz="0" w:space="0" w:color="auto"/>
        <w:right w:val="none" w:sz="0" w:space="0" w:color="auto"/>
      </w:divBdr>
    </w:div>
    <w:div w:id="1216165501">
      <w:bodyDiv w:val="1"/>
      <w:marLeft w:val="0"/>
      <w:marRight w:val="0"/>
      <w:marTop w:val="0"/>
      <w:marBottom w:val="0"/>
      <w:divBdr>
        <w:top w:val="none" w:sz="0" w:space="0" w:color="auto"/>
        <w:left w:val="none" w:sz="0" w:space="0" w:color="auto"/>
        <w:bottom w:val="none" w:sz="0" w:space="0" w:color="auto"/>
        <w:right w:val="none" w:sz="0" w:space="0" w:color="auto"/>
      </w:divBdr>
    </w:div>
    <w:div w:id="1583182622">
      <w:bodyDiv w:val="1"/>
      <w:marLeft w:val="0"/>
      <w:marRight w:val="0"/>
      <w:marTop w:val="0"/>
      <w:marBottom w:val="0"/>
      <w:divBdr>
        <w:top w:val="none" w:sz="0" w:space="0" w:color="auto"/>
        <w:left w:val="none" w:sz="0" w:space="0" w:color="auto"/>
        <w:bottom w:val="none" w:sz="0" w:space="0" w:color="auto"/>
        <w:right w:val="none" w:sz="0" w:space="0" w:color="auto"/>
      </w:divBdr>
    </w:div>
    <w:div w:id="1770003967">
      <w:bodyDiv w:val="1"/>
      <w:marLeft w:val="0"/>
      <w:marRight w:val="0"/>
      <w:marTop w:val="0"/>
      <w:marBottom w:val="0"/>
      <w:divBdr>
        <w:top w:val="none" w:sz="0" w:space="0" w:color="auto"/>
        <w:left w:val="none" w:sz="0" w:space="0" w:color="auto"/>
        <w:bottom w:val="none" w:sz="0" w:space="0" w:color="auto"/>
        <w:right w:val="none" w:sz="0" w:space="0" w:color="auto"/>
      </w:divBdr>
    </w:div>
    <w:div w:id="1961061267">
      <w:bodyDiv w:val="1"/>
      <w:marLeft w:val="0"/>
      <w:marRight w:val="0"/>
      <w:marTop w:val="0"/>
      <w:marBottom w:val="0"/>
      <w:divBdr>
        <w:top w:val="none" w:sz="0" w:space="0" w:color="auto"/>
        <w:left w:val="none" w:sz="0" w:space="0" w:color="auto"/>
        <w:bottom w:val="none" w:sz="0" w:space="0" w:color="auto"/>
        <w:right w:val="none" w:sz="0" w:space="0" w:color="auto"/>
      </w:divBdr>
    </w:div>
    <w:div w:id="20031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c.gov.au/publications/assessing-cross-subsidy-in-australia-po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DBCDE Corporate Colours">
      <a:dk1>
        <a:srgbClr val="00728F"/>
      </a:dk1>
      <a:lt1>
        <a:sysClr val="window" lastClr="FFFFFF"/>
      </a:lt1>
      <a:dk2>
        <a:srgbClr val="B7DDE8"/>
      </a:dk2>
      <a:lt2>
        <a:srgbClr val="DBEEF3"/>
      </a:lt2>
      <a:accent1>
        <a:srgbClr val="00728F"/>
      </a:accent1>
      <a:accent2>
        <a:srgbClr val="B7DDE8"/>
      </a:accent2>
      <a:accent3>
        <a:srgbClr val="DBEEF3"/>
      </a:accent3>
      <a:accent4>
        <a:srgbClr val="92CDDC"/>
      </a:accent4>
      <a:accent5>
        <a:srgbClr val="31859B"/>
      </a:accent5>
      <a:accent6>
        <a:srgbClr val="64B8CE"/>
      </a:accent6>
      <a:hlink>
        <a:srgbClr val="0000FF"/>
      </a:hlink>
      <a:folHlink>
        <a:srgbClr val="800080"/>
      </a:folHlink>
    </a:clrScheme>
    <a:fontScheme name="DBCDE Corporate Fonts">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CAB7B-E599-4B0D-9C38-DB75375E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CFE49E36.dotm</Template>
  <TotalTime>0</TotalTime>
  <Pages>12</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description/>
  <cp:lastModifiedBy/>
  <cp:revision>1</cp:revision>
  <dcterms:created xsi:type="dcterms:W3CDTF">2015-11-25T05:28:00Z</dcterms:created>
  <dcterms:modified xsi:type="dcterms:W3CDTF">2015-11-27T04:36:00Z</dcterms:modified>
  <cp:category/>
</cp:coreProperties>
</file>