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5924C" w14:textId="78C70E8A" w:rsidR="00850C25" w:rsidRDefault="00C3699E" w:rsidP="00E72565">
      <w:pPr>
        <w:jc w:val="center"/>
        <w:rPr>
          <w:lang w:val="en-US"/>
        </w:rPr>
      </w:pPr>
      <w:r>
        <w:rPr>
          <w:lang w:val="en-US"/>
        </w:rPr>
        <w:t>[revised</w:t>
      </w:r>
      <w:r w:rsidR="00881935">
        <w:rPr>
          <w:lang w:val="en-US"/>
        </w:rPr>
        <w:t xml:space="preserve"> 26</w:t>
      </w:r>
      <w:r w:rsidR="00B23830">
        <w:rPr>
          <w:lang w:val="en-US"/>
        </w:rPr>
        <w:t>.10.15</w:t>
      </w:r>
      <w:r w:rsidR="00850C25">
        <w:rPr>
          <w:lang w:val="en-US"/>
        </w:rPr>
        <w:t>]</w:t>
      </w:r>
    </w:p>
    <w:p w14:paraId="524420EC" w14:textId="77777777" w:rsidR="008B3DC8" w:rsidRPr="00850C25" w:rsidRDefault="008B3DC8" w:rsidP="00E72565">
      <w:pPr>
        <w:jc w:val="center"/>
        <w:rPr>
          <w:lang w:val="en-US"/>
        </w:rPr>
      </w:pPr>
    </w:p>
    <w:p w14:paraId="299AF4CC" w14:textId="77777777" w:rsidR="00F03E95" w:rsidRDefault="0043494B" w:rsidP="00E72565">
      <w:pPr>
        <w:jc w:val="center"/>
        <w:rPr>
          <w:b/>
          <w:lang w:val="en-US"/>
        </w:rPr>
      </w:pPr>
      <w:r>
        <w:rPr>
          <w:b/>
          <w:lang w:val="en-US"/>
        </w:rPr>
        <w:t xml:space="preserve">What </w:t>
      </w:r>
      <w:r w:rsidR="008A10B3">
        <w:rPr>
          <w:b/>
          <w:lang w:val="en-US"/>
        </w:rPr>
        <w:t>are the E</w:t>
      </w:r>
      <w:r w:rsidR="00436E56">
        <w:rPr>
          <w:b/>
          <w:lang w:val="en-US"/>
        </w:rPr>
        <w:t>nduring I</w:t>
      </w:r>
      <w:r w:rsidR="00306ADB">
        <w:rPr>
          <w:b/>
          <w:lang w:val="en-US"/>
        </w:rPr>
        <w:t>ssues for C</w:t>
      </w:r>
      <w:r w:rsidR="002D076A">
        <w:rPr>
          <w:b/>
          <w:lang w:val="en-US"/>
        </w:rPr>
        <w:t>onsumers of Communications S</w:t>
      </w:r>
      <w:r w:rsidR="00B952A8" w:rsidRPr="00C752C6">
        <w:rPr>
          <w:b/>
          <w:lang w:val="en-US"/>
        </w:rPr>
        <w:t xml:space="preserve">ervices? </w:t>
      </w:r>
    </w:p>
    <w:p w14:paraId="5B753C4F" w14:textId="39AD76DE" w:rsidR="00B952A8" w:rsidRPr="00C752C6" w:rsidRDefault="00F03E95" w:rsidP="00E72565">
      <w:pPr>
        <w:jc w:val="center"/>
        <w:rPr>
          <w:b/>
          <w:lang w:val="en-US"/>
        </w:rPr>
      </w:pPr>
      <w:r>
        <w:rPr>
          <w:b/>
          <w:lang w:val="en-US"/>
        </w:rPr>
        <w:t>Are C</w:t>
      </w:r>
      <w:r w:rsidR="00877053">
        <w:rPr>
          <w:b/>
          <w:lang w:val="en-US"/>
        </w:rPr>
        <w:t>onsumers’ P</w:t>
      </w:r>
      <w:r w:rsidR="004920C4">
        <w:rPr>
          <w:b/>
          <w:lang w:val="en-US"/>
        </w:rPr>
        <w:t>riorities and C</w:t>
      </w:r>
      <w:r w:rsidR="00774E94">
        <w:rPr>
          <w:b/>
          <w:lang w:val="en-US"/>
        </w:rPr>
        <w:t>oncerns C</w:t>
      </w:r>
      <w:r w:rsidR="00B952A8" w:rsidRPr="00C752C6">
        <w:rPr>
          <w:b/>
          <w:lang w:val="en-US"/>
        </w:rPr>
        <w:t>hanging?</w:t>
      </w:r>
    </w:p>
    <w:p w14:paraId="4962AF55" w14:textId="77777777" w:rsidR="008C73B0" w:rsidRDefault="008C73B0" w:rsidP="00E72565">
      <w:pPr>
        <w:jc w:val="center"/>
        <w:rPr>
          <w:lang w:val="en-US"/>
        </w:rPr>
      </w:pPr>
    </w:p>
    <w:p w14:paraId="69ED3CE6" w14:textId="13FBA8D6" w:rsidR="00242326" w:rsidRDefault="00242326" w:rsidP="00E72565">
      <w:pPr>
        <w:jc w:val="center"/>
        <w:rPr>
          <w:lang w:val="en-US"/>
        </w:rPr>
      </w:pPr>
      <w:r>
        <w:rPr>
          <w:lang w:val="en-US"/>
        </w:rPr>
        <w:t xml:space="preserve">by </w:t>
      </w:r>
      <w:r w:rsidR="00162F1C">
        <w:rPr>
          <w:lang w:val="en-US"/>
        </w:rPr>
        <w:t xml:space="preserve">Dr </w:t>
      </w:r>
      <w:r>
        <w:rPr>
          <w:lang w:val="en-US"/>
        </w:rPr>
        <w:t>Gerard Goggin</w:t>
      </w:r>
      <w:r w:rsidR="00523D22">
        <w:rPr>
          <w:lang w:val="en-US"/>
        </w:rPr>
        <w:t>, University of Sydney</w:t>
      </w:r>
    </w:p>
    <w:p w14:paraId="4D462868" w14:textId="77777777" w:rsidR="00242326" w:rsidRDefault="00242326" w:rsidP="00E72565">
      <w:pPr>
        <w:jc w:val="center"/>
        <w:rPr>
          <w:lang w:val="en-US"/>
        </w:rPr>
      </w:pPr>
    </w:p>
    <w:p w14:paraId="17890A5B" w14:textId="747D80D8" w:rsidR="008C73B0" w:rsidRDefault="00A73EE7" w:rsidP="00E72565">
      <w:pPr>
        <w:jc w:val="center"/>
        <w:rPr>
          <w:lang w:val="en-US"/>
        </w:rPr>
      </w:pPr>
      <w:r>
        <w:rPr>
          <w:lang w:val="en-US"/>
        </w:rPr>
        <w:t>E</w:t>
      </w:r>
      <w:r w:rsidR="008C73B0">
        <w:rPr>
          <w:lang w:val="en-US"/>
        </w:rPr>
        <w:t xml:space="preserve">ssay for </w:t>
      </w:r>
      <w:r w:rsidR="008C73B0" w:rsidRPr="006B5735">
        <w:rPr>
          <w:i/>
          <w:lang w:val="en-US"/>
        </w:rPr>
        <w:t>Review of the Australian Communications and Media Authority</w:t>
      </w:r>
      <w:r w:rsidR="008C73B0">
        <w:rPr>
          <w:lang w:val="en-US"/>
        </w:rPr>
        <w:t xml:space="preserve"> </w:t>
      </w:r>
      <w:r w:rsidR="008C73B0" w:rsidRPr="006B5735">
        <w:rPr>
          <w:i/>
          <w:lang w:val="en-US"/>
        </w:rPr>
        <w:t>(ACMA)</w:t>
      </w:r>
    </w:p>
    <w:p w14:paraId="3903FA92" w14:textId="77777777" w:rsidR="003A0A92" w:rsidRDefault="003A0A92" w:rsidP="00E72565">
      <w:pPr>
        <w:jc w:val="center"/>
        <w:rPr>
          <w:lang w:val="en-US"/>
        </w:rPr>
      </w:pPr>
    </w:p>
    <w:p w14:paraId="1C5AA590" w14:textId="77777777" w:rsidR="00B720D9" w:rsidRDefault="00B720D9" w:rsidP="00C752C6"/>
    <w:tbl>
      <w:tblPr>
        <w:tblStyle w:val="TableGrid"/>
        <w:tblpPr w:leftFromText="180" w:rightFromText="180" w:vertAnchor="page" w:horzAnchor="margin" w:tblpY="4276"/>
        <w:tblW w:w="0" w:type="auto"/>
        <w:tblLook w:val="04A0" w:firstRow="1" w:lastRow="0" w:firstColumn="1" w:lastColumn="0" w:noHBand="0" w:noVBand="1"/>
      </w:tblPr>
      <w:tblGrid>
        <w:gridCol w:w="8156"/>
      </w:tblGrid>
      <w:tr w:rsidR="00A73EE7" w:rsidRPr="00412901" w14:paraId="364F113D" w14:textId="77777777" w:rsidTr="00A73EE7">
        <w:trPr>
          <w:trHeight w:val="8921"/>
        </w:trPr>
        <w:tc>
          <w:tcPr>
            <w:tcW w:w="8156" w:type="dxa"/>
          </w:tcPr>
          <w:p w14:paraId="202BF82D" w14:textId="77777777" w:rsidR="00A73EE7" w:rsidRPr="00412901" w:rsidRDefault="00A73EE7" w:rsidP="00A73EE7">
            <w:pPr>
              <w:spacing w:before="120" w:after="120" w:line="480" w:lineRule="auto"/>
              <w:rPr>
                <w:b/>
              </w:rPr>
            </w:pPr>
            <w:r w:rsidRPr="00412901">
              <w:rPr>
                <w:b/>
              </w:rPr>
              <w:lastRenderedPageBreak/>
              <w:t>Effective Consumers</w:t>
            </w:r>
          </w:p>
          <w:p w14:paraId="51DC88D9" w14:textId="77777777" w:rsidR="00A73EE7" w:rsidRPr="00412901" w:rsidRDefault="00A73EE7" w:rsidP="00A73EE7">
            <w:pPr>
              <w:pStyle w:val="ListParagraph"/>
              <w:numPr>
                <w:ilvl w:val="0"/>
                <w:numId w:val="1"/>
              </w:numPr>
              <w:spacing w:before="120" w:after="120" w:line="480" w:lineRule="auto"/>
              <w:ind w:left="1080"/>
            </w:pPr>
            <w:r w:rsidRPr="00412901">
              <w:t>access</w:t>
            </w:r>
          </w:p>
          <w:p w14:paraId="147AD702" w14:textId="77777777" w:rsidR="00A73EE7" w:rsidRPr="00412901" w:rsidRDefault="00A73EE7" w:rsidP="00A73EE7">
            <w:pPr>
              <w:pStyle w:val="ListParagraph"/>
              <w:numPr>
                <w:ilvl w:val="0"/>
                <w:numId w:val="1"/>
              </w:numPr>
              <w:spacing w:before="120" w:after="120" w:line="480" w:lineRule="auto"/>
              <w:ind w:left="1080"/>
            </w:pPr>
            <w:r w:rsidRPr="00412901">
              <w:t>effective use</w:t>
            </w:r>
          </w:p>
          <w:p w14:paraId="479729F7" w14:textId="77777777" w:rsidR="00A73EE7" w:rsidRPr="00412901" w:rsidRDefault="00A73EE7" w:rsidP="00A73EE7">
            <w:pPr>
              <w:pStyle w:val="ListParagraph"/>
              <w:numPr>
                <w:ilvl w:val="0"/>
                <w:numId w:val="1"/>
              </w:numPr>
              <w:spacing w:before="120" w:after="120" w:line="480" w:lineRule="auto"/>
              <w:ind w:left="1080"/>
            </w:pPr>
            <w:r w:rsidRPr="00412901">
              <w:t>affordability</w:t>
            </w:r>
          </w:p>
          <w:p w14:paraId="0D31B217" w14:textId="77777777" w:rsidR="00A73EE7" w:rsidRPr="00412901" w:rsidRDefault="00A73EE7" w:rsidP="00A73EE7">
            <w:pPr>
              <w:spacing w:before="120" w:after="120" w:line="480" w:lineRule="auto"/>
              <w:rPr>
                <w:b/>
              </w:rPr>
            </w:pPr>
            <w:r w:rsidRPr="00412901">
              <w:rPr>
                <w:b/>
              </w:rPr>
              <w:t>Fair Communications</w:t>
            </w:r>
          </w:p>
          <w:p w14:paraId="4689C92A" w14:textId="77777777" w:rsidR="00A73EE7" w:rsidRPr="00412901" w:rsidRDefault="00A73EE7" w:rsidP="00A73EE7">
            <w:pPr>
              <w:pStyle w:val="ListParagraph"/>
              <w:numPr>
                <w:ilvl w:val="0"/>
                <w:numId w:val="1"/>
              </w:numPr>
              <w:spacing w:before="120" w:after="120" w:line="480" w:lineRule="auto"/>
              <w:ind w:left="1080"/>
            </w:pPr>
            <w:r w:rsidRPr="00412901">
              <w:t>fair terms and conditions of service</w:t>
            </w:r>
          </w:p>
          <w:p w14:paraId="2EF71B90" w14:textId="77777777" w:rsidR="00A73EE7" w:rsidRPr="00412901" w:rsidRDefault="00A73EE7" w:rsidP="00A73EE7">
            <w:pPr>
              <w:pStyle w:val="ListParagraph"/>
              <w:numPr>
                <w:ilvl w:val="0"/>
                <w:numId w:val="1"/>
              </w:numPr>
              <w:spacing w:before="120" w:after="120" w:line="480" w:lineRule="auto"/>
              <w:ind w:left="1080"/>
            </w:pPr>
            <w:r w:rsidRPr="00412901">
              <w:t xml:space="preserve">adequate consumer information </w:t>
            </w:r>
          </w:p>
          <w:p w14:paraId="58E92BD8" w14:textId="77777777" w:rsidR="00A73EE7" w:rsidRPr="00412901" w:rsidRDefault="00A73EE7" w:rsidP="00A73EE7">
            <w:pPr>
              <w:pStyle w:val="ListParagraph"/>
              <w:numPr>
                <w:ilvl w:val="0"/>
                <w:numId w:val="1"/>
              </w:numPr>
              <w:spacing w:before="120" w:after="120" w:line="480" w:lineRule="auto"/>
              <w:ind w:left="1080"/>
            </w:pPr>
            <w:r w:rsidRPr="00412901">
              <w:t>easy, effective, and fair redress</w:t>
            </w:r>
          </w:p>
          <w:p w14:paraId="0443D0B8" w14:textId="77777777" w:rsidR="00A73EE7" w:rsidRPr="00412901" w:rsidRDefault="00A73EE7" w:rsidP="00A73EE7">
            <w:pPr>
              <w:spacing w:before="120" w:after="120" w:line="480" w:lineRule="auto"/>
              <w:rPr>
                <w:b/>
              </w:rPr>
            </w:pPr>
            <w:r w:rsidRPr="00412901">
              <w:rPr>
                <w:b/>
              </w:rPr>
              <w:t>Consumers’ Say in Data</w:t>
            </w:r>
          </w:p>
          <w:p w14:paraId="38AACEC1" w14:textId="77777777" w:rsidR="00A73EE7" w:rsidRPr="00412901" w:rsidRDefault="00A73EE7" w:rsidP="00A73EE7">
            <w:pPr>
              <w:pStyle w:val="ListParagraph"/>
              <w:numPr>
                <w:ilvl w:val="0"/>
                <w:numId w:val="1"/>
              </w:numPr>
              <w:spacing w:before="120" w:after="120" w:line="480" w:lineRule="auto"/>
              <w:ind w:left="1080"/>
            </w:pPr>
            <w:r w:rsidRPr="00412901">
              <w:t>privacy</w:t>
            </w:r>
          </w:p>
          <w:p w14:paraId="0BCA8687" w14:textId="77777777" w:rsidR="00A73EE7" w:rsidRPr="00412901" w:rsidRDefault="00A73EE7" w:rsidP="00A73EE7">
            <w:pPr>
              <w:pStyle w:val="ListParagraph"/>
              <w:numPr>
                <w:ilvl w:val="0"/>
                <w:numId w:val="1"/>
              </w:numPr>
              <w:spacing w:before="120" w:after="120" w:line="480" w:lineRule="auto"/>
              <w:ind w:left="1080"/>
            </w:pPr>
            <w:r w:rsidRPr="00412901">
              <w:t>ownership and control over consumer data</w:t>
            </w:r>
          </w:p>
          <w:p w14:paraId="7397964C" w14:textId="77777777" w:rsidR="00A73EE7" w:rsidRPr="00412901" w:rsidRDefault="00A73EE7" w:rsidP="00A73EE7">
            <w:pPr>
              <w:spacing w:before="120" w:after="120" w:line="480" w:lineRule="auto"/>
              <w:rPr>
                <w:b/>
              </w:rPr>
            </w:pPr>
            <w:r w:rsidRPr="00412901">
              <w:rPr>
                <w:b/>
              </w:rPr>
              <w:t>Informed and Empowered Citizens</w:t>
            </w:r>
          </w:p>
          <w:p w14:paraId="196DD6BA" w14:textId="77777777" w:rsidR="00A73EE7" w:rsidRPr="00412901" w:rsidRDefault="00A73EE7" w:rsidP="00A73EE7">
            <w:pPr>
              <w:pStyle w:val="ListParagraph"/>
              <w:numPr>
                <w:ilvl w:val="0"/>
                <w:numId w:val="1"/>
              </w:numPr>
              <w:spacing w:before="120" w:after="120" w:line="480" w:lineRule="auto"/>
              <w:ind w:left="1080"/>
            </w:pPr>
            <w:r w:rsidRPr="00412901">
              <w:t>information and media diversity</w:t>
            </w:r>
          </w:p>
          <w:p w14:paraId="25D34D74" w14:textId="77777777" w:rsidR="00A73EE7" w:rsidRPr="00412901" w:rsidRDefault="00A73EE7" w:rsidP="00A73EE7">
            <w:pPr>
              <w:pStyle w:val="ListParagraph"/>
              <w:numPr>
                <w:ilvl w:val="0"/>
                <w:numId w:val="1"/>
              </w:numPr>
              <w:spacing w:before="120" w:after="120" w:line="480" w:lineRule="auto"/>
              <w:ind w:left="1080"/>
              <w:rPr>
                <w:b/>
              </w:rPr>
            </w:pPr>
            <w:r w:rsidRPr="00412901">
              <w:t>media literacy and consumer participation in media making</w:t>
            </w:r>
          </w:p>
        </w:tc>
      </w:tr>
    </w:tbl>
    <w:p w14:paraId="778040F0" w14:textId="10CCEBC9" w:rsidR="007D4EE2" w:rsidRDefault="004B01AD" w:rsidP="00C64F13">
      <w:pPr>
        <w:spacing w:before="120" w:after="120" w:line="480" w:lineRule="auto"/>
      </w:pPr>
      <w:r>
        <w:t xml:space="preserve">In the </w:t>
      </w:r>
      <w:r w:rsidR="00F37A00">
        <w:t>past two decades since</w:t>
      </w:r>
      <w:r w:rsidR="005D705C">
        <w:t xml:space="preserve"> the 1997 </w:t>
      </w:r>
      <w:r w:rsidR="005D705C">
        <w:rPr>
          <w:i/>
        </w:rPr>
        <w:t>Telecommunications Act</w:t>
      </w:r>
      <w:r w:rsidR="005D705C">
        <w:t xml:space="preserve">, </w:t>
      </w:r>
      <w:r w:rsidR="00AC3C4F">
        <w:t>the</w:t>
      </w:r>
      <w:r w:rsidR="003F2981">
        <w:t xml:space="preserve"> </w:t>
      </w:r>
      <w:r w:rsidR="002A5643">
        <w:t>comm</w:t>
      </w:r>
      <w:r w:rsidR="00AC5681">
        <w:t>unications and media landscape has transformed</w:t>
      </w:r>
      <w:r w:rsidR="00CC6810">
        <w:t xml:space="preserve"> dramatically</w:t>
      </w:r>
      <w:r w:rsidR="003F5587">
        <w:t xml:space="preserve"> for consumers. </w:t>
      </w:r>
      <w:r w:rsidR="001A4969">
        <w:t>The range of services available has greatly expanded</w:t>
      </w:r>
      <w:r w:rsidR="006C5504">
        <w:t>, and</w:t>
      </w:r>
      <w:r w:rsidR="00282CC8">
        <w:t xml:space="preserve"> </w:t>
      </w:r>
      <w:r w:rsidR="004673B8">
        <w:t>prices of many</w:t>
      </w:r>
      <w:r w:rsidR="006F63BD">
        <w:t xml:space="preserve"> longstanding and even newer services has dropped over time. </w:t>
      </w:r>
      <w:r w:rsidR="004B5F55">
        <w:t>The communication services consumers used has</w:t>
      </w:r>
      <w:r w:rsidR="00F868C2">
        <w:t xml:space="preserve"> fundamentally changed</w:t>
      </w:r>
      <w:r w:rsidR="00880626">
        <w:t xml:space="preserve"> </w:t>
      </w:r>
      <w:r w:rsidR="00880626">
        <w:rPr>
          <w:rFonts w:cs="Times New Roman"/>
        </w:rPr>
        <w:t>—</w:t>
      </w:r>
      <w:r w:rsidR="00880626">
        <w:t xml:space="preserve"> notably with</w:t>
      </w:r>
      <w:r w:rsidR="006636A0">
        <w:t xml:space="preserve"> sophisticated</w:t>
      </w:r>
      <w:r w:rsidR="00113BB3">
        <w:t xml:space="preserve"> telecommunications services, the e</w:t>
      </w:r>
      <w:r w:rsidR="00C76FDC">
        <w:t xml:space="preserve">mergence of mobile </w:t>
      </w:r>
      <w:r w:rsidR="00AA53F9">
        <w:t xml:space="preserve">and Internet </w:t>
      </w:r>
      <w:r w:rsidR="00C76FDC">
        <w:t>services.</w:t>
      </w:r>
    </w:p>
    <w:p w14:paraId="00D98BA2" w14:textId="63A60D23" w:rsidR="007A538D" w:rsidRDefault="00CC4627" w:rsidP="000F0BD2">
      <w:pPr>
        <w:spacing w:before="120" w:after="120" w:line="480" w:lineRule="auto"/>
        <w:ind w:firstLine="720"/>
      </w:pPr>
      <w:r>
        <w:lastRenderedPageBreak/>
        <w:t xml:space="preserve">It is also the case that </w:t>
      </w:r>
      <w:r w:rsidR="008F4152" w:rsidRPr="008F4152">
        <w:t>ma</w:t>
      </w:r>
      <w:r w:rsidR="00F30FA9">
        <w:t xml:space="preserve">turity of the industry </w:t>
      </w:r>
      <w:r w:rsidR="00F30FA9">
        <w:rPr>
          <w:rFonts w:cs="Times New Roman"/>
        </w:rPr>
        <w:t>—</w:t>
      </w:r>
      <w:r w:rsidR="00E739F9">
        <w:t xml:space="preserve"> especially</w:t>
      </w:r>
      <w:r w:rsidR="00A04AF5">
        <w:t xml:space="preserve"> some segments of the industry </w:t>
      </w:r>
      <w:r w:rsidR="00A04AF5">
        <w:rPr>
          <w:rFonts w:cs="Times New Roman"/>
        </w:rPr>
        <w:t>—</w:t>
      </w:r>
      <w:r w:rsidR="008F4152" w:rsidRPr="008F4152">
        <w:t xml:space="preserve"> has improved in terms of taking int</w:t>
      </w:r>
      <w:r w:rsidR="007A7DD6">
        <w:t>o account consumer needs, and</w:t>
      </w:r>
      <w:r w:rsidR="008F4152" w:rsidRPr="008F4152">
        <w:t xml:space="preserve"> their resp</w:t>
      </w:r>
      <w:r w:rsidR="008E0BBF">
        <w:t>onsiveness to consumer concerns.</w:t>
      </w:r>
      <w:r w:rsidR="00D8134A">
        <w:t xml:space="preserve"> </w:t>
      </w:r>
      <w:r w:rsidR="007A538D">
        <w:t>Generally also there is an acceptance in Australia</w:t>
      </w:r>
      <w:r w:rsidR="005B5036">
        <w:t xml:space="preserve"> by industry</w:t>
      </w:r>
      <w:r w:rsidR="00106926">
        <w:t>, and considerable goodwill,</w:t>
      </w:r>
      <w:r w:rsidR="005B5036">
        <w:t xml:space="preserve"> that consumer issues</w:t>
      </w:r>
      <w:r w:rsidR="00C84753">
        <w:t xml:space="preserve"> need to be addressed</w:t>
      </w:r>
      <w:r w:rsidR="006C4A69">
        <w:t>, in order for markets to function efficiently, fairly, and in a sustainable way</w:t>
      </w:r>
      <w:r w:rsidR="008E3971">
        <w:t xml:space="preserve">. </w:t>
      </w:r>
      <w:r w:rsidR="00A9041E">
        <w:t xml:space="preserve">In effect, there is something of a </w:t>
      </w:r>
      <w:r w:rsidR="003351D5">
        <w:t>shared understanding</w:t>
      </w:r>
      <w:r w:rsidR="00690EE7">
        <w:t xml:space="preserve"> in Australia </w:t>
      </w:r>
      <w:r w:rsidR="00690EE7">
        <w:rPr>
          <w:rFonts w:cs="Times New Roman"/>
        </w:rPr>
        <w:t>—</w:t>
      </w:r>
      <w:r w:rsidR="00690EE7">
        <w:t xml:space="preserve"> a ‘social contract’,</w:t>
      </w:r>
      <w:r w:rsidR="001B67B0">
        <w:rPr>
          <w:rStyle w:val="EndnoteReference"/>
        </w:rPr>
        <w:endnoteReference w:id="1"/>
      </w:r>
      <w:r w:rsidR="00690EE7">
        <w:t xml:space="preserve"> if you will </w:t>
      </w:r>
      <w:r w:rsidR="00690EE7">
        <w:rPr>
          <w:rFonts w:cs="Times New Roman"/>
        </w:rPr>
        <w:t>—</w:t>
      </w:r>
      <w:r w:rsidR="00690EE7">
        <w:t xml:space="preserve"> when it comes to </w:t>
      </w:r>
      <w:r w:rsidR="00305A8B">
        <w:t xml:space="preserve">communications services. </w:t>
      </w:r>
      <w:r w:rsidR="009B64E9">
        <w:t>The nature and composition of this will be</w:t>
      </w:r>
      <w:r w:rsidR="006F53D0">
        <w:t xml:space="preserve"> debated</w:t>
      </w:r>
      <w:r w:rsidR="006D1AE4">
        <w:t xml:space="preserve">, </w:t>
      </w:r>
      <w:r w:rsidR="00FE4732">
        <w:t xml:space="preserve">suffice to say it is an </w:t>
      </w:r>
      <w:r w:rsidR="006D1AE4">
        <w:t>important achievement</w:t>
      </w:r>
      <w:r w:rsidR="008E29B5">
        <w:t xml:space="preserve"> of </w:t>
      </w:r>
      <w:r w:rsidR="00BA353E">
        <w:t>the turbulent and exciting times in communications</w:t>
      </w:r>
      <w:r w:rsidR="00B64201">
        <w:t xml:space="preserve"> since </w:t>
      </w:r>
      <w:r w:rsidR="004671EC">
        <w:t>introduction of competition.</w:t>
      </w:r>
    </w:p>
    <w:p w14:paraId="3898698D" w14:textId="2D9FABCD" w:rsidR="00947267" w:rsidRDefault="00656A7B" w:rsidP="000F0BD2">
      <w:pPr>
        <w:spacing w:before="120" w:after="120" w:line="480" w:lineRule="auto"/>
        <w:ind w:firstLine="720"/>
      </w:pPr>
      <w:r>
        <w:t>Broadly speaking, t</w:t>
      </w:r>
      <w:r w:rsidR="003A37DD">
        <w:t>hese improvements in consumer</w:t>
      </w:r>
      <w:r w:rsidR="00766447">
        <w:t xml:space="preserve"> performance by industry</w:t>
      </w:r>
      <w:r>
        <w:t xml:space="preserve"> </w:t>
      </w:r>
      <w:r w:rsidR="0053677C">
        <w:t xml:space="preserve">revolve around two elements. </w:t>
      </w:r>
      <w:r w:rsidR="005B158F">
        <w:t>First, e</w:t>
      </w:r>
      <w:r w:rsidR="00DC74EE">
        <w:t>ven with a</w:t>
      </w:r>
      <w:r w:rsidR="00764E61">
        <w:t xml:space="preserve"> relatively small</w:t>
      </w:r>
      <w:r w:rsidR="00751E94">
        <w:t xml:space="preserve"> mar</w:t>
      </w:r>
      <w:r w:rsidR="00763103">
        <w:t>ketplace dominated across many</w:t>
      </w:r>
      <w:r w:rsidR="00D120CD">
        <w:t xml:space="preserve"> parts of communications by a handful of</w:t>
      </w:r>
      <w:r w:rsidR="006F5508">
        <w:t xml:space="preserve"> large players, </w:t>
      </w:r>
      <w:r w:rsidR="008245EC" w:rsidRPr="008C2CF2">
        <w:t>the greater range of choices available has l</w:t>
      </w:r>
      <w:r w:rsidR="000F0BD2">
        <w:t>e</w:t>
      </w:r>
      <w:r w:rsidR="001E3A0D">
        <w:t xml:space="preserve">d to a more empowered consumer, </w:t>
      </w:r>
      <w:r w:rsidR="008245EC" w:rsidRPr="008C2CF2">
        <w:t>who</w:t>
      </w:r>
      <w:r w:rsidR="0068326A">
        <w:t xml:space="preserve"> can more readily move products and </w:t>
      </w:r>
      <w:r w:rsidR="008245EC" w:rsidRPr="008C2CF2">
        <w:t>services if they are dissat</w:t>
      </w:r>
      <w:r w:rsidR="00C4512A">
        <w:t>isfied with one product or service.</w:t>
      </w:r>
      <w:r w:rsidR="008F493D">
        <w:t xml:space="preserve"> </w:t>
      </w:r>
      <w:r w:rsidR="004F1531">
        <w:t xml:space="preserve">This emergence of the ‘agile’, empowered consumer is even more evident </w:t>
      </w:r>
      <w:r w:rsidR="004F1531">
        <w:rPr>
          <w:rFonts w:cs="Times New Roman"/>
        </w:rPr>
        <w:t>—</w:t>
      </w:r>
      <w:r w:rsidR="004F1531">
        <w:t xml:space="preserve"> and enabled </w:t>
      </w:r>
      <w:r w:rsidR="004F1531">
        <w:rPr>
          <w:rFonts w:cs="Times New Roman"/>
        </w:rPr>
        <w:t>—</w:t>
      </w:r>
      <w:r w:rsidR="004F1531">
        <w:t xml:space="preserve"> by the</w:t>
      </w:r>
      <w:r w:rsidR="000B0634">
        <w:t xml:space="preserve"> nature of the</w:t>
      </w:r>
      <w:r w:rsidR="000770F5">
        <w:t xml:space="preserve"> online </w:t>
      </w:r>
      <w:r w:rsidR="000770F5">
        <w:lastRenderedPageBreak/>
        <w:t>environment, where</w:t>
      </w:r>
      <w:r w:rsidR="00D74CD0">
        <w:t xml:space="preserve"> information can be easily sought from other consumers (via online review sites, blogs, and so on), and consumer power can be aggregrated and combined in new ways to influence</w:t>
      </w:r>
      <w:r w:rsidR="00457442">
        <w:t xml:space="preserve"> p</w:t>
      </w:r>
      <w:r w:rsidR="003D2D43">
        <w:t>rovider behaviour (e.g. new modes of customer complaint and protest</w:t>
      </w:r>
      <w:r w:rsidR="00A15773">
        <w:t xml:space="preserve">, such as the </w:t>
      </w:r>
      <w:r w:rsidR="00D00359">
        <w:t>adaptation of Twitter</w:t>
      </w:r>
      <w:r w:rsidR="000A01A0">
        <w:t xml:space="preserve"> hashtags, or</w:t>
      </w:r>
      <w:r w:rsidR="000B3F9C">
        <w:t xml:space="preserve"> formation of Facebook protest groups). </w:t>
      </w:r>
      <w:r w:rsidR="00B21DA7">
        <w:t xml:space="preserve">Often related to this is the second element: </w:t>
      </w:r>
      <w:r w:rsidR="00A4496C">
        <w:t xml:space="preserve">emergence of </w:t>
      </w:r>
      <w:r w:rsidR="003025ED">
        <w:t>market norms</w:t>
      </w:r>
      <w:r w:rsidR="00A4496C">
        <w:t xml:space="preserve"> and, if necessary</w:t>
      </w:r>
      <w:r w:rsidR="00D6141D">
        <w:t>, clear policy and regulation</w:t>
      </w:r>
      <w:r w:rsidR="00A350FC">
        <w:t>, that</w:t>
      </w:r>
      <w:r w:rsidR="008F17E0">
        <w:t xml:space="preserve"> consolidates the</w:t>
      </w:r>
      <w:r w:rsidR="005817BC">
        <w:t xml:space="preserve"> environment where consumer choice can easily operate, and competition can function. </w:t>
      </w:r>
    </w:p>
    <w:p w14:paraId="682A62E2" w14:textId="77777777" w:rsidR="0055513A" w:rsidRDefault="00022B79" w:rsidP="000F0BD2">
      <w:pPr>
        <w:spacing w:before="120" w:after="120" w:line="480" w:lineRule="auto"/>
        <w:ind w:firstLine="720"/>
      </w:pPr>
      <w:r>
        <w:t>We see this in the area of customer transfer, where</w:t>
      </w:r>
      <w:r w:rsidR="00DF7C85">
        <w:t xml:space="preserve"> policies need to be in place to </w:t>
      </w:r>
      <w:r w:rsidR="00DA357A">
        <w:t>enable this (e.g. number portability)</w:t>
      </w:r>
      <w:r w:rsidR="00586452">
        <w:t xml:space="preserve"> and</w:t>
      </w:r>
      <w:r w:rsidR="0098213B">
        <w:t xml:space="preserve"> also to </w:t>
      </w:r>
      <w:r w:rsidR="00367906">
        <w:t>ensure</w:t>
      </w:r>
      <w:r w:rsidR="000A5BDB">
        <w:t xml:space="preserve"> efficient and fair treatment by all</w:t>
      </w:r>
      <w:r w:rsidR="00FB21BC">
        <w:t xml:space="preserve"> players in market (e.g. industry regulation creating</w:t>
      </w:r>
      <w:r w:rsidR="005F1D20">
        <w:t xml:space="preserve"> codes of conduct</w:t>
      </w:r>
      <w:r w:rsidR="00752159">
        <w:t xml:space="preserve"> on ‘churn’</w:t>
      </w:r>
      <w:r w:rsidR="005F1D20">
        <w:t>).</w:t>
      </w:r>
      <w:r w:rsidR="000A2927">
        <w:t xml:space="preserve"> </w:t>
      </w:r>
      <w:r w:rsidR="00752B9B">
        <w:t xml:space="preserve">In other areas, </w:t>
      </w:r>
      <w:r w:rsidR="00E13C62">
        <w:t>sections of industry have played important leadership roles in</w:t>
      </w:r>
      <w:r w:rsidR="007644C3">
        <w:t xml:space="preserve"> bringing about innovations</w:t>
      </w:r>
      <w:r w:rsidR="00E84EB9">
        <w:t xml:space="preserve"> in complaint handling, </w:t>
      </w:r>
      <w:r w:rsidR="00DA174C">
        <w:t>consumer information, and billing</w:t>
      </w:r>
      <w:r w:rsidR="000F0885">
        <w:t>, to mention but a few.</w:t>
      </w:r>
      <w:r w:rsidR="006A0D13">
        <w:t xml:space="preserve"> </w:t>
      </w:r>
    </w:p>
    <w:p w14:paraId="1D7B4FEF" w14:textId="09581B16" w:rsidR="00E03CE2" w:rsidRDefault="006A0D13" w:rsidP="000F0BD2">
      <w:pPr>
        <w:spacing w:before="120" w:after="120" w:line="480" w:lineRule="auto"/>
        <w:ind w:firstLine="720"/>
      </w:pPr>
      <w:r>
        <w:t xml:space="preserve">The challenge faced by leaders in the industry has been obvious: </w:t>
      </w:r>
      <w:r w:rsidR="00F21997">
        <w:t>some competitor</w:t>
      </w:r>
      <w:r w:rsidR="005A5527">
        <w:t>s take a different view of</w:t>
      </w:r>
      <w:r w:rsidR="007F6F3E">
        <w:t xml:space="preserve"> consumer benefit</w:t>
      </w:r>
      <w:r w:rsidR="00AF44D4">
        <w:t xml:space="preserve">, and often have not been prepared to </w:t>
      </w:r>
      <w:r w:rsidR="00CF7C68">
        <w:t>adopt</w:t>
      </w:r>
      <w:r w:rsidR="009728BB">
        <w:t xml:space="preserve"> consumer-friendly practices</w:t>
      </w:r>
      <w:r w:rsidR="00B05306">
        <w:t xml:space="preserve"> </w:t>
      </w:r>
      <w:r w:rsidR="00C36B43">
        <w:t xml:space="preserve">-- </w:t>
      </w:r>
      <w:r w:rsidR="00B05306">
        <w:t xml:space="preserve">or agree to industry codes </w:t>
      </w:r>
      <w:r w:rsidR="00B05306">
        <w:rPr>
          <w:rFonts w:cs="Times New Roman"/>
        </w:rPr>
        <w:t>—</w:t>
      </w:r>
      <w:r w:rsidR="00B05306">
        <w:t xml:space="preserve"> </w:t>
      </w:r>
      <w:r w:rsidR="00B05306">
        <w:lastRenderedPageBreak/>
        <w:t>unless</w:t>
      </w:r>
      <w:r w:rsidR="00C36B43">
        <w:t xml:space="preserve"> required to do so by regulation.</w:t>
      </w:r>
      <w:r w:rsidR="004C156E">
        <w:t xml:space="preserve"> </w:t>
      </w:r>
      <w:r w:rsidR="004A1D50">
        <w:t xml:space="preserve">This </w:t>
      </w:r>
      <w:r w:rsidR="00817617">
        <w:t xml:space="preserve">challenge </w:t>
      </w:r>
      <w:r w:rsidR="00D925BF">
        <w:t xml:space="preserve">bears on the </w:t>
      </w:r>
      <w:r w:rsidR="003B4C76">
        <w:t xml:space="preserve">scenario of the ‘agile’, empowered consumer. </w:t>
      </w:r>
      <w:r w:rsidR="00C3401F">
        <w:t xml:space="preserve">Yes, </w:t>
      </w:r>
      <w:r w:rsidR="004365C1">
        <w:t>the presence and</w:t>
      </w:r>
      <w:r w:rsidR="006F3365">
        <w:t xml:space="preserve"> </w:t>
      </w:r>
      <w:r w:rsidR="00FA610C">
        <w:t xml:space="preserve">power projected by </w:t>
      </w:r>
      <w:r w:rsidR="00C34AB6">
        <w:t>online consumers</w:t>
      </w:r>
      <w:r w:rsidR="00A0202D">
        <w:t xml:space="preserve"> </w:t>
      </w:r>
      <w:r w:rsidR="00C3401F">
        <w:t>is a new trend that</w:t>
      </w:r>
      <w:r w:rsidR="00DB3BA8">
        <w:t xml:space="preserve"> has had real influence on th</w:t>
      </w:r>
      <w:r w:rsidR="00DE3F6F">
        <w:t>e behaviour of communication business,</w:t>
      </w:r>
      <w:r w:rsidR="00950353">
        <w:t xml:space="preserve"> large and small. We certainly hear about it from</w:t>
      </w:r>
      <w:r w:rsidR="009B5948">
        <w:t xml:space="preserve"> highly publicized cases</w:t>
      </w:r>
      <w:r w:rsidR="00B36637">
        <w:t xml:space="preserve"> </w:t>
      </w:r>
      <w:r w:rsidR="00B36637">
        <w:rPr>
          <w:rFonts w:cs="Times New Roman"/>
        </w:rPr>
        <w:t>—</w:t>
      </w:r>
      <w:r w:rsidR="00C76954">
        <w:t xml:space="preserve"> but it wil</w:t>
      </w:r>
      <w:r w:rsidR="003B5974">
        <w:t>l operate most effectively in an environment</w:t>
      </w:r>
      <w:r w:rsidR="004A0038">
        <w:t xml:space="preserve"> where clear consumer protections are already well-establishment.</w:t>
      </w:r>
    </w:p>
    <w:p w14:paraId="17F850D6" w14:textId="310276DF" w:rsidR="003478B9" w:rsidRDefault="009E77EE" w:rsidP="009E77EE">
      <w:pPr>
        <w:spacing w:before="120" w:after="120" w:line="480" w:lineRule="auto"/>
        <w:ind w:firstLine="720"/>
      </w:pPr>
      <w:r>
        <w:t xml:space="preserve">Looking forward, </w:t>
      </w:r>
      <w:r w:rsidR="00A3625B">
        <w:t xml:space="preserve">there is ample evidence of </w:t>
      </w:r>
      <w:r w:rsidR="00420D5A">
        <w:t>enduring</w:t>
      </w:r>
      <w:r w:rsidR="00B87359">
        <w:t xml:space="preserve"> issues</w:t>
      </w:r>
      <w:r w:rsidR="00F37A00">
        <w:t xml:space="preserve"> </w:t>
      </w:r>
      <w:r w:rsidR="00B10A00">
        <w:t>that</w:t>
      </w:r>
      <w:r w:rsidR="00083947">
        <w:t xml:space="preserve"> will remain</w:t>
      </w:r>
      <w:r w:rsidR="00213375">
        <w:t xml:space="preserve"> key concerns</w:t>
      </w:r>
      <w:r w:rsidR="00C921AC">
        <w:t xml:space="preserve"> for the next</w:t>
      </w:r>
      <w:r w:rsidR="00303906">
        <w:t xml:space="preserve"> decade</w:t>
      </w:r>
      <w:r w:rsidR="008073C9">
        <w:t xml:space="preserve"> </w:t>
      </w:r>
      <w:r w:rsidR="008073C9">
        <w:rPr>
          <w:rFonts w:cs="Times New Roman"/>
        </w:rPr>
        <w:t>—</w:t>
      </w:r>
      <w:r w:rsidR="008073C9">
        <w:t xml:space="preserve"> if not two decades</w:t>
      </w:r>
      <w:r w:rsidR="004F57D6">
        <w:t>.</w:t>
      </w:r>
      <w:r w:rsidR="00326E72">
        <w:t xml:space="preserve"> </w:t>
      </w:r>
      <w:r w:rsidR="00D90CDC">
        <w:t>A short list would include these</w:t>
      </w:r>
      <w:r w:rsidR="006963F1">
        <w:t xml:space="preserve"> main issues, </w:t>
      </w:r>
      <w:r w:rsidR="00A3625B">
        <w:t>g</w:t>
      </w:r>
      <w:r w:rsidR="00E3563F">
        <w:t>rouped around four key concept</w:t>
      </w:r>
      <w:r w:rsidR="00412901">
        <w:t>s.</w:t>
      </w:r>
      <w:r>
        <w:t xml:space="preserve"> </w:t>
      </w:r>
      <w:r w:rsidR="000A44E5">
        <w:t>While these issues</w:t>
      </w:r>
      <w:r w:rsidR="006200AB">
        <w:t xml:space="preserve"> may be complex in</w:t>
      </w:r>
      <w:r w:rsidR="00DA3CFF">
        <w:t xml:space="preserve"> practice (</w:t>
      </w:r>
      <w:r w:rsidR="00E406CB">
        <w:t>especially in the forms they take in relation to new services</w:t>
      </w:r>
      <w:r w:rsidR="0047395B">
        <w:t>),</w:t>
      </w:r>
      <w:r w:rsidR="00712ADE">
        <w:t xml:space="preserve"> </w:t>
      </w:r>
      <w:r w:rsidR="0079702C">
        <w:t xml:space="preserve">they remain central. </w:t>
      </w:r>
      <w:r w:rsidR="00EE0AE3">
        <w:t>In various ways, they have been conceptualized and expressed</w:t>
      </w:r>
      <w:r w:rsidR="00A339EC">
        <w:t xml:space="preserve"> by</w:t>
      </w:r>
      <w:r w:rsidR="00907796">
        <w:t xml:space="preserve"> researchers</w:t>
      </w:r>
      <w:r w:rsidR="0040552E">
        <w:t>, policymakers, industry, and consumer groups alike.</w:t>
      </w:r>
      <w:r w:rsidR="00E94C96">
        <w:rPr>
          <w:rStyle w:val="EndnoteReference"/>
        </w:rPr>
        <w:endnoteReference w:id="2"/>
      </w:r>
      <w:r w:rsidR="0040552E">
        <w:t xml:space="preserve"> </w:t>
      </w:r>
      <w:r w:rsidR="0077558F">
        <w:t xml:space="preserve">They are at the heart of </w:t>
      </w:r>
      <w:r w:rsidR="00A32917">
        <w:t>conceptions of consumer</w:t>
      </w:r>
      <w:r w:rsidR="008218D5">
        <w:t>s, well-functioning markets, and safeguards.</w:t>
      </w:r>
    </w:p>
    <w:p w14:paraId="131A9757" w14:textId="0A3DAC3A" w:rsidR="007375A9" w:rsidRDefault="00345530" w:rsidP="00942E41">
      <w:pPr>
        <w:spacing w:before="120" w:after="120" w:line="480" w:lineRule="auto"/>
        <w:ind w:firstLine="720"/>
      </w:pPr>
      <w:r>
        <w:t xml:space="preserve"> Recent experience shows that</w:t>
      </w:r>
      <w:r w:rsidR="009C5491">
        <w:t xml:space="preserve"> </w:t>
      </w:r>
      <w:r w:rsidR="004B25D3">
        <w:t>these</w:t>
      </w:r>
      <w:r w:rsidR="00C267B7">
        <w:t xml:space="preserve"> enduring</w:t>
      </w:r>
      <w:r w:rsidR="009356D0">
        <w:t xml:space="preserve"> issues are often</w:t>
      </w:r>
      <w:r w:rsidR="004B25D3">
        <w:t xml:space="preserve"> neglected</w:t>
      </w:r>
      <w:r w:rsidR="00605BEE">
        <w:t xml:space="preserve"> with the</w:t>
      </w:r>
      <w:r w:rsidR="00C439A1">
        <w:t xml:space="preserve"> introduction of new services</w:t>
      </w:r>
      <w:r w:rsidR="001E1FEC">
        <w:t xml:space="preserve">. Sometimes this occurs for </w:t>
      </w:r>
      <w:r w:rsidR="00667836">
        <w:t>real</w:t>
      </w:r>
      <w:r w:rsidR="00B27934">
        <w:t xml:space="preserve"> reason, other</w:t>
      </w:r>
      <w:r w:rsidR="007371E8">
        <w:t xml:space="preserve"> than the </w:t>
      </w:r>
      <w:r w:rsidR="000A2557">
        <w:t xml:space="preserve">short-term establishment of new </w:t>
      </w:r>
      <w:r w:rsidR="00AD7E23">
        <w:t xml:space="preserve">services and players, </w:t>
      </w:r>
      <w:r w:rsidR="000A2557">
        <w:t>and profit-</w:t>
      </w:r>
      <w:r w:rsidR="000A2557">
        <w:lastRenderedPageBreak/>
        <w:t xml:space="preserve">taking. </w:t>
      </w:r>
      <w:r w:rsidR="00201BAB">
        <w:t>The</w:t>
      </w:r>
      <w:r w:rsidR="008C5767">
        <w:t>re is real risk to allowing</w:t>
      </w:r>
      <w:r w:rsidR="00257FA8">
        <w:t xml:space="preserve"> new services to flout well-established consumer principles: </w:t>
      </w:r>
      <w:r w:rsidR="00A3056F">
        <w:t xml:space="preserve">not only do </w:t>
      </w:r>
      <w:r w:rsidR="00D140E5">
        <w:t>specific individual consumers a</w:t>
      </w:r>
      <w:r w:rsidR="009947A7">
        <w:t>nd groups suffer losses, but proper-functioning and confidence in the market suffers.</w:t>
      </w:r>
      <w:r w:rsidR="007842F7">
        <w:t xml:space="preserve"> </w:t>
      </w:r>
      <w:r w:rsidR="00F1419B">
        <w:t>We can point to various cases, where</w:t>
      </w:r>
      <w:r w:rsidR="000A48DE">
        <w:t xml:space="preserve"> regulatory response</w:t>
      </w:r>
      <w:r w:rsidR="001B0EEB">
        <w:t xml:space="preserve">s to obvious consumer issues were </w:t>
      </w:r>
      <w:r w:rsidR="004467A7">
        <w:t xml:space="preserve">inadequate. </w:t>
      </w:r>
      <w:r w:rsidR="003C4A74">
        <w:t xml:space="preserve">Quite a number of </w:t>
      </w:r>
      <w:r w:rsidR="005C22F7">
        <w:t xml:space="preserve">these were in the mobiles area including </w:t>
      </w:r>
      <w:r w:rsidR="00764977">
        <w:t>fair te</w:t>
      </w:r>
      <w:r w:rsidR="003E2A72">
        <w:t>rms and conditions in contracts, and</w:t>
      </w:r>
      <w:r w:rsidR="00FD06FF">
        <w:t xml:space="preserve"> premium rate services. </w:t>
      </w:r>
      <w:r w:rsidR="00764977">
        <w:t>In contrast, there are cases where regulation</w:t>
      </w:r>
      <w:r w:rsidR="009602FD">
        <w:t xml:space="preserve"> was established on firm foundations and proved capable of providing evolutionary (but not tardy) responses</w:t>
      </w:r>
      <w:r w:rsidR="00BE415E">
        <w:t xml:space="preserve"> to emerging consumer consumers </w:t>
      </w:r>
      <w:r w:rsidR="00BE415E">
        <w:rPr>
          <w:rFonts w:cs="Times New Roman"/>
        </w:rPr>
        <w:t>—</w:t>
      </w:r>
      <w:r w:rsidR="00BE415E">
        <w:t xml:space="preserve"> a notable case being</w:t>
      </w:r>
      <w:r w:rsidR="009602FD">
        <w:t xml:space="preserve"> </w:t>
      </w:r>
      <w:r w:rsidR="00F61AA0">
        <w:t xml:space="preserve">the </w:t>
      </w:r>
      <w:r w:rsidR="007B3AB9">
        <w:t xml:space="preserve">establishment of </w:t>
      </w:r>
      <w:r w:rsidR="005E3AF7">
        <w:t xml:space="preserve">the </w:t>
      </w:r>
      <w:r w:rsidR="00F61AA0">
        <w:t>Telecommunications Industry Ombudsman (TIO) scheme</w:t>
      </w:r>
      <w:r w:rsidR="00BE18DF">
        <w:t>, then its expansion</w:t>
      </w:r>
      <w:r w:rsidR="00F61AA0">
        <w:t xml:space="preserve"> to </w:t>
      </w:r>
      <w:r w:rsidR="00330FA4">
        <w:t>cover Internet consumers.</w:t>
      </w:r>
    </w:p>
    <w:p w14:paraId="7B04DED2" w14:textId="77777777" w:rsidR="00942E41" w:rsidRPr="00942E41" w:rsidRDefault="00942E41" w:rsidP="00942E41">
      <w:pPr>
        <w:spacing w:before="120" w:after="120" w:line="480" w:lineRule="auto"/>
        <w:ind w:firstLine="720"/>
      </w:pPr>
    </w:p>
    <w:p w14:paraId="2B907F05" w14:textId="7F1A14EE" w:rsidR="00F914CD" w:rsidRPr="00F914CD" w:rsidRDefault="00F914CD" w:rsidP="007E17F0">
      <w:pPr>
        <w:spacing w:before="120" w:after="120" w:line="480" w:lineRule="auto"/>
        <w:rPr>
          <w:b/>
        </w:rPr>
      </w:pPr>
      <w:r>
        <w:rPr>
          <w:b/>
        </w:rPr>
        <w:t>Enduring Issues</w:t>
      </w:r>
      <w:r w:rsidR="00364D7A">
        <w:rPr>
          <w:b/>
        </w:rPr>
        <w:t xml:space="preserve"> for Altered Consumers</w:t>
      </w:r>
    </w:p>
    <w:p w14:paraId="058F24FB" w14:textId="2A0A83E9" w:rsidR="00F57CC5" w:rsidRDefault="00FB0628" w:rsidP="007E17F0">
      <w:pPr>
        <w:spacing w:before="120" w:after="120" w:line="480" w:lineRule="auto"/>
      </w:pPr>
      <w:r>
        <w:t>The challenge</w:t>
      </w:r>
      <w:r w:rsidR="005023F5">
        <w:t xml:space="preserve"> for</w:t>
      </w:r>
      <w:r w:rsidR="00D74CAB">
        <w:t xml:space="preserve"> understanding consumer futures, and in turn</w:t>
      </w:r>
      <w:r w:rsidR="009B3658">
        <w:t xml:space="preserve">, potential regulatory responses, </w:t>
      </w:r>
      <w:r w:rsidR="006A3020">
        <w:t xml:space="preserve">is </w:t>
      </w:r>
      <w:r w:rsidR="009F30A5">
        <w:t xml:space="preserve">grasping the </w:t>
      </w:r>
      <w:r w:rsidR="003E2AFD">
        <w:t xml:space="preserve">forms these enduring issues take </w:t>
      </w:r>
      <w:r w:rsidR="003E2AFD">
        <w:rPr>
          <w:rFonts w:cs="Times New Roman"/>
        </w:rPr>
        <w:t>—</w:t>
      </w:r>
      <w:r w:rsidR="004B67B7">
        <w:t xml:space="preserve"> then</w:t>
      </w:r>
      <w:r w:rsidR="0001086A">
        <w:t xml:space="preserve"> crafting adequate responses. </w:t>
      </w:r>
      <w:r w:rsidR="007B03AB">
        <w:t>Access is an obvi</w:t>
      </w:r>
      <w:r w:rsidR="006868AD">
        <w:t xml:space="preserve">ous case, </w:t>
      </w:r>
      <w:r w:rsidR="003B51C4">
        <w:t xml:space="preserve">given it represents the </w:t>
      </w:r>
      <w:r w:rsidR="006724B9">
        <w:t xml:space="preserve">threshold for consumers. </w:t>
      </w:r>
      <w:r w:rsidR="00782D43">
        <w:t>If the infrastructure</w:t>
      </w:r>
      <w:r w:rsidR="0080203D">
        <w:t xml:space="preserve"> exists, and service is available</w:t>
      </w:r>
      <w:r w:rsidR="009D5C95">
        <w:t xml:space="preserve"> (through </w:t>
      </w:r>
      <w:r w:rsidR="009D5C95">
        <w:lastRenderedPageBreak/>
        <w:t xml:space="preserve">a competitive </w:t>
      </w:r>
      <w:r w:rsidR="00964BA0">
        <w:t>market or otherwise), the</w:t>
      </w:r>
      <w:r w:rsidR="00537B5E">
        <w:t xml:space="preserve">n </w:t>
      </w:r>
      <w:r w:rsidR="0007527F">
        <w:t xml:space="preserve">in principle consumers have a choice. </w:t>
      </w:r>
      <w:r w:rsidR="003E05C5">
        <w:t>In Australia, universal service</w:t>
      </w:r>
      <w:r w:rsidR="00384BB3">
        <w:t xml:space="preserve"> has required successive laws and regulation</w:t>
      </w:r>
      <w:r w:rsidR="00492EBD">
        <w:t xml:space="preserve"> to drive such access to t</w:t>
      </w:r>
      <w:r w:rsidR="005520F6">
        <w:t>he standard telecommunications service to all</w:t>
      </w:r>
      <w:r w:rsidR="009F5EDE">
        <w:t xml:space="preserve">. </w:t>
      </w:r>
      <w:r w:rsidR="00E847F9">
        <w:t>The deeper dimensions of access were also</w:t>
      </w:r>
      <w:r w:rsidR="002D5914">
        <w:t xml:space="preserve"> registered in the landmark</w:t>
      </w:r>
      <w:r w:rsidR="005E56C4">
        <w:t xml:space="preserve"> decision to incorporate </w:t>
      </w:r>
      <w:r w:rsidR="00CE4911">
        <w:t>disability accessibility</w:t>
      </w:r>
      <w:r w:rsidR="005B37C2">
        <w:t xml:space="preserve"> into universal service.</w:t>
      </w:r>
      <w:r w:rsidR="00995B46">
        <w:rPr>
          <w:rStyle w:val="EndnoteReference"/>
        </w:rPr>
        <w:endnoteReference w:id="3"/>
      </w:r>
      <w:r w:rsidR="005B37C2">
        <w:t xml:space="preserve"> </w:t>
      </w:r>
      <w:r w:rsidR="00BE000B">
        <w:t>The problem we now face</w:t>
      </w:r>
      <w:r w:rsidR="00793F28">
        <w:t xml:space="preserve"> is</w:t>
      </w:r>
      <w:r w:rsidR="00970E4B">
        <w:t xml:space="preserve"> that </w:t>
      </w:r>
      <w:r w:rsidR="00CB508D">
        <w:t>the nature of consumer communication has changed</w:t>
      </w:r>
      <w:r w:rsidR="006E670D">
        <w:t xml:space="preserve">. </w:t>
      </w:r>
    </w:p>
    <w:p w14:paraId="6089852E" w14:textId="44DCC956" w:rsidR="00841FCE" w:rsidRDefault="006E670D" w:rsidP="00F57CC5">
      <w:pPr>
        <w:spacing w:before="120" w:after="120" w:line="480" w:lineRule="auto"/>
        <w:ind w:firstLine="720"/>
      </w:pPr>
      <w:r>
        <w:t xml:space="preserve">With </w:t>
      </w:r>
      <w:r w:rsidR="005B47CF">
        <w:t>online, social,</w:t>
      </w:r>
      <w:r w:rsidR="007A16D3">
        <w:t xml:space="preserve"> mobile, locative and other media, </w:t>
      </w:r>
      <w:r w:rsidR="00B849C1">
        <w:t>access requires</w:t>
      </w:r>
      <w:r w:rsidR="008B3628">
        <w:t xml:space="preserve"> broadband capacity</w:t>
      </w:r>
      <w:r w:rsidR="00A07FE3">
        <w:t xml:space="preserve"> and mobility</w:t>
      </w:r>
      <w:r w:rsidR="00D54F4A">
        <w:t>,</w:t>
      </w:r>
      <w:r w:rsidR="004F3065">
        <w:t xml:space="preserve"> in varying measures. </w:t>
      </w:r>
      <w:r w:rsidR="00427428">
        <w:t xml:space="preserve">The National Broadband Network (NBN) </w:t>
      </w:r>
      <w:r w:rsidR="00774958">
        <w:t xml:space="preserve">responds to </w:t>
      </w:r>
      <w:r w:rsidR="00F77652">
        <w:t xml:space="preserve">nearly 15 years’ </w:t>
      </w:r>
      <w:r w:rsidR="00CC55F1">
        <w:t>demand from</w:t>
      </w:r>
      <w:r w:rsidR="00F20520">
        <w:t xml:space="preserve"> consumers</w:t>
      </w:r>
      <w:r w:rsidR="00BB6DEC">
        <w:t xml:space="preserve"> for </w:t>
      </w:r>
      <w:r w:rsidR="00F57CC5">
        <w:t>fast, high-capacity Internet</w:t>
      </w:r>
      <w:r w:rsidR="00D826DD">
        <w:t>. How</w:t>
      </w:r>
      <w:r w:rsidR="00D8426C">
        <w:t xml:space="preserve"> it is implemented is complex, and t</w:t>
      </w:r>
      <w:r w:rsidR="0048621C">
        <w:t>he detail matters to consumers,</w:t>
      </w:r>
      <w:r w:rsidR="00A942F9">
        <w:t xml:space="preserve"> </w:t>
      </w:r>
      <w:r w:rsidR="00D8426C">
        <w:t xml:space="preserve">especially those who are living on the ‘edges of the grid’ </w:t>
      </w:r>
      <w:r w:rsidR="009A287C">
        <w:t xml:space="preserve">in rural and remote Australia, </w:t>
      </w:r>
      <w:r w:rsidR="00474F01">
        <w:t xml:space="preserve">especially in </w:t>
      </w:r>
      <w:r w:rsidR="009A287C">
        <w:t>indigenous communities.</w:t>
      </w:r>
      <w:r w:rsidR="001F29B5">
        <w:t xml:space="preserve"> </w:t>
      </w:r>
    </w:p>
    <w:p w14:paraId="087B5999" w14:textId="3CB072BA" w:rsidR="005B02FB" w:rsidRDefault="003229EB" w:rsidP="00D42C7B">
      <w:pPr>
        <w:spacing w:before="120" w:after="120" w:line="480" w:lineRule="auto"/>
        <w:ind w:firstLine="720"/>
      </w:pPr>
      <w:r>
        <w:t>Many Australian consumers have turned to</w:t>
      </w:r>
      <w:r w:rsidR="00895448">
        <w:t xml:space="preserve"> mobile platforms</w:t>
      </w:r>
      <w:r w:rsidR="00F4782F">
        <w:t xml:space="preserve"> for</w:t>
      </w:r>
      <w:r w:rsidR="005653CB">
        <w:t xml:space="preserve"> Internet service, especially with the arrival of relative fast </w:t>
      </w:r>
      <w:r w:rsidR="008863B3">
        <w:t xml:space="preserve">3G and 4G platforms </w:t>
      </w:r>
      <w:r w:rsidR="004760E2">
        <w:rPr>
          <w:rFonts w:cs="Times New Roman"/>
        </w:rPr>
        <w:t>—</w:t>
      </w:r>
      <w:r w:rsidR="004760E2">
        <w:t xml:space="preserve"> </w:t>
      </w:r>
      <w:r w:rsidR="008F509E">
        <w:t>and in response to the</w:t>
      </w:r>
      <w:r w:rsidR="00616E3A">
        <w:t xml:space="preserve"> uneven diffusion of</w:t>
      </w:r>
      <w:r w:rsidR="00750611">
        <w:t xml:space="preserve"> WiFi </w:t>
      </w:r>
      <w:r w:rsidR="00A97885">
        <w:t xml:space="preserve">(widely used though it is, </w:t>
      </w:r>
      <w:r w:rsidR="00750611">
        <w:t xml:space="preserve">in homes, </w:t>
      </w:r>
      <w:r w:rsidR="00750611">
        <w:lastRenderedPageBreak/>
        <w:t>i</w:t>
      </w:r>
      <w:r w:rsidR="00A7124D">
        <w:t xml:space="preserve">nstitutions, and public places). </w:t>
      </w:r>
      <w:r w:rsidR="001215F2">
        <w:t>Yet w</w:t>
      </w:r>
      <w:r w:rsidR="00EF33C7">
        <w:t>hen it comes to</w:t>
      </w:r>
      <w:r w:rsidR="00C07F57">
        <w:t xml:space="preserve"> evolving mobile communication services, </w:t>
      </w:r>
      <w:r w:rsidR="004675A8">
        <w:t xml:space="preserve">we have a quandry </w:t>
      </w:r>
      <w:r w:rsidR="004675A8">
        <w:rPr>
          <w:rFonts w:cs="Times New Roman"/>
        </w:rPr>
        <w:t>—</w:t>
      </w:r>
      <w:r w:rsidR="003D10C7">
        <w:t xml:space="preserve"> most </w:t>
      </w:r>
      <w:r w:rsidR="00677166">
        <w:t xml:space="preserve">concerning when it </w:t>
      </w:r>
      <w:r w:rsidR="004675A8">
        <w:t xml:space="preserve">comes to affordability. </w:t>
      </w:r>
    </w:p>
    <w:p w14:paraId="05BB5689" w14:textId="77777777" w:rsidR="00E11D6D" w:rsidRDefault="007E6452" w:rsidP="00D42C7B">
      <w:pPr>
        <w:spacing w:before="120" w:after="120" w:line="480" w:lineRule="auto"/>
        <w:ind w:firstLine="720"/>
      </w:pPr>
      <w:r>
        <w:t>Although many</w:t>
      </w:r>
      <w:r w:rsidR="00DE7AFF">
        <w:t xml:space="preserve"> people would think otherwise, a</w:t>
      </w:r>
      <w:r w:rsidR="00944472">
        <w:t>ffordabili</w:t>
      </w:r>
      <w:r w:rsidR="00B04392">
        <w:t>ty is an enduring issue. While</w:t>
      </w:r>
      <w:r w:rsidR="00B91476">
        <w:t xml:space="preserve"> the Australian population </w:t>
      </w:r>
      <w:r w:rsidR="00F63352">
        <w:t>has</w:t>
      </w:r>
      <w:r w:rsidR="00BE60B4">
        <w:t xml:space="preserve"> increased its </w:t>
      </w:r>
      <w:r w:rsidR="00A66B04">
        <w:t xml:space="preserve">average </w:t>
      </w:r>
      <w:r w:rsidR="00170154">
        <w:t xml:space="preserve">wealth and </w:t>
      </w:r>
      <w:r w:rsidR="00A66B04">
        <w:t xml:space="preserve">income, </w:t>
      </w:r>
      <w:r w:rsidR="00170154">
        <w:t>the share of this economic benefit</w:t>
      </w:r>
      <w:r w:rsidR="002862A4">
        <w:t xml:space="preserve"> varies greatly across the community</w:t>
      </w:r>
      <w:r w:rsidR="00B82A9C">
        <w:t>, as marked by</w:t>
      </w:r>
      <w:r w:rsidR="00BF06B2">
        <w:t xml:space="preserve"> significant </w:t>
      </w:r>
      <w:r w:rsidR="00FD2D4D">
        <w:t xml:space="preserve">levels of </w:t>
      </w:r>
      <w:r w:rsidR="00BF06B2">
        <w:t>poverty</w:t>
      </w:r>
      <w:r w:rsidR="001C4BA0">
        <w:t xml:space="preserve"> and </w:t>
      </w:r>
      <w:r w:rsidR="005671DC">
        <w:t>uneven</w:t>
      </w:r>
      <w:r w:rsidR="004A115E">
        <w:t xml:space="preserve"> </w:t>
      </w:r>
      <w:r w:rsidR="00E655E0">
        <w:t xml:space="preserve">distribution of income. </w:t>
      </w:r>
      <w:r w:rsidR="00545C46">
        <w:t xml:space="preserve">Then there are the other </w:t>
      </w:r>
      <w:r w:rsidR="00C1278D">
        <w:t>dimensions of inequality</w:t>
      </w:r>
      <w:r w:rsidR="00323063">
        <w:t xml:space="preserve"> </w:t>
      </w:r>
      <w:r w:rsidR="00323063">
        <w:rPr>
          <w:rFonts w:cs="Times New Roman"/>
        </w:rPr>
        <w:t>—</w:t>
      </w:r>
      <w:r w:rsidR="00B24920">
        <w:t xml:space="preserve"> whereby, </w:t>
      </w:r>
      <w:r w:rsidR="00323063">
        <w:t>for instance,</w:t>
      </w:r>
      <w:r w:rsidR="00FD34B6">
        <w:t xml:space="preserve"> some </w:t>
      </w:r>
      <w:r w:rsidR="00515998">
        <w:t xml:space="preserve">consumers gain better access to, literacy, and expertise in communication services, by dint of </w:t>
      </w:r>
      <w:r w:rsidR="00827B07">
        <w:t xml:space="preserve">better resourced schools, </w:t>
      </w:r>
      <w:r w:rsidR="00BA3AAE">
        <w:t>neighbourhoods</w:t>
      </w:r>
      <w:r w:rsidR="00827B07">
        <w:t>, workplaces, or</w:t>
      </w:r>
      <w:r w:rsidR="00D10DDD">
        <w:t xml:space="preserve"> occupations</w:t>
      </w:r>
      <w:r w:rsidR="000402D4">
        <w:t xml:space="preserve"> (</w:t>
      </w:r>
      <w:r w:rsidR="00384F33">
        <w:t xml:space="preserve">indicated often by </w:t>
      </w:r>
      <w:r w:rsidR="00947658">
        <w:t>notions of</w:t>
      </w:r>
      <w:r w:rsidR="000402D4">
        <w:t xml:space="preserve"> ‘social’ and ‘cultural’ capital).</w:t>
      </w:r>
      <w:r w:rsidR="00112CD7">
        <w:t xml:space="preserve"> </w:t>
      </w:r>
    </w:p>
    <w:p w14:paraId="1AED7016" w14:textId="53C50618" w:rsidR="00B55D4A" w:rsidRDefault="001F5A3A" w:rsidP="00D42C7B">
      <w:pPr>
        <w:spacing w:before="120" w:after="120" w:line="480" w:lineRule="auto"/>
        <w:ind w:firstLine="720"/>
      </w:pPr>
      <w:r>
        <w:t xml:space="preserve">Successive </w:t>
      </w:r>
      <w:r w:rsidR="00AC5AFE">
        <w:t>Australian</w:t>
      </w:r>
      <w:r w:rsidR="00AC5AFE" w:rsidRPr="00762D59">
        <w:t xml:space="preserve"> </w:t>
      </w:r>
      <w:r w:rsidRPr="00762D59">
        <w:t>governments</w:t>
      </w:r>
      <w:r>
        <w:t xml:space="preserve"> have been reluctant to </w:t>
      </w:r>
      <w:r w:rsidR="0093383B">
        <w:t>tackle</w:t>
      </w:r>
      <w:r w:rsidR="00BE5B7F">
        <w:t xml:space="preserve"> </w:t>
      </w:r>
      <w:r w:rsidR="00D80910">
        <w:t>communication affordability head-on</w:t>
      </w:r>
      <w:r w:rsidR="00590D77">
        <w:t xml:space="preserve"> </w:t>
      </w:r>
      <w:r w:rsidR="00590D77">
        <w:rPr>
          <w:rFonts w:cs="Times New Roman"/>
        </w:rPr>
        <w:t>—</w:t>
      </w:r>
      <w:r w:rsidR="00590D77">
        <w:t xml:space="preserve"> </w:t>
      </w:r>
      <w:r w:rsidR="00F32364">
        <w:t>so the</w:t>
      </w:r>
      <w:r w:rsidR="0058185C">
        <w:t xml:space="preserve"> ‘low-income’ measures</w:t>
      </w:r>
      <w:r w:rsidR="00D42C7B">
        <w:t xml:space="preserve"> that do</w:t>
      </w:r>
      <w:r w:rsidR="00017E39">
        <w:t xml:space="preserve"> exist remain piecemeal, </w:t>
      </w:r>
      <w:r w:rsidR="00155207">
        <w:t xml:space="preserve">and reliant on one industry player, as well as </w:t>
      </w:r>
      <w:r w:rsidR="00D74E4D">
        <w:t xml:space="preserve">expertise and resource of </w:t>
      </w:r>
      <w:r w:rsidR="00155207">
        <w:t xml:space="preserve">the </w:t>
      </w:r>
      <w:r w:rsidR="008A5558">
        <w:t>not-for-profit sector.</w:t>
      </w:r>
      <w:r w:rsidR="008F20F9">
        <w:rPr>
          <w:rStyle w:val="EndnoteReference"/>
        </w:rPr>
        <w:endnoteReference w:id="4"/>
      </w:r>
      <w:r w:rsidR="00D93353">
        <w:t xml:space="preserve"> </w:t>
      </w:r>
      <w:r w:rsidR="008B2E6A">
        <w:t>These leave</w:t>
      </w:r>
      <w:r w:rsidR="00757F69">
        <w:t xml:space="preserve"> a significant number of consumers</w:t>
      </w:r>
      <w:r w:rsidR="00D97731">
        <w:t xml:space="preserve"> as relative ‘information-have-less</w:t>
      </w:r>
      <w:r w:rsidR="00212C21">
        <w:t>.</w:t>
      </w:r>
      <w:r w:rsidR="00D97731">
        <w:t>’ As importantly, it</w:t>
      </w:r>
      <w:r w:rsidR="006203B0">
        <w:t xml:space="preserve"> means that </w:t>
      </w:r>
      <w:r w:rsidR="000E6C0E">
        <w:t>the new priorities and concerns of consumers remain unexplored and unaddressed.</w:t>
      </w:r>
    </w:p>
    <w:p w14:paraId="71D369DC" w14:textId="755226CB" w:rsidR="006E0059" w:rsidRDefault="002E4F64" w:rsidP="005A7CAC">
      <w:pPr>
        <w:spacing w:before="120" w:after="120" w:line="480" w:lineRule="auto"/>
        <w:ind w:firstLine="720"/>
      </w:pPr>
      <w:r>
        <w:lastRenderedPageBreak/>
        <w:t>For instance, w</w:t>
      </w:r>
      <w:r w:rsidR="00823CB5">
        <w:t xml:space="preserve">e </w:t>
      </w:r>
      <w:r w:rsidR="00BD719C">
        <w:t xml:space="preserve">have </w:t>
      </w:r>
      <w:r w:rsidR="002E1970">
        <w:t xml:space="preserve">known for a long time </w:t>
      </w:r>
      <w:r w:rsidR="00BD719C">
        <w:t xml:space="preserve">that </w:t>
      </w:r>
      <w:r w:rsidR="004E21A0">
        <w:t>many Australians in precarious situations rely upon mob</w:t>
      </w:r>
      <w:r w:rsidR="00D131F0">
        <w:t>ile and Inter</w:t>
      </w:r>
      <w:r w:rsidR="00F90592">
        <w:t xml:space="preserve">net communications, and exhibit </w:t>
      </w:r>
      <w:r w:rsidR="003824C4">
        <w:t xml:space="preserve">impressive </w:t>
      </w:r>
      <w:r w:rsidR="004777B4">
        <w:t>creativity and</w:t>
      </w:r>
      <w:r w:rsidR="00247BD3">
        <w:t xml:space="preserve"> resourcefulness </w:t>
      </w:r>
      <w:r w:rsidR="00AE7249">
        <w:t>in their D.I.Y. solutions</w:t>
      </w:r>
      <w:r w:rsidR="00DB40AD">
        <w:t>.</w:t>
      </w:r>
      <w:r w:rsidR="00AE7249">
        <w:t xml:space="preserve"> </w:t>
      </w:r>
      <w:r w:rsidR="00F02A95">
        <w:t xml:space="preserve">There are many more </w:t>
      </w:r>
      <w:r w:rsidR="003A1825">
        <w:t>communicat</w:t>
      </w:r>
      <w:r w:rsidR="004E3A34">
        <w:t xml:space="preserve">ion services available now, </w:t>
      </w:r>
      <w:r w:rsidR="00F50592">
        <w:t xml:space="preserve">especially evident in the glittering array of </w:t>
      </w:r>
      <w:r w:rsidR="009D7D22">
        <w:t>mobile technologies and</w:t>
      </w:r>
      <w:r w:rsidR="00220DD7">
        <w:t xml:space="preserve"> services. The breakthrough service for consumers was </w:t>
      </w:r>
      <w:r w:rsidR="006F0C06">
        <w:t>‘pre-pay’ mobiles</w:t>
      </w:r>
      <w:r w:rsidR="001A54E8">
        <w:t>, and the ensuing developments in mobiles over the successive 15 or so years, have seen a very rich</w:t>
      </w:r>
      <w:r w:rsidR="000A69A8">
        <w:t xml:space="preserve"> palette of mobile technologies</w:t>
      </w:r>
      <w:r w:rsidR="00434EE2">
        <w:t xml:space="preserve"> eventuate</w:t>
      </w:r>
      <w:r w:rsidR="000A69A8">
        <w:t xml:space="preserve">. </w:t>
      </w:r>
      <w:r w:rsidR="00970415">
        <w:t xml:space="preserve">So, we now have the </w:t>
      </w:r>
      <w:r w:rsidR="00BD5FFF">
        <w:t xml:space="preserve">classic dilemma of </w:t>
      </w:r>
      <w:r w:rsidR="00136D30">
        <w:t xml:space="preserve">our digital age, where ‘plenty’ rather than ‘scarcity’ apparently reigns. </w:t>
      </w:r>
      <w:r w:rsidR="006A1145">
        <w:t>Many consumers do rely on</w:t>
      </w:r>
      <w:r w:rsidR="008737C3">
        <w:t>, and favour,</w:t>
      </w:r>
      <w:r w:rsidR="006F7184">
        <w:t xml:space="preserve"> mobile devices and applications. Yet their ability to afford these</w:t>
      </w:r>
      <w:r w:rsidR="00230A36">
        <w:t xml:space="preserve"> can be moot. </w:t>
      </w:r>
    </w:p>
    <w:p w14:paraId="2DF6D460" w14:textId="77777777" w:rsidR="005A7CAC" w:rsidRPr="005A7CAC" w:rsidRDefault="005A7CAC" w:rsidP="005A7CAC">
      <w:pPr>
        <w:spacing w:before="120" w:after="120" w:line="480" w:lineRule="auto"/>
        <w:ind w:firstLine="720"/>
      </w:pPr>
    </w:p>
    <w:p w14:paraId="06924269" w14:textId="18031597" w:rsidR="00E043D3" w:rsidRPr="00C42B16" w:rsidRDefault="006E0059" w:rsidP="00C42B16">
      <w:pPr>
        <w:spacing w:before="120" w:after="120" w:line="480" w:lineRule="auto"/>
        <w:rPr>
          <w:b/>
        </w:rPr>
      </w:pPr>
      <w:r>
        <w:rPr>
          <w:b/>
        </w:rPr>
        <w:t>New Priorities and Concerns</w:t>
      </w:r>
    </w:p>
    <w:p w14:paraId="7809116B" w14:textId="54F6E0D8" w:rsidR="006871F6" w:rsidRDefault="00F56A32" w:rsidP="00C87543">
      <w:pPr>
        <w:spacing w:before="120" w:after="120" w:line="480" w:lineRule="auto"/>
      </w:pPr>
      <w:r>
        <w:t xml:space="preserve">Alongside enduring issues, there are new priorities and concerns. </w:t>
      </w:r>
      <w:r w:rsidR="008843D8">
        <w:t>The introduction of telecommunications competition</w:t>
      </w:r>
      <w:r w:rsidR="00B84BC0">
        <w:t xml:space="preserve"> and digital technologies was accompanie</w:t>
      </w:r>
      <w:r w:rsidR="000E3E68">
        <w:t xml:space="preserve">d by great debate over privacy, </w:t>
      </w:r>
      <w:r w:rsidR="006871F6">
        <w:t xml:space="preserve">and its relevance as a consumer concern. </w:t>
      </w:r>
      <w:r w:rsidR="003E7CCB">
        <w:t>Such argument has only deepened, with the</w:t>
      </w:r>
      <w:r w:rsidR="00D30336">
        <w:t xml:space="preserve"> </w:t>
      </w:r>
      <w:r w:rsidR="008A006D">
        <w:t xml:space="preserve">entrenchment of </w:t>
      </w:r>
      <w:r w:rsidR="000724A8">
        <w:t xml:space="preserve">Internet, mobiles, </w:t>
      </w:r>
      <w:r w:rsidR="000724A8">
        <w:lastRenderedPageBreak/>
        <w:t xml:space="preserve">and </w:t>
      </w:r>
      <w:r w:rsidR="008A006D">
        <w:t>social media platforms</w:t>
      </w:r>
      <w:r w:rsidR="005315C1">
        <w:t xml:space="preserve"> in everyday life. </w:t>
      </w:r>
      <w:r w:rsidR="009E7C6A">
        <w:rPr>
          <w:rStyle w:val="EndnoteReference"/>
        </w:rPr>
        <w:endnoteReference w:id="5"/>
      </w:r>
      <w:r w:rsidR="00EC74FD">
        <w:t xml:space="preserve"> The apparent paradox is that </w:t>
      </w:r>
      <w:r w:rsidR="004617F6">
        <w:t>privacy remains a touchstone issue for many</w:t>
      </w:r>
      <w:r w:rsidR="0035753D">
        <w:t>, yet consumers</w:t>
      </w:r>
      <w:r w:rsidR="009E41AD">
        <w:t xml:space="preserve"> are willing to </w:t>
      </w:r>
      <w:r w:rsidR="009E41AD">
        <w:rPr>
          <w:rFonts w:cs="Times New Roman"/>
        </w:rPr>
        <w:t>—</w:t>
      </w:r>
      <w:r w:rsidR="00E1395A">
        <w:t xml:space="preserve"> or feel they have no alternative </w:t>
      </w:r>
      <w:r w:rsidR="00E1395A">
        <w:rPr>
          <w:rFonts w:cs="Times New Roman"/>
        </w:rPr>
        <w:t>—</w:t>
      </w:r>
      <w:r w:rsidR="007A1CAB">
        <w:t xml:space="preserve"> share personal information and media content. </w:t>
      </w:r>
      <w:r w:rsidR="009A770A">
        <w:t xml:space="preserve">Further, </w:t>
      </w:r>
      <w:r w:rsidR="00340FB9">
        <w:t>many corporations seek to push the boundaries of</w:t>
      </w:r>
      <w:r w:rsidR="00C65578">
        <w:t xml:space="preserve"> seeking, retaining, and using information, </w:t>
      </w:r>
      <w:r w:rsidR="002B3544">
        <w:t>only to experience a equal and opposite response from consumers when they feel</w:t>
      </w:r>
      <w:r w:rsidR="00333248">
        <w:t xml:space="preserve"> their privacy has been</w:t>
      </w:r>
      <w:r w:rsidR="0046482A">
        <w:t xml:space="preserve"> vitiated.</w:t>
      </w:r>
      <w:r w:rsidR="00B92666">
        <w:rPr>
          <w:rStyle w:val="EndnoteReference"/>
        </w:rPr>
        <w:endnoteReference w:id="6"/>
      </w:r>
      <w:r w:rsidR="0046482A">
        <w:t xml:space="preserve"> </w:t>
      </w:r>
      <w:r w:rsidR="00E20D07">
        <w:t xml:space="preserve">For </w:t>
      </w:r>
      <w:r w:rsidR="00762D59">
        <w:t>some time</w:t>
      </w:r>
      <w:r w:rsidR="009C714C">
        <w:t>, various commentators and</w:t>
      </w:r>
      <w:r w:rsidR="00AC5B41">
        <w:t xml:space="preserve"> corporations have contended that </w:t>
      </w:r>
      <w:r w:rsidR="00F362A6">
        <w:t xml:space="preserve">consumers </w:t>
      </w:r>
      <w:r w:rsidR="00F362A6">
        <w:rPr>
          <w:rFonts w:cs="Times New Roman"/>
        </w:rPr>
        <w:t>—</w:t>
      </w:r>
      <w:r w:rsidR="00F362A6">
        <w:t xml:space="preserve"> especially young concerns </w:t>
      </w:r>
      <w:r w:rsidR="00F362A6">
        <w:rPr>
          <w:rFonts w:cs="Times New Roman"/>
        </w:rPr>
        <w:t>—</w:t>
      </w:r>
      <w:r w:rsidR="00F362A6">
        <w:t xml:space="preserve"> have a different attitude towards privacy. </w:t>
      </w:r>
      <w:r w:rsidR="0034348B">
        <w:t>Yet research</w:t>
      </w:r>
      <w:r w:rsidR="00687AC5">
        <w:t xml:space="preserve"> has sugges</w:t>
      </w:r>
      <w:r w:rsidR="0085536E">
        <w:t xml:space="preserve">ted that care needs to be taken, in particular that attention needs to be paid to </w:t>
      </w:r>
      <w:r w:rsidR="00F86842">
        <w:t>the contexts and meanings of privacy in different circumstances, socio-demographics, and</w:t>
      </w:r>
      <w:r w:rsidR="000341EF">
        <w:t xml:space="preserve"> cultural contexts.</w:t>
      </w:r>
      <w:r w:rsidR="00EB548F">
        <w:rPr>
          <w:rStyle w:val="EndnoteReference"/>
        </w:rPr>
        <w:endnoteReference w:id="7"/>
      </w:r>
      <w:r w:rsidR="000341EF">
        <w:t xml:space="preserve"> </w:t>
      </w:r>
    </w:p>
    <w:p w14:paraId="243B6A5C" w14:textId="77777777" w:rsidR="00E501AB" w:rsidRDefault="005D688C" w:rsidP="00612612">
      <w:pPr>
        <w:spacing w:before="120" w:after="120" w:line="480" w:lineRule="auto"/>
      </w:pPr>
      <w:r>
        <w:tab/>
      </w:r>
      <w:r w:rsidR="007F2B09">
        <w:t>Alongside</w:t>
      </w:r>
      <w:r w:rsidR="0095524C">
        <w:t xml:space="preserve"> privacy, consumers </w:t>
      </w:r>
      <w:r w:rsidR="00A635BF">
        <w:t>have</w:t>
      </w:r>
      <w:r w:rsidR="00557ED6">
        <w:t xml:space="preserve"> new concerns about </w:t>
      </w:r>
      <w:r w:rsidR="006D37E6">
        <w:t xml:space="preserve">the collection and use of </w:t>
      </w:r>
      <w:r w:rsidR="00C146F2">
        <w:t>information related to them, arising from the pervasive</w:t>
      </w:r>
      <w:r w:rsidR="00AB0203">
        <w:t xml:space="preserve"> gathering and harvesting of data</w:t>
      </w:r>
      <w:r w:rsidR="00DB1185">
        <w:t xml:space="preserve">. </w:t>
      </w:r>
      <w:r w:rsidR="00FD6B46">
        <w:t>Such data gathering is</w:t>
      </w:r>
      <w:r w:rsidR="000B794C">
        <w:t xml:space="preserve"> increasingly viewed as unwanted surveilla</w:t>
      </w:r>
      <w:r w:rsidR="00D54950">
        <w:t>nce, and it occurs not just from</w:t>
      </w:r>
      <w:r w:rsidR="00AC6203">
        <w:t xml:space="preserve"> those offering the</w:t>
      </w:r>
      <w:r w:rsidR="006265FA">
        <w:t xml:space="preserve"> core communication and media services </w:t>
      </w:r>
      <w:r w:rsidR="006265FA">
        <w:rPr>
          <w:rFonts w:cs="Times New Roman"/>
        </w:rPr>
        <w:t>—</w:t>
      </w:r>
      <w:r w:rsidR="006265FA">
        <w:t xml:space="preserve"> but, especially, from applications and software that run </w:t>
      </w:r>
      <w:r w:rsidR="006265FA">
        <w:lastRenderedPageBreak/>
        <w:t>on the platforms, and by new k</w:t>
      </w:r>
      <w:r w:rsidR="006B7526">
        <w:t xml:space="preserve">inds of firms, intermediaries, and actors (including governments) that seek to </w:t>
      </w:r>
      <w:r w:rsidR="00F91781">
        <w:t>profit from consumer data.</w:t>
      </w:r>
      <w:r w:rsidR="002241E2">
        <w:rPr>
          <w:rStyle w:val="EndnoteReference"/>
        </w:rPr>
        <w:endnoteReference w:id="8"/>
      </w:r>
      <w:r w:rsidR="00F91781">
        <w:t xml:space="preserve"> </w:t>
      </w:r>
      <w:r w:rsidR="00822EDF">
        <w:t>The most c</w:t>
      </w:r>
      <w:r w:rsidR="00F156E3">
        <w:t xml:space="preserve">ontroversial recent case is the </w:t>
      </w:r>
      <w:r w:rsidR="00D75BD8">
        <w:t xml:space="preserve">alleged </w:t>
      </w:r>
      <w:r w:rsidR="00F82C37">
        <w:t xml:space="preserve">mass surveillance practices undertaken by </w:t>
      </w:r>
      <w:r w:rsidR="00F156E3">
        <w:t>National Security Agency (NSA)</w:t>
      </w:r>
      <w:r w:rsidR="00FF511B">
        <w:t xml:space="preserve"> and partner national security agencies, revealed by </w:t>
      </w:r>
      <w:r w:rsidR="00FF1149">
        <w:t>Edward Snowden.</w:t>
      </w:r>
      <w:r w:rsidR="00F156E3">
        <w:t xml:space="preserve"> </w:t>
      </w:r>
      <w:r w:rsidR="00327F8D">
        <w:t>Private corporations have become highly attuned to the</w:t>
      </w:r>
      <w:r w:rsidR="00E575D2">
        <w:t xml:space="preserve"> potential consumer discomfort and outcry over such surveillance practices</w:t>
      </w:r>
      <w:r w:rsidR="0082169B">
        <w:t>, not just</w:t>
      </w:r>
      <w:r w:rsidR="00EB2C51">
        <w:t xml:space="preserve"> when mandated by government. </w:t>
      </w:r>
      <w:r w:rsidR="00963DE5">
        <w:t xml:space="preserve">Accordingly, </w:t>
      </w:r>
      <w:r w:rsidR="00310076">
        <w:t xml:space="preserve">some technology companies </w:t>
      </w:r>
      <w:r w:rsidR="0067609E">
        <w:t xml:space="preserve">figured </w:t>
      </w:r>
      <w:r w:rsidR="00310076">
        <w:t>prominent</w:t>
      </w:r>
      <w:r w:rsidR="00B122C4">
        <w:t xml:space="preserve">ly </w:t>
      </w:r>
      <w:r w:rsidR="00154E0A">
        <w:t xml:space="preserve">in public debates over </w:t>
      </w:r>
      <w:r w:rsidR="00B122C4">
        <w:t xml:space="preserve">the </w:t>
      </w:r>
      <w:r w:rsidR="0067609E" w:rsidRPr="0067609E">
        <w:t>Telecommunications (Interception and Access)</w:t>
      </w:r>
      <w:r w:rsidR="00FB09A4">
        <w:t xml:space="preserve"> Amendment (Data Retention) Act</w:t>
      </w:r>
      <w:r w:rsidR="0067609E" w:rsidRPr="0067609E">
        <w:t xml:space="preserve"> 2015</w:t>
      </w:r>
      <w:r w:rsidR="00B122C4">
        <w:t>.</w:t>
      </w:r>
      <w:r w:rsidR="000E7798">
        <w:t xml:space="preserve"> </w:t>
      </w:r>
      <w:r w:rsidR="00BA19C5">
        <w:t>Much of the opposition here centred on the cost</w:t>
      </w:r>
      <w:r w:rsidR="00EE296B">
        <w:t xml:space="preserve"> of gover</w:t>
      </w:r>
      <w:r w:rsidR="00251CFE">
        <w:t xml:space="preserve">nment required data retention to the Australian communications industry. </w:t>
      </w:r>
    </w:p>
    <w:p w14:paraId="2F225746" w14:textId="63754247" w:rsidR="00F07712" w:rsidRDefault="00251CFE" w:rsidP="00CC5311">
      <w:pPr>
        <w:spacing w:before="120" w:after="120" w:line="480" w:lineRule="auto"/>
        <w:ind w:firstLine="720"/>
      </w:pPr>
      <w:r>
        <w:t>For consumers, the prior question</w:t>
      </w:r>
      <w:r w:rsidR="00C158AF">
        <w:t xml:space="preserve"> in relation to data collection and use</w:t>
      </w:r>
      <w:r>
        <w:t xml:space="preserve"> is</w:t>
      </w:r>
      <w:r w:rsidR="00EB3323">
        <w:t xml:space="preserve"> </w:t>
      </w:r>
      <w:r w:rsidR="005F5D39">
        <w:t>what say they have in such pervasive practices, what the</w:t>
      </w:r>
      <w:r w:rsidR="00244CEB">
        <w:t xml:space="preserve"> implications (especially harms) may be</w:t>
      </w:r>
      <w:r w:rsidR="009D64F8">
        <w:t xml:space="preserve">, and what </w:t>
      </w:r>
      <w:r w:rsidR="00205DC9">
        <w:t>options and remedies are available to them</w:t>
      </w:r>
      <w:r w:rsidR="00A91B32">
        <w:t xml:space="preserve">. The question arises of </w:t>
      </w:r>
      <w:r w:rsidR="00A83709">
        <w:t>whether</w:t>
      </w:r>
      <w:r w:rsidR="002E3881">
        <w:t xml:space="preserve"> there are </w:t>
      </w:r>
      <w:r w:rsidR="00D10A11">
        <w:t>civil rights</w:t>
      </w:r>
      <w:r w:rsidR="00D1434B">
        <w:t xml:space="preserve"> </w:t>
      </w:r>
      <w:r w:rsidR="00D1434B">
        <w:rPr>
          <w:rFonts w:cs="Times New Roman"/>
        </w:rPr>
        <w:t>—</w:t>
      </w:r>
      <w:r w:rsidR="00D1434B">
        <w:t xml:space="preserve"> and indeed human rights </w:t>
      </w:r>
      <w:r w:rsidR="00D1434B">
        <w:rPr>
          <w:rFonts w:cs="Times New Roman"/>
        </w:rPr>
        <w:t xml:space="preserve">— other than </w:t>
      </w:r>
      <w:r w:rsidR="00816ABB">
        <w:t xml:space="preserve">privacy that </w:t>
      </w:r>
      <w:r w:rsidR="00816ABB" w:rsidRPr="0005355C">
        <w:t>are potentially infringed wh</w:t>
      </w:r>
      <w:r w:rsidR="00816ABB">
        <w:t>en data is used inappropriately.</w:t>
      </w:r>
      <w:r w:rsidR="00816ABB" w:rsidRPr="0005355C">
        <w:t> </w:t>
      </w:r>
      <w:r w:rsidR="008700DF">
        <w:t>In the</w:t>
      </w:r>
      <w:r w:rsidR="00F60824">
        <w:t xml:space="preserve"> Australian context, </w:t>
      </w:r>
      <w:r w:rsidR="00F221F9">
        <w:t>such rights might include</w:t>
      </w:r>
      <w:r w:rsidR="00944046">
        <w:t xml:space="preserve"> </w:t>
      </w:r>
      <w:r w:rsidR="00822F4D">
        <w:t xml:space="preserve">those related to </w:t>
      </w:r>
      <w:r w:rsidR="002B05C4">
        <w:lastRenderedPageBreak/>
        <w:t xml:space="preserve">freedom of information (requesting details of data </w:t>
      </w:r>
      <w:r w:rsidR="0031481F">
        <w:rPr>
          <w:rFonts w:cs="Times New Roman"/>
        </w:rPr>
        <w:t>—</w:t>
      </w:r>
      <w:r w:rsidR="0031481F">
        <w:t xml:space="preserve"> generated by your communication activity </w:t>
      </w:r>
      <w:r w:rsidR="0031481F">
        <w:rPr>
          <w:rFonts w:cs="Times New Roman"/>
        </w:rPr>
        <w:t>—</w:t>
      </w:r>
      <w:r w:rsidR="0031481F">
        <w:t xml:space="preserve"> </w:t>
      </w:r>
      <w:r w:rsidR="007A42D4">
        <w:t xml:space="preserve">that </w:t>
      </w:r>
      <w:r w:rsidR="00762D59">
        <w:t xml:space="preserve">a </w:t>
      </w:r>
      <w:r w:rsidR="00432BAB">
        <w:t>provider holds has prove</w:t>
      </w:r>
      <w:r w:rsidR="00684E8A">
        <w:t>n to be a non-trivial question),</w:t>
      </w:r>
      <w:r w:rsidR="00DF2574">
        <w:rPr>
          <w:rStyle w:val="EndnoteReference"/>
        </w:rPr>
        <w:endnoteReference w:id="9"/>
      </w:r>
      <w:r w:rsidR="00684E8A">
        <w:t xml:space="preserve"> as well as</w:t>
      </w:r>
      <w:r w:rsidR="00432BAB">
        <w:t xml:space="preserve"> </w:t>
      </w:r>
      <w:r w:rsidR="00822F4D">
        <w:t>anti-</w:t>
      </w:r>
      <w:r w:rsidR="00A97580">
        <w:t>discrimination</w:t>
      </w:r>
      <w:r w:rsidR="0041283C">
        <w:t xml:space="preserve"> </w:t>
      </w:r>
      <w:r w:rsidR="00771B3C">
        <w:t xml:space="preserve">(when data is used to </w:t>
      </w:r>
      <w:r w:rsidR="002A733C">
        <w:t>target</w:t>
      </w:r>
      <w:r w:rsidR="00F5757E">
        <w:t xml:space="preserve"> particular consumers, or consumer segments).</w:t>
      </w:r>
      <w:r w:rsidR="001D71F8">
        <w:t xml:space="preserve"> </w:t>
      </w:r>
      <w:r w:rsidR="00F34776">
        <w:t xml:space="preserve">There is </w:t>
      </w:r>
      <w:r w:rsidR="00B81DAD">
        <w:t xml:space="preserve">unprecedented complexity to </w:t>
      </w:r>
      <w:r w:rsidR="001A2978">
        <w:t>the data environments that consumers inhabit</w:t>
      </w:r>
      <w:r w:rsidR="007C4F88">
        <w:t>, made more difficult to understand and manage</w:t>
      </w:r>
      <w:r w:rsidR="00212EFA">
        <w:t xml:space="preserve"> because of the </w:t>
      </w:r>
      <w:r w:rsidR="000A1F6D">
        <w:t>lack of clear information and options available.</w:t>
      </w:r>
      <w:r w:rsidR="00A70CF6">
        <w:rPr>
          <w:rStyle w:val="EndnoteReference"/>
        </w:rPr>
        <w:endnoteReference w:id="10"/>
      </w:r>
      <w:r w:rsidR="000A1F6D">
        <w:t xml:space="preserve"> </w:t>
      </w:r>
      <w:r w:rsidR="00905F34">
        <w:t xml:space="preserve">So </w:t>
      </w:r>
      <w:r w:rsidR="00074C3A">
        <w:t xml:space="preserve">this is a ‘wicked problem’, and it is surely a </w:t>
      </w:r>
      <w:r w:rsidR="00294C56">
        <w:t>high priority ‘harm’ that regulators need to tackle, urgently, and with a new approach.</w:t>
      </w:r>
    </w:p>
    <w:p w14:paraId="039F0447" w14:textId="77777777" w:rsidR="00CC5311" w:rsidRPr="005A7CAC" w:rsidRDefault="00CC5311" w:rsidP="00CC5311">
      <w:pPr>
        <w:spacing w:before="120" w:after="120" w:line="480" w:lineRule="auto"/>
        <w:ind w:firstLine="720"/>
      </w:pPr>
    </w:p>
    <w:p w14:paraId="29428D30" w14:textId="115BBE8A" w:rsidR="00C87543" w:rsidRPr="00C87543" w:rsidRDefault="00015C8B" w:rsidP="00C87543">
      <w:pPr>
        <w:spacing w:before="120" w:after="120" w:line="480" w:lineRule="auto"/>
        <w:rPr>
          <w:b/>
        </w:rPr>
      </w:pPr>
      <w:r>
        <w:rPr>
          <w:b/>
        </w:rPr>
        <w:t xml:space="preserve">Effective Consumers: </w:t>
      </w:r>
      <w:r w:rsidR="00C87543">
        <w:rPr>
          <w:b/>
        </w:rPr>
        <w:t>Challenging the New Constraints</w:t>
      </w:r>
    </w:p>
    <w:p w14:paraId="0E5F7E99" w14:textId="457A2D91" w:rsidR="00CC77AA" w:rsidRDefault="008C3741" w:rsidP="006C714B">
      <w:pPr>
        <w:spacing w:before="120" w:after="120" w:line="480" w:lineRule="auto"/>
      </w:pPr>
      <w:r>
        <w:t xml:space="preserve">Such </w:t>
      </w:r>
      <w:r w:rsidR="00127AEB">
        <w:t xml:space="preserve">developments </w:t>
      </w:r>
      <w:r w:rsidR="00E31480">
        <w:t xml:space="preserve">in communication services </w:t>
      </w:r>
      <w:r w:rsidR="002F6939">
        <w:t xml:space="preserve">and usage </w:t>
      </w:r>
      <w:r w:rsidR="00127AEB">
        <w:t>represent</w:t>
      </w:r>
      <w:r w:rsidR="00B62822">
        <w:t xml:space="preserve"> an evolution of </w:t>
      </w:r>
      <w:r w:rsidR="00353288">
        <w:t>consumer practices and preferences,</w:t>
      </w:r>
      <w:r w:rsidR="009561F8">
        <w:t xml:space="preserve"> which </w:t>
      </w:r>
      <w:r w:rsidR="00935495">
        <w:t>scholar</w:t>
      </w:r>
      <w:r w:rsidR="00744897">
        <w:t xml:space="preserve"> Jonathan Donner </w:t>
      </w:r>
      <w:r w:rsidR="001F4645">
        <w:t>has argued</w:t>
      </w:r>
      <w:r w:rsidR="00062539">
        <w:t xml:space="preserve"> </w:t>
      </w:r>
      <w:r w:rsidR="00062539">
        <w:rPr>
          <w:rFonts w:cs="Times New Roman"/>
        </w:rPr>
        <w:t>—</w:t>
      </w:r>
      <w:r w:rsidR="00062539">
        <w:t xml:space="preserve"> in </w:t>
      </w:r>
      <w:r w:rsidR="00550A9D">
        <w:t>relation to</w:t>
      </w:r>
      <w:r w:rsidR="00062539">
        <w:t xml:space="preserve"> </w:t>
      </w:r>
      <w:r w:rsidR="0099546E">
        <w:t>emergence of</w:t>
      </w:r>
      <w:r w:rsidR="00550A9D">
        <w:t xml:space="preserve"> the</w:t>
      </w:r>
      <w:r w:rsidR="0099546E">
        <w:t xml:space="preserve"> more mobile Internet in the global south </w:t>
      </w:r>
      <w:r w:rsidR="0099546E">
        <w:rPr>
          <w:rFonts w:cs="Times New Roman"/>
        </w:rPr>
        <w:t>—</w:t>
      </w:r>
      <w:r w:rsidR="00533BD5">
        <w:rPr>
          <w:rFonts w:cs="Times New Roman"/>
        </w:rPr>
        <w:t xml:space="preserve"> that</w:t>
      </w:r>
      <w:r w:rsidR="007A4423">
        <w:t xml:space="preserve"> we need to capture</w:t>
      </w:r>
      <w:r w:rsidR="00533BD5">
        <w:t xml:space="preserve"> with an ‘after-access lens’. </w:t>
      </w:r>
      <w:r w:rsidR="000B65E3">
        <w:t>According to Donner, we need to understand</w:t>
      </w:r>
      <w:r w:rsidR="00D327DF">
        <w:t xml:space="preserve"> the ‘digital repertoires’</w:t>
      </w:r>
      <w:r w:rsidR="00A3289B">
        <w:t xml:space="preserve"> of</w:t>
      </w:r>
      <w:r w:rsidR="0077122B">
        <w:t xml:space="preserve"> </w:t>
      </w:r>
      <w:r w:rsidR="00BC059D">
        <w:t xml:space="preserve">consumers, and the </w:t>
      </w:r>
      <w:r w:rsidR="00346A6E">
        <w:t>gradations of use</w:t>
      </w:r>
      <w:r w:rsidR="0028120B">
        <w:t xml:space="preserve"> they entail. </w:t>
      </w:r>
      <w:r w:rsidR="00454490">
        <w:t>A central issue here</w:t>
      </w:r>
      <w:r w:rsidR="00DA2B7D">
        <w:t xml:space="preserve"> </w:t>
      </w:r>
      <w:r w:rsidR="00CC7D2D">
        <w:t xml:space="preserve">that Donner unpacks </w:t>
      </w:r>
      <w:r w:rsidR="006966DD">
        <w:t>has to do with</w:t>
      </w:r>
      <w:r w:rsidR="00DA2B7D">
        <w:t xml:space="preserve"> the ‘new constraints’</w:t>
      </w:r>
      <w:r w:rsidR="00D723FD">
        <w:t xml:space="preserve"> consumers face</w:t>
      </w:r>
      <w:r w:rsidR="000D757A">
        <w:t xml:space="preserve"> that come from the combination of </w:t>
      </w:r>
      <w:r w:rsidR="000D757A">
        <w:lastRenderedPageBreak/>
        <w:t>restrictive policies of</w:t>
      </w:r>
      <w:r w:rsidR="004078FF">
        <w:t xml:space="preserve"> Internet and mobile providers, the ‘built-in’</w:t>
      </w:r>
      <w:r w:rsidR="00E46ACE">
        <w:t xml:space="preserve"> constraints of design assumptions in software and hardware, </w:t>
      </w:r>
      <w:r w:rsidR="00330B06">
        <w:t>and the ‘taken-for-granted’ assumptions about</w:t>
      </w:r>
      <w:r w:rsidR="00FE47A7">
        <w:t xml:space="preserve"> how consumers should use devices.</w:t>
      </w:r>
      <w:r w:rsidR="007931E3">
        <w:rPr>
          <w:rStyle w:val="EndnoteReference"/>
        </w:rPr>
        <w:endnoteReference w:id="11"/>
      </w:r>
      <w:r w:rsidR="00FE47A7">
        <w:t xml:space="preserve"> </w:t>
      </w:r>
      <w:r w:rsidR="007644DA">
        <w:t>In lieu of identifying and challenging new constraints, t</w:t>
      </w:r>
      <w:r w:rsidR="008D08E4">
        <w:t>he default</w:t>
      </w:r>
      <w:r w:rsidR="00FE47A7">
        <w:t xml:space="preserve"> outcome is that while many communication devices and services do surely offer great capabilities, consumers often cannot afford to</w:t>
      </w:r>
      <w:r w:rsidR="00CE265F">
        <w:t xml:space="preserve"> realize the promise </w:t>
      </w:r>
      <w:r w:rsidR="00CE265F">
        <w:rPr>
          <w:rFonts w:cs="Times New Roman"/>
        </w:rPr>
        <w:t>—</w:t>
      </w:r>
      <w:r w:rsidR="00CE265F">
        <w:t xml:space="preserve"> or are</w:t>
      </w:r>
      <w:r w:rsidR="009C7472">
        <w:t xml:space="preserve"> frustrated by </w:t>
      </w:r>
      <w:r w:rsidR="008C2EBA">
        <w:t>particular business, design, or policy settings in</w:t>
      </w:r>
      <w:r w:rsidR="00B479EF">
        <w:t xml:space="preserve"> gaining effective and productive use.</w:t>
      </w:r>
      <w:r w:rsidR="00EC7FBA">
        <w:t xml:space="preserve"> </w:t>
      </w:r>
    </w:p>
    <w:p w14:paraId="0A6827ED" w14:textId="769FB943" w:rsidR="0014097C" w:rsidRDefault="00DD5C3C" w:rsidP="00D42C7B">
      <w:pPr>
        <w:spacing w:before="120" w:after="120" w:line="480" w:lineRule="auto"/>
        <w:ind w:firstLine="720"/>
      </w:pPr>
      <w:r>
        <w:t xml:space="preserve">If we take up </w:t>
      </w:r>
      <w:r w:rsidR="002052B9">
        <w:t xml:space="preserve">Donner’s ideas </w:t>
      </w:r>
      <w:r>
        <w:t xml:space="preserve">in our Australian context, </w:t>
      </w:r>
      <w:r w:rsidR="00DA061E">
        <w:t xml:space="preserve">it is striking to </w:t>
      </w:r>
      <w:r w:rsidR="004F087F">
        <w:t xml:space="preserve">see </w:t>
      </w:r>
      <w:r w:rsidR="00B000B1">
        <w:t>two things.</w:t>
      </w:r>
      <w:r w:rsidR="00CC77AA">
        <w:t xml:space="preserve"> Firstly, the</w:t>
      </w:r>
      <w:r w:rsidR="00F80A72">
        <w:t xml:space="preserve"> communications</w:t>
      </w:r>
      <w:r w:rsidR="003E6C04">
        <w:t xml:space="preserve"> marketplace</w:t>
      </w:r>
      <w:r w:rsidR="009E5B7B">
        <w:t xml:space="preserve">, while surely evolving still, </w:t>
      </w:r>
      <w:r w:rsidR="008107F3">
        <w:t>falls short of</w:t>
      </w:r>
      <w:r w:rsidR="00663270">
        <w:t xml:space="preserve"> supporting consumers in gaining access and ‘effective use’ of</w:t>
      </w:r>
      <w:r w:rsidR="009D097D">
        <w:t xml:space="preserve"> services. </w:t>
      </w:r>
      <w:r w:rsidR="00A80AD7">
        <w:t xml:space="preserve">This is a </w:t>
      </w:r>
      <w:r w:rsidR="00567D40">
        <w:t>potential loss to</w:t>
      </w:r>
      <w:r w:rsidR="00A80AD7">
        <w:t xml:space="preserve"> economy and society. </w:t>
      </w:r>
      <w:r w:rsidR="000E5570">
        <w:t xml:space="preserve">Secondly, </w:t>
      </w:r>
      <w:r w:rsidR="00B7343C">
        <w:t>policy and regulation</w:t>
      </w:r>
      <w:r w:rsidR="00F64174">
        <w:t xml:space="preserve"> is </w:t>
      </w:r>
      <w:r w:rsidR="00FD1B85">
        <w:t xml:space="preserve">not </w:t>
      </w:r>
      <w:r w:rsidR="00F64174">
        <w:t>up to the task in</w:t>
      </w:r>
      <w:r w:rsidR="00D71868">
        <w:t xml:space="preserve"> correcting this situation. </w:t>
      </w:r>
      <w:r w:rsidR="006D3326">
        <w:t xml:space="preserve">While </w:t>
      </w:r>
      <w:r w:rsidR="00762D59">
        <w:t xml:space="preserve">the </w:t>
      </w:r>
      <w:r w:rsidR="006D3326">
        <w:t xml:space="preserve">ACMA, in particular, has made significant advances in </w:t>
      </w:r>
      <w:r w:rsidR="00B70F1B">
        <w:t>developing a research and evidence base for understanding</w:t>
      </w:r>
      <w:r w:rsidR="000D7143">
        <w:t xml:space="preserve"> consumers’ ‘digital repertoires</w:t>
      </w:r>
      <w:r w:rsidR="00885BDF">
        <w:t>,</w:t>
      </w:r>
      <w:r w:rsidR="002E7256">
        <w:t>’</w:t>
      </w:r>
      <w:r w:rsidR="00AD75D3">
        <w:t xml:space="preserve"> </w:t>
      </w:r>
      <w:r w:rsidR="006A1938">
        <w:t>it neither has</w:t>
      </w:r>
      <w:r w:rsidR="00C42B5A">
        <w:t xml:space="preserve"> the breadth of mandate nor is it supported by, and part of,</w:t>
      </w:r>
      <w:r w:rsidR="006A1938">
        <w:t xml:space="preserve"> a wider framework to</w:t>
      </w:r>
      <w:r w:rsidR="005620A5">
        <w:t xml:space="preserve"> chart and address the key issues. </w:t>
      </w:r>
      <w:r w:rsidR="00A81FB3">
        <w:t xml:space="preserve">That is, </w:t>
      </w:r>
      <w:r w:rsidR="0082692C">
        <w:t>our policy and regulatory frameworks</w:t>
      </w:r>
      <w:r w:rsidR="008D7AC6">
        <w:t xml:space="preserve">, </w:t>
      </w:r>
      <w:r w:rsidR="008D7AC6">
        <w:lastRenderedPageBreak/>
        <w:t>and institutions,</w:t>
      </w:r>
      <w:r w:rsidR="00C427E4">
        <w:t xml:space="preserve"> are not fit for purpose in </w:t>
      </w:r>
      <w:r w:rsidR="00D777B6">
        <w:t>gauging</w:t>
      </w:r>
      <w:r w:rsidR="00D1774A">
        <w:t xml:space="preserve"> and tackling the new constraints consumers face. </w:t>
      </w:r>
    </w:p>
    <w:p w14:paraId="79A8FB0D" w14:textId="60B45026" w:rsidR="00DD7584" w:rsidRDefault="00260475" w:rsidP="00DD7584">
      <w:pPr>
        <w:spacing w:before="120" w:after="120" w:line="480" w:lineRule="auto"/>
        <w:ind w:firstLine="720"/>
      </w:pPr>
      <w:r>
        <w:t>Interestingly, Internet</w:t>
      </w:r>
      <w:r w:rsidR="00FC4E13">
        <w:t xml:space="preserve"> users hav</w:t>
      </w:r>
      <w:r w:rsidR="00DD4D10">
        <w:t xml:space="preserve">e pioneered much of the debates concerning such constraints, with </w:t>
      </w:r>
      <w:r w:rsidR="00F953C0">
        <w:t>online</w:t>
      </w:r>
      <w:r w:rsidR="00D32845">
        <w:t xml:space="preserve"> discussion of</w:t>
      </w:r>
      <w:r w:rsidR="002A49A6">
        <w:t xml:space="preserve"> Internet caps, filtering</w:t>
      </w:r>
      <w:r w:rsidR="003C7639">
        <w:t xml:space="preserve">, and so on. </w:t>
      </w:r>
      <w:r w:rsidR="00142AF1">
        <w:t xml:space="preserve">But these kind of constraints go much wider. </w:t>
      </w:r>
      <w:r w:rsidR="00737214">
        <w:t xml:space="preserve">This is evident in the </w:t>
      </w:r>
      <w:r w:rsidR="00E91B99">
        <w:t xml:space="preserve">emergence of </w:t>
      </w:r>
      <w:r w:rsidR="00E8412B">
        <w:t xml:space="preserve">new kinds of television via online and mobile platforms: </w:t>
      </w:r>
      <w:r w:rsidR="00B84BED">
        <w:t xml:space="preserve">services such as </w:t>
      </w:r>
      <w:r w:rsidR="005C0C8A">
        <w:t>peer-to-peer</w:t>
      </w:r>
      <w:r w:rsidR="00E81189">
        <w:t xml:space="preserve"> sharing, </w:t>
      </w:r>
      <w:r w:rsidR="003633B5">
        <w:t xml:space="preserve">YouTube, </w:t>
      </w:r>
      <w:r w:rsidR="00142F47">
        <w:t xml:space="preserve">Fetch, </w:t>
      </w:r>
      <w:r w:rsidR="00B84BED">
        <w:t>Netflix, Stan</w:t>
      </w:r>
      <w:r w:rsidR="003633B5">
        <w:t xml:space="preserve">, </w:t>
      </w:r>
      <w:r w:rsidR="00C67B78">
        <w:t>mobile television, catch-up and time-shifting and cross-platform</w:t>
      </w:r>
      <w:r w:rsidR="00994359">
        <w:t xml:space="preserve"> services now offered by free-to-air and subscription</w:t>
      </w:r>
      <w:r w:rsidR="007929AA">
        <w:t xml:space="preserve"> channel providers. </w:t>
      </w:r>
      <w:r w:rsidR="0080513A">
        <w:t>From a long gestation,</w:t>
      </w:r>
      <w:r w:rsidR="00ED37E8">
        <w:rPr>
          <w:rStyle w:val="EndnoteReference"/>
        </w:rPr>
        <w:endnoteReference w:id="12"/>
      </w:r>
      <w:r w:rsidR="0080513A">
        <w:t xml:space="preserve"> </w:t>
      </w:r>
      <w:r w:rsidR="00B82C33">
        <w:t>the vision of plenty has crystallized</w:t>
      </w:r>
      <w:r w:rsidR="0080513A">
        <w:t xml:space="preserve"> in these </w:t>
      </w:r>
      <w:r w:rsidR="00E67C7C">
        <w:t xml:space="preserve">‘connected TV’ </w:t>
      </w:r>
      <w:r w:rsidR="0080513A">
        <w:t xml:space="preserve">services in 2015, in particular, </w:t>
      </w:r>
      <w:r w:rsidR="00AC333C">
        <w:t xml:space="preserve">but what do the digital repertoires of Australian consumers actually look like? </w:t>
      </w:r>
      <w:r w:rsidR="00742DA7">
        <w:t>And what kind of effective access</w:t>
      </w:r>
      <w:r w:rsidR="00142FEE">
        <w:t xml:space="preserve"> and use do consumers actually enjoy</w:t>
      </w:r>
      <w:r w:rsidR="00805A63">
        <w:t>? What kinds of services and capability do we, as a society, now think are pivotal?</w:t>
      </w:r>
      <w:r w:rsidR="00F26F4B">
        <w:t xml:space="preserve"> And what kind of regulatory response do we think might be necessary, if a</w:t>
      </w:r>
      <w:r w:rsidR="00FF37A5">
        <w:t xml:space="preserve"> consequential </w:t>
      </w:r>
      <w:r w:rsidR="00486B5C">
        <w:t>gap</w:t>
      </w:r>
      <w:r w:rsidR="00BE1556">
        <w:t xml:space="preserve"> exists.</w:t>
      </w:r>
      <w:r w:rsidR="00FF37A5">
        <w:t xml:space="preserve"> </w:t>
      </w:r>
      <w:r w:rsidR="00805A63">
        <w:t xml:space="preserve">(Given </w:t>
      </w:r>
      <w:r w:rsidR="00762D59">
        <w:t xml:space="preserve">that </w:t>
      </w:r>
      <w:r w:rsidR="00805A63">
        <w:t>anti-siphoning –– twenty or so years on –– does not</w:t>
      </w:r>
      <w:r w:rsidR="004E552E">
        <w:t xml:space="preserve"> capture</w:t>
      </w:r>
      <w:r w:rsidR="00F26F4B">
        <w:t xml:space="preserve"> the new varieties of Australian television consumption in any adequate sense). </w:t>
      </w:r>
    </w:p>
    <w:p w14:paraId="12460C3F" w14:textId="51DEADBB" w:rsidR="00701516" w:rsidRDefault="00701516" w:rsidP="00DD7584">
      <w:pPr>
        <w:spacing w:before="120" w:after="120" w:line="480" w:lineRule="auto"/>
        <w:ind w:firstLine="720"/>
      </w:pPr>
      <w:r>
        <w:lastRenderedPageBreak/>
        <w:t>Another key area of new constraints is</w:t>
      </w:r>
      <w:r w:rsidR="00940A1C">
        <w:t xml:space="preserve"> the role of </w:t>
      </w:r>
      <w:r w:rsidR="0028220B">
        <w:t>algorithm</w:t>
      </w:r>
      <w:r w:rsidR="003B3969">
        <w:t>, code, and design</w:t>
      </w:r>
      <w:r w:rsidR="00577CD3">
        <w:t xml:space="preserve"> in shaping</w:t>
      </w:r>
      <w:r w:rsidR="00BB09C0">
        <w:t xml:space="preserve"> digital media services and environments for consumers. Much of the environments</w:t>
      </w:r>
      <w:r w:rsidR="00CA0F92">
        <w:t xml:space="preserve"> consumers</w:t>
      </w:r>
      <w:r w:rsidR="001036FF">
        <w:t xml:space="preserve"> encounter with communication services involves</w:t>
      </w:r>
      <w:r w:rsidR="001D2165">
        <w:t xml:space="preserve"> computation</w:t>
      </w:r>
      <w:r w:rsidR="00EC5C6F">
        <w:t>al</w:t>
      </w:r>
      <w:r w:rsidR="007549AF">
        <w:t xml:space="preserve"> and engineering design</w:t>
      </w:r>
      <w:r w:rsidR="00457982">
        <w:t>, including</w:t>
      </w:r>
      <w:r w:rsidR="007549AF">
        <w:t xml:space="preserve">: ranking of search results; </w:t>
      </w:r>
      <w:r w:rsidR="00D3379F">
        <w:t xml:space="preserve">the preferences embedded in algorithms used in </w:t>
      </w:r>
      <w:r w:rsidR="00A1641A">
        <w:t>design of social media platforms</w:t>
      </w:r>
      <w:r w:rsidR="00420EBB">
        <w:t>, such as Twitter and Facebook (where consumers value particular kind of features, which are then often changed without consultation)</w:t>
      </w:r>
      <w:r w:rsidR="00EA247C">
        <w:t xml:space="preserve">; </w:t>
      </w:r>
      <w:r w:rsidR="00B6732B">
        <w:t xml:space="preserve">and </w:t>
      </w:r>
      <w:r w:rsidR="007211D6">
        <w:t>recommendation technologies.</w:t>
      </w:r>
      <w:r w:rsidR="00D94097">
        <w:rPr>
          <w:rStyle w:val="EndnoteReference"/>
        </w:rPr>
        <w:endnoteReference w:id="13"/>
      </w:r>
      <w:r w:rsidR="00BB32B7">
        <w:t xml:space="preserve"> There are obvious consumer issues in this new </w:t>
      </w:r>
      <w:r w:rsidR="00B539EE">
        <w:t>‘gov</w:t>
      </w:r>
      <w:r w:rsidR="00BB32B7">
        <w:t>ernance by algorithm’</w:t>
      </w:r>
      <w:r w:rsidR="00B539EE">
        <w:t>, but it is not something that regulators</w:t>
      </w:r>
      <w:r w:rsidR="007F00D2">
        <w:t xml:space="preserve"> keep a watching brief on. </w:t>
      </w:r>
      <w:r w:rsidR="00405BAE">
        <w:t>Well-informed consumers will keep tabs on whether Twitter is really about to ditch its @reply or hashtags, as a key part of its architecture, but</w:t>
      </w:r>
      <w:r w:rsidR="000D4D24">
        <w:t xml:space="preserve"> it is very much perceived to be a matter in the corporate gift.</w:t>
      </w:r>
      <w:r w:rsidR="006E10A9">
        <w:rPr>
          <w:rStyle w:val="EndnoteReference"/>
        </w:rPr>
        <w:endnoteReference w:id="14"/>
      </w:r>
    </w:p>
    <w:p w14:paraId="50575AE7" w14:textId="66FE367A" w:rsidR="00766DE2" w:rsidRPr="00BB113F" w:rsidRDefault="00766DE2" w:rsidP="00DD7584">
      <w:pPr>
        <w:spacing w:before="120" w:after="120" w:line="480" w:lineRule="auto"/>
        <w:ind w:firstLine="720"/>
      </w:pPr>
      <w:r>
        <w:t xml:space="preserve">If we expand our </w:t>
      </w:r>
      <w:r w:rsidR="00BD6DE2">
        <w:t xml:space="preserve">notion of consumers to </w:t>
      </w:r>
      <w:r w:rsidR="00DC350C">
        <w:t>take seriously the citizen dimension of</w:t>
      </w:r>
      <w:r w:rsidR="00071E69">
        <w:t xml:space="preserve"> adequate in</w:t>
      </w:r>
      <w:r w:rsidR="000A1F08">
        <w:t>formation, media diversity, media literacy, and a stake in producing</w:t>
      </w:r>
      <w:r w:rsidR="003A247B">
        <w:t xml:space="preserve"> media, </w:t>
      </w:r>
      <w:r w:rsidR="00CE44E9">
        <w:t>there are further constraints</w:t>
      </w:r>
      <w:r w:rsidR="00EA49A7">
        <w:t xml:space="preserve"> that have as yet received little critical, policy, and regulatory attention, or public debate. </w:t>
      </w:r>
      <w:r w:rsidR="00FA5154">
        <w:t>Here the</w:t>
      </w:r>
      <w:r w:rsidR="002D43EE">
        <w:t xml:space="preserve"> theme</w:t>
      </w:r>
      <w:r w:rsidR="00C24CF2">
        <w:t xml:space="preserve"> concerning content and services delivered by networks</w:t>
      </w:r>
      <w:r w:rsidR="002D43EE">
        <w:t xml:space="preserve"> articulated by ACCAN’</w:t>
      </w:r>
      <w:r w:rsidR="00B1178C">
        <w:t xml:space="preserve">s </w:t>
      </w:r>
      <w:r w:rsidR="00B1178C">
        <w:lastRenderedPageBreak/>
        <w:t>2009 report</w:t>
      </w:r>
      <w:r w:rsidR="00C24CF2">
        <w:t xml:space="preserve"> remains relevant</w:t>
      </w:r>
      <w:r w:rsidR="008B7582">
        <w:t xml:space="preserve">, with its key questions: </w:t>
      </w:r>
      <w:r w:rsidR="00A23BF7">
        <w:t>‘</w:t>
      </w:r>
      <w:r w:rsidR="00DD7584">
        <w:rPr>
          <w:rFonts w:cs="Times New Roman"/>
          <w:lang w:val="en-US"/>
        </w:rPr>
        <w:t xml:space="preserve">Are </w:t>
      </w:r>
      <w:r w:rsidR="003D6E10">
        <w:rPr>
          <w:rFonts w:cs="Times New Roman"/>
          <w:lang w:val="en-US"/>
        </w:rPr>
        <w:t>[communications services and networks]</w:t>
      </w:r>
      <w:r w:rsidR="00DD7584">
        <w:rPr>
          <w:rFonts w:cs="Times New Roman"/>
          <w:lang w:val="en-US"/>
        </w:rPr>
        <w:t xml:space="preserve"> accessible and easily usable? Do they</w:t>
      </w:r>
      <w:r w:rsidR="00DD7584">
        <w:t xml:space="preserve"> </w:t>
      </w:r>
      <w:r w:rsidR="00DD7584">
        <w:rPr>
          <w:rFonts w:cs="Times New Roman"/>
          <w:lang w:val="en-US"/>
        </w:rPr>
        <w:t>meet the diverse needs of users and support users as creators? Do they deal fairly and</w:t>
      </w:r>
      <w:r w:rsidR="00DD7584">
        <w:t xml:space="preserve"> </w:t>
      </w:r>
      <w:r w:rsidR="00DD7584">
        <w:rPr>
          <w:rFonts w:cs="Times New Roman"/>
          <w:lang w:val="en-US"/>
        </w:rPr>
        <w:t>consistently with content regulation and content use?</w:t>
      </w:r>
      <w:r w:rsidR="00A53FBE">
        <w:rPr>
          <w:rFonts w:cs="Times New Roman"/>
          <w:lang w:val="en-US"/>
        </w:rPr>
        <w:t>’</w:t>
      </w:r>
      <w:r w:rsidR="004224F7">
        <w:rPr>
          <w:rStyle w:val="EndnoteReference"/>
          <w:rFonts w:cs="Times New Roman"/>
          <w:lang w:val="en-US"/>
        </w:rPr>
        <w:endnoteReference w:id="15"/>
      </w:r>
      <w:r w:rsidR="00B77BC7">
        <w:rPr>
          <w:rFonts w:cs="Times New Roman"/>
          <w:lang w:val="en-US"/>
        </w:rPr>
        <w:t xml:space="preserve"> An obvious issue here is that, apart from the Internet, </w:t>
      </w:r>
      <w:r w:rsidR="003F37CC">
        <w:rPr>
          <w:rFonts w:cs="Times New Roman"/>
          <w:lang w:val="en-US"/>
        </w:rPr>
        <w:t>many of the other</w:t>
      </w:r>
      <w:r w:rsidR="00DE53CD">
        <w:rPr>
          <w:rFonts w:cs="Times New Roman"/>
          <w:lang w:val="en-US"/>
        </w:rPr>
        <w:t xml:space="preserve"> emerging technologies — including mobiles</w:t>
      </w:r>
      <w:r w:rsidR="00C653A6">
        <w:rPr>
          <w:rFonts w:cs="Times New Roman"/>
          <w:lang w:val="en-US"/>
        </w:rPr>
        <w:t>,</w:t>
      </w:r>
      <w:r w:rsidR="00186587">
        <w:rPr>
          <w:rFonts w:cs="Times New Roman"/>
          <w:lang w:val="en-US"/>
        </w:rPr>
        <w:t xml:space="preserve"> locative media, and</w:t>
      </w:r>
      <w:r w:rsidR="00C653A6">
        <w:rPr>
          <w:rFonts w:cs="Times New Roman"/>
          <w:lang w:val="en-US"/>
        </w:rPr>
        <w:t xml:space="preserve"> digital television</w:t>
      </w:r>
      <w:r w:rsidR="00635BB9">
        <w:rPr>
          <w:rFonts w:cs="Times New Roman"/>
          <w:lang w:val="en-US"/>
        </w:rPr>
        <w:t xml:space="preserve"> — are rarely scrutinized from the perspective of consumers-as-citizens-and-content-creators. </w:t>
      </w:r>
      <w:r w:rsidR="0040368A">
        <w:rPr>
          <w:rFonts w:cs="Times New Roman"/>
          <w:lang w:val="en-US"/>
        </w:rPr>
        <w:t xml:space="preserve">That </w:t>
      </w:r>
      <w:r w:rsidR="00B27EFB">
        <w:rPr>
          <w:rFonts w:cs="Times New Roman"/>
          <w:lang w:val="en-US"/>
        </w:rPr>
        <w:t>is, the question is not often asked: how easy is it for consumers to make media — or at least, better contribute to</w:t>
      </w:r>
      <w:r w:rsidR="00E84FDE">
        <w:rPr>
          <w:rFonts w:cs="Times New Roman"/>
          <w:lang w:val="en-US"/>
        </w:rPr>
        <w:t xml:space="preserve"> media and communication — through this digital device, application, or platform?</w:t>
      </w:r>
    </w:p>
    <w:p w14:paraId="3461AA01" w14:textId="77777777" w:rsidR="00D64D82" w:rsidRDefault="00D64D82" w:rsidP="00826BBB">
      <w:pPr>
        <w:spacing w:before="120" w:after="120" w:line="480" w:lineRule="auto"/>
        <w:rPr>
          <w:b/>
        </w:rPr>
      </w:pPr>
    </w:p>
    <w:p w14:paraId="4FBD3C77" w14:textId="77777777" w:rsidR="00A73EE7" w:rsidRDefault="00A73EE7" w:rsidP="00AF6129">
      <w:pPr>
        <w:spacing w:before="120" w:after="120" w:line="480" w:lineRule="auto"/>
        <w:rPr>
          <w:b/>
        </w:rPr>
      </w:pPr>
    </w:p>
    <w:p w14:paraId="63570BD4" w14:textId="77777777" w:rsidR="00A73EE7" w:rsidRDefault="00A73EE7" w:rsidP="00AF6129">
      <w:pPr>
        <w:spacing w:before="120" w:after="120" w:line="480" w:lineRule="auto"/>
        <w:rPr>
          <w:b/>
        </w:rPr>
      </w:pPr>
    </w:p>
    <w:p w14:paraId="3CCF7C45" w14:textId="77777777" w:rsidR="00AF6129" w:rsidRDefault="005523DF" w:rsidP="00AF6129">
      <w:pPr>
        <w:spacing w:before="120" w:after="120" w:line="480" w:lineRule="auto"/>
        <w:rPr>
          <w:b/>
        </w:rPr>
      </w:pPr>
      <w:bookmarkStart w:id="0" w:name="_GoBack"/>
      <w:bookmarkEnd w:id="0"/>
      <w:r>
        <w:rPr>
          <w:b/>
        </w:rPr>
        <w:t>Consumers at the Threshold</w:t>
      </w:r>
    </w:p>
    <w:p w14:paraId="70DF3AD1" w14:textId="77777777" w:rsidR="00F03EC1" w:rsidRDefault="00E51993" w:rsidP="00AF6129">
      <w:pPr>
        <w:spacing w:before="120" w:after="120" w:line="480" w:lineRule="auto"/>
        <w:rPr>
          <w:lang w:val="en-US"/>
        </w:rPr>
      </w:pPr>
      <w:r>
        <w:t xml:space="preserve">In this essay, I have briefly outlined enduring issues, new priorities and concerns, and </w:t>
      </w:r>
      <w:r w:rsidR="00D40F21">
        <w:t xml:space="preserve">the emerging problematic of the new constraints hampering effective consumers. </w:t>
      </w:r>
      <w:r w:rsidR="009B74FA">
        <w:t xml:space="preserve">In </w:t>
      </w:r>
      <w:r w:rsidR="00E63C59">
        <w:t xml:space="preserve">conclusion, </w:t>
      </w:r>
      <w:r w:rsidR="00F311E8">
        <w:t xml:space="preserve">let us consider what </w:t>
      </w:r>
      <w:r w:rsidR="00E63C59">
        <w:t>the</w:t>
      </w:r>
      <w:r w:rsidR="00453F0E">
        <w:t xml:space="preserve"> barriers and challenges that need to shift</w:t>
      </w:r>
      <w:r w:rsidR="003F1DDB">
        <w:t xml:space="preserve"> for such consumer issues to be</w:t>
      </w:r>
      <w:r w:rsidR="00F311E8">
        <w:t xml:space="preserve"> advanced</w:t>
      </w:r>
      <w:r w:rsidR="00110096">
        <w:t>.</w:t>
      </w:r>
      <w:r w:rsidR="009F5890">
        <w:t xml:space="preserve"> </w:t>
      </w:r>
      <w:r w:rsidR="00AF6129">
        <w:t xml:space="preserve"> In doing so</w:t>
      </w:r>
      <w:r w:rsidR="00614812">
        <w:t>, it is useful</w:t>
      </w:r>
      <w:r w:rsidR="00F8381E">
        <w:t xml:space="preserve"> to note which issues have been</w:t>
      </w:r>
      <w:r w:rsidR="009F5890">
        <w:rPr>
          <w:lang w:val="en-US"/>
        </w:rPr>
        <w:t xml:space="preserve"> better </w:t>
      </w:r>
      <w:r w:rsidR="001F395E">
        <w:rPr>
          <w:lang w:val="en-US"/>
        </w:rPr>
        <w:t>addressed by industry over time</w:t>
      </w:r>
      <w:r w:rsidR="000F6F0A">
        <w:rPr>
          <w:lang w:val="en-US"/>
        </w:rPr>
        <w:t xml:space="preserve">. Also </w:t>
      </w:r>
      <w:r w:rsidR="000F6F0A">
        <w:rPr>
          <w:lang w:val="en-US"/>
        </w:rPr>
        <w:lastRenderedPageBreak/>
        <w:t>which</w:t>
      </w:r>
      <w:r w:rsidR="009F5890">
        <w:rPr>
          <w:lang w:val="en-US"/>
        </w:rPr>
        <w:t xml:space="preserve"> others</w:t>
      </w:r>
      <w:r w:rsidR="000F6F0A">
        <w:rPr>
          <w:lang w:val="en-US"/>
        </w:rPr>
        <w:t xml:space="preserve"> are</w:t>
      </w:r>
      <w:r w:rsidR="009F5890">
        <w:rPr>
          <w:lang w:val="en-US"/>
        </w:rPr>
        <w:t xml:space="preserve"> emerging as significant new issues that will be as important as billing or customer</w:t>
      </w:r>
      <w:r w:rsidR="002A0A70">
        <w:rPr>
          <w:lang w:val="en-US"/>
        </w:rPr>
        <w:t xml:space="preserve"> transfer have been in the past.</w:t>
      </w:r>
      <w:r w:rsidR="00255154">
        <w:rPr>
          <w:lang w:val="en-US"/>
        </w:rPr>
        <w:t xml:space="preserve"> </w:t>
      </w:r>
    </w:p>
    <w:p w14:paraId="201A71E4" w14:textId="3D006399" w:rsidR="00110096" w:rsidRPr="00D37875" w:rsidRDefault="005A48F7" w:rsidP="00D37875">
      <w:pPr>
        <w:spacing w:before="120" w:after="120" w:line="480" w:lineRule="auto"/>
        <w:ind w:firstLine="720"/>
        <w:rPr>
          <w:b/>
        </w:rPr>
      </w:pPr>
      <w:r>
        <w:rPr>
          <w:lang w:val="en-US"/>
        </w:rPr>
        <w:t>In an environment, where regulatory resources</w:t>
      </w:r>
      <w:r w:rsidR="00950861">
        <w:rPr>
          <w:lang w:val="en-US"/>
        </w:rPr>
        <w:t xml:space="preserve"> will continue to be scarce, it</w:t>
      </w:r>
      <w:r w:rsidR="00901180">
        <w:rPr>
          <w:lang w:val="en-US"/>
        </w:rPr>
        <w:t xml:space="preserve"> is also necessary to</w:t>
      </w:r>
      <w:r w:rsidR="009F16F1">
        <w:rPr>
          <w:lang w:val="en-US"/>
        </w:rPr>
        <w:t xml:space="preserve"> consider where the priority should be. </w:t>
      </w:r>
      <w:r w:rsidR="00B76AFF">
        <w:rPr>
          <w:lang w:val="en-US"/>
        </w:rPr>
        <w:t xml:space="preserve">In broad terms, firstly, </w:t>
      </w:r>
      <w:r w:rsidR="00967F7C">
        <w:rPr>
          <w:lang w:val="en-US"/>
        </w:rPr>
        <w:t>governments</w:t>
      </w:r>
      <w:r w:rsidR="00AD3343">
        <w:rPr>
          <w:lang w:val="en-US"/>
        </w:rPr>
        <w:t xml:space="preserve"> need to ensure</w:t>
      </w:r>
      <w:r w:rsidR="0064538C">
        <w:rPr>
          <w:lang w:val="en-US"/>
        </w:rPr>
        <w:t xml:space="preserve"> consumer</w:t>
      </w:r>
      <w:r w:rsidR="00762D59">
        <w:rPr>
          <w:lang w:val="en-US"/>
        </w:rPr>
        <w:t>s</w:t>
      </w:r>
      <w:r w:rsidR="0064538C">
        <w:rPr>
          <w:lang w:val="en-US"/>
        </w:rPr>
        <w:t xml:space="preserve"> have the</w:t>
      </w:r>
      <w:r w:rsidR="003D08B3">
        <w:rPr>
          <w:lang w:val="en-US"/>
        </w:rPr>
        <w:t xml:space="preserve"> basic, threshold </w:t>
      </w:r>
      <w:r w:rsidR="00B02ABE">
        <w:rPr>
          <w:lang w:val="en-US"/>
        </w:rPr>
        <w:t xml:space="preserve">components: </w:t>
      </w:r>
      <w:r w:rsidR="00C24495">
        <w:rPr>
          <w:lang w:val="en-US"/>
        </w:rPr>
        <w:t>access</w:t>
      </w:r>
      <w:r w:rsidR="001D7CFA">
        <w:rPr>
          <w:lang w:val="en-US"/>
        </w:rPr>
        <w:t>, effective use, and affordability when it comes</w:t>
      </w:r>
      <w:r w:rsidR="00E20B3F">
        <w:rPr>
          <w:lang w:val="en-US"/>
        </w:rPr>
        <w:t xml:space="preserve"> communications</w:t>
      </w:r>
      <w:r w:rsidR="00F5537C">
        <w:rPr>
          <w:lang w:val="en-US"/>
        </w:rPr>
        <w:t xml:space="preserve">. </w:t>
      </w:r>
      <w:r w:rsidR="00056CF4">
        <w:rPr>
          <w:lang w:val="en-US"/>
        </w:rPr>
        <w:t>Backed by governments, secondly, regulators need to ensure consumers can access and use services in a</w:t>
      </w:r>
      <w:r w:rsidR="00865FD0">
        <w:rPr>
          <w:lang w:val="en-US"/>
        </w:rPr>
        <w:t xml:space="preserve"> fair, well-functioning market. </w:t>
      </w:r>
      <w:r w:rsidR="00384322">
        <w:rPr>
          <w:lang w:val="en-US"/>
        </w:rPr>
        <w:t xml:space="preserve">As I have suggested, </w:t>
      </w:r>
      <w:r w:rsidR="006A4C66">
        <w:rPr>
          <w:lang w:val="en-US"/>
        </w:rPr>
        <w:t>the</w:t>
      </w:r>
      <w:r w:rsidR="008E15C4">
        <w:rPr>
          <w:lang w:val="en-US"/>
        </w:rPr>
        <w:t xml:space="preserve"> foundations of </w:t>
      </w:r>
      <w:r w:rsidR="000F6DE8">
        <w:rPr>
          <w:lang w:val="en-US"/>
        </w:rPr>
        <w:t>good policy</w:t>
      </w:r>
      <w:r w:rsidR="00603C1D">
        <w:rPr>
          <w:lang w:val="en-US"/>
        </w:rPr>
        <w:t xml:space="preserve"> and regulation, into the future, remain</w:t>
      </w:r>
      <w:r w:rsidR="003C24B8">
        <w:rPr>
          <w:lang w:val="en-US"/>
        </w:rPr>
        <w:t xml:space="preserve"> the baseline</w:t>
      </w:r>
      <w:r w:rsidR="0026060F">
        <w:rPr>
          <w:lang w:val="en-US"/>
        </w:rPr>
        <w:t xml:space="preserve"> protections on the key cons</w:t>
      </w:r>
      <w:r w:rsidR="000C66AB">
        <w:rPr>
          <w:lang w:val="en-US"/>
        </w:rPr>
        <w:t xml:space="preserve">umer issues. As experience with the telecommunications environments indicates, </w:t>
      </w:r>
      <w:r w:rsidR="00994F08">
        <w:rPr>
          <w:lang w:val="en-US"/>
        </w:rPr>
        <w:t xml:space="preserve">such protections should apply to new services – without needing </w:t>
      </w:r>
      <w:r w:rsidR="0058590B">
        <w:rPr>
          <w:lang w:val="en-US"/>
        </w:rPr>
        <w:t>a pro</w:t>
      </w:r>
      <w:r w:rsidR="00535ABB">
        <w:rPr>
          <w:lang w:val="en-US"/>
        </w:rPr>
        <w:t xml:space="preserve">tracted period of waiting. </w:t>
      </w:r>
      <w:r w:rsidR="00F03EC1">
        <w:rPr>
          <w:lang w:val="en-US"/>
        </w:rPr>
        <w:t xml:space="preserve">Against </w:t>
      </w:r>
      <w:r w:rsidR="00785A3B">
        <w:rPr>
          <w:lang w:val="en-US"/>
        </w:rPr>
        <w:t>this</w:t>
      </w:r>
      <w:r w:rsidR="00741258">
        <w:rPr>
          <w:lang w:val="en-US"/>
        </w:rPr>
        <w:t xml:space="preserve"> robust</w:t>
      </w:r>
      <w:r w:rsidR="009E2F58">
        <w:rPr>
          <w:lang w:val="en-US"/>
        </w:rPr>
        <w:t>, clear environment</w:t>
      </w:r>
      <w:r w:rsidR="00395E6B">
        <w:rPr>
          <w:lang w:val="en-US"/>
        </w:rPr>
        <w:t xml:space="preserve">, </w:t>
      </w:r>
      <w:r w:rsidR="00123E45">
        <w:rPr>
          <w:lang w:val="en-US"/>
        </w:rPr>
        <w:t>balancing consumer protection with competition, we</w:t>
      </w:r>
      <w:r w:rsidR="00D20792">
        <w:rPr>
          <w:lang w:val="en-US"/>
        </w:rPr>
        <w:t xml:space="preserve"> can</w:t>
      </w:r>
      <w:r w:rsidR="00AE47F6">
        <w:rPr>
          <w:lang w:val="en-US"/>
        </w:rPr>
        <w:t xml:space="preserve"> focus on</w:t>
      </w:r>
      <w:r w:rsidR="003D1DD8">
        <w:rPr>
          <w:lang w:val="en-US"/>
        </w:rPr>
        <w:t xml:space="preserve"> the significant new issues. </w:t>
      </w:r>
      <w:r w:rsidR="00ED09C0">
        <w:rPr>
          <w:lang w:val="en-US"/>
        </w:rPr>
        <w:t>E</w:t>
      </w:r>
      <w:r w:rsidR="00A24070">
        <w:rPr>
          <w:lang w:val="en-US"/>
        </w:rPr>
        <w:t xml:space="preserve">specially those which have </w:t>
      </w:r>
      <w:r w:rsidR="00A24070">
        <w:t>th</w:t>
      </w:r>
      <w:r w:rsidR="00190434">
        <w:t>e most potential to cause harm --</w:t>
      </w:r>
      <w:r w:rsidR="00190434">
        <w:rPr>
          <w:lang w:val="en-US"/>
        </w:rPr>
        <w:t xml:space="preserve"> and</w:t>
      </w:r>
      <w:r w:rsidR="00B42DAF">
        <w:rPr>
          <w:lang w:val="en-US"/>
        </w:rPr>
        <w:t xml:space="preserve"> which </w:t>
      </w:r>
      <w:r w:rsidR="00190434">
        <w:rPr>
          <w:lang w:val="en-US"/>
        </w:rPr>
        <w:t>c</w:t>
      </w:r>
      <w:r w:rsidR="00AA0626">
        <w:rPr>
          <w:lang w:val="en-US"/>
        </w:rPr>
        <w:t xml:space="preserve">all for innovative, new ways for regulators to organize themselves to </w:t>
      </w:r>
      <w:r w:rsidR="00190434">
        <w:rPr>
          <w:lang w:val="en-US"/>
        </w:rPr>
        <w:t>tackle</w:t>
      </w:r>
      <w:r w:rsidR="00D63972">
        <w:rPr>
          <w:lang w:val="en-US"/>
        </w:rPr>
        <w:t xml:space="preserve"> them.</w:t>
      </w:r>
      <w:r w:rsidR="00C66346">
        <w:rPr>
          <w:rStyle w:val="EndnoteReference"/>
          <w:lang w:val="en-US"/>
        </w:rPr>
        <w:endnoteReference w:id="16"/>
      </w:r>
      <w:r w:rsidR="008715B2">
        <w:rPr>
          <w:lang w:val="en-US"/>
        </w:rPr>
        <w:t xml:space="preserve"> </w:t>
      </w:r>
      <w:r w:rsidR="00D7452D">
        <w:rPr>
          <w:lang w:val="en-US"/>
        </w:rPr>
        <w:t>I have suggested data</w:t>
      </w:r>
      <w:r w:rsidR="00B07E9A">
        <w:rPr>
          <w:lang w:val="en-US"/>
        </w:rPr>
        <w:t xml:space="preserve"> gathering is one of the greatest potential harms here</w:t>
      </w:r>
      <w:r w:rsidR="0051454A">
        <w:rPr>
          <w:lang w:val="en-US"/>
        </w:rPr>
        <w:t>; to which the c</w:t>
      </w:r>
      <w:r w:rsidR="000B4D86">
        <w:rPr>
          <w:lang w:val="en-US"/>
        </w:rPr>
        <w:t>ounterbalance is that there are rich methods, approaches</w:t>
      </w:r>
      <w:r w:rsidR="00CA0B47">
        <w:rPr>
          <w:lang w:val="en-US"/>
        </w:rPr>
        <w:t>, and good research</w:t>
      </w:r>
      <w:r w:rsidR="000B4D86">
        <w:rPr>
          <w:lang w:val="en-US"/>
        </w:rPr>
        <w:t xml:space="preserve"> emerging which regulators can </w:t>
      </w:r>
      <w:r w:rsidR="00810981">
        <w:rPr>
          <w:lang w:val="en-US"/>
        </w:rPr>
        <w:t>h</w:t>
      </w:r>
      <w:r w:rsidR="00DB4320">
        <w:rPr>
          <w:lang w:val="en-US"/>
        </w:rPr>
        <w:t>arness, if they are prepared to act differently.</w:t>
      </w:r>
    </w:p>
    <w:p w14:paraId="12A7B629" w14:textId="09458568" w:rsidR="00003E7D" w:rsidRDefault="00C05348" w:rsidP="00110096">
      <w:pPr>
        <w:spacing w:before="120" w:after="120" w:line="480" w:lineRule="auto"/>
        <w:ind w:firstLine="720"/>
      </w:pPr>
      <w:r>
        <w:t>A</w:t>
      </w:r>
      <w:r w:rsidR="00C746DD">
        <w:t xml:space="preserve"> recurrent chal</w:t>
      </w:r>
      <w:r w:rsidR="00EB02D0">
        <w:t xml:space="preserve">lenge for consumers lies in their </w:t>
      </w:r>
      <w:r w:rsidR="003775B9">
        <w:t>individual and collective capacities</w:t>
      </w:r>
      <w:r w:rsidR="00EB02D0">
        <w:t xml:space="preserve"> to</w:t>
      </w:r>
      <w:r w:rsidR="005D321F">
        <w:t xml:space="preserve"> understand</w:t>
      </w:r>
      <w:r w:rsidR="007534B6">
        <w:t xml:space="preserve"> their options, and find the</w:t>
      </w:r>
      <w:r w:rsidR="004F619F">
        <w:t xml:space="preserve"> communication services best suited for them. </w:t>
      </w:r>
      <w:r w:rsidR="00D312D4">
        <w:t xml:space="preserve">The </w:t>
      </w:r>
      <w:r w:rsidR="00B47DA9">
        <w:t>factors that contribute</w:t>
      </w:r>
      <w:r w:rsidR="009426C6">
        <w:t xml:space="preserve"> to this confusion are various</w:t>
      </w:r>
      <w:r w:rsidR="00185A23">
        <w:t xml:space="preserve">, but quite a number </w:t>
      </w:r>
      <w:r w:rsidR="00762D59">
        <w:t>are</w:t>
      </w:r>
      <w:r w:rsidR="00185A23">
        <w:t xml:space="preserve"> obvious and can be tackled without delay. For instance</w:t>
      </w:r>
      <w:r w:rsidR="00A457AA">
        <w:t xml:space="preserve">, </w:t>
      </w:r>
      <w:r w:rsidR="001B2AD8">
        <w:t>there is no reason why</w:t>
      </w:r>
      <w:r w:rsidR="006A2A66">
        <w:t xml:space="preserve"> policymakers and regulators should not set out frameworks and enforcement</w:t>
      </w:r>
      <w:r w:rsidR="00B46F27">
        <w:t xml:space="preserve"> to ensure </w:t>
      </w:r>
      <w:r w:rsidR="0029078D">
        <w:t xml:space="preserve">services are only offered via </w:t>
      </w:r>
      <w:r w:rsidR="00B46F27">
        <w:t>easy-to-understand contracts, and terms and conditions</w:t>
      </w:r>
      <w:r w:rsidR="00CF3AB5">
        <w:t xml:space="preserve">, in formats all consumers can understand. </w:t>
      </w:r>
      <w:r w:rsidR="00455906">
        <w:t>Similarly unconscionable conduct</w:t>
      </w:r>
      <w:r w:rsidR="00B029DA">
        <w:t xml:space="preserve"> </w:t>
      </w:r>
      <w:r w:rsidR="0023150D">
        <w:t>requires</w:t>
      </w:r>
      <w:r w:rsidR="00B62958">
        <w:t xml:space="preserve"> resources to </w:t>
      </w:r>
      <w:r w:rsidR="003520E8">
        <w:t>investigate and</w:t>
      </w:r>
      <w:r w:rsidR="00A14780">
        <w:t xml:space="preserve"> tackle. </w:t>
      </w:r>
      <w:r w:rsidR="000A0A2A">
        <w:t>Misleading advertising is</w:t>
      </w:r>
      <w:r w:rsidR="00040B19">
        <w:t xml:space="preserve"> sometimes a difficult issue, but regulators have been prepared to take it on </w:t>
      </w:r>
      <w:r w:rsidR="00040B19">
        <w:rPr>
          <w:rFonts w:cs="Times New Roman"/>
        </w:rPr>
        <w:t>—</w:t>
      </w:r>
      <w:r w:rsidR="00040B19">
        <w:t xml:space="preserve"> and</w:t>
      </w:r>
      <w:r w:rsidR="00455906">
        <w:t xml:space="preserve"> this rema</w:t>
      </w:r>
      <w:r w:rsidR="00356581">
        <w:t xml:space="preserve">ins vital, especially given new kinds of </w:t>
      </w:r>
      <w:r w:rsidR="00CE65A4">
        <w:t>online and mobile advertising</w:t>
      </w:r>
      <w:r w:rsidR="00AF75C4">
        <w:t xml:space="preserve"> forms and practices.</w:t>
      </w:r>
      <w:r w:rsidR="00356581">
        <w:t xml:space="preserve"> </w:t>
      </w:r>
      <w:r w:rsidR="006349EC">
        <w:t>Provision of consumer information cuts across all these areas</w:t>
      </w:r>
      <w:r w:rsidR="00180DCA">
        <w:t>, but</w:t>
      </w:r>
      <w:r w:rsidR="00104FD5">
        <w:t xml:space="preserve"> requires further effort.</w:t>
      </w:r>
      <w:r w:rsidR="00882C51">
        <w:t xml:space="preserve"> </w:t>
      </w:r>
      <w:r w:rsidR="003B516D">
        <w:t>The frontline are the providers themselves</w:t>
      </w:r>
      <w:r w:rsidR="001038C4">
        <w:t>, who</w:t>
      </w:r>
      <w:r w:rsidR="001D2F88">
        <w:t xml:space="preserve"> need to provide</w:t>
      </w:r>
      <w:r w:rsidR="004A5A94">
        <w:t xml:space="preserve"> clear, accurate information </w:t>
      </w:r>
      <w:r w:rsidR="000538B6">
        <w:t xml:space="preserve">on products and sevices </w:t>
      </w:r>
      <w:r w:rsidR="004A5A94">
        <w:t xml:space="preserve">for consumers </w:t>
      </w:r>
      <w:r w:rsidR="004A5A94">
        <w:rPr>
          <w:rFonts w:cs="Times New Roman"/>
        </w:rPr>
        <w:t>—</w:t>
      </w:r>
      <w:r w:rsidR="004A5A94">
        <w:t xml:space="preserve"> and this will require</w:t>
      </w:r>
      <w:r w:rsidR="0031482A">
        <w:t xml:space="preserve"> regulatory backing (</w:t>
      </w:r>
      <w:r w:rsidR="00DA7164">
        <w:t>in law as well as codes of practice).</w:t>
      </w:r>
      <w:r w:rsidR="000538B6">
        <w:t xml:space="preserve"> </w:t>
      </w:r>
    </w:p>
    <w:p w14:paraId="360463DE" w14:textId="47327A60" w:rsidR="001A4762" w:rsidRDefault="000538B6" w:rsidP="00110096">
      <w:pPr>
        <w:spacing w:before="120" w:after="120" w:line="480" w:lineRule="auto"/>
        <w:ind w:firstLine="720"/>
      </w:pPr>
      <w:r>
        <w:lastRenderedPageBreak/>
        <w:t>Going beyond this</w:t>
      </w:r>
      <w:r w:rsidR="00123CD3">
        <w:t>, consumers benefit from</w:t>
      </w:r>
      <w:r w:rsidR="004310A6">
        <w:t xml:space="preserve"> comparative information.</w:t>
      </w:r>
      <w:r w:rsidR="00DA7164">
        <w:t xml:space="preserve"> </w:t>
      </w:r>
      <w:r w:rsidR="00882C51">
        <w:t xml:space="preserve">It is often hard </w:t>
      </w:r>
      <w:r w:rsidR="00464607">
        <w:t>for regulators, for instance, to provide</w:t>
      </w:r>
      <w:r w:rsidR="000716B8">
        <w:t xml:space="preserve"> up-to-the-minute accurate, unbiased information on services to consumers to </w:t>
      </w:r>
      <w:r w:rsidR="009147EE">
        <w:t xml:space="preserve">based their decision on. </w:t>
      </w:r>
      <w:r w:rsidR="00C40BCB">
        <w:t>Nonetheless, regulators can easily highlight critical aspects of</w:t>
      </w:r>
      <w:r w:rsidR="002102F3">
        <w:t xml:space="preserve"> the</w:t>
      </w:r>
      <w:r w:rsidR="00724401">
        <w:t xml:space="preserve"> consumer information puzzle </w:t>
      </w:r>
      <w:r w:rsidR="00724401">
        <w:rPr>
          <w:rFonts w:cs="Times New Roman"/>
        </w:rPr>
        <w:t>—</w:t>
      </w:r>
      <w:r w:rsidR="00724401">
        <w:t xml:space="preserve">as the </w:t>
      </w:r>
      <w:r w:rsidR="003E57EC">
        <w:t>Australian Competition and Consumer Commission (ACCC)</w:t>
      </w:r>
      <w:r w:rsidR="00F813CF">
        <w:t xml:space="preserve"> has done with its</w:t>
      </w:r>
      <w:r w:rsidR="008A4B0A">
        <w:t xml:space="preserve"> 2015</w:t>
      </w:r>
      <w:r w:rsidR="003E57EC">
        <w:t xml:space="preserve"> pilot broadband monitoring program.</w:t>
      </w:r>
      <w:r w:rsidR="00724401">
        <w:t xml:space="preserve"> </w:t>
      </w:r>
      <w:r w:rsidR="0023135A">
        <w:t xml:space="preserve">Clearly, given the </w:t>
      </w:r>
      <w:r w:rsidR="0067712A">
        <w:t>dynamic and expanding communication market</w:t>
      </w:r>
      <w:r w:rsidR="00390C0C">
        <w:t xml:space="preserve">, providing </w:t>
      </w:r>
      <w:r w:rsidR="001841A9">
        <w:t>such information is a challenge</w:t>
      </w:r>
      <w:r w:rsidR="009C4849">
        <w:t xml:space="preserve"> but there are new</w:t>
      </w:r>
      <w:r w:rsidR="00236CD4">
        <w:t xml:space="preserve"> modes </w:t>
      </w:r>
      <w:r w:rsidR="00BD5B99">
        <w:t>of gathering and</w:t>
      </w:r>
      <w:r w:rsidR="00CF00DB">
        <w:t xml:space="preserve"> presenting information</w:t>
      </w:r>
      <w:r w:rsidR="00284441">
        <w:t>, in real-time or near real-time,</w:t>
      </w:r>
      <w:r w:rsidR="00CF00DB">
        <w:t xml:space="preserve"> </w:t>
      </w:r>
      <w:r w:rsidR="00DB754E">
        <w:t xml:space="preserve">that can be </w:t>
      </w:r>
      <w:r w:rsidR="005A2961">
        <w:t xml:space="preserve">harnessed. </w:t>
      </w:r>
      <w:r w:rsidR="00515CE5">
        <w:t>This is the thing that independent bodies are well-placed to do</w:t>
      </w:r>
      <w:r w:rsidR="0039553D">
        <w:t>, if resourced</w:t>
      </w:r>
      <w:r w:rsidR="00515CE5">
        <w:t xml:space="preserve"> </w:t>
      </w:r>
      <w:r w:rsidR="00515CE5">
        <w:rPr>
          <w:rFonts w:cs="Times New Roman"/>
        </w:rPr>
        <w:t>—</w:t>
      </w:r>
      <w:r w:rsidR="00515CE5">
        <w:t xml:space="preserve"> and would greatly assist consumers in</w:t>
      </w:r>
      <w:r w:rsidR="000F793D">
        <w:t xml:space="preserve"> exercising choices.</w:t>
      </w:r>
    </w:p>
    <w:p w14:paraId="521F4F66" w14:textId="2938B888" w:rsidR="00270646" w:rsidRDefault="007A42E7" w:rsidP="00110096">
      <w:pPr>
        <w:spacing w:before="120" w:after="120" w:line="480" w:lineRule="auto"/>
        <w:ind w:firstLine="720"/>
      </w:pPr>
      <w:r>
        <w:t xml:space="preserve">In many ways, a tougher issue in tackling consumer confusion is </w:t>
      </w:r>
      <w:r w:rsidR="005A1758">
        <w:t>literacy</w:t>
      </w:r>
      <w:r w:rsidR="003035EF">
        <w:t xml:space="preserve"> </w:t>
      </w:r>
      <w:r w:rsidR="003035EF">
        <w:rPr>
          <w:rFonts w:cs="Times New Roman"/>
        </w:rPr>
        <w:t>—</w:t>
      </w:r>
      <w:r w:rsidR="003035EF">
        <w:t xml:space="preserve"> financial</w:t>
      </w:r>
      <w:r w:rsidR="009B2908">
        <w:t xml:space="preserve">, </w:t>
      </w:r>
      <w:r w:rsidR="00CA2925">
        <w:t>consumer</w:t>
      </w:r>
      <w:r w:rsidR="006057E4">
        <w:t>, and ‘digital’ (by which I mean knowing what services offer, and how this might meet a consumer’</w:t>
      </w:r>
      <w:r w:rsidR="00632D85">
        <w:t xml:space="preserve">s need). </w:t>
      </w:r>
      <w:r w:rsidR="0037623C">
        <w:t>We have considerable experience tackling</w:t>
      </w:r>
      <w:r w:rsidR="00B71318">
        <w:t xml:space="preserve"> these literacy issues</w:t>
      </w:r>
      <w:r w:rsidR="007B166B">
        <w:t xml:space="preserve">, that lie at the heart of </w:t>
      </w:r>
      <w:r w:rsidR="00BB0AA4">
        <w:t>consumer empowerment</w:t>
      </w:r>
      <w:r w:rsidR="005537D2">
        <w:t xml:space="preserve"> (</w:t>
      </w:r>
      <w:r w:rsidR="00A42219">
        <w:t>not least through the ACCAN Consumer Grants fund</w:t>
      </w:r>
      <w:r w:rsidR="001E1676">
        <w:t>, as well as through programs initiated by</w:t>
      </w:r>
      <w:r w:rsidR="005F295A">
        <w:t xml:space="preserve"> various industry players</w:t>
      </w:r>
      <w:r w:rsidR="00A42219">
        <w:t>)</w:t>
      </w:r>
      <w:r w:rsidR="00BB0AA4">
        <w:t xml:space="preserve">. </w:t>
      </w:r>
      <w:r w:rsidR="00B8720B">
        <w:t xml:space="preserve">So these efforts need to </w:t>
      </w:r>
      <w:r w:rsidR="00840C6E">
        <w:lastRenderedPageBreak/>
        <w:t>be built upon, expanded, and updated, to address</w:t>
      </w:r>
      <w:r w:rsidR="0035391F">
        <w:t xml:space="preserve"> emerging</w:t>
      </w:r>
      <w:r w:rsidR="00831094">
        <w:t xml:space="preserve"> services </w:t>
      </w:r>
      <w:r w:rsidR="00831094">
        <w:rPr>
          <w:rFonts w:cs="Times New Roman"/>
        </w:rPr>
        <w:t>—</w:t>
      </w:r>
      <w:r w:rsidR="00831094">
        <w:t xml:space="preserve"> ensuring all consumers can understand</w:t>
      </w:r>
      <w:r w:rsidR="00362837">
        <w:t>, engage with, and choose what suits them best.</w:t>
      </w:r>
      <w:r w:rsidR="00804429">
        <w:t xml:space="preserve"> Here research is crucial </w:t>
      </w:r>
      <w:r w:rsidR="00A71FD3">
        <w:t>to understand</w:t>
      </w:r>
      <w:r w:rsidR="00710C63">
        <w:t xml:space="preserve"> the</w:t>
      </w:r>
      <w:r w:rsidR="00402AD4">
        <w:t xml:space="preserve"> nature of</w:t>
      </w:r>
      <w:r w:rsidR="00B62FB1">
        <w:t xml:space="preserve"> the </w:t>
      </w:r>
      <w:r w:rsidR="006C0A17">
        <w:t>social dynamics, contexts, and</w:t>
      </w:r>
      <w:r w:rsidR="002A450E">
        <w:t xml:space="preserve"> emerging</w:t>
      </w:r>
      <w:r w:rsidR="000B7AD8">
        <w:t xml:space="preserve"> communication use and repertoire in particular demographics, communities, and settings.</w:t>
      </w:r>
    </w:p>
    <w:p w14:paraId="42722E32" w14:textId="57437DED" w:rsidR="00E13804" w:rsidRDefault="00B40003" w:rsidP="00110096">
      <w:pPr>
        <w:spacing w:before="120" w:after="120" w:line="480" w:lineRule="auto"/>
        <w:ind w:firstLine="720"/>
      </w:pPr>
      <w:r>
        <w:t xml:space="preserve">An overarching issue for </w:t>
      </w:r>
      <w:r w:rsidR="009B6F59">
        <w:t>advancing</w:t>
      </w:r>
      <w:r w:rsidR="001E1845">
        <w:t xml:space="preserve"> consumer capacity to understand and choose communication services</w:t>
      </w:r>
      <w:r w:rsidR="003D0FF2">
        <w:t xml:space="preserve"> lies in </w:t>
      </w:r>
      <w:r w:rsidR="008416EC">
        <w:t xml:space="preserve">the structure and characteristics of the </w:t>
      </w:r>
      <w:r w:rsidR="00794986">
        <w:t>environment itself.</w:t>
      </w:r>
    </w:p>
    <w:p w14:paraId="68AE85EF" w14:textId="61781184" w:rsidR="00087590" w:rsidRDefault="006A08B5" w:rsidP="00110096">
      <w:pPr>
        <w:spacing w:before="120" w:after="120" w:line="480" w:lineRule="auto"/>
        <w:ind w:firstLine="720"/>
      </w:pPr>
      <w:r>
        <w:t>By its very nature</w:t>
      </w:r>
      <w:r w:rsidR="00236574">
        <w:t>, the</w:t>
      </w:r>
      <w:r w:rsidR="005914CF">
        <w:t xml:space="preserve"> consumer sector is broad and diverse </w:t>
      </w:r>
      <w:r w:rsidR="005914CF">
        <w:rPr>
          <w:rFonts w:cs="Times New Roman"/>
        </w:rPr>
        <w:t>—</w:t>
      </w:r>
      <w:r w:rsidR="005914CF">
        <w:t xml:space="preserve"> ultimately encompassing everyone</w:t>
      </w:r>
      <w:r w:rsidR="00D03965">
        <w:t xml:space="preserve"> (</w:t>
      </w:r>
      <w:r w:rsidR="005D54A7">
        <w:t xml:space="preserve">potentially affecting </w:t>
      </w:r>
      <w:r w:rsidR="00CA376D">
        <w:t xml:space="preserve">and including </w:t>
      </w:r>
      <w:r w:rsidR="005D54A7">
        <w:t>those who might be</w:t>
      </w:r>
      <w:r w:rsidR="00DF439F">
        <w:t xml:space="preserve"> characterized as</w:t>
      </w:r>
      <w:r w:rsidR="005D54A7">
        <w:t xml:space="preserve"> ‘non-users’).</w:t>
      </w:r>
      <w:r w:rsidR="00F5306A">
        <w:t xml:space="preserve"> </w:t>
      </w:r>
      <w:r w:rsidR="00353866">
        <w:t>The options for communication serv</w:t>
      </w:r>
      <w:r w:rsidR="006B7A12">
        <w:t xml:space="preserve">ices continue to grow, especially with </w:t>
      </w:r>
      <w:r w:rsidR="003B1623">
        <w:t>technology-enabled platforms that expand into other sectors, such as transportation (ride-sharing, for instance), health</w:t>
      </w:r>
      <w:r w:rsidR="00275DE8">
        <w:t>, travel</w:t>
      </w:r>
      <w:r w:rsidR="00AA5029">
        <w:t>, friendship and intimacy</w:t>
      </w:r>
      <w:r w:rsidR="00E31AF9">
        <w:t>, play and games, and so on.</w:t>
      </w:r>
      <w:r w:rsidR="004D54AD">
        <w:t xml:space="preserve"> </w:t>
      </w:r>
    </w:p>
    <w:p w14:paraId="05589FF4" w14:textId="0A550927" w:rsidR="00285B7D" w:rsidRDefault="004955EB" w:rsidP="00110096">
      <w:pPr>
        <w:spacing w:before="120" w:after="120" w:line="480" w:lineRule="auto"/>
        <w:ind w:firstLine="720"/>
      </w:pPr>
      <w:r>
        <w:t>While the</w:t>
      </w:r>
      <w:r w:rsidR="007B0896">
        <w:t xml:space="preserve">re is a much wider variety of </w:t>
      </w:r>
      <w:r w:rsidR="00E37364">
        <w:t xml:space="preserve">services offered by a greater number of firms and organizations, </w:t>
      </w:r>
      <w:r w:rsidR="00500DAC">
        <w:t xml:space="preserve">there also exists a countervailing </w:t>
      </w:r>
      <w:r w:rsidR="000B1479">
        <w:t xml:space="preserve">new, internationally-based </w:t>
      </w:r>
      <w:r w:rsidR="00866FC5">
        <w:t xml:space="preserve">group of communications corporations that exercise substantial </w:t>
      </w:r>
      <w:r w:rsidR="00866FC5">
        <w:lastRenderedPageBreak/>
        <w:t xml:space="preserve">market control, over </w:t>
      </w:r>
      <w:r w:rsidR="002335BA">
        <w:t xml:space="preserve">key facilities. </w:t>
      </w:r>
      <w:r w:rsidR="00F16C37">
        <w:t>The</w:t>
      </w:r>
      <w:r w:rsidR="00832E01">
        <w:t xml:space="preserve"> </w:t>
      </w:r>
      <w:r w:rsidR="000F7C68">
        <w:t>wide usage of Facebook, LinkedIn, Twitter, Google</w:t>
      </w:r>
      <w:r w:rsidR="00457176">
        <w:t xml:space="preserve">, Instagram, and other popular social media platforms </w:t>
      </w:r>
      <w:r w:rsidR="001617E4">
        <w:t xml:space="preserve">by </w:t>
      </w:r>
      <w:r w:rsidR="00553A73">
        <w:t xml:space="preserve">Australians </w:t>
      </w:r>
      <w:r w:rsidR="00425B13">
        <w:t>will continue to pose</w:t>
      </w:r>
      <w:r w:rsidR="00553A73">
        <w:t xml:space="preserve"> difficult challenges for </w:t>
      </w:r>
      <w:r w:rsidR="00314D79">
        <w:t xml:space="preserve">consumers and regulators alike. </w:t>
      </w:r>
    </w:p>
    <w:p w14:paraId="3AAFB587" w14:textId="1C4473AD" w:rsidR="00F70CC9" w:rsidRDefault="00245923" w:rsidP="00285B7D">
      <w:pPr>
        <w:spacing w:before="120" w:after="120" w:line="480" w:lineRule="auto"/>
        <w:ind w:firstLine="720"/>
      </w:pPr>
      <w:r>
        <w:t xml:space="preserve">The classic scenario </w:t>
      </w:r>
      <w:r w:rsidR="00251319">
        <w:t xml:space="preserve">for consumer regulation remains: </w:t>
      </w:r>
      <w:r w:rsidR="002334A3">
        <w:t>what</w:t>
      </w:r>
      <w:r w:rsidR="00534F3B">
        <w:t xml:space="preserve"> power</w:t>
      </w:r>
      <w:r w:rsidR="002535B0">
        <w:t xml:space="preserve"> does an</w:t>
      </w:r>
      <w:r w:rsidR="001213DC">
        <w:t xml:space="preserve"> individual consumer </w:t>
      </w:r>
      <w:r w:rsidR="00403E6C">
        <w:t>or class of consumers exercise</w:t>
      </w:r>
      <w:r w:rsidR="00D66A15">
        <w:t xml:space="preserve"> concerning communication services they rely upon,</w:t>
      </w:r>
      <w:r w:rsidR="00403E6C">
        <w:t xml:space="preserve"> in the </w:t>
      </w:r>
      <w:r w:rsidR="00C04188">
        <w:t>face</w:t>
      </w:r>
      <w:r w:rsidR="00440888">
        <w:t xml:space="preserve"> of the resources</w:t>
      </w:r>
      <w:r w:rsidR="002B4832">
        <w:t xml:space="preserve"> wielded by a</w:t>
      </w:r>
      <w:r w:rsidR="00EF5A94">
        <w:t xml:space="preserve"> company </w:t>
      </w:r>
      <w:r w:rsidR="00EF5A94">
        <w:rPr>
          <w:rFonts w:cs="Times New Roman"/>
        </w:rPr>
        <w:t>—</w:t>
      </w:r>
      <w:r w:rsidR="00EF5A94">
        <w:t xml:space="preserve"> especially</w:t>
      </w:r>
      <w:r w:rsidR="00B23247">
        <w:t xml:space="preserve"> large and powerful corporation? </w:t>
      </w:r>
    </w:p>
    <w:p w14:paraId="16BAD4F7" w14:textId="5E354246" w:rsidR="00A254E2" w:rsidRDefault="003B56EE" w:rsidP="00F70CC9">
      <w:pPr>
        <w:spacing w:before="120" w:after="120" w:line="480" w:lineRule="auto"/>
        <w:ind w:firstLine="720"/>
      </w:pPr>
      <w:r>
        <w:t>As noted, t</w:t>
      </w:r>
      <w:r w:rsidR="008C5FD5">
        <w:t xml:space="preserve">here is now a well-established new twist on an old recourse: </w:t>
      </w:r>
      <w:r w:rsidR="00046EDE">
        <w:t>consumers can create a social media ‘storm’,</w:t>
      </w:r>
      <w:r w:rsidR="00436615">
        <w:t xml:space="preserve"> by taking their complaint very quic</w:t>
      </w:r>
      <w:r w:rsidR="007E5F4E">
        <w:t xml:space="preserve">kly to an avid online audience. </w:t>
      </w:r>
      <w:r w:rsidR="00864646">
        <w:t xml:space="preserve">The prospect that </w:t>
      </w:r>
      <w:r w:rsidR="003F2E12">
        <w:t xml:space="preserve">a consumer protest might go viral on social media </w:t>
      </w:r>
      <w:r w:rsidR="00773931">
        <w:t>–– including</w:t>
      </w:r>
      <w:r w:rsidR="008F04E0">
        <w:t xml:space="preserve"> to highlight failings of social media companies themselves </w:t>
      </w:r>
      <w:r w:rsidR="008F04E0">
        <w:rPr>
          <w:rFonts w:cs="Times New Roman"/>
        </w:rPr>
        <w:t>—</w:t>
      </w:r>
      <w:r w:rsidR="008F04E0">
        <w:t xml:space="preserve"> </w:t>
      </w:r>
      <w:r w:rsidR="00D24F35">
        <w:t xml:space="preserve">offers one </w:t>
      </w:r>
      <w:r w:rsidR="00690313">
        <w:t xml:space="preserve">highly visible </w:t>
      </w:r>
      <w:r w:rsidR="0008321A">
        <w:t>kind of redress. However,</w:t>
      </w:r>
      <w:r w:rsidR="0088171A">
        <w:t xml:space="preserve"> especially given the crowded</w:t>
      </w:r>
      <w:r w:rsidR="004819D1">
        <w:t xml:space="preserve"> public sphere</w:t>
      </w:r>
      <w:r w:rsidR="00B12C6F">
        <w:t xml:space="preserve"> in which attention </w:t>
      </w:r>
      <w:r w:rsidR="00B12C6F">
        <w:rPr>
          <w:rFonts w:cs="Times New Roman"/>
        </w:rPr>
        <w:t>—</w:t>
      </w:r>
      <w:r w:rsidR="00B12C6F">
        <w:t xml:space="preserve"> as the first step to countervailing power </w:t>
      </w:r>
      <w:r w:rsidR="00B12C6F">
        <w:rPr>
          <w:rFonts w:cs="Times New Roman"/>
        </w:rPr>
        <w:t>—</w:t>
      </w:r>
      <w:r w:rsidR="001F34A4">
        <w:t xml:space="preserve"> should not distract from the need for strong consumer protection frameworks to </w:t>
      </w:r>
      <w:r w:rsidR="00254BCD">
        <w:t xml:space="preserve">be maintained and updated. </w:t>
      </w:r>
      <w:r w:rsidR="003A00B3">
        <w:t>This requires that governments and regulators, as well as</w:t>
      </w:r>
      <w:r w:rsidR="00556DB7">
        <w:t xml:space="preserve"> those in industry who support good consumer </w:t>
      </w:r>
      <w:r w:rsidR="00556DB7">
        <w:lastRenderedPageBreak/>
        <w:t>protection</w:t>
      </w:r>
      <w:r w:rsidR="00346D65">
        <w:t xml:space="preserve">, keep a shrew eye on the </w:t>
      </w:r>
      <w:r w:rsidR="00C17D9B">
        <w:t xml:space="preserve">overlapping </w:t>
      </w:r>
      <w:r w:rsidR="00A060D7">
        <w:t>global</w:t>
      </w:r>
      <w:r w:rsidR="00FC7BBF">
        <w:t xml:space="preserve"> m</w:t>
      </w:r>
      <w:r w:rsidR="00B81ECC">
        <w:t>e</w:t>
      </w:r>
      <w:r w:rsidR="00FC7BBF">
        <w:t>dia regulation</w:t>
      </w:r>
      <w:r w:rsidR="00972FE2">
        <w:t xml:space="preserve"> frameworks</w:t>
      </w:r>
      <w:r w:rsidR="00D744D2">
        <w:t xml:space="preserve">. </w:t>
      </w:r>
    </w:p>
    <w:p w14:paraId="6D021916" w14:textId="4938B5E1" w:rsidR="00DF28F5" w:rsidRDefault="00392451" w:rsidP="00392451">
      <w:pPr>
        <w:spacing w:before="120" w:after="120" w:line="480" w:lineRule="auto"/>
        <w:ind w:firstLine="720"/>
      </w:pPr>
      <w:r>
        <w:t>Accordingly, g</w:t>
      </w:r>
      <w:r w:rsidR="00C954E6">
        <w:t>overnments and their agencies, including regulators, have a vital</w:t>
      </w:r>
      <w:r w:rsidR="00BF3818">
        <w:t xml:space="preserve"> role in ensuring consumers are at the forefront of the next</w:t>
      </w:r>
      <w:r w:rsidR="00E668FC">
        <w:t xml:space="preserve"> phase of communication services</w:t>
      </w:r>
      <w:r w:rsidR="006A2E92">
        <w:t xml:space="preserve"> in Australia. </w:t>
      </w:r>
      <w:r w:rsidR="000448A5">
        <w:t xml:space="preserve">This is </w:t>
      </w:r>
      <w:r w:rsidR="005E0B29">
        <w:t xml:space="preserve">imperative, </w:t>
      </w:r>
      <w:r w:rsidR="000448A5">
        <w:t>becaus</w:t>
      </w:r>
      <w:r w:rsidR="00A76E4E">
        <w:t xml:space="preserve">e so much of the promise of </w:t>
      </w:r>
      <w:r w:rsidR="00EA213E">
        <w:t>contemporary</w:t>
      </w:r>
      <w:r w:rsidR="00C5753E">
        <w:t xml:space="preserve"> communications hangs on</w:t>
      </w:r>
      <w:r w:rsidR="00C458D9">
        <w:t xml:space="preserve"> the fact that, if not else, they have much everything to do with </w:t>
      </w:r>
      <w:r w:rsidR="00C458D9">
        <w:rPr>
          <w:i/>
        </w:rPr>
        <w:t>consumers</w:t>
      </w:r>
      <w:r w:rsidR="00C458D9">
        <w:t xml:space="preserve">. </w:t>
      </w:r>
    </w:p>
    <w:p w14:paraId="2180007B" w14:textId="77777777" w:rsidR="007613A0" w:rsidRDefault="0005546C" w:rsidP="00DF28F5">
      <w:pPr>
        <w:spacing w:before="120" w:after="120" w:line="480" w:lineRule="auto"/>
        <w:ind w:firstLine="720"/>
      </w:pPr>
      <w:r>
        <w:t xml:space="preserve">If we are involved in a communications revolution, it has to do with the radical way in which </w:t>
      </w:r>
      <w:r w:rsidR="006D667F">
        <w:t>consumers are</w:t>
      </w:r>
      <w:r w:rsidR="00B576FA">
        <w:t xml:space="preserve"> addressed, engaged, and supported by </w:t>
      </w:r>
      <w:r w:rsidR="00B11351">
        <w:t xml:space="preserve">the new technologies and services. </w:t>
      </w:r>
      <w:r w:rsidR="005F29FF">
        <w:t>There is real promise (if often over-sold)</w:t>
      </w:r>
      <w:r w:rsidR="009A64C6">
        <w:t xml:space="preserve"> for consumers to </w:t>
      </w:r>
      <w:r w:rsidR="007C125D">
        <w:t>improve their</w:t>
      </w:r>
      <w:r w:rsidR="002F3716">
        <w:t xml:space="preserve"> lives. There is now a burgeoning market and new industrial and tra</w:t>
      </w:r>
      <w:r w:rsidR="009627A9">
        <w:t xml:space="preserve">de opportunities, predicated on access, effective use, and management of communication services. </w:t>
      </w:r>
      <w:r w:rsidR="009C1FE3">
        <w:t xml:space="preserve">Many communications services </w:t>
      </w:r>
      <w:r w:rsidR="009C1FE3">
        <w:rPr>
          <w:rFonts w:cs="Times New Roman"/>
        </w:rPr>
        <w:t>—</w:t>
      </w:r>
      <w:r w:rsidR="009C1FE3">
        <w:t xml:space="preserve"> especially those</w:t>
      </w:r>
      <w:r w:rsidR="005B4A7D">
        <w:t xml:space="preserve"> relying upon ‘consumer-generated content’</w:t>
      </w:r>
      <w:r w:rsidR="008B54B7">
        <w:t xml:space="preserve">, and consumer data </w:t>
      </w:r>
      <w:r w:rsidR="008B54B7">
        <w:rPr>
          <w:rFonts w:cs="Times New Roman"/>
        </w:rPr>
        <w:t>———</w:t>
      </w:r>
      <w:r w:rsidR="008B54B7">
        <w:t xml:space="preserve"> </w:t>
      </w:r>
      <w:r w:rsidR="00087995">
        <w:t>are constituted through</w:t>
      </w:r>
      <w:r w:rsidR="00BB008B">
        <w:t xml:space="preserve"> an ongoing exchange of information</w:t>
      </w:r>
      <w:r w:rsidR="003D780F">
        <w:t>, communication, and media content among consumers</w:t>
      </w:r>
      <w:r w:rsidR="002E1246">
        <w:t xml:space="preserve">, </w:t>
      </w:r>
      <w:r w:rsidR="00426EA3">
        <w:t xml:space="preserve">reworked by the digital platforms. </w:t>
      </w:r>
    </w:p>
    <w:p w14:paraId="778569DD" w14:textId="469F3976" w:rsidR="006C2C1C" w:rsidRPr="00EA3E54" w:rsidRDefault="005B45E7" w:rsidP="00DF28F5">
      <w:pPr>
        <w:spacing w:before="120" w:after="120" w:line="480" w:lineRule="auto"/>
        <w:ind w:firstLine="720"/>
      </w:pPr>
      <w:r>
        <w:lastRenderedPageBreak/>
        <w:t xml:space="preserve">Consumer value and productivity is harnessed at a number of levels here. </w:t>
      </w:r>
      <w:r w:rsidR="00F53D71">
        <w:t>So the real risk is that</w:t>
      </w:r>
      <w:r w:rsidR="00EA3E54">
        <w:t xml:space="preserve"> enduring </w:t>
      </w:r>
      <w:r w:rsidR="00EA3E54">
        <w:rPr>
          <w:i/>
        </w:rPr>
        <w:t xml:space="preserve">and </w:t>
      </w:r>
      <w:r w:rsidR="00EA3E54">
        <w:t>new</w:t>
      </w:r>
      <w:r w:rsidR="009F7F90">
        <w:t xml:space="preserve"> con</w:t>
      </w:r>
      <w:r w:rsidR="00B65DC1">
        <w:t xml:space="preserve">sumer concerns are not addressed, </w:t>
      </w:r>
      <w:r w:rsidR="007A0CA7">
        <w:t>there is, at the least</w:t>
      </w:r>
      <w:r w:rsidR="008F111A">
        <w:t xml:space="preserve">, a significant missed opportunity; and, most likely, </w:t>
      </w:r>
      <w:r w:rsidR="00AE70F0">
        <w:t>real risk of</w:t>
      </w:r>
      <w:r w:rsidR="00B75891">
        <w:t xml:space="preserve"> </w:t>
      </w:r>
      <w:r w:rsidR="00AF5406">
        <w:t>worsening</w:t>
      </w:r>
      <w:r w:rsidR="007A25AE">
        <w:t xml:space="preserve"> social marginalization and exclusion.</w:t>
      </w:r>
    </w:p>
    <w:p w14:paraId="71D7E8B0" w14:textId="77777777" w:rsidR="008872F1" w:rsidRDefault="008872F1" w:rsidP="008872F1">
      <w:pPr>
        <w:rPr>
          <w:b/>
        </w:rPr>
      </w:pPr>
    </w:p>
    <w:p w14:paraId="030692DD" w14:textId="77777777" w:rsidR="008872F1" w:rsidRDefault="008872F1" w:rsidP="008872F1">
      <w:pPr>
        <w:rPr>
          <w:b/>
        </w:rPr>
      </w:pPr>
    </w:p>
    <w:p w14:paraId="543B4CDA" w14:textId="3DE73BBE" w:rsidR="006C2C1C" w:rsidRPr="002929F6" w:rsidRDefault="006C2C1C" w:rsidP="008872F1">
      <w:pPr>
        <w:rPr>
          <w:b/>
        </w:rPr>
      </w:pPr>
      <w:r w:rsidRPr="002929F6">
        <w:rPr>
          <w:b/>
        </w:rPr>
        <w:t>Notes</w:t>
      </w:r>
    </w:p>
    <w:sectPr w:rsidR="006C2C1C" w:rsidRPr="002929F6" w:rsidSect="008838C6">
      <w:footerReference w:type="even" r:id="rId11"/>
      <w:footerReference w:type="default" r:id="rId12"/>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88362" w14:textId="77777777" w:rsidR="002B3A8E" w:rsidRDefault="002B3A8E" w:rsidP="00B720D9">
      <w:r>
        <w:separator/>
      </w:r>
    </w:p>
  </w:endnote>
  <w:endnote w:type="continuationSeparator" w:id="0">
    <w:p w14:paraId="73FA964D" w14:textId="77777777" w:rsidR="002B3A8E" w:rsidRDefault="002B3A8E" w:rsidP="00B720D9">
      <w:r>
        <w:continuationSeparator/>
      </w:r>
    </w:p>
  </w:endnote>
  <w:endnote w:id="1">
    <w:p w14:paraId="499903D5" w14:textId="00D0CCAD" w:rsidR="001B67B0" w:rsidRPr="001B67B0" w:rsidRDefault="001B67B0">
      <w:pPr>
        <w:pStyle w:val="EndnoteText"/>
        <w:rPr>
          <w:sz w:val="20"/>
          <w:szCs w:val="20"/>
          <w:lang w:val="en-US"/>
        </w:rPr>
      </w:pPr>
      <w:r>
        <w:rPr>
          <w:rStyle w:val="EndnoteReference"/>
        </w:rPr>
        <w:endnoteRef/>
      </w:r>
      <w:r>
        <w:t xml:space="preserve"> </w:t>
      </w:r>
      <w:r>
        <w:rPr>
          <w:sz w:val="20"/>
          <w:szCs w:val="20"/>
          <w:lang w:val="en-US"/>
        </w:rPr>
        <w:t xml:space="preserve">See, for instance, </w:t>
      </w:r>
      <w:r w:rsidR="00F3070E">
        <w:rPr>
          <w:sz w:val="20"/>
          <w:szCs w:val="20"/>
          <w:lang w:val="en-US"/>
        </w:rPr>
        <w:t xml:space="preserve">Jorge Reina Schement, </w:t>
      </w:r>
      <w:r w:rsidR="00CB1177">
        <w:rPr>
          <w:sz w:val="20"/>
          <w:szCs w:val="20"/>
          <w:lang w:val="en-US"/>
        </w:rPr>
        <w:t xml:space="preserve">‘Broadband, Internet, and Universal Service: </w:t>
      </w:r>
      <w:r w:rsidR="00035E14">
        <w:rPr>
          <w:sz w:val="20"/>
          <w:szCs w:val="20"/>
          <w:lang w:val="en-US"/>
        </w:rPr>
        <w:t xml:space="preserve">Challenges to the Social Contract of the Twenty-First Century’, </w:t>
      </w:r>
      <w:r w:rsidR="008071B2">
        <w:rPr>
          <w:sz w:val="20"/>
          <w:szCs w:val="20"/>
          <w:lang w:val="en-US"/>
        </w:rPr>
        <w:t xml:space="preserve">in </w:t>
      </w:r>
      <w:r w:rsidR="006F1456">
        <w:rPr>
          <w:sz w:val="20"/>
          <w:szCs w:val="20"/>
          <w:lang w:val="en-US"/>
        </w:rPr>
        <w:t xml:space="preserve">Amit M. Schejter (ed.) </w:t>
      </w:r>
      <w:r w:rsidR="00451DFF">
        <w:rPr>
          <w:sz w:val="20"/>
          <w:szCs w:val="20"/>
          <w:lang w:val="en-US"/>
        </w:rPr>
        <w:t xml:space="preserve">… </w:t>
      </w:r>
      <w:r w:rsidR="008071B2">
        <w:rPr>
          <w:i/>
          <w:sz w:val="20"/>
          <w:szCs w:val="20"/>
          <w:lang w:val="en-US"/>
        </w:rPr>
        <w:t>And Communications for All</w:t>
      </w:r>
      <w:r w:rsidR="001A554B">
        <w:rPr>
          <w:i/>
          <w:sz w:val="20"/>
          <w:szCs w:val="20"/>
          <w:lang w:val="en-US"/>
        </w:rPr>
        <w:t xml:space="preserve">: </w:t>
      </w:r>
      <w:r w:rsidR="00933AE6">
        <w:rPr>
          <w:i/>
          <w:sz w:val="20"/>
          <w:szCs w:val="20"/>
          <w:lang w:val="en-US"/>
        </w:rPr>
        <w:t>A Policy Agenda for a New Administration</w:t>
      </w:r>
      <w:r w:rsidR="006C0057">
        <w:rPr>
          <w:sz w:val="20"/>
          <w:szCs w:val="20"/>
          <w:lang w:val="en-US"/>
        </w:rPr>
        <w:t xml:space="preserve"> (Lanham, MD: Lexington, 2009), </w:t>
      </w:r>
      <w:r w:rsidR="00F5176E">
        <w:rPr>
          <w:sz w:val="20"/>
          <w:szCs w:val="20"/>
          <w:lang w:val="en-US"/>
        </w:rPr>
        <w:t>3-28.</w:t>
      </w:r>
    </w:p>
  </w:endnote>
  <w:endnote w:id="2">
    <w:p w14:paraId="31105573" w14:textId="2E60EF92" w:rsidR="002B3A8E" w:rsidRPr="00904E5A" w:rsidRDefault="002B3A8E" w:rsidP="00CC164B">
      <w:pPr>
        <w:pStyle w:val="EndnoteText"/>
        <w:spacing w:after="60"/>
        <w:rPr>
          <w:sz w:val="20"/>
          <w:szCs w:val="20"/>
          <w:lang w:val="en-US"/>
        </w:rPr>
      </w:pPr>
      <w:r w:rsidRPr="00904E5A">
        <w:rPr>
          <w:rStyle w:val="EndnoteReference"/>
          <w:sz w:val="20"/>
          <w:szCs w:val="20"/>
        </w:rPr>
        <w:endnoteRef/>
      </w:r>
      <w:r w:rsidRPr="00904E5A">
        <w:rPr>
          <w:sz w:val="20"/>
          <w:szCs w:val="20"/>
        </w:rPr>
        <w:t xml:space="preserve"> </w:t>
      </w:r>
      <w:r w:rsidRPr="00904E5A">
        <w:rPr>
          <w:sz w:val="20"/>
          <w:szCs w:val="20"/>
          <w:lang w:val="en-US"/>
        </w:rPr>
        <w:t xml:space="preserve">Especially useful are: Australian Communications Action Network (ACCAN)’s </w:t>
      </w:r>
      <w:r w:rsidRPr="00904E5A">
        <w:rPr>
          <w:i/>
          <w:sz w:val="20"/>
          <w:szCs w:val="20"/>
          <w:lang w:val="en-US"/>
        </w:rPr>
        <w:t xml:space="preserve">Future Consumer: Emerging Consumer Issues in Telecommunications and Convergent Communications and Media </w:t>
      </w:r>
      <w:r w:rsidRPr="00904E5A">
        <w:rPr>
          <w:sz w:val="20"/>
          <w:szCs w:val="20"/>
          <w:lang w:val="en-US"/>
        </w:rPr>
        <w:t>(Sydney: ACCAN, 2009; http://</w:t>
      </w:r>
      <w:r w:rsidRPr="00904E5A">
        <w:rPr>
          <w:sz w:val="20"/>
          <w:szCs w:val="20"/>
        </w:rPr>
        <w:t xml:space="preserve">www.accan.org.au/files/Reports/ACCAN_Future_Consumer.pdf); and Australian Communications and Media Authority (ACMA), </w:t>
      </w:r>
      <w:r w:rsidRPr="00904E5A">
        <w:rPr>
          <w:i/>
          <w:sz w:val="20"/>
          <w:szCs w:val="20"/>
        </w:rPr>
        <w:t xml:space="preserve">Enduring Concepts: Communications and Media in Australia </w:t>
      </w:r>
      <w:r w:rsidRPr="00904E5A">
        <w:rPr>
          <w:sz w:val="20"/>
          <w:szCs w:val="20"/>
        </w:rPr>
        <w:t>(Sydney: ACMA, 2011: http://www.acma.gov.au/webwr/_assets/main/lib310665/Enduring_Concepts.pdf).</w:t>
      </w:r>
    </w:p>
  </w:endnote>
  <w:endnote w:id="3">
    <w:p w14:paraId="4EB715D3" w14:textId="2EB904E2" w:rsidR="002B3A8E" w:rsidRPr="00904E5A" w:rsidRDefault="002B3A8E" w:rsidP="00CC164B">
      <w:pPr>
        <w:pStyle w:val="EndnoteText"/>
        <w:spacing w:after="60"/>
        <w:rPr>
          <w:sz w:val="20"/>
          <w:szCs w:val="20"/>
          <w:lang w:val="en-US"/>
        </w:rPr>
      </w:pPr>
      <w:r w:rsidRPr="00904E5A">
        <w:rPr>
          <w:rStyle w:val="EndnoteReference"/>
          <w:sz w:val="20"/>
          <w:szCs w:val="20"/>
        </w:rPr>
        <w:endnoteRef/>
      </w:r>
      <w:r w:rsidRPr="00904E5A">
        <w:rPr>
          <w:sz w:val="20"/>
          <w:szCs w:val="20"/>
        </w:rPr>
        <w:t xml:space="preserve"> In the wake of the 1995 Human Rights and Equal Opportunity Commission decision in </w:t>
      </w:r>
      <w:r w:rsidRPr="00904E5A">
        <w:rPr>
          <w:i/>
          <w:sz w:val="20"/>
          <w:szCs w:val="20"/>
          <w:lang w:val="en-US"/>
        </w:rPr>
        <w:t>Scott v Telstra</w:t>
      </w:r>
      <w:r w:rsidRPr="00904E5A">
        <w:rPr>
          <w:sz w:val="20"/>
          <w:szCs w:val="20"/>
          <w:lang w:val="en-US"/>
        </w:rPr>
        <w:t xml:space="preserve">. See Michael Bourk, ‘Scott v Telstra: A Watershed in Australian Telecommunication Policy,’ </w:t>
      </w:r>
      <w:r w:rsidRPr="00904E5A">
        <w:rPr>
          <w:i/>
          <w:sz w:val="20"/>
          <w:szCs w:val="20"/>
          <w:lang w:val="en-US"/>
        </w:rPr>
        <w:t xml:space="preserve">Media International Australia </w:t>
      </w:r>
      <w:r w:rsidRPr="00904E5A">
        <w:rPr>
          <w:sz w:val="20"/>
          <w:szCs w:val="20"/>
          <w:lang w:val="en-US"/>
        </w:rPr>
        <w:t>96 (2000): 69-81.</w:t>
      </w:r>
      <w:r w:rsidRPr="00904E5A">
        <w:rPr>
          <w:i/>
          <w:sz w:val="20"/>
          <w:szCs w:val="20"/>
          <w:lang w:val="en-US"/>
        </w:rPr>
        <w:t xml:space="preserve"> </w:t>
      </w:r>
      <w:r w:rsidRPr="00904E5A">
        <w:rPr>
          <w:sz w:val="20"/>
          <w:szCs w:val="20"/>
          <w:lang w:val="en-US"/>
        </w:rPr>
        <w:t xml:space="preserve">For an argument concerning Internet and disability accessibility, see Peter Blanck, </w:t>
      </w:r>
      <w:r w:rsidRPr="00904E5A">
        <w:rPr>
          <w:i/>
          <w:sz w:val="20"/>
          <w:szCs w:val="20"/>
          <w:lang w:val="en-US"/>
        </w:rPr>
        <w:t xml:space="preserve">eQuality: The Struggle for Web Accessibility by Persons with Cognitive Disabilities </w:t>
      </w:r>
      <w:r w:rsidRPr="00904E5A">
        <w:rPr>
          <w:sz w:val="20"/>
          <w:szCs w:val="20"/>
          <w:lang w:val="en-US"/>
        </w:rPr>
        <w:t>(Cambridge, UK: Cambridge University Press, 2014).</w:t>
      </w:r>
    </w:p>
  </w:endnote>
  <w:endnote w:id="4">
    <w:p w14:paraId="2697187E" w14:textId="2D219401" w:rsidR="002B3A8E" w:rsidRPr="00904E5A" w:rsidRDefault="002B3A8E" w:rsidP="00CC164B">
      <w:pPr>
        <w:spacing w:after="60"/>
        <w:rPr>
          <w:sz w:val="20"/>
          <w:szCs w:val="20"/>
        </w:rPr>
      </w:pPr>
      <w:r w:rsidRPr="00904E5A">
        <w:rPr>
          <w:rStyle w:val="EndnoteReference"/>
          <w:sz w:val="20"/>
          <w:szCs w:val="20"/>
        </w:rPr>
        <w:endnoteRef/>
      </w:r>
      <w:r w:rsidRPr="00904E5A">
        <w:rPr>
          <w:sz w:val="20"/>
          <w:szCs w:val="20"/>
        </w:rPr>
        <w:t xml:space="preserve"> Gerard Goggin,‘New Ideas for Digital Affordability: Is a Paradigm Shift Possible? </w:t>
      </w:r>
      <w:r w:rsidRPr="00904E5A">
        <w:rPr>
          <w:i/>
          <w:sz w:val="20"/>
          <w:szCs w:val="20"/>
        </w:rPr>
        <w:t>Australian Journal of Telecommunications and the Digital Economy</w:t>
      </w:r>
      <w:r w:rsidRPr="00904E5A">
        <w:rPr>
          <w:sz w:val="20"/>
          <w:szCs w:val="20"/>
        </w:rPr>
        <w:t xml:space="preserve"> 2.2 (2014), article 42, </w:t>
      </w:r>
      <w:hyperlink r:id="rId1" w:tgtFrame="_blank" w:history="1">
        <w:r w:rsidRPr="00904E5A">
          <w:rPr>
            <w:sz w:val="20"/>
            <w:szCs w:val="20"/>
          </w:rPr>
          <w:t>http://doi.org/10.7790/ajtde.v2n2.42</w:t>
        </w:r>
      </w:hyperlink>
      <w:r w:rsidRPr="00904E5A">
        <w:rPr>
          <w:sz w:val="20"/>
          <w:szCs w:val="20"/>
        </w:rPr>
        <w:t xml:space="preserve"> </w:t>
      </w:r>
    </w:p>
  </w:endnote>
  <w:endnote w:id="5">
    <w:p w14:paraId="6FB60918" w14:textId="1B5C32E8" w:rsidR="002B3A8E" w:rsidRPr="00904E5A" w:rsidRDefault="002B3A8E" w:rsidP="00CC164B">
      <w:pPr>
        <w:pStyle w:val="EndnoteText"/>
        <w:spacing w:after="60"/>
        <w:rPr>
          <w:sz w:val="20"/>
          <w:szCs w:val="20"/>
          <w:lang w:val="en-US"/>
        </w:rPr>
      </w:pPr>
      <w:r w:rsidRPr="00904E5A">
        <w:rPr>
          <w:rStyle w:val="EndnoteReference"/>
          <w:sz w:val="20"/>
          <w:szCs w:val="20"/>
        </w:rPr>
        <w:endnoteRef/>
      </w:r>
      <w:r w:rsidRPr="00904E5A">
        <w:rPr>
          <w:sz w:val="20"/>
          <w:szCs w:val="20"/>
        </w:rPr>
        <w:t xml:space="preserve"> </w:t>
      </w:r>
      <w:r w:rsidRPr="00904E5A">
        <w:rPr>
          <w:sz w:val="20"/>
          <w:szCs w:val="20"/>
          <w:lang w:val="en-US"/>
        </w:rPr>
        <w:t xml:space="preserve">Tim Dwyer, </w:t>
      </w:r>
      <w:r w:rsidRPr="00904E5A">
        <w:rPr>
          <w:i/>
          <w:sz w:val="20"/>
          <w:szCs w:val="20"/>
          <w:lang w:val="en-US"/>
        </w:rPr>
        <w:t xml:space="preserve">Convergent Media and Privacy </w:t>
      </w:r>
      <w:r w:rsidRPr="00904E5A">
        <w:rPr>
          <w:sz w:val="20"/>
          <w:szCs w:val="20"/>
          <w:lang w:val="en-US"/>
        </w:rPr>
        <w:t>(Basingstoke: Palgrave, 2015).</w:t>
      </w:r>
    </w:p>
  </w:endnote>
  <w:endnote w:id="6">
    <w:p w14:paraId="6A7F55F7" w14:textId="40530890" w:rsidR="002B3A8E" w:rsidRPr="00904E5A" w:rsidRDefault="002B3A8E" w:rsidP="00CC164B">
      <w:pPr>
        <w:pStyle w:val="EndnoteText"/>
        <w:spacing w:after="60"/>
        <w:rPr>
          <w:sz w:val="20"/>
          <w:szCs w:val="20"/>
          <w:lang w:val="en-US"/>
        </w:rPr>
      </w:pPr>
      <w:r w:rsidRPr="00904E5A">
        <w:rPr>
          <w:rStyle w:val="EndnoteReference"/>
          <w:sz w:val="20"/>
          <w:szCs w:val="20"/>
        </w:rPr>
        <w:endnoteRef/>
      </w:r>
      <w:r w:rsidRPr="00904E5A">
        <w:rPr>
          <w:sz w:val="20"/>
          <w:szCs w:val="20"/>
        </w:rPr>
        <w:t xml:space="preserve"> </w:t>
      </w:r>
      <w:r w:rsidRPr="00904E5A">
        <w:rPr>
          <w:sz w:val="20"/>
          <w:szCs w:val="20"/>
          <w:lang w:val="en-US"/>
        </w:rPr>
        <w:t xml:space="preserve">A point made early on by danah boyd in her classic paper, ‘Facebook’s Privacy Trainwreck: Exposure, Invasion, and Social Convergence,’ </w:t>
      </w:r>
      <w:r w:rsidRPr="00904E5A">
        <w:rPr>
          <w:i/>
          <w:sz w:val="20"/>
          <w:szCs w:val="20"/>
          <w:lang w:val="en-US"/>
        </w:rPr>
        <w:t xml:space="preserve">Convergence </w:t>
      </w:r>
      <w:r w:rsidRPr="00904E5A">
        <w:rPr>
          <w:sz w:val="20"/>
          <w:szCs w:val="20"/>
          <w:lang w:val="en-US"/>
        </w:rPr>
        <w:t>14.1 (2008): 13-20.</w:t>
      </w:r>
    </w:p>
  </w:endnote>
  <w:endnote w:id="7">
    <w:p w14:paraId="3130010D" w14:textId="0F63D8FD" w:rsidR="002B3A8E" w:rsidRPr="00904E5A" w:rsidRDefault="002B3A8E" w:rsidP="00CC164B">
      <w:pPr>
        <w:pStyle w:val="EndnoteText"/>
        <w:spacing w:after="60"/>
        <w:rPr>
          <w:sz w:val="20"/>
          <w:szCs w:val="20"/>
          <w:lang w:val="en-US"/>
        </w:rPr>
      </w:pPr>
      <w:r w:rsidRPr="00904E5A">
        <w:rPr>
          <w:rStyle w:val="EndnoteReference"/>
          <w:sz w:val="20"/>
          <w:szCs w:val="20"/>
        </w:rPr>
        <w:endnoteRef/>
      </w:r>
      <w:r w:rsidRPr="00904E5A">
        <w:rPr>
          <w:sz w:val="20"/>
          <w:szCs w:val="20"/>
        </w:rPr>
        <w:t xml:space="preserve"> </w:t>
      </w:r>
      <w:r w:rsidRPr="00904E5A">
        <w:rPr>
          <w:sz w:val="20"/>
          <w:szCs w:val="20"/>
          <w:lang w:val="en-US"/>
        </w:rPr>
        <w:t xml:space="preserve">Helen Nissenbaum, </w:t>
      </w:r>
      <w:r w:rsidRPr="00904E5A">
        <w:rPr>
          <w:i/>
          <w:sz w:val="20"/>
          <w:szCs w:val="20"/>
        </w:rPr>
        <w:t xml:space="preserve">Privacy in Context: Technology, Policy, and the Integrity of Social Life </w:t>
      </w:r>
      <w:r w:rsidRPr="00904E5A">
        <w:rPr>
          <w:sz w:val="20"/>
          <w:szCs w:val="20"/>
        </w:rPr>
        <w:t>(</w:t>
      </w:r>
      <w:r w:rsidRPr="00904E5A">
        <w:rPr>
          <w:rFonts w:eastAsia="Times New Roman" w:cs="Times New Roman"/>
          <w:sz w:val="20"/>
          <w:szCs w:val="20"/>
        </w:rPr>
        <w:t>Palo Alto, CA: Stanford University Press, 2010).</w:t>
      </w:r>
    </w:p>
  </w:endnote>
  <w:endnote w:id="8">
    <w:p w14:paraId="74ABCD0D" w14:textId="06659874" w:rsidR="002B3A8E" w:rsidRPr="00904E5A" w:rsidRDefault="002B3A8E" w:rsidP="00CC164B">
      <w:pPr>
        <w:pStyle w:val="EndnoteText"/>
        <w:spacing w:after="60"/>
        <w:rPr>
          <w:sz w:val="20"/>
          <w:szCs w:val="20"/>
          <w:lang w:val="en-US"/>
        </w:rPr>
      </w:pPr>
      <w:r w:rsidRPr="00904E5A">
        <w:rPr>
          <w:rStyle w:val="EndnoteReference"/>
          <w:sz w:val="20"/>
          <w:szCs w:val="20"/>
        </w:rPr>
        <w:endnoteRef/>
      </w:r>
      <w:r w:rsidRPr="00904E5A">
        <w:rPr>
          <w:sz w:val="20"/>
          <w:szCs w:val="20"/>
        </w:rPr>
        <w:t xml:space="preserve"> </w:t>
      </w:r>
      <w:r w:rsidRPr="00904E5A">
        <w:rPr>
          <w:sz w:val="20"/>
          <w:szCs w:val="20"/>
          <w:lang w:val="en-US"/>
        </w:rPr>
        <w:t xml:space="preserve">Marc Rotenberg, Julia Horwitz, and Jeramie Scott (eds.), </w:t>
      </w:r>
      <w:r w:rsidRPr="00904E5A">
        <w:rPr>
          <w:i/>
          <w:sz w:val="20"/>
          <w:szCs w:val="20"/>
          <w:lang w:val="en-US"/>
        </w:rPr>
        <w:t xml:space="preserve">Privacy in the Modern Age: The Search for Solutions </w:t>
      </w:r>
      <w:r w:rsidRPr="00904E5A">
        <w:rPr>
          <w:sz w:val="20"/>
          <w:szCs w:val="20"/>
          <w:lang w:val="en-US"/>
        </w:rPr>
        <w:t>(New York: New Press, 2015).</w:t>
      </w:r>
    </w:p>
  </w:endnote>
  <w:endnote w:id="9">
    <w:p w14:paraId="654F9319" w14:textId="534CB4B7" w:rsidR="002B3A8E" w:rsidRPr="006F0DF0" w:rsidRDefault="002B3A8E" w:rsidP="0062746A">
      <w:pPr>
        <w:pStyle w:val="EndnoteText"/>
        <w:spacing w:after="60"/>
        <w:rPr>
          <w:sz w:val="20"/>
          <w:szCs w:val="20"/>
          <w:lang w:val="en-US"/>
        </w:rPr>
      </w:pPr>
      <w:r>
        <w:rPr>
          <w:rStyle w:val="EndnoteReference"/>
        </w:rPr>
        <w:endnoteRef/>
      </w:r>
      <w:r>
        <w:t xml:space="preserve"> </w:t>
      </w:r>
      <w:r>
        <w:rPr>
          <w:sz w:val="20"/>
          <w:szCs w:val="20"/>
          <w:lang w:val="en-US"/>
        </w:rPr>
        <w:t xml:space="preserve">As illustrated in the ruling of the Information Communication in the case of journalist Ben Grubb, who requested Telstra provide him with access to his mobile phone’s metadata. See Ben Grubb, ‘Me and My Metadata: How I Beat Telstra after My 22-Month Legal Battle,’ </w:t>
      </w:r>
      <w:r>
        <w:rPr>
          <w:i/>
          <w:sz w:val="20"/>
          <w:szCs w:val="20"/>
          <w:lang w:val="en-US"/>
        </w:rPr>
        <w:t>Sydney Morning Herald</w:t>
      </w:r>
      <w:r>
        <w:rPr>
          <w:sz w:val="20"/>
          <w:szCs w:val="20"/>
          <w:lang w:val="en-US"/>
        </w:rPr>
        <w:t xml:space="preserve">, 4 May 2015, </w:t>
      </w:r>
      <w:r w:rsidRPr="00073B1C">
        <w:rPr>
          <w:sz w:val="20"/>
          <w:szCs w:val="20"/>
          <w:lang w:val="en-US"/>
        </w:rPr>
        <w:t>http://www.smh.com.au/digital-life/digital-life-news/me-and-my-metadata-how-i-beat-telstra-after-my-22month-legal-battle-20150504-1mz91c.html</w:t>
      </w:r>
      <w:r>
        <w:rPr>
          <w:sz w:val="20"/>
          <w:szCs w:val="20"/>
          <w:lang w:val="en-US"/>
        </w:rPr>
        <w:t>.</w:t>
      </w:r>
    </w:p>
  </w:endnote>
  <w:endnote w:id="10">
    <w:p w14:paraId="1144DBF1" w14:textId="5C7BD2F2" w:rsidR="002B3A8E" w:rsidRPr="00904E5A" w:rsidRDefault="002B3A8E" w:rsidP="00CC164B">
      <w:pPr>
        <w:pStyle w:val="EndnoteText"/>
        <w:spacing w:after="60"/>
        <w:rPr>
          <w:sz w:val="20"/>
          <w:szCs w:val="20"/>
          <w:lang w:val="en-US"/>
        </w:rPr>
      </w:pPr>
      <w:r w:rsidRPr="00904E5A">
        <w:rPr>
          <w:rStyle w:val="EndnoteReference"/>
          <w:sz w:val="20"/>
          <w:szCs w:val="20"/>
        </w:rPr>
        <w:endnoteRef/>
      </w:r>
      <w:r w:rsidRPr="00904E5A">
        <w:rPr>
          <w:sz w:val="20"/>
          <w:szCs w:val="20"/>
        </w:rPr>
        <w:t xml:space="preserve"> </w:t>
      </w:r>
      <w:r w:rsidRPr="00904E5A">
        <w:rPr>
          <w:sz w:val="20"/>
          <w:szCs w:val="20"/>
          <w:lang w:val="en-US"/>
        </w:rPr>
        <w:t xml:space="preserve">Finn Brunton and Helen Nissenbaum, </w:t>
      </w:r>
      <w:r w:rsidRPr="00904E5A">
        <w:rPr>
          <w:i/>
          <w:sz w:val="20"/>
          <w:szCs w:val="20"/>
          <w:lang w:val="en-US"/>
        </w:rPr>
        <w:t xml:space="preserve">Obfuscation: A User’s Guide for Privacy and Protest </w:t>
      </w:r>
      <w:r w:rsidRPr="00904E5A">
        <w:rPr>
          <w:sz w:val="20"/>
          <w:szCs w:val="20"/>
          <w:lang w:val="en-US"/>
        </w:rPr>
        <w:t>(Cambridge, MA: MIT Press, 2015).</w:t>
      </w:r>
    </w:p>
  </w:endnote>
  <w:endnote w:id="11">
    <w:p w14:paraId="012A6991" w14:textId="3BA3907E" w:rsidR="002B3A8E" w:rsidRPr="00904E5A" w:rsidRDefault="002B3A8E" w:rsidP="00CC164B">
      <w:pPr>
        <w:pStyle w:val="EndnoteText"/>
        <w:spacing w:after="60"/>
        <w:rPr>
          <w:sz w:val="20"/>
          <w:szCs w:val="20"/>
          <w:lang w:val="en-US"/>
        </w:rPr>
      </w:pPr>
      <w:r w:rsidRPr="00904E5A">
        <w:rPr>
          <w:rStyle w:val="EndnoteReference"/>
          <w:sz w:val="20"/>
          <w:szCs w:val="20"/>
        </w:rPr>
        <w:endnoteRef/>
      </w:r>
      <w:r w:rsidRPr="00904E5A">
        <w:rPr>
          <w:sz w:val="20"/>
          <w:szCs w:val="20"/>
        </w:rPr>
        <w:t xml:space="preserve"> </w:t>
      </w:r>
      <w:r w:rsidRPr="00904E5A">
        <w:rPr>
          <w:sz w:val="20"/>
          <w:szCs w:val="20"/>
          <w:lang w:val="en-US"/>
        </w:rPr>
        <w:t xml:space="preserve">Jonathan Donner, </w:t>
      </w:r>
      <w:r w:rsidRPr="00904E5A">
        <w:rPr>
          <w:i/>
          <w:sz w:val="20"/>
          <w:szCs w:val="20"/>
          <w:lang w:val="en-US"/>
        </w:rPr>
        <w:t xml:space="preserve">After Access: Inclusion, Development, and a More Mobile Internet </w:t>
      </w:r>
      <w:r w:rsidRPr="00904E5A">
        <w:rPr>
          <w:sz w:val="20"/>
          <w:szCs w:val="20"/>
          <w:lang w:val="en-US"/>
        </w:rPr>
        <w:t>(Cambridge, MA: MIT Press, 2015).</w:t>
      </w:r>
    </w:p>
  </w:endnote>
  <w:endnote w:id="12">
    <w:p w14:paraId="3563FBE5" w14:textId="20215E86" w:rsidR="002B3A8E" w:rsidRPr="00904E5A" w:rsidRDefault="002B3A8E" w:rsidP="00CC164B">
      <w:pPr>
        <w:pStyle w:val="EndnoteText"/>
        <w:spacing w:after="60"/>
        <w:rPr>
          <w:sz w:val="20"/>
          <w:szCs w:val="20"/>
          <w:lang w:val="en-US"/>
        </w:rPr>
      </w:pPr>
      <w:r w:rsidRPr="00904E5A">
        <w:rPr>
          <w:rStyle w:val="EndnoteReference"/>
          <w:sz w:val="20"/>
          <w:szCs w:val="20"/>
        </w:rPr>
        <w:endnoteRef/>
      </w:r>
      <w:r w:rsidRPr="00904E5A">
        <w:rPr>
          <w:sz w:val="20"/>
          <w:szCs w:val="20"/>
        </w:rPr>
        <w:t xml:space="preserve"> </w:t>
      </w:r>
      <w:r w:rsidRPr="00904E5A">
        <w:rPr>
          <w:sz w:val="20"/>
          <w:szCs w:val="20"/>
          <w:lang w:val="en-US"/>
        </w:rPr>
        <w:t xml:space="preserve">Andrew Kenyon (ed.), </w:t>
      </w:r>
      <w:r w:rsidRPr="00904E5A">
        <w:rPr>
          <w:i/>
          <w:sz w:val="20"/>
          <w:szCs w:val="20"/>
          <w:lang w:val="en-US"/>
        </w:rPr>
        <w:t xml:space="preserve">TV Futures: Digital Television Policy in Australia </w:t>
      </w:r>
      <w:r w:rsidRPr="00904E5A">
        <w:rPr>
          <w:sz w:val="20"/>
          <w:szCs w:val="20"/>
          <w:lang w:val="en-US"/>
        </w:rPr>
        <w:t xml:space="preserve">(Melbourne: Melbourne University Press, 2007); James Meese, Rowan Wilken, Bjorn Nansen, and Michael Arnold, ‘Entering the Graveyard Shift: Disassembling the Australian TiVo’, </w:t>
      </w:r>
      <w:r w:rsidRPr="00904E5A">
        <w:rPr>
          <w:i/>
          <w:sz w:val="20"/>
          <w:szCs w:val="20"/>
          <w:lang w:val="en-US"/>
        </w:rPr>
        <w:t xml:space="preserve">Television &amp; New Media </w:t>
      </w:r>
      <w:r w:rsidRPr="00904E5A">
        <w:rPr>
          <w:sz w:val="20"/>
          <w:szCs w:val="20"/>
          <w:lang w:val="en-US"/>
        </w:rPr>
        <w:t>16.2 (2015): 165-179.</w:t>
      </w:r>
    </w:p>
  </w:endnote>
  <w:endnote w:id="13">
    <w:p w14:paraId="3059BAA1" w14:textId="79ED7D80" w:rsidR="002B3A8E" w:rsidRPr="00904E5A" w:rsidRDefault="002B3A8E" w:rsidP="00CC164B">
      <w:pPr>
        <w:widowControl w:val="0"/>
        <w:autoSpaceDE w:val="0"/>
        <w:autoSpaceDN w:val="0"/>
        <w:adjustRightInd w:val="0"/>
        <w:spacing w:after="60"/>
        <w:rPr>
          <w:sz w:val="20"/>
          <w:szCs w:val="20"/>
          <w:lang w:val="en-US"/>
        </w:rPr>
      </w:pPr>
      <w:r w:rsidRPr="00904E5A">
        <w:rPr>
          <w:rStyle w:val="EndnoteReference"/>
          <w:sz w:val="20"/>
          <w:szCs w:val="20"/>
        </w:rPr>
        <w:endnoteRef/>
      </w:r>
      <w:r w:rsidRPr="00904E5A">
        <w:rPr>
          <w:sz w:val="20"/>
          <w:szCs w:val="20"/>
        </w:rPr>
        <w:t xml:space="preserve"> See, for instance: Taina </w:t>
      </w:r>
      <w:r w:rsidRPr="00904E5A">
        <w:rPr>
          <w:rFonts w:cs="Times New Roman"/>
          <w:sz w:val="20"/>
          <w:szCs w:val="20"/>
          <w:lang w:val="en-US"/>
        </w:rPr>
        <w:t xml:space="preserve">Bucher, “Want to be on the top? Algorithmic power and the threat of invisibility on Facebook,” </w:t>
      </w:r>
      <w:r w:rsidRPr="00904E5A">
        <w:rPr>
          <w:rFonts w:ascii="Times" w:hAnsi="Times" w:cs="Times"/>
          <w:i/>
          <w:iCs/>
          <w:sz w:val="20"/>
          <w:szCs w:val="20"/>
          <w:lang w:val="en-US"/>
        </w:rPr>
        <w:t>New Media &amp; Society</w:t>
      </w:r>
      <w:r w:rsidRPr="00904E5A">
        <w:rPr>
          <w:rFonts w:cs="Times New Roman"/>
          <w:sz w:val="20"/>
          <w:szCs w:val="20"/>
          <w:lang w:val="en-US"/>
        </w:rPr>
        <w:t xml:space="preserve"> </w:t>
      </w:r>
      <w:r w:rsidRPr="00904E5A">
        <w:rPr>
          <w:rFonts w:ascii="Times" w:hAnsi="Times" w:cs="Times"/>
          <w:iCs/>
          <w:sz w:val="20"/>
          <w:szCs w:val="20"/>
          <w:lang w:val="en-US"/>
        </w:rPr>
        <w:t>14</w:t>
      </w:r>
      <w:r w:rsidRPr="00904E5A">
        <w:rPr>
          <w:rFonts w:cs="Times New Roman"/>
          <w:sz w:val="20"/>
          <w:szCs w:val="20"/>
          <w:lang w:val="en-US"/>
        </w:rPr>
        <w:t xml:space="preserve">(7): 1164-1180; </w:t>
      </w:r>
      <w:r>
        <w:rPr>
          <w:rFonts w:cs="Times New Roman"/>
          <w:sz w:val="20"/>
          <w:szCs w:val="20"/>
          <w:lang w:val="en-US"/>
        </w:rPr>
        <w:t xml:space="preserve">and </w:t>
      </w:r>
      <w:r w:rsidRPr="00904E5A">
        <w:rPr>
          <w:rFonts w:cs="Times New Roman"/>
          <w:sz w:val="20"/>
          <w:szCs w:val="20"/>
          <w:lang w:val="en-US"/>
        </w:rPr>
        <w:t xml:space="preserve">Tarleton Gillespie, ‘The relevance of algorithms,’ in Tarleton Gillespie, Pablo Boczkowski, and Kirstin Foot (eds.), </w:t>
      </w:r>
      <w:r w:rsidRPr="00904E5A">
        <w:rPr>
          <w:rFonts w:ascii="Times" w:hAnsi="Times" w:cs="Times"/>
          <w:i/>
          <w:iCs/>
          <w:sz w:val="20"/>
          <w:szCs w:val="20"/>
          <w:lang w:val="en-US"/>
        </w:rPr>
        <w:t xml:space="preserve">Media Technologies: Essays on Communication, Materiality, and Society </w:t>
      </w:r>
      <w:r w:rsidRPr="00904E5A">
        <w:rPr>
          <w:rFonts w:ascii="Times" w:hAnsi="Times" w:cs="Times"/>
          <w:iCs/>
          <w:sz w:val="20"/>
          <w:szCs w:val="20"/>
          <w:lang w:val="en-US"/>
        </w:rPr>
        <w:t>(</w:t>
      </w:r>
      <w:r w:rsidRPr="00904E5A">
        <w:rPr>
          <w:rFonts w:cs="Times New Roman"/>
          <w:sz w:val="20"/>
          <w:szCs w:val="20"/>
          <w:lang w:val="en-US"/>
        </w:rPr>
        <w:t>Cambridge, MA: MIT Press, 2014), 167-194</w:t>
      </w:r>
      <w:r>
        <w:rPr>
          <w:rFonts w:cs="Times New Roman"/>
          <w:sz w:val="20"/>
          <w:szCs w:val="20"/>
          <w:lang w:val="en-US"/>
        </w:rPr>
        <w:t>.</w:t>
      </w:r>
      <w:r w:rsidRPr="00904E5A">
        <w:rPr>
          <w:rFonts w:cs="Times New Roman"/>
          <w:sz w:val="20"/>
          <w:szCs w:val="20"/>
          <w:lang w:val="en-US"/>
        </w:rPr>
        <w:t xml:space="preserve"> </w:t>
      </w:r>
    </w:p>
  </w:endnote>
  <w:endnote w:id="14">
    <w:p w14:paraId="66BBB5C6" w14:textId="0F77FF5C" w:rsidR="002B3A8E" w:rsidRPr="006E10A9" w:rsidRDefault="002B3A8E" w:rsidP="00E813E8">
      <w:pPr>
        <w:pStyle w:val="EndnoteText"/>
        <w:spacing w:after="60"/>
        <w:rPr>
          <w:lang w:val="en-US"/>
        </w:rPr>
      </w:pPr>
      <w:r>
        <w:rPr>
          <w:rStyle w:val="EndnoteReference"/>
        </w:rPr>
        <w:endnoteRef/>
      </w:r>
      <w:r>
        <w:t xml:space="preserve"> </w:t>
      </w:r>
      <w:r w:rsidRPr="00904E5A">
        <w:rPr>
          <w:rStyle w:val="Strong"/>
          <w:rFonts w:eastAsia="Times New Roman" w:cs="Times New Roman"/>
          <w:b w:val="0"/>
          <w:sz w:val="20"/>
          <w:szCs w:val="20"/>
        </w:rPr>
        <w:t xml:space="preserve">Katrin Weller, Axel Bruns, Jean Burgess, Merja Mahrt, and Cornelius Puschmann (eds.), </w:t>
      </w:r>
      <w:r w:rsidRPr="00904E5A">
        <w:rPr>
          <w:rStyle w:val="Strong"/>
          <w:rFonts w:eastAsia="Times New Roman" w:cs="Times New Roman"/>
          <w:b w:val="0"/>
          <w:i/>
          <w:sz w:val="20"/>
          <w:szCs w:val="20"/>
        </w:rPr>
        <w:t xml:space="preserve">Twitter and Society </w:t>
      </w:r>
      <w:r w:rsidRPr="00904E5A">
        <w:rPr>
          <w:rStyle w:val="Strong"/>
          <w:rFonts w:eastAsia="Times New Roman" w:cs="Times New Roman"/>
          <w:b w:val="0"/>
          <w:sz w:val="20"/>
          <w:szCs w:val="20"/>
        </w:rPr>
        <w:t>(New York: Peter Lang, 2013).</w:t>
      </w:r>
    </w:p>
  </w:endnote>
  <w:endnote w:id="15">
    <w:p w14:paraId="47106651" w14:textId="1D97CCB8" w:rsidR="002B3A8E" w:rsidRPr="004224F7" w:rsidRDefault="002B3A8E" w:rsidP="00CC164B">
      <w:pPr>
        <w:pStyle w:val="EndnoteText"/>
        <w:spacing w:after="60"/>
        <w:rPr>
          <w:lang w:val="en-US"/>
        </w:rPr>
      </w:pPr>
      <w:r w:rsidRPr="00904E5A">
        <w:rPr>
          <w:rStyle w:val="EndnoteReference"/>
          <w:sz w:val="20"/>
          <w:szCs w:val="20"/>
        </w:rPr>
        <w:endnoteRef/>
      </w:r>
      <w:r w:rsidRPr="00904E5A">
        <w:rPr>
          <w:sz w:val="20"/>
          <w:szCs w:val="20"/>
        </w:rPr>
        <w:t xml:space="preserve"> </w:t>
      </w:r>
      <w:r w:rsidRPr="00904E5A">
        <w:rPr>
          <w:sz w:val="20"/>
          <w:szCs w:val="20"/>
          <w:lang w:val="en-US"/>
        </w:rPr>
        <w:t xml:space="preserve">ACCAN, </w:t>
      </w:r>
      <w:r w:rsidRPr="00904E5A">
        <w:rPr>
          <w:i/>
          <w:sz w:val="20"/>
          <w:szCs w:val="20"/>
          <w:lang w:val="en-US"/>
        </w:rPr>
        <w:t>Future Consumer</w:t>
      </w:r>
      <w:r w:rsidRPr="00904E5A">
        <w:rPr>
          <w:sz w:val="20"/>
          <w:szCs w:val="20"/>
          <w:lang w:val="en-US"/>
        </w:rPr>
        <w:t>, 3.</w:t>
      </w:r>
    </w:p>
  </w:endnote>
  <w:endnote w:id="16">
    <w:p w14:paraId="4A6CECD1" w14:textId="5A07A0FD" w:rsidR="002B3A8E" w:rsidRPr="006F2FBB" w:rsidRDefault="002B3A8E">
      <w:pPr>
        <w:pStyle w:val="EndnoteText"/>
        <w:rPr>
          <w:lang w:val="en-US"/>
        </w:rPr>
      </w:pPr>
      <w:r>
        <w:rPr>
          <w:rStyle w:val="EndnoteReference"/>
        </w:rPr>
        <w:endnoteRef/>
      </w:r>
      <w:r>
        <w:t xml:space="preserve"> </w:t>
      </w:r>
      <w:r w:rsidRPr="001B5C44">
        <w:rPr>
          <w:sz w:val="20"/>
          <w:szCs w:val="20"/>
        </w:rPr>
        <w:t xml:space="preserve">Malcolm K. Sparrow, </w:t>
      </w:r>
      <w:r w:rsidRPr="001B5C44">
        <w:rPr>
          <w:i/>
          <w:sz w:val="20"/>
          <w:szCs w:val="20"/>
        </w:rPr>
        <w:t xml:space="preserve">The Character of </w:t>
      </w:r>
      <w:r w:rsidRPr="004E6627">
        <w:rPr>
          <w:i/>
          <w:sz w:val="20"/>
          <w:szCs w:val="20"/>
        </w:rPr>
        <w:t>Harms: Operational Challenges in Control</w:t>
      </w:r>
      <w:r>
        <w:rPr>
          <w:i/>
        </w:rPr>
        <w:t xml:space="preserve"> </w:t>
      </w:r>
      <w:r w:rsidRPr="00FE1BEA">
        <w:rPr>
          <w:sz w:val="20"/>
          <w:szCs w:val="20"/>
        </w:rPr>
        <w:t>(Cambridge: Cambridge University Press, 2008).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A6EC3" w14:textId="77777777" w:rsidR="002B3A8E" w:rsidRDefault="002B3A8E" w:rsidP="00A66B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567A9C" w14:textId="77777777" w:rsidR="002B3A8E" w:rsidRDefault="002B3A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67D9E" w14:textId="77777777" w:rsidR="002B3A8E" w:rsidRDefault="002B3A8E" w:rsidP="00A66B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3EE7">
      <w:rPr>
        <w:rStyle w:val="PageNumber"/>
        <w:noProof/>
      </w:rPr>
      <w:t>16</w:t>
    </w:r>
    <w:r>
      <w:rPr>
        <w:rStyle w:val="PageNumber"/>
      </w:rPr>
      <w:fldChar w:fldCharType="end"/>
    </w:r>
  </w:p>
  <w:p w14:paraId="3C046BC0" w14:textId="77777777" w:rsidR="002B3A8E" w:rsidRDefault="002B3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AC5BD" w14:textId="77777777" w:rsidR="002B3A8E" w:rsidRDefault="002B3A8E" w:rsidP="00B720D9">
      <w:r>
        <w:separator/>
      </w:r>
    </w:p>
  </w:footnote>
  <w:footnote w:type="continuationSeparator" w:id="0">
    <w:p w14:paraId="58259A24" w14:textId="77777777" w:rsidR="002B3A8E" w:rsidRDefault="002B3A8E" w:rsidP="00B72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50E7F"/>
    <w:multiLevelType w:val="hybridMultilevel"/>
    <w:tmpl w:val="B410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3B0"/>
    <w:rsid w:val="000008FD"/>
    <w:rsid w:val="00003385"/>
    <w:rsid w:val="0000377E"/>
    <w:rsid w:val="000037B2"/>
    <w:rsid w:val="00003E7D"/>
    <w:rsid w:val="00007475"/>
    <w:rsid w:val="00007A16"/>
    <w:rsid w:val="0001086A"/>
    <w:rsid w:val="00013217"/>
    <w:rsid w:val="00015C8B"/>
    <w:rsid w:val="00016052"/>
    <w:rsid w:val="0001751F"/>
    <w:rsid w:val="00017E39"/>
    <w:rsid w:val="00022B79"/>
    <w:rsid w:val="00024658"/>
    <w:rsid w:val="000253F0"/>
    <w:rsid w:val="00027081"/>
    <w:rsid w:val="000278D9"/>
    <w:rsid w:val="00027EBE"/>
    <w:rsid w:val="000329A5"/>
    <w:rsid w:val="000334A9"/>
    <w:rsid w:val="00033694"/>
    <w:rsid w:val="000341EF"/>
    <w:rsid w:val="000344B6"/>
    <w:rsid w:val="000349D4"/>
    <w:rsid w:val="00034ABE"/>
    <w:rsid w:val="00035E14"/>
    <w:rsid w:val="000402D4"/>
    <w:rsid w:val="0004054F"/>
    <w:rsid w:val="00040605"/>
    <w:rsid w:val="00040B19"/>
    <w:rsid w:val="00040E55"/>
    <w:rsid w:val="00044615"/>
    <w:rsid w:val="000448A5"/>
    <w:rsid w:val="00046EDE"/>
    <w:rsid w:val="00047B94"/>
    <w:rsid w:val="000528EB"/>
    <w:rsid w:val="00052E66"/>
    <w:rsid w:val="0005355C"/>
    <w:rsid w:val="000538B6"/>
    <w:rsid w:val="0005546C"/>
    <w:rsid w:val="00056CF4"/>
    <w:rsid w:val="00057435"/>
    <w:rsid w:val="000603AF"/>
    <w:rsid w:val="00062539"/>
    <w:rsid w:val="00064DFF"/>
    <w:rsid w:val="000706F0"/>
    <w:rsid w:val="000716B8"/>
    <w:rsid w:val="00071E69"/>
    <w:rsid w:val="00072036"/>
    <w:rsid w:val="000724A8"/>
    <w:rsid w:val="00072ECB"/>
    <w:rsid w:val="00073B1C"/>
    <w:rsid w:val="00074C3A"/>
    <w:rsid w:val="0007527F"/>
    <w:rsid w:val="000770F5"/>
    <w:rsid w:val="000775C8"/>
    <w:rsid w:val="000823F5"/>
    <w:rsid w:val="0008245A"/>
    <w:rsid w:val="0008321A"/>
    <w:rsid w:val="00083947"/>
    <w:rsid w:val="00083D64"/>
    <w:rsid w:val="00087590"/>
    <w:rsid w:val="00087995"/>
    <w:rsid w:val="000A01A0"/>
    <w:rsid w:val="000A0A2A"/>
    <w:rsid w:val="000A1F08"/>
    <w:rsid w:val="000A1F6D"/>
    <w:rsid w:val="000A2557"/>
    <w:rsid w:val="000A2927"/>
    <w:rsid w:val="000A393F"/>
    <w:rsid w:val="000A44E5"/>
    <w:rsid w:val="000A48DE"/>
    <w:rsid w:val="000A4AF9"/>
    <w:rsid w:val="000A5BDB"/>
    <w:rsid w:val="000A5BDF"/>
    <w:rsid w:val="000A69A8"/>
    <w:rsid w:val="000A7ED9"/>
    <w:rsid w:val="000B0634"/>
    <w:rsid w:val="000B1479"/>
    <w:rsid w:val="000B3F9C"/>
    <w:rsid w:val="000B4D86"/>
    <w:rsid w:val="000B617B"/>
    <w:rsid w:val="000B65E3"/>
    <w:rsid w:val="000B794C"/>
    <w:rsid w:val="000B7AD8"/>
    <w:rsid w:val="000C0DF4"/>
    <w:rsid w:val="000C32FD"/>
    <w:rsid w:val="000C3BAC"/>
    <w:rsid w:val="000C66AB"/>
    <w:rsid w:val="000C7B8E"/>
    <w:rsid w:val="000D11DA"/>
    <w:rsid w:val="000D285E"/>
    <w:rsid w:val="000D4A3D"/>
    <w:rsid w:val="000D4D24"/>
    <w:rsid w:val="000D573A"/>
    <w:rsid w:val="000D5A3C"/>
    <w:rsid w:val="000D6C80"/>
    <w:rsid w:val="000D711C"/>
    <w:rsid w:val="000D7143"/>
    <w:rsid w:val="000D757A"/>
    <w:rsid w:val="000E0A43"/>
    <w:rsid w:val="000E3E68"/>
    <w:rsid w:val="000E48B5"/>
    <w:rsid w:val="000E5570"/>
    <w:rsid w:val="000E6C0E"/>
    <w:rsid w:val="000E7798"/>
    <w:rsid w:val="000F0885"/>
    <w:rsid w:val="000F0BD2"/>
    <w:rsid w:val="000F2E2B"/>
    <w:rsid w:val="000F392B"/>
    <w:rsid w:val="000F4E69"/>
    <w:rsid w:val="000F6DE8"/>
    <w:rsid w:val="000F6F0A"/>
    <w:rsid w:val="000F793D"/>
    <w:rsid w:val="000F7C68"/>
    <w:rsid w:val="0010158D"/>
    <w:rsid w:val="00101E6D"/>
    <w:rsid w:val="0010220C"/>
    <w:rsid w:val="001036FF"/>
    <w:rsid w:val="001038C4"/>
    <w:rsid w:val="00103BB7"/>
    <w:rsid w:val="00104FD5"/>
    <w:rsid w:val="00106926"/>
    <w:rsid w:val="00107994"/>
    <w:rsid w:val="00110096"/>
    <w:rsid w:val="001105AA"/>
    <w:rsid w:val="00111CBB"/>
    <w:rsid w:val="001121FB"/>
    <w:rsid w:val="00112CD7"/>
    <w:rsid w:val="00113BB3"/>
    <w:rsid w:val="00120A90"/>
    <w:rsid w:val="001213DC"/>
    <w:rsid w:val="001215F2"/>
    <w:rsid w:val="00123CD3"/>
    <w:rsid w:val="00123E45"/>
    <w:rsid w:val="001247CE"/>
    <w:rsid w:val="0012518C"/>
    <w:rsid w:val="00125E33"/>
    <w:rsid w:val="00127AEB"/>
    <w:rsid w:val="00127C46"/>
    <w:rsid w:val="00132363"/>
    <w:rsid w:val="00134D00"/>
    <w:rsid w:val="00134E9F"/>
    <w:rsid w:val="00135D02"/>
    <w:rsid w:val="00136D30"/>
    <w:rsid w:val="00137247"/>
    <w:rsid w:val="0014097C"/>
    <w:rsid w:val="001412EC"/>
    <w:rsid w:val="001413EE"/>
    <w:rsid w:val="00142AF1"/>
    <w:rsid w:val="00142F47"/>
    <w:rsid w:val="00142FEE"/>
    <w:rsid w:val="0014341B"/>
    <w:rsid w:val="001444AB"/>
    <w:rsid w:val="00147A69"/>
    <w:rsid w:val="00147C70"/>
    <w:rsid w:val="00154E0A"/>
    <w:rsid w:val="00155207"/>
    <w:rsid w:val="00157472"/>
    <w:rsid w:val="001617E4"/>
    <w:rsid w:val="00162F1C"/>
    <w:rsid w:val="00166A5C"/>
    <w:rsid w:val="00170154"/>
    <w:rsid w:val="00171249"/>
    <w:rsid w:val="001730C9"/>
    <w:rsid w:val="00175887"/>
    <w:rsid w:val="00180C81"/>
    <w:rsid w:val="00180DCA"/>
    <w:rsid w:val="001832DF"/>
    <w:rsid w:val="00183938"/>
    <w:rsid w:val="001841A9"/>
    <w:rsid w:val="00185A23"/>
    <w:rsid w:val="00185F4A"/>
    <w:rsid w:val="00186587"/>
    <w:rsid w:val="00190434"/>
    <w:rsid w:val="00190CAD"/>
    <w:rsid w:val="00193E44"/>
    <w:rsid w:val="0019686A"/>
    <w:rsid w:val="001A2978"/>
    <w:rsid w:val="001A4762"/>
    <w:rsid w:val="001A4969"/>
    <w:rsid w:val="001A54E8"/>
    <w:rsid w:val="001A554B"/>
    <w:rsid w:val="001A5F1D"/>
    <w:rsid w:val="001B0EEB"/>
    <w:rsid w:val="001B2AAC"/>
    <w:rsid w:val="001B2AD8"/>
    <w:rsid w:val="001B2C32"/>
    <w:rsid w:val="001B5C44"/>
    <w:rsid w:val="001B67B0"/>
    <w:rsid w:val="001B6D81"/>
    <w:rsid w:val="001C16E5"/>
    <w:rsid w:val="001C4BA0"/>
    <w:rsid w:val="001C5CC1"/>
    <w:rsid w:val="001C6BC3"/>
    <w:rsid w:val="001D01EF"/>
    <w:rsid w:val="001D0692"/>
    <w:rsid w:val="001D16BF"/>
    <w:rsid w:val="001D2165"/>
    <w:rsid w:val="001D2F88"/>
    <w:rsid w:val="001D594B"/>
    <w:rsid w:val="001D71F8"/>
    <w:rsid w:val="001D7CFA"/>
    <w:rsid w:val="001E0E15"/>
    <w:rsid w:val="001E1676"/>
    <w:rsid w:val="001E1845"/>
    <w:rsid w:val="001E1FEC"/>
    <w:rsid w:val="001E38DD"/>
    <w:rsid w:val="001E3A0D"/>
    <w:rsid w:val="001E3AF1"/>
    <w:rsid w:val="001E3BAC"/>
    <w:rsid w:val="001E3CBF"/>
    <w:rsid w:val="001E4597"/>
    <w:rsid w:val="001E61B8"/>
    <w:rsid w:val="001F0CFB"/>
    <w:rsid w:val="001F0EE9"/>
    <w:rsid w:val="001F29B5"/>
    <w:rsid w:val="001F34A4"/>
    <w:rsid w:val="001F395E"/>
    <w:rsid w:val="001F4645"/>
    <w:rsid w:val="001F5A3A"/>
    <w:rsid w:val="001F6579"/>
    <w:rsid w:val="00201A04"/>
    <w:rsid w:val="00201B1F"/>
    <w:rsid w:val="00201BAB"/>
    <w:rsid w:val="00202881"/>
    <w:rsid w:val="0020290A"/>
    <w:rsid w:val="00202C5D"/>
    <w:rsid w:val="002051BB"/>
    <w:rsid w:val="002052B9"/>
    <w:rsid w:val="00205DC9"/>
    <w:rsid w:val="002060D5"/>
    <w:rsid w:val="00206CFD"/>
    <w:rsid w:val="002102F3"/>
    <w:rsid w:val="00212C21"/>
    <w:rsid w:val="00212EFA"/>
    <w:rsid w:val="00213375"/>
    <w:rsid w:val="00215C30"/>
    <w:rsid w:val="00220535"/>
    <w:rsid w:val="002207B5"/>
    <w:rsid w:val="00220DD7"/>
    <w:rsid w:val="002212F2"/>
    <w:rsid w:val="00221FE2"/>
    <w:rsid w:val="00222318"/>
    <w:rsid w:val="002241E2"/>
    <w:rsid w:val="0022720D"/>
    <w:rsid w:val="00230577"/>
    <w:rsid w:val="00230A36"/>
    <w:rsid w:val="0023135A"/>
    <w:rsid w:val="0023150D"/>
    <w:rsid w:val="002334A3"/>
    <w:rsid w:val="002335BA"/>
    <w:rsid w:val="00234C41"/>
    <w:rsid w:val="00234C43"/>
    <w:rsid w:val="00236574"/>
    <w:rsid w:val="00236CD4"/>
    <w:rsid w:val="00242326"/>
    <w:rsid w:val="00242813"/>
    <w:rsid w:val="002428C3"/>
    <w:rsid w:val="0024450B"/>
    <w:rsid w:val="00244CEB"/>
    <w:rsid w:val="00245923"/>
    <w:rsid w:val="002465D4"/>
    <w:rsid w:val="00247BD3"/>
    <w:rsid w:val="00250E5E"/>
    <w:rsid w:val="00251319"/>
    <w:rsid w:val="00251CFE"/>
    <w:rsid w:val="00252694"/>
    <w:rsid w:val="00252F78"/>
    <w:rsid w:val="0025323C"/>
    <w:rsid w:val="002535B0"/>
    <w:rsid w:val="00254BCD"/>
    <w:rsid w:val="00255154"/>
    <w:rsid w:val="00257FA8"/>
    <w:rsid w:val="00260475"/>
    <w:rsid w:val="0026060F"/>
    <w:rsid w:val="00261E3C"/>
    <w:rsid w:val="002622FF"/>
    <w:rsid w:val="0026459E"/>
    <w:rsid w:val="00270646"/>
    <w:rsid w:val="0027237D"/>
    <w:rsid w:val="00272D19"/>
    <w:rsid w:val="00275DE8"/>
    <w:rsid w:val="00276D3C"/>
    <w:rsid w:val="0028120B"/>
    <w:rsid w:val="0028220B"/>
    <w:rsid w:val="00282CC8"/>
    <w:rsid w:val="0028355C"/>
    <w:rsid w:val="00284441"/>
    <w:rsid w:val="00285750"/>
    <w:rsid w:val="00285B7D"/>
    <w:rsid w:val="00285FDB"/>
    <w:rsid w:val="002862A4"/>
    <w:rsid w:val="0029078D"/>
    <w:rsid w:val="00290A1F"/>
    <w:rsid w:val="002929F6"/>
    <w:rsid w:val="00294C56"/>
    <w:rsid w:val="002951A9"/>
    <w:rsid w:val="00295E35"/>
    <w:rsid w:val="00296123"/>
    <w:rsid w:val="002A0A70"/>
    <w:rsid w:val="002A21F4"/>
    <w:rsid w:val="002A4138"/>
    <w:rsid w:val="002A450E"/>
    <w:rsid w:val="002A49A6"/>
    <w:rsid w:val="002A5643"/>
    <w:rsid w:val="002A5BED"/>
    <w:rsid w:val="002A733C"/>
    <w:rsid w:val="002B05C4"/>
    <w:rsid w:val="002B0D31"/>
    <w:rsid w:val="002B1102"/>
    <w:rsid w:val="002B1C13"/>
    <w:rsid w:val="002B3544"/>
    <w:rsid w:val="002B3A8E"/>
    <w:rsid w:val="002B476D"/>
    <w:rsid w:val="002B4832"/>
    <w:rsid w:val="002B4E7D"/>
    <w:rsid w:val="002C0330"/>
    <w:rsid w:val="002C0A4A"/>
    <w:rsid w:val="002C0FDB"/>
    <w:rsid w:val="002C4E31"/>
    <w:rsid w:val="002C55AF"/>
    <w:rsid w:val="002C5632"/>
    <w:rsid w:val="002C6810"/>
    <w:rsid w:val="002C6D69"/>
    <w:rsid w:val="002C740E"/>
    <w:rsid w:val="002D076A"/>
    <w:rsid w:val="002D3757"/>
    <w:rsid w:val="002D3BDA"/>
    <w:rsid w:val="002D43EE"/>
    <w:rsid w:val="002D5914"/>
    <w:rsid w:val="002E1246"/>
    <w:rsid w:val="002E1970"/>
    <w:rsid w:val="002E34F2"/>
    <w:rsid w:val="002E3881"/>
    <w:rsid w:val="002E4873"/>
    <w:rsid w:val="002E4F64"/>
    <w:rsid w:val="002E7256"/>
    <w:rsid w:val="002F0649"/>
    <w:rsid w:val="002F333C"/>
    <w:rsid w:val="002F3716"/>
    <w:rsid w:val="002F4783"/>
    <w:rsid w:val="002F5F59"/>
    <w:rsid w:val="002F677F"/>
    <w:rsid w:val="002F6939"/>
    <w:rsid w:val="003025ED"/>
    <w:rsid w:val="0030289B"/>
    <w:rsid w:val="00302A75"/>
    <w:rsid w:val="003035EF"/>
    <w:rsid w:val="0030379F"/>
    <w:rsid w:val="00303906"/>
    <w:rsid w:val="00305A8B"/>
    <w:rsid w:val="0030621A"/>
    <w:rsid w:val="00306232"/>
    <w:rsid w:val="00306ADB"/>
    <w:rsid w:val="00310076"/>
    <w:rsid w:val="00310BA6"/>
    <w:rsid w:val="0031481F"/>
    <w:rsid w:val="0031482A"/>
    <w:rsid w:val="00314D79"/>
    <w:rsid w:val="003155B6"/>
    <w:rsid w:val="00315AE1"/>
    <w:rsid w:val="00320B2E"/>
    <w:rsid w:val="003229EB"/>
    <w:rsid w:val="00323063"/>
    <w:rsid w:val="003246E2"/>
    <w:rsid w:val="00326138"/>
    <w:rsid w:val="00326D75"/>
    <w:rsid w:val="00326E72"/>
    <w:rsid w:val="00327979"/>
    <w:rsid w:val="00327F8D"/>
    <w:rsid w:val="00330B06"/>
    <w:rsid w:val="00330FA4"/>
    <w:rsid w:val="003310AA"/>
    <w:rsid w:val="00331A62"/>
    <w:rsid w:val="00333248"/>
    <w:rsid w:val="00334EAF"/>
    <w:rsid w:val="003351D5"/>
    <w:rsid w:val="003368D7"/>
    <w:rsid w:val="00340FB9"/>
    <w:rsid w:val="0034348B"/>
    <w:rsid w:val="0034376C"/>
    <w:rsid w:val="00344FDF"/>
    <w:rsid w:val="0034531D"/>
    <w:rsid w:val="0034540D"/>
    <w:rsid w:val="00345455"/>
    <w:rsid w:val="00345530"/>
    <w:rsid w:val="00346044"/>
    <w:rsid w:val="00346A6E"/>
    <w:rsid w:val="00346D65"/>
    <w:rsid w:val="003478B9"/>
    <w:rsid w:val="003503BC"/>
    <w:rsid w:val="003520E8"/>
    <w:rsid w:val="00353288"/>
    <w:rsid w:val="00353866"/>
    <w:rsid w:val="0035391F"/>
    <w:rsid w:val="00354298"/>
    <w:rsid w:val="00356581"/>
    <w:rsid w:val="00356AA3"/>
    <w:rsid w:val="00357000"/>
    <w:rsid w:val="0035753D"/>
    <w:rsid w:val="00357690"/>
    <w:rsid w:val="00362837"/>
    <w:rsid w:val="003633B5"/>
    <w:rsid w:val="0036399B"/>
    <w:rsid w:val="00364D7A"/>
    <w:rsid w:val="00367906"/>
    <w:rsid w:val="00371ECF"/>
    <w:rsid w:val="00374BE1"/>
    <w:rsid w:val="0037623C"/>
    <w:rsid w:val="003775B9"/>
    <w:rsid w:val="0038132B"/>
    <w:rsid w:val="003824C4"/>
    <w:rsid w:val="00384322"/>
    <w:rsid w:val="00384BB3"/>
    <w:rsid w:val="00384F33"/>
    <w:rsid w:val="00390C0C"/>
    <w:rsid w:val="00392000"/>
    <w:rsid w:val="00392451"/>
    <w:rsid w:val="0039553D"/>
    <w:rsid w:val="00395E6B"/>
    <w:rsid w:val="00397593"/>
    <w:rsid w:val="003A00B3"/>
    <w:rsid w:val="003A0428"/>
    <w:rsid w:val="003A0A92"/>
    <w:rsid w:val="003A158B"/>
    <w:rsid w:val="003A1825"/>
    <w:rsid w:val="003A247B"/>
    <w:rsid w:val="003A2715"/>
    <w:rsid w:val="003A2D5F"/>
    <w:rsid w:val="003A2F18"/>
    <w:rsid w:val="003A37DD"/>
    <w:rsid w:val="003A3AAB"/>
    <w:rsid w:val="003A3ABD"/>
    <w:rsid w:val="003A3ED5"/>
    <w:rsid w:val="003A7B66"/>
    <w:rsid w:val="003B04FF"/>
    <w:rsid w:val="003B1623"/>
    <w:rsid w:val="003B3365"/>
    <w:rsid w:val="003B3969"/>
    <w:rsid w:val="003B4C76"/>
    <w:rsid w:val="003B516D"/>
    <w:rsid w:val="003B51C4"/>
    <w:rsid w:val="003B56EE"/>
    <w:rsid w:val="003B5974"/>
    <w:rsid w:val="003B5E05"/>
    <w:rsid w:val="003C24B8"/>
    <w:rsid w:val="003C4A74"/>
    <w:rsid w:val="003C5C08"/>
    <w:rsid w:val="003C626A"/>
    <w:rsid w:val="003C7639"/>
    <w:rsid w:val="003C7F57"/>
    <w:rsid w:val="003D0282"/>
    <w:rsid w:val="003D08B3"/>
    <w:rsid w:val="003D0FF2"/>
    <w:rsid w:val="003D10C7"/>
    <w:rsid w:val="003D1DD8"/>
    <w:rsid w:val="003D2D43"/>
    <w:rsid w:val="003D314D"/>
    <w:rsid w:val="003D6140"/>
    <w:rsid w:val="003D6E10"/>
    <w:rsid w:val="003D757D"/>
    <w:rsid w:val="003D780F"/>
    <w:rsid w:val="003D7E37"/>
    <w:rsid w:val="003E05C5"/>
    <w:rsid w:val="003E08FC"/>
    <w:rsid w:val="003E109C"/>
    <w:rsid w:val="003E1DE1"/>
    <w:rsid w:val="003E2A72"/>
    <w:rsid w:val="003E2AFD"/>
    <w:rsid w:val="003E3610"/>
    <w:rsid w:val="003E37D8"/>
    <w:rsid w:val="003E3D80"/>
    <w:rsid w:val="003E57EC"/>
    <w:rsid w:val="003E6C04"/>
    <w:rsid w:val="003E7CCB"/>
    <w:rsid w:val="003F1DDB"/>
    <w:rsid w:val="003F2981"/>
    <w:rsid w:val="003F2E12"/>
    <w:rsid w:val="003F37CC"/>
    <w:rsid w:val="003F4C86"/>
    <w:rsid w:val="003F5587"/>
    <w:rsid w:val="003F5F6D"/>
    <w:rsid w:val="0040228E"/>
    <w:rsid w:val="00402AD4"/>
    <w:rsid w:val="0040368A"/>
    <w:rsid w:val="00403E6C"/>
    <w:rsid w:val="00404D7C"/>
    <w:rsid w:val="0040552E"/>
    <w:rsid w:val="00405BAE"/>
    <w:rsid w:val="0040678D"/>
    <w:rsid w:val="00406DB6"/>
    <w:rsid w:val="004078FF"/>
    <w:rsid w:val="00410432"/>
    <w:rsid w:val="0041283C"/>
    <w:rsid w:val="00412901"/>
    <w:rsid w:val="00420BF7"/>
    <w:rsid w:val="00420D5A"/>
    <w:rsid w:val="00420EBB"/>
    <w:rsid w:val="004224F7"/>
    <w:rsid w:val="004235A4"/>
    <w:rsid w:val="00425B13"/>
    <w:rsid w:val="00426EA3"/>
    <w:rsid w:val="00427428"/>
    <w:rsid w:val="004310A6"/>
    <w:rsid w:val="0043173C"/>
    <w:rsid w:val="00432BAB"/>
    <w:rsid w:val="00434174"/>
    <w:rsid w:val="0043494B"/>
    <w:rsid w:val="00434EE2"/>
    <w:rsid w:val="00436589"/>
    <w:rsid w:val="004365C1"/>
    <w:rsid w:val="00436615"/>
    <w:rsid w:val="00436E56"/>
    <w:rsid w:val="00440888"/>
    <w:rsid w:val="0044269B"/>
    <w:rsid w:val="00444B00"/>
    <w:rsid w:val="00444C48"/>
    <w:rsid w:val="00445C85"/>
    <w:rsid w:val="00446246"/>
    <w:rsid w:val="004467A7"/>
    <w:rsid w:val="00447B57"/>
    <w:rsid w:val="00451DFF"/>
    <w:rsid w:val="00453F0E"/>
    <w:rsid w:val="00454490"/>
    <w:rsid w:val="00455906"/>
    <w:rsid w:val="00457176"/>
    <w:rsid w:val="00457442"/>
    <w:rsid w:val="00457982"/>
    <w:rsid w:val="004617F6"/>
    <w:rsid w:val="00464607"/>
    <w:rsid w:val="0046482A"/>
    <w:rsid w:val="00465F8D"/>
    <w:rsid w:val="004671EC"/>
    <w:rsid w:val="004673B8"/>
    <w:rsid w:val="004675A8"/>
    <w:rsid w:val="00467DF4"/>
    <w:rsid w:val="00467F3C"/>
    <w:rsid w:val="00470D88"/>
    <w:rsid w:val="0047107D"/>
    <w:rsid w:val="004729E6"/>
    <w:rsid w:val="0047395B"/>
    <w:rsid w:val="00473ECF"/>
    <w:rsid w:val="00474F01"/>
    <w:rsid w:val="00475E76"/>
    <w:rsid w:val="004760E2"/>
    <w:rsid w:val="004777B4"/>
    <w:rsid w:val="00477803"/>
    <w:rsid w:val="004815AC"/>
    <w:rsid w:val="004819D1"/>
    <w:rsid w:val="00481B08"/>
    <w:rsid w:val="00481BB5"/>
    <w:rsid w:val="004847E7"/>
    <w:rsid w:val="0048562B"/>
    <w:rsid w:val="0048621C"/>
    <w:rsid w:val="00486813"/>
    <w:rsid w:val="00486B5C"/>
    <w:rsid w:val="004920C4"/>
    <w:rsid w:val="00492EBD"/>
    <w:rsid w:val="004931FD"/>
    <w:rsid w:val="0049340F"/>
    <w:rsid w:val="004939B0"/>
    <w:rsid w:val="00494616"/>
    <w:rsid w:val="004955EB"/>
    <w:rsid w:val="004970B9"/>
    <w:rsid w:val="004A0038"/>
    <w:rsid w:val="004A115E"/>
    <w:rsid w:val="004A17BF"/>
    <w:rsid w:val="004A1A33"/>
    <w:rsid w:val="004A1D50"/>
    <w:rsid w:val="004A2371"/>
    <w:rsid w:val="004A2B48"/>
    <w:rsid w:val="004A305A"/>
    <w:rsid w:val="004A3BEB"/>
    <w:rsid w:val="004A5A94"/>
    <w:rsid w:val="004A638E"/>
    <w:rsid w:val="004B01AD"/>
    <w:rsid w:val="004B0FD1"/>
    <w:rsid w:val="004B25D3"/>
    <w:rsid w:val="004B314F"/>
    <w:rsid w:val="004B3F0D"/>
    <w:rsid w:val="004B4AB1"/>
    <w:rsid w:val="004B5C17"/>
    <w:rsid w:val="004B5F55"/>
    <w:rsid w:val="004B6690"/>
    <w:rsid w:val="004B67B7"/>
    <w:rsid w:val="004C0276"/>
    <w:rsid w:val="004C156E"/>
    <w:rsid w:val="004C1DE3"/>
    <w:rsid w:val="004C36A7"/>
    <w:rsid w:val="004C41F1"/>
    <w:rsid w:val="004C4C93"/>
    <w:rsid w:val="004C7A91"/>
    <w:rsid w:val="004D13A6"/>
    <w:rsid w:val="004D2E0C"/>
    <w:rsid w:val="004D54AD"/>
    <w:rsid w:val="004E21A0"/>
    <w:rsid w:val="004E35F4"/>
    <w:rsid w:val="004E3A34"/>
    <w:rsid w:val="004E552E"/>
    <w:rsid w:val="004E6627"/>
    <w:rsid w:val="004E6B44"/>
    <w:rsid w:val="004E71C5"/>
    <w:rsid w:val="004F087F"/>
    <w:rsid w:val="004F1531"/>
    <w:rsid w:val="004F3065"/>
    <w:rsid w:val="004F3473"/>
    <w:rsid w:val="004F4328"/>
    <w:rsid w:val="004F57D6"/>
    <w:rsid w:val="004F5BD8"/>
    <w:rsid w:val="004F619F"/>
    <w:rsid w:val="00500DAC"/>
    <w:rsid w:val="005016D6"/>
    <w:rsid w:val="005023F5"/>
    <w:rsid w:val="00506D24"/>
    <w:rsid w:val="00507ACB"/>
    <w:rsid w:val="0051227B"/>
    <w:rsid w:val="00512689"/>
    <w:rsid w:val="00512A9B"/>
    <w:rsid w:val="0051454A"/>
    <w:rsid w:val="00515998"/>
    <w:rsid w:val="005159AF"/>
    <w:rsid w:val="00515CE5"/>
    <w:rsid w:val="0052040A"/>
    <w:rsid w:val="00523D22"/>
    <w:rsid w:val="00526FA7"/>
    <w:rsid w:val="005279EB"/>
    <w:rsid w:val="00527BEA"/>
    <w:rsid w:val="00530C88"/>
    <w:rsid w:val="00530DC7"/>
    <w:rsid w:val="005315C1"/>
    <w:rsid w:val="00533BD5"/>
    <w:rsid w:val="00534B82"/>
    <w:rsid w:val="00534DF7"/>
    <w:rsid w:val="00534F3B"/>
    <w:rsid w:val="00535A59"/>
    <w:rsid w:val="00535ABB"/>
    <w:rsid w:val="0053677C"/>
    <w:rsid w:val="00536D21"/>
    <w:rsid w:val="0053704B"/>
    <w:rsid w:val="00537B5E"/>
    <w:rsid w:val="00541FA5"/>
    <w:rsid w:val="00542676"/>
    <w:rsid w:val="00542CE4"/>
    <w:rsid w:val="0054411B"/>
    <w:rsid w:val="00545C46"/>
    <w:rsid w:val="00550A9D"/>
    <w:rsid w:val="00551ADD"/>
    <w:rsid w:val="005520F6"/>
    <w:rsid w:val="005523DF"/>
    <w:rsid w:val="005537D2"/>
    <w:rsid w:val="00553A73"/>
    <w:rsid w:val="0055513A"/>
    <w:rsid w:val="00555F2B"/>
    <w:rsid w:val="00556DB7"/>
    <w:rsid w:val="00557ED6"/>
    <w:rsid w:val="00560244"/>
    <w:rsid w:val="005620A5"/>
    <w:rsid w:val="0056251D"/>
    <w:rsid w:val="00563A30"/>
    <w:rsid w:val="005653CB"/>
    <w:rsid w:val="00565D8E"/>
    <w:rsid w:val="005671DC"/>
    <w:rsid w:val="00567D40"/>
    <w:rsid w:val="00571D9B"/>
    <w:rsid w:val="005747B9"/>
    <w:rsid w:val="00575F9F"/>
    <w:rsid w:val="00577CD3"/>
    <w:rsid w:val="005817BC"/>
    <w:rsid w:val="0058185C"/>
    <w:rsid w:val="00584C96"/>
    <w:rsid w:val="0058590B"/>
    <w:rsid w:val="00585E23"/>
    <w:rsid w:val="00586452"/>
    <w:rsid w:val="00590326"/>
    <w:rsid w:val="00590D77"/>
    <w:rsid w:val="005914CF"/>
    <w:rsid w:val="0059235A"/>
    <w:rsid w:val="00596E90"/>
    <w:rsid w:val="005A0003"/>
    <w:rsid w:val="005A022E"/>
    <w:rsid w:val="005A1758"/>
    <w:rsid w:val="005A239C"/>
    <w:rsid w:val="005A2961"/>
    <w:rsid w:val="005A48F7"/>
    <w:rsid w:val="005A5527"/>
    <w:rsid w:val="005A7A8C"/>
    <w:rsid w:val="005A7CAC"/>
    <w:rsid w:val="005B02FB"/>
    <w:rsid w:val="005B158F"/>
    <w:rsid w:val="005B37C2"/>
    <w:rsid w:val="005B389F"/>
    <w:rsid w:val="005B3F99"/>
    <w:rsid w:val="005B45E7"/>
    <w:rsid w:val="005B47CF"/>
    <w:rsid w:val="005B4A7D"/>
    <w:rsid w:val="005B5036"/>
    <w:rsid w:val="005B518A"/>
    <w:rsid w:val="005B5979"/>
    <w:rsid w:val="005B6204"/>
    <w:rsid w:val="005B7CE6"/>
    <w:rsid w:val="005C0C8A"/>
    <w:rsid w:val="005C22F7"/>
    <w:rsid w:val="005C46A6"/>
    <w:rsid w:val="005C5535"/>
    <w:rsid w:val="005C7C27"/>
    <w:rsid w:val="005D020C"/>
    <w:rsid w:val="005D267C"/>
    <w:rsid w:val="005D321F"/>
    <w:rsid w:val="005D363E"/>
    <w:rsid w:val="005D54A7"/>
    <w:rsid w:val="005D688C"/>
    <w:rsid w:val="005D705C"/>
    <w:rsid w:val="005E0589"/>
    <w:rsid w:val="005E0620"/>
    <w:rsid w:val="005E0B29"/>
    <w:rsid w:val="005E2109"/>
    <w:rsid w:val="005E2505"/>
    <w:rsid w:val="005E2CE1"/>
    <w:rsid w:val="005E3001"/>
    <w:rsid w:val="005E3569"/>
    <w:rsid w:val="005E3AF7"/>
    <w:rsid w:val="005E3E44"/>
    <w:rsid w:val="005E4B6D"/>
    <w:rsid w:val="005E56C4"/>
    <w:rsid w:val="005E7A7C"/>
    <w:rsid w:val="005F1D20"/>
    <w:rsid w:val="005F295A"/>
    <w:rsid w:val="005F29FF"/>
    <w:rsid w:val="005F5D39"/>
    <w:rsid w:val="005F62A0"/>
    <w:rsid w:val="005F71BC"/>
    <w:rsid w:val="005F7FEA"/>
    <w:rsid w:val="00602FDA"/>
    <w:rsid w:val="00603C1D"/>
    <w:rsid w:val="00604D5E"/>
    <w:rsid w:val="00605617"/>
    <w:rsid w:val="006057E4"/>
    <w:rsid w:val="00605BEE"/>
    <w:rsid w:val="0061223B"/>
    <w:rsid w:val="00612612"/>
    <w:rsid w:val="00614103"/>
    <w:rsid w:val="00614812"/>
    <w:rsid w:val="00616E3A"/>
    <w:rsid w:val="006171E3"/>
    <w:rsid w:val="006200AB"/>
    <w:rsid w:val="006203B0"/>
    <w:rsid w:val="00620F6E"/>
    <w:rsid w:val="0062388F"/>
    <w:rsid w:val="006244BC"/>
    <w:rsid w:val="006244F7"/>
    <w:rsid w:val="00625592"/>
    <w:rsid w:val="006263AC"/>
    <w:rsid w:val="006265FA"/>
    <w:rsid w:val="00626C23"/>
    <w:rsid w:val="0062746A"/>
    <w:rsid w:val="00632D85"/>
    <w:rsid w:val="006340B0"/>
    <w:rsid w:val="006349EC"/>
    <w:rsid w:val="00635BB9"/>
    <w:rsid w:val="00636E80"/>
    <w:rsid w:val="00643587"/>
    <w:rsid w:val="00643C97"/>
    <w:rsid w:val="0064538C"/>
    <w:rsid w:val="00652880"/>
    <w:rsid w:val="00656A7B"/>
    <w:rsid w:val="006615E2"/>
    <w:rsid w:val="0066179B"/>
    <w:rsid w:val="00663270"/>
    <w:rsid w:val="006636A0"/>
    <w:rsid w:val="00667836"/>
    <w:rsid w:val="00670AE1"/>
    <w:rsid w:val="00670B19"/>
    <w:rsid w:val="006724B9"/>
    <w:rsid w:val="006742C7"/>
    <w:rsid w:val="0067609E"/>
    <w:rsid w:val="0067712A"/>
    <w:rsid w:val="00677166"/>
    <w:rsid w:val="006819E3"/>
    <w:rsid w:val="00681CB2"/>
    <w:rsid w:val="00682E6D"/>
    <w:rsid w:val="006830A1"/>
    <w:rsid w:val="0068326A"/>
    <w:rsid w:val="00684E8A"/>
    <w:rsid w:val="00686803"/>
    <w:rsid w:val="006868AD"/>
    <w:rsid w:val="006871F6"/>
    <w:rsid w:val="00687AC5"/>
    <w:rsid w:val="00690313"/>
    <w:rsid w:val="00690EE7"/>
    <w:rsid w:val="0069119C"/>
    <w:rsid w:val="00691CAB"/>
    <w:rsid w:val="006924D6"/>
    <w:rsid w:val="006963F1"/>
    <w:rsid w:val="006966DD"/>
    <w:rsid w:val="006969E4"/>
    <w:rsid w:val="00697E46"/>
    <w:rsid w:val="006A08B5"/>
    <w:rsid w:val="006A0D13"/>
    <w:rsid w:val="006A1145"/>
    <w:rsid w:val="006A1938"/>
    <w:rsid w:val="006A2A66"/>
    <w:rsid w:val="006A2E92"/>
    <w:rsid w:val="006A3020"/>
    <w:rsid w:val="006A4449"/>
    <w:rsid w:val="006A4915"/>
    <w:rsid w:val="006A4C66"/>
    <w:rsid w:val="006A6832"/>
    <w:rsid w:val="006A689A"/>
    <w:rsid w:val="006A703A"/>
    <w:rsid w:val="006B1FDA"/>
    <w:rsid w:val="006B4C8B"/>
    <w:rsid w:val="006B5735"/>
    <w:rsid w:val="006B58BD"/>
    <w:rsid w:val="006B7526"/>
    <w:rsid w:val="006B7A12"/>
    <w:rsid w:val="006C0057"/>
    <w:rsid w:val="006C0A17"/>
    <w:rsid w:val="006C2C1C"/>
    <w:rsid w:val="006C39EF"/>
    <w:rsid w:val="006C3C99"/>
    <w:rsid w:val="006C4A69"/>
    <w:rsid w:val="006C5504"/>
    <w:rsid w:val="006C6144"/>
    <w:rsid w:val="006C6A8B"/>
    <w:rsid w:val="006C714B"/>
    <w:rsid w:val="006D0E4F"/>
    <w:rsid w:val="006D1AE4"/>
    <w:rsid w:val="006D209A"/>
    <w:rsid w:val="006D20AD"/>
    <w:rsid w:val="006D3326"/>
    <w:rsid w:val="006D37E6"/>
    <w:rsid w:val="006D667F"/>
    <w:rsid w:val="006E0059"/>
    <w:rsid w:val="006E10A9"/>
    <w:rsid w:val="006E1154"/>
    <w:rsid w:val="006E1658"/>
    <w:rsid w:val="006E1D7D"/>
    <w:rsid w:val="006E2B31"/>
    <w:rsid w:val="006E6491"/>
    <w:rsid w:val="006E670D"/>
    <w:rsid w:val="006F0C06"/>
    <w:rsid w:val="006F0DF0"/>
    <w:rsid w:val="006F1456"/>
    <w:rsid w:val="006F1BBF"/>
    <w:rsid w:val="006F2FBB"/>
    <w:rsid w:val="006F3365"/>
    <w:rsid w:val="006F348E"/>
    <w:rsid w:val="006F53D0"/>
    <w:rsid w:val="006F5508"/>
    <w:rsid w:val="006F6296"/>
    <w:rsid w:val="006F63BD"/>
    <w:rsid w:val="006F7184"/>
    <w:rsid w:val="00701516"/>
    <w:rsid w:val="007017FC"/>
    <w:rsid w:val="00701AE8"/>
    <w:rsid w:val="0070280C"/>
    <w:rsid w:val="00704448"/>
    <w:rsid w:val="00710C63"/>
    <w:rsid w:val="00710EE8"/>
    <w:rsid w:val="00712ADE"/>
    <w:rsid w:val="00712B84"/>
    <w:rsid w:val="007178D6"/>
    <w:rsid w:val="007203B7"/>
    <w:rsid w:val="007211D6"/>
    <w:rsid w:val="00724178"/>
    <w:rsid w:val="00724401"/>
    <w:rsid w:val="007252CC"/>
    <w:rsid w:val="00731866"/>
    <w:rsid w:val="007371E8"/>
    <w:rsid w:val="00737214"/>
    <w:rsid w:val="007375A9"/>
    <w:rsid w:val="00741258"/>
    <w:rsid w:val="00742DA7"/>
    <w:rsid w:val="00743049"/>
    <w:rsid w:val="00744897"/>
    <w:rsid w:val="00744BD7"/>
    <w:rsid w:val="007464E8"/>
    <w:rsid w:val="00746F15"/>
    <w:rsid w:val="00750611"/>
    <w:rsid w:val="00751E94"/>
    <w:rsid w:val="00752159"/>
    <w:rsid w:val="00752A43"/>
    <w:rsid w:val="00752B9B"/>
    <w:rsid w:val="00752EA7"/>
    <w:rsid w:val="007534B6"/>
    <w:rsid w:val="007549AF"/>
    <w:rsid w:val="00755153"/>
    <w:rsid w:val="00755F21"/>
    <w:rsid w:val="00756D3B"/>
    <w:rsid w:val="007572F7"/>
    <w:rsid w:val="00757E3A"/>
    <w:rsid w:val="00757F69"/>
    <w:rsid w:val="007613A0"/>
    <w:rsid w:val="00762D59"/>
    <w:rsid w:val="00763103"/>
    <w:rsid w:val="007644C3"/>
    <w:rsid w:val="007644DA"/>
    <w:rsid w:val="00764977"/>
    <w:rsid w:val="00764E61"/>
    <w:rsid w:val="0076520F"/>
    <w:rsid w:val="00766376"/>
    <w:rsid w:val="00766447"/>
    <w:rsid w:val="00766DD0"/>
    <w:rsid w:val="00766DE2"/>
    <w:rsid w:val="0076703A"/>
    <w:rsid w:val="0077090F"/>
    <w:rsid w:val="00771130"/>
    <w:rsid w:val="0077122B"/>
    <w:rsid w:val="007713FF"/>
    <w:rsid w:val="007719BA"/>
    <w:rsid w:val="00771B3C"/>
    <w:rsid w:val="0077219B"/>
    <w:rsid w:val="0077232B"/>
    <w:rsid w:val="00773614"/>
    <w:rsid w:val="00773931"/>
    <w:rsid w:val="00773E59"/>
    <w:rsid w:val="00774018"/>
    <w:rsid w:val="00774958"/>
    <w:rsid w:val="00774CC9"/>
    <w:rsid w:val="00774E94"/>
    <w:rsid w:val="0077558F"/>
    <w:rsid w:val="00780842"/>
    <w:rsid w:val="0078176D"/>
    <w:rsid w:val="00782D43"/>
    <w:rsid w:val="00783724"/>
    <w:rsid w:val="00783846"/>
    <w:rsid w:val="00783CD4"/>
    <w:rsid w:val="007842F7"/>
    <w:rsid w:val="00784AEE"/>
    <w:rsid w:val="00785698"/>
    <w:rsid w:val="00785A3B"/>
    <w:rsid w:val="00787FED"/>
    <w:rsid w:val="00790E03"/>
    <w:rsid w:val="007929AA"/>
    <w:rsid w:val="007931E3"/>
    <w:rsid w:val="00793F28"/>
    <w:rsid w:val="00794383"/>
    <w:rsid w:val="00794986"/>
    <w:rsid w:val="0079702C"/>
    <w:rsid w:val="007A0CA7"/>
    <w:rsid w:val="007A16D3"/>
    <w:rsid w:val="007A1CAB"/>
    <w:rsid w:val="007A25AE"/>
    <w:rsid w:val="007A37DB"/>
    <w:rsid w:val="007A42D4"/>
    <w:rsid w:val="007A42E7"/>
    <w:rsid w:val="007A4423"/>
    <w:rsid w:val="007A5296"/>
    <w:rsid w:val="007A538D"/>
    <w:rsid w:val="007A7DD6"/>
    <w:rsid w:val="007B019F"/>
    <w:rsid w:val="007B03AB"/>
    <w:rsid w:val="007B0896"/>
    <w:rsid w:val="007B0E5F"/>
    <w:rsid w:val="007B166B"/>
    <w:rsid w:val="007B219B"/>
    <w:rsid w:val="007B2238"/>
    <w:rsid w:val="007B3AB9"/>
    <w:rsid w:val="007B674D"/>
    <w:rsid w:val="007B7F59"/>
    <w:rsid w:val="007C125D"/>
    <w:rsid w:val="007C3A9E"/>
    <w:rsid w:val="007C4F88"/>
    <w:rsid w:val="007C5207"/>
    <w:rsid w:val="007C6B18"/>
    <w:rsid w:val="007D4EE2"/>
    <w:rsid w:val="007D7F44"/>
    <w:rsid w:val="007E17F0"/>
    <w:rsid w:val="007E237F"/>
    <w:rsid w:val="007E2686"/>
    <w:rsid w:val="007E5F4E"/>
    <w:rsid w:val="007E6452"/>
    <w:rsid w:val="007E7CC0"/>
    <w:rsid w:val="007F00D2"/>
    <w:rsid w:val="007F0992"/>
    <w:rsid w:val="007F0CCB"/>
    <w:rsid w:val="007F1FBA"/>
    <w:rsid w:val="007F2B09"/>
    <w:rsid w:val="007F5A6D"/>
    <w:rsid w:val="007F6F3E"/>
    <w:rsid w:val="008005C4"/>
    <w:rsid w:val="00801459"/>
    <w:rsid w:val="0080203D"/>
    <w:rsid w:val="00802D36"/>
    <w:rsid w:val="00803304"/>
    <w:rsid w:val="00804429"/>
    <w:rsid w:val="008047C2"/>
    <w:rsid w:val="0080513A"/>
    <w:rsid w:val="00805A63"/>
    <w:rsid w:val="008071B2"/>
    <w:rsid w:val="008073C9"/>
    <w:rsid w:val="008107F3"/>
    <w:rsid w:val="00810981"/>
    <w:rsid w:val="00813774"/>
    <w:rsid w:val="00816ABB"/>
    <w:rsid w:val="00817617"/>
    <w:rsid w:val="00821405"/>
    <w:rsid w:val="0082169B"/>
    <w:rsid w:val="008218D5"/>
    <w:rsid w:val="00822EDF"/>
    <w:rsid w:val="00822F4D"/>
    <w:rsid w:val="00823CB5"/>
    <w:rsid w:val="008245EC"/>
    <w:rsid w:val="008248EB"/>
    <w:rsid w:val="0082591B"/>
    <w:rsid w:val="008268E9"/>
    <w:rsid w:val="0082692C"/>
    <w:rsid w:val="00826BBB"/>
    <w:rsid w:val="00827B07"/>
    <w:rsid w:val="00831094"/>
    <w:rsid w:val="0083181C"/>
    <w:rsid w:val="00831C30"/>
    <w:rsid w:val="00832E01"/>
    <w:rsid w:val="008362E7"/>
    <w:rsid w:val="008364F3"/>
    <w:rsid w:val="00840C6E"/>
    <w:rsid w:val="008416EC"/>
    <w:rsid w:val="00841FCE"/>
    <w:rsid w:val="00843CA7"/>
    <w:rsid w:val="00845E62"/>
    <w:rsid w:val="008461E8"/>
    <w:rsid w:val="00850C25"/>
    <w:rsid w:val="0085246E"/>
    <w:rsid w:val="00854AA5"/>
    <w:rsid w:val="0085536E"/>
    <w:rsid w:val="008554A9"/>
    <w:rsid w:val="00857CAF"/>
    <w:rsid w:val="00860751"/>
    <w:rsid w:val="00860890"/>
    <w:rsid w:val="008616BD"/>
    <w:rsid w:val="00862408"/>
    <w:rsid w:val="00864646"/>
    <w:rsid w:val="0086571F"/>
    <w:rsid w:val="00865BEE"/>
    <w:rsid w:val="00865FD0"/>
    <w:rsid w:val="00866BB4"/>
    <w:rsid w:val="00866CE2"/>
    <w:rsid w:val="00866FC5"/>
    <w:rsid w:val="00867A49"/>
    <w:rsid w:val="008700DF"/>
    <w:rsid w:val="00870A80"/>
    <w:rsid w:val="0087142D"/>
    <w:rsid w:val="008715B2"/>
    <w:rsid w:val="008728A1"/>
    <w:rsid w:val="008735A6"/>
    <w:rsid w:val="008737C3"/>
    <w:rsid w:val="00875BC9"/>
    <w:rsid w:val="00876950"/>
    <w:rsid w:val="00877053"/>
    <w:rsid w:val="00880626"/>
    <w:rsid w:val="0088171A"/>
    <w:rsid w:val="0088174E"/>
    <w:rsid w:val="00881935"/>
    <w:rsid w:val="00882C51"/>
    <w:rsid w:val="008838C6"/>
    <w:rsid w:val="008843D8"/>
    <w:rsid w:val="00884646"/>
    <w:rsid w:val="00885BDF"/>
    <w:rsid w:val="008863B3"/>
    <w:rsid w:val="008872F1"/>
    <w:rsid w:val="008915CA"/>
    <w:rsid w:val="00892039"/>
    <w:rsid w:val="00895448"/>
    <w:rsid w:val="008A006D"/>
    <w:rsid w:val="008A0637"/>
    <w:rsid w:val="008A10B3"/>
    <w:rsid w:val="008A1F95"/>
    <w:rsid w:val="008A2378"/>
    <w:rsid w:val="008A4B0A"/>
    <w:rsid w:val="008A4EA1"/>
    <w:rsid w:val="008A5558"/>
    <w:rsid w:val="008B1FEB"/>
    <w:rsid w:val="008B2E6A"/>
    <w:rsid w:val="008B305D"/>
    <w:rsid w:val="008B3628"/>
    <w:rsid w:val="008B3DC8"/>
    <w:rsid w:val="008B54B7"/>
    <w:rsid w:val="008B5FAC"/>
    <w:rsid w:val="008B7582"/>
    <w:rsid w:val="008C116C"/>
    <w:rsid w:val="008C2CF2"/>
    <w:rsid w:val="008C2EBA"/>
    <w:rsid w:val="008C3741"/>
    <w:rsid w:val="008C5767"/>
    <w:rsid w:val="008C5FD5"/>
    <w:rsid w:val="008C60A6"/>
    <w:rsid w:val="008C658A"/>
    <w:rsid w:val="008C6F9C"/>
    <w:rsid w:val="008C73B0"/>
    <w:rsid w:val="008D08E4"/>
    <w:rsid w:val="008D0A25"/>
    <w:rsid w:val="008D1438"/>
    <w:rsid w:val="008D2EB3"/>
    <w:rsid w:val="008D3A43"/>
    <w:rsid w:val="008D7AC6"/>
    <w:rsid w:val="008E0BBF"/>
    <w:rsid w:val="008E15C4"/>
    <w:rsid w:val="008E29B5"/>
    <w:rsid w:val="008E3971"/>
    <w:rsid w:val="008F04E0"/>
    <w:rsid w:val="008F0B12"/>
    <w:rsid w:val="008F0C8E"/>
    <w:rsid w:val="008F111A"/>
    <w:rsid w:val="008F17E0"/>
    <w:rsid w:val="008F20F9"/>
    <w:rsid w:val="008F4152"/>
    <w:rsid w:val="008F493D"/>
    <w:rsid w:val="008F509E"/>
    <w:rsid w:val="008F6A44"/>
    <w:rsid w:val="008F7B1B"/>
    <w:rsid w:val="00901180"/>
    <w:rsid w:val="00901665"/>
    <w:rsid w:val="00902A06"/>
    <w:rsid w:val="00904488"/>
    <w:rsid w:val="00904E5A"/>
    <w:rsid w:val="00905F34"/>
    <w:rsid w:val="00907796"/>
    <w:rsid w:val="00907D9A"/>
    <w:rsid w:val="00907E2B"/>
    <w:rsid w:val="009105FB"/>
    <w:rsid w:val="009147EE"/>
    <w:rsid w:val="00916BC6"/>
    <w:rsid w:val="009205D1"/>
    <w:rsid w:val="00921115"/>
    <w:rsid w:val="0092172F"/>
    <w:rsid w:val="009219C7"/>
    <w:rsid w:val="00923834"/>
    <w:rsid w:val="00924AD6"/>
    <w:rsid w:val="0092773A"/>
    <w:rsid w:val="00930C6B"/>
    <w:rsid w:val="0093383B"/>
    <w:rsid w:val="00933AE6"/>
    <w:rsid w:val="00933E15"/>
    <w:rsid w:val="00934396"/>
    <w:rsid w:val="00935495"/>
    <w:rsid w:val="009356D0"/>
    <w:rsid w:val="00940A1C"/>
    <w:rsid w:val="009425D2"/>
    <w:rsid w:val="009426C6"/>
    <w:rsid w:val="00942E41"/>
    <w:rsid w:val="00944046"/>
    <w:rsid w:val="00944385"/>
    <w:rsid w:val="00944472"/>
    <w:rsid w:val="00946DA0"/>
    <w:rsid w:val="00947267"/>
    <w:rsid w:val="00947658"/>
    <w:rsid w:val="009476FD"/>
    <w:rsid w:val="00947CBA"/>
    <w:rsid w:val="00950353"/>
    <w:rsid w:val="00950861"/>
    <w:rsid w:val="0095524C"/>
    <w:rsid w:val="00955A8D"/>
    <w:rsid w:val="009561F8"/>
    <w:rsid w:val="009602FD"/>
    <w:rsid w:val="009627A9"/>
    <w:rsid w:val="00962CF6"/>
    <w:rsid w:val="00963DE5"/>
    <w:rsid w:val="00964BA0"/>
    <w:rsid w:val="00967F7C"/>
    <w:rsid w:val="00970415"/>
    <w:rsid w:val="00970E4B"/>
    <w:rsid w:val="0097112A"/>
    <w:rsid w:val="009721E3"/>
    <w:rsid w:val="009728BB"/>
    <w:rsid w:val="00972FE2"/>
    <w:rsid w:val="00973627"/>
    <w:rsid w:val="009746AF"/>
    <w:rsid w:val="00975B82"/>
    <w:rsid w:val="00981B26"/>
    <w:rsid w:val="0098213B"/>
    <w:rsid w:val="00984B08"/>
    <w:rsid w:val="0098640F"/>
    <w:rsid w:val="00991C30"/>
    <w:rsid w:val="00994359"/>
    <w:rsid w:val="009947A7"/>
    <w:rsid w:val="00994F08"/>
    <w:rsid w:val="0099546E"/>
    <w:rsid w:val="00995B46"/>
    <w:rsid w:val="00996D06"/>
    <w:rsid w:val="009A1604"/>
    <w:rsid w:val="009A287C"/>
    <w:rsid w:val="009A3704"/>
    <w:rsid w:val="009A54E1"/>
    <w:rsid w:val="009A64C6"/>
    <w:rsid w:val="009A70E8"/>
    <w:rsid w:val="009A770A"/>
    <w:rsid w:val="009B2908"/>
    <w:rsid w:val="009B3658"/>
    <w:rsid w:val="009B56BB"/>
    <w:rsid w:val="009B5948"/>
    <w:rsid w:val="009B5BAE"/>
    <w:rsid w:val="009B64E9"/>
    <w:rsid w:val="009B6F59"/>
    <w:rsid w:val="009B706A"/>
    <w:rsid w:val="009B74FA"/>
    <w:rsid w:val="009B7565"/>
    <w:rsid w:val="009C1FE3"/>
    <w:rsid w:val="009C4849"/>
    <w:rsid w:val="009C5491"/>
    <w:rsid w:val="009C6061"/>
    <w:rsid w:val="009C64BD"/>
    <w:rsid w:val="009C714C"/>
    <w:rsid w:val="009C7472"/>
    <w:rsid w:val="009D0175"/>
    <w:rsid w:val="009D097D"/>
    <w:rsid w:val="009D5756"/>
    <w:rsid w:val="009D5C95"/>
    <w:rsid w:val="009D64F8"/>
    <w:rsid w:val="009D7D22"/>
    <w:rsid w:val="009E2F58"/>
    <w:rsid w:val="009E41AD"/>
    <w:rsid w:val="009E5B7B"/>
    <w:rsid w:val="009E77EE"/>
    <w:rsid w:val="009E7C6A"/>
    <w:rsid w:val="009F16F1"/>
    <w:rsid w:val="009F1D68"/>
    <w:rsid w:val="009F30A5"/>
    <w:rsid w:val="009F38F9"/>
    <w:rsid w:val="009F43A4"/>
    <w:rsid w:val="009F5890"/>
    <w:rsid w:val="009F5EDE"/>
    <w:rsid w:val="009F622C"/>
    <w:rsid w:val="009F6F83"/>
    <w:rsid w:val="009F72BC"/>
    <w:rsid w:val="009F7F90"/>
    <w:rsid w:val="00A00863"/>
    <w:rsid w:val="00A00F5B"/>
    <w:rsid w:val="00A0202D"/>
    <w:rsid w:val="00A04AF5"/>
    <w:rsid w:val="00A060D7"/>
    <w:rsid w:val="00A07FE3"/>
    <w:rsid w:val="00A1055C"/>
    <w:rsid w:val="00A14780"/>
    <w:rsid w:val="00A152F1"/>
    <w:rsid w:val="00A15773"/>
    <w:rsid w:val="00A1641A"/>
    <w:rsid w:val="00A17069"/>
    <w:rsid w:val="00A21CBB"/>
    <w:rsid w:val="00A21EB7"/>
    <w:rsid w:val="00A23BF7"/>
    <w:rsid w:val="00A24070"/>
    <w:rsid w:val="00A247CA"/>
    <w:rsid w:val="00A254E2"/>
    <w:rsid w:val="00A26A4C"/>
    <w:rsid w:val="00A27310"/>
    <w:rsid w:val="00A276C7"/>
    <w:rsid w:val="00A27FA0"/>
    <w:rsid w:val="00A3056F"/>
    <w:rsid w:val="00A3289B"/>
    <w:rsid w:val="00A32917"/>
    <w:rsid w:val="00A33130"/>
    <w:rsid w:val="00A33555"/>
    <w:rsid w:val="00A339EC"/>
    <w:rsid w:val="00A33B40"/>
    <w:rsid w:val="00A34F5A"/>
    <w:rsid w:val="00A350FC"/>
    <w:rsid w:val="00A35A05"/>
    <w:rsid w:val="00A3625B"/>
    <w:rsid w:val="00A37E1E"/>
    <w:rsid w:val="00A412F6"/>
    <w:rsid w:val="00A42219"/>
    <w:rsid w:val="00A4496C"/>
    <w:rsid w:val="00A457AA"/>
    <w:rsid w:val="00A53FBE"/>
    <w:rsid w:val="00A60521"/>
    <w:rsid w:val="00A63260"/>
    <w:rsid w:val="00A635BF"/>
    <w:rsid w:val="00A638D3"/>
    <w:rsid w:val="00A66B04"/>
    <w:rsid w:val="00A67270"/>
    <w:rsid w:val="00A676CE"/>
    <w:rsid w:val="00A70CF6"/>
    <w:rsid w:val="00A7124D"/>
    <w:rsid w:val="00A71642"/>
    <w:rsid w:val="00A71FD3"/>
    <w:rsid w:val="00A73EE7"/>
    <w:rsid w:val="00A74EB9"/>
    <w:rsid w:val="00A7631A"/>
    <w:rsid w:val="00A76E4E"/>
    <w:rsid w:val="00A807F2"/>
    <w:rsid w:val="00A80984"/>
    <w:rsid w:val="00A80AD7"/>
    <w:rsid w:val="00A81FB3"/>
    <w:rsid w:val="00A8292B"/>
    <w:rsid w:val="00A83709"/>
    <w:rsid w:val="00A8377B"/>
    <w:rsid w:val="00A8550C"/>
    <w:rsid w:val="00A9041E"/>
    <w:rsid w:val="00A91B32"/>
    <w:rsid w:val="00A92541"/>
    <w:rsid w:val="00A93094"/>
    <w:rsid w:val="00A942F9"/>
    <w:rsid w:val="00A95204"/>
    <w:rsid w:val="00A97580"/>
    <w:rsid w:val="00A97693"/>
    <w:rsid w:val="00A97885"/>
    <w:rsid w:val="00AA0626"/>
    <w:rsid w:val="00AA1496"/>
    <w:rsid w:val="00AA1BB5"/>
    <w:rsid w:val="00AA4CAD"/>
    <w:rsid w:val="00AA5029"/>
    <w:rsid w:val="00AA53F9"/>
    <w:rsid w:val="00AA60D9"/>
    <w:rsid w:val="00AB0203"/>
    <w:rsid w:val="00AB1D61"/>
    <w:rsid w:val="00AB2E83"/>
    <w:rsid w:val="00AB51EC"/>
    <w:rsid w:val="00AB7FC6"/>
    <w:rsid w:val="00AC333C"/>
    <w:rsid w:val="00AC3C4F"/>
    <w:rsid w:val="00AC5681"/>
    <w:rsid w:val="00AC5AFE"/>
    <w:rsid w:val="00AC5B41"/>
    <w:rsid w:val="00AC6203"/>
    <w:rsid w:val="00AC7029"/>
    <w:rsid w:val="00AD3343"/>
    <w:rsid w:val="00AD485A"/>
    <w:rsid w:val="00AD75D3"/>
    <w:rsid w:val="00AD7E23"/>
    <w:rsid w:val="00AE2D88"/>
    <w:rsid w:val="00AE47F6"/>
    <w:rsid w:val="00AE70F0"/>
    <w:rsid w:val="00AE7249"/>
    <w:rsid w:val="00AE72AB"/>
    <w:rsid w:val="00AF1407"/>
    <w:rsid w:val="00AF1454"/>
    <w:rsid w:val="00AF357D"/>
    <w:rsid w:val="00AF3634"/>
    <w:rsid w:val="00AF44D4"/>
    <w:rsid w:val="00AF52A7"/>
    <w:rsid w:val="00AF5406"/>
    <w:rsid w:val="00AF6129"/>
    <w:rsid w:val="00AF68B2"/>
    <w:rsid w:val="00AF75C4"/>
    <w:rsid w:val="00AF7E1D"/>
    <w:rsid w:val="00B000B1"/>
    <w:rsid w:val="00B00CD9"/>
    <w:rsid w:val="00B029DA"/>
    <w:rsid w:val="00B02ABE"/>
    <w:rsid w:val="00B04392"/>
    <w:rsid w:val="00B04CD1"/>
    <w:rsid w:val="00B05306"/>
    <w:rsid w:val="00B07E9A"/>
    <w:rsid w:val="00B10A00"/>
    <w:rsid w:val="00B11351"/>
    <w:rsid w:val="00B1178C"/>
    <w:rsid w:val="00B122C4"/>
    <w:rsid w:val="00B12C6F"/>
    <w:rsid w:val="00B1576E"/>
    <w:rsid w:val="00B170BF"/>
    <w:rsid w:val="00B20C84"/>
    <w:rsid w:val="00B213AF"/>
    <w:rsid w:val="00B21DA7"/>
    <w:rsid w:val="00B2296A"/>
    <w:rsid w:val="00B23247"/>
    <w:rsid w:val="00B23830"/>
    <w:rsid w:val="00B24920"/>
    <w:rsid w:val="00B27934"/>
    <w:rsid w:val="00B27EFB"/>
    <w:rsid w:val="00B303E7"/>
    <w:rsid w:val="00B3287F"/>
    <w:rsid w:val="00B3434B"/>
    <w:rsid w:val="00B35352"/>
    <w:rsid w:val="00B35DA2"/>
    <w:rsid w:val="00B36637"/>
    <w:rsid w:val="00B379D1"/>
    <w:rsid w:val="00B40003"/>
    <w:rsid w:val="00B42DAF"/>
    <w:rsid w:val="00B43A97"/>
    <w:rsid w:val="00B45C23"/>
    <w:rsid w:val="00B46F27"/>
    <w:rsid w:val="00B479EF"/>
    <w:rsid w:val="00B47DA9"/>
    <w:rsid w:val="00B5379E"/>
    <w:rsid w:val="00B539EE"/>
    <w:rsid w:val="00B55D4A"/>
    <w:rsid w:val="00B576FA"/>
    <w:rsid w:val="00B613C9"/>
    <w:rsid w:val="00B626CA"/>
    <w:rsid w:val="00B62822"/>
    <w:rsid w:val="00B62958"/>
    <w:rsid w:val="00B62FB1"/>
    <w:rsid w:val="00B63A24"/>
    <w:rsid w:val="00B64201"/>
    <w:rsid w:val="00B65DC1"/>
    <w:rsid w:val="00B6732B"/>
    <w:rsid w:val="00B70960"/>
    <w:rsid w:val="00B70F1B"/>
    <w:rsid w:val="00B71318"/>
    <w:rsid w:val="00B720D9"/>
    <w:rsid w:val="00B7343C"/>
    <w:rsid w:val="00B757DE"/>
    <w:rsid w:val="00B75891"/>
    <w:rsid w:val="00B76603"/>
    <w:rsid w:val="00B76AFF"/>
    <w:rsid w:val="00B77BC7"/>
    <w:rsid w:val="00B81DAD"/>
    <w:rsid w:val="00B81ECC"/>
    <w:rsid w:val="00B82A9C"/>
    <w:rsid w:val="00B82C33"/>
    <w:rsid w:val="00B83DFD"/>
    <w:rsid w:val="00B84344"/>
    <w:rsid w:val="00B849C1"/>
    <w:rsid w:val="00B84BC0"/>
    <w:rsid w:val="00B84BED"/>
    <w:rsid w:val="00B8516C"/>
    <w:rsid w:val="00B856A1"/>
    <w:rsid w:val="00B8720B"/>
    <w:rsid w:val="00B8721B"/>
    <w:rsid w:val="00B87359"/>
    <w:rsid w:val="00B91476"/>
    <w:rsid w:val="00B92666"/>
    <w:rsid w:val="00B952A8"/>
    <w:rsid w:val="00B95B0C"/>
    <w:rsid w:val="00BA0563"/>
    <w:rsid w:val="00BA19C5"/>
    <w:rsid w:val="00BA353E"/>
    <w:rsid w:val="00BA3AAE"/>
    <w:rsid w:val="00BA58B6"/>
    <w:rsid w:val="00BA62D7"/>
    <w:rsid w:val="00BA6505"/>
    <w:rsid w:val="00BA72BB"/>
    <w:rsid w:val="00BB008B"/>
    <w:rsid w:val="00BB09C0"/>
    <w:rsid w:val="00BB0AA4"/>
    <w:rsid w:val="00BB113F"/>
    <w:rsid w:val="00BB32B7"/>
    <w:rsid w:val="00BB4104"/>
    <w:rsid w:val="00BB443A"/>
    <w:rsid w:val="00BB4BC0"/>
    <w:rsid w:val="00BB6DEC"/>
    <w:rsid w:val="00BB7113"/>
    <w:rsid w:val="00BC059D"/>
    <w:rsid w:val="00BC0BCE"/>
    <w:rsid w:val="00BC146C"/>
    <w:rsid w:val="00BC2F25"/>
    <w:rsid w:val="00BC3CDE"/>
    <w:rsid w:val="00BC7379"/>
    <w:rsid w:val="00BD056A"/>
    <w:rsid w:val="00BD2447"/>
    <w:rsid w:val="00BD5B99"/>
    <w:rsid w:val="00BD5FFF"/>
    <w:rsid w:val="00BD6DE2"/>
    <w:rsid w:val="00BD719C"/>
    <w:rsid w:val="00BE000B"/>
    <w:rsid w:val="00BE1556"/>
    <w:rsid w:val="00BE18DF"/>
    <w:rsid w:val="00BE3407"/>
    <w:rsid w:val="00BE415E"/>
    <w:rsid w:val="00BE56D5"/>
    <w:rsid w:val="00BE5B7F"/>
    <w:rsid w:val="00BE60B4"/>
    <w:rsid w:val="00BF0076"/>
    <w:rsid w:val="00BF06B2"/>
    <w:rsid w:val="00BF0728"/>
    <w:rsid w:val="00BF2D4A"/>
    <w:rsid w:val="00BF31AF"/>
    <w:rsid w:val="00BF3818"/>
    <w:rsid w:val="00BF51F0"/>
    <w:rsid w:val="00BF77B7"/>
    <w:rsid w:val="00C04188"/>
    <w:rsid w:val="00C05348"/>
    <w:rsid w:val="00C0584C"/>
    <w:rsid w:val="00C0625B"/>
    <w:rsid w:val="00C07F57"/>
    <w:rsid w:val="00C11C5D"/>
    <w:rsid w:val="00C1278D"/>
    <w:rsid w:val="00C132B4"/>
    <w:rsid w:val="00C13FA5"/>
    <w:rsid w:val="00C1413E"/>
    <w:rsid w:val="00C1469E"/>
    <w:rsid w:val="00C146F2"/>
    <w:rsid w:val="00C15834"/>
    <w:rsid w:val="00C158AF"/>
    <w:rsid w:val="00C178AF"/>
    <w:rsid w:val="00C17D9B"/>
    <w:rsid w:val="00C2101D"/>
    <w:rsid w:val="00C21656"/>
    <w:rsid w:val="00C22585"/>
    <w:rsid w:val="00C24495"/>
    <w:rsid w:val="00C24CA7"/>
    <w:rsid w:val="00C24CF2"/>
    <w:rsid w:val="00C267B7"/>
    <w:rsid w:val="00C318B3"/>
    <w:rsid w:val="00C3339A"/>
    <w:rsid w:val="00C33B5F"/>
    <w:rsid w:val="00C3401F"/>
    <w:rsid w:val="00C34AB6"/>
    <w:rsid w:val="00C3699E"/>
    <w:rsid w:val="00C36B43"/>
    <w:rsid w:val="00C4037E"/>
    <w:rsid w:val="00C40BCB"/>
    <w:rsid w:val="00C427E4"/>
    <w:rsid w:val="00C42B16"/>
    <w:rsid w:val="00C42B5A"/>
    <w:rsid w:val="00C439A1"/>
    <w:rsid w:val="00C44079"/>
    <w:rsid w:val="00C440A0"/>
    <w:rsid w:val="00C44E63"/>
    <w:rsid w:val="00C4512A"/>
    <w:rsid w:val="00C458D9"/>
    <w:rsid w:val="00C45AD8"/>
    <w:rsid w:val="00C50302"/>
    <w:rsid w:val="00C50BED"/>
    <w:rsid w:val="00C51910"/>
    <w:rsid w:val="00C53059"/>
    <w:rsid w:val="00C57379"/>
    <w:rsid w:val="00C5753E"/>
    <w:rsid w:val="00C575C3"/>
    <w:rsid w:val="00C578BF"/>
    <w:rsid w:val="00C6051A"/>
    <w:rsid w:val="00C646C9"/>
    <w:rsid w:val="00C64F13"/>
    <w:rsid w:val="00C653A6"/>
    <w:rsid w:val="00C65578"/>
    <w:rsid w:val="00C657F0"/>
    <w:rsid w:val="00C66346"/>
    <w:rsid w:val="00C67B78"/>
    <w:rsid w:val="00C71448"/>
    <w:rsid w:val="00C721D9"/>
    <w:rsid w:val="00C746DD"/>
    <w:rsid w:val="00C74E6D"/>
    <w:rsid w:val="00C752C6"/>
    <w:rsid w:val="00C765E6"/>
    <w:rsid w:val="00C76954"/>
    <w:rsid w:val="00C76FDC"/>
    <w:rsid w:val="00C81739"/>
    <w:rsid w:val="00C8406F"/>
    <w:rsid w:val="00C84568"/>
    <w:rsid w:val="00C84753"/>
    <w:rsid w:val="00C85654"/>
    <w:rsid w:val="00C87543"/>
    <w:rsid w:val="00C91223"/>
    <w:rsid w:val="00C921AC"/>
    <w:rsid w:val="00C923BB"/>
    <w:rsid w:val="00C954E6"/>
    <w:rsid w:val="00C957DB"/>
    <w:rsid w:val="00C973CC"/>
    <w:rsid w:val="00CA0B47"/>
    <w:rsid w:val="00CA0F92"/>
    <w:rsid w:val="00CA2925"/>
    <w:rsid w:val="00CA376D"/>
    <w:rsid w:val="00CA3C2D"/>
    <w:rsid w:val="00CA5669"/>
    <w:rsid w:val="00CA72E8"/>
    <w:rsid w:val="00CA7E9D"/>
    <w:rsid w:val="00CB07D0"/>
    <w:rsid w:val="00CB1177"/>
    <w:rsid w:val="00CB1422"/>
    <w:rsid w:val="00CB1F52"/>
    <w:rsid w:val="00CB23A7"/>
    <w:rsid w:val="00CB508D"/>
    <w:rsid w:val="00CB63FA"/>
    <w:rsid w:val="00CC164B"/>
    <w:rsid w:val="00CC4627"/>
    <w:rsid w:val="00CC5311"/>
    <w:rsid w:val="00CC55F1"/>
    <w:rsid w:val="00CC6810"/>
    <w:rsid w:val="00CC77AA"/>
    <w:rsid w:val="00CC7D2D"/>
    <w:rsid w:val="00CD03FC"/>
    <w:rsid w:val="00CD206D"/>
    <w:rsid w:val="00CD2C82"/>
    <w:rsid w:val="00CD6B41"/>
    <w:rsid w:val="00CE265F"/>
    <w:rsid w:val="00CE2D53"/>
    <w:rsid w:val="00CE44E9"/>
    <w:rsid w:val="00CE4911"/>
    <w:rsid w:val="00CE65A4"/>
    <w:rsid w:val="00CE6BFB"/>
    <w:rsid w:val="00CF00DB"/>
    <w:rsid w:val="00CF23DF"/>
    <w:rsid w:val="00CF3AB5"/>
    <w:rsid w:val="00CF7C68"/>
    <w:rsid w:val="00D00359"/>
    <w:rsid w:val="00D01849"/>
    <w:rsid w:val="00D02BEC"/>
    <w:rsid w:val="00D02FB4"/>
    <w:rsid w:val="00D03965"/>
    <w:rsid w:val="00D051B9"/>
    <w:rsid w:val="00D0647C"/>
    <w:rsid w:val="00D10961"/>
    <w:rsid w:val="00D10A11"/>
    <w:rsid w:val="00D10DDD"/>
    <w:rsid w:val="00D11665"/>
    <w:rsid w:val="00D11ACF"/>
    <w:rsid w:val="00D120CD"/>
    <w:rsid w:val="00D131F0"/>
    <w:rsid w:val="00D140E5"/>
    <w:rsid w:val="00D1434B"/>
    <w:rsid w:val="00D16B3E"/>
    <w:rsid w:val="00D1774A"/>
    <w:rsid w:val="00D17AB9"/>
    <w:rsid w:val="00D20792"/>
    <w:rsid w:val="00D24C34"/>
    <w:rsid w:val="00D24F35"/>
    <w:rsid w:val="00D27BA0"/>
    <w:rsid w:val="00D300AC"/>
    <w:rsid w:val="00D30336"/>
    <w:rsid w:val="00D309E2"/>
    <w:rsid w:val="00D312D4"/>
    <w:rsid w:val="00D31FD3"/>
    <w:rsid w:val="00D327DF"/>
    <w:rsid w:val="00D32845"/>
    <w:rsid w:val="00D3379F"/>
    <w:rsid w:val="00D37875"/>
    <w:rsid w:val="00D40F21"/>
    <w:rsid w:val="00D415FA"/>
    <w:rsid w:val="00D42C7B"/>
    <w:rsid w:val="00D476A2"/>
    <w:rsid w:val="00D54950"/>
    <w:rsid w:val="00D54F4A"/>
    <w:rsid w:val="00D551B8"/>
    <w:rsid w:val="00D553EA"/>
    <w:rsid w:val="00D55B51"/>
    <w:rsid w:val="00D6089C"/>
    <w:rsid w:val="00D60ABF"/>
    <w:rsid w:val="00D61381"/>
    <w:rsid w:val="00D6141D"/>
    <w:rsid w:val="00D632D0"/>
    <w:rsid w:val="00D63972"/>
    <w:rsid w:val="00D64D82"/>
    <w:rsid w:val="00D64E61"/>
    <w:rsid w:val="00D66A15"/>
    <w:rsid w:val="00D66D2E"/>
    <w:rsid w:val="00D66DF3"/>
    <w:rsid w:val="00D670F4"/>
    <w:rsid w:val="00D71868"/>
    <w:rsid w:val="00D723FD"/>
    <w:rsid w:val="00D744D2"/>
    <w:rsid w:val="00D7452D"/>
    <w:rsid w:val="00D74CAB"/>
    <w:rsid w:val="00D74CD0"/>
    <w:rsid w:val="00D74E4D"/>
    <w:rsid w:val="00D75BD8"/>
    <w:rsid w:val="00D777B6"/>
    <w:rsid w:val="00D80910"/>
    <w:rsid w:val="00D8134A"/>
    <w:rsid w:val="00D816AF"/>
    <w:rsid w:val="00D81DD8"/>
    <w:rsid w:val="00D826DD"/>
    <w:rsid w:val="00D82909"/>
    <w:rsid w:val="00D82926"/>
    <w:rsid w:val="00D8426C"/>
    <w:rsid w:val="00D843ED"/>
    <w:rsid w:val="00D847B5"/>
    <w:rsid w:val="00D86D08"/>
    <w:rsid w:val="00D90C22"/>
    <w:rsid w:val="00D90CDC"/>
    <w:rsid w:val="00D915F1"/>
    <w:rsid w:val="00D916F0"/>
    <w:rsid w:val="00D91E83"/>
    <w:rsid w:val="00D925BF"/>
    <w:rsid w:val="00D93353"/>
    <w:rsid w:val="00D934BC"/>
    <w:rsid w:val="00D93CB3"/>
    <w:rsid w:val="00D94097"/>
    <w:rsid w:val="00D966DF"/>
    <w:rsid w:val="00D97731"/>
    <w:rsid w:val="00DA061E"/>
    <w:rsid w:val="00DA1058"/>
    <w:rsid w:val="00DA174C"/>
    <w:rsid w:val="00DA182C"/>
    <w:rsid w:val="00DA205D"/>
    <w:rsid w:val="00DA2B7D"/>
    <w:rsid w:val="00DA3036"/>
    <w:rsid w:val="00DA357A"/>
    <w:rsid w:val="00DA3CFF"/>
    <w:rsid w:val="00DA60B7"/>
    <w:rsid w:val="00DA7164"/>
    <w:rsid w:val="00DB1185"/>
    <w:rsid w:val="00DB34E1"/>
    <w:rsid w:val="00DB3BA8"/>
    <w:rsid w:val="00DB40AD"/>
    <w:rsid w:val="00DB4320"/>
    <w:rsid w:val="00DB5E8E"/>
    <w:rsid w:val="00DB754E"/>
    <w:rsid w:val="00DB7AFD"/>
    <w:rsid w:val="00DC2C4E"/>
    <w:rsid w:val="00DC350C"/>
    <w:rsid w:val="00DC51E4"/>
    <w:rsid w:val="00DC573F"/>
    <w:rsid w:val="00DC5B59"/>
    <w:rsid w:val="00DC74EE"/>
    <w:rsid w:val="00DD1368"/>
    <w:rsid w:val="00DD34A8"/>
    <w:rsid w:val="00DD394D"/>
    <w:rsid w:val="00DD3CB0"/>
    <w:rsid w:val="00DD4D10"/>
    <w:rsid w:val="00DD5C3C"/>
    <w:rsid w:val="00DD70A8"/>
    <w:rsid w:val="00DD7584"/>
    <w:rsid w:val="00DE054F"/>
    <w:rsid w:val="00DE0D35"/>
    <w:rsid w:val="00DE0DB7"/>
    <w:rsid w:val="00DE3F6F"/>
    <w:rsid w:val="00DE4898"/>
    <w:rsid w:val="00DE53CD"/>
    <w:rsid w:val="00DE7AFF"/>
    <w:rsid w:val="00DF2089"/>
    <w:rsid w:val="00DF2366"/>
    <w:rsid w:val="00DF2574"/>
    <w:rsid w:val="00DF28F5"/>
    <w:rsid w:val="00DF439F"/>
    <w:rsid w:val="00DF5293"/>
    <w:rsid w:val="00DF7C85"/>
    <w:rsid w:val="00E01570"/>
    <w:rsid w:val="00E034AA"/>
    <w:rsid w:val="00E03CE2"/>
    <w:rsid w:val="00E043D3"/>
    <w:rsid w:val="00E05913"/>
    <w:rsid w:val="00E05C1E"/>
    <w:rsid w:val="00E05E2C"/>
    <w:rsid w:val="00E070B5"/>
    <w:rsid w:val="00E10C1D"/>
    <w:rsid w:val="00E11D6D"/>
    <w:rsid w:val="00E13804"/>
    <w:rsid w:val="00E1395A"/>
    <w:rsid w:val="00E13C62"/>
    <w:rsid w:val="00E1463B"/>
    <w:rsid w:val="00E20B3F"/>
    <w:rsid w:val="00E20D07"/>
    <w:rsid w:val="00E214BF"/>
    <w:rsid w:val="00E23826"/>
    <w:rsid w:val="00E24247"/>
    <w:rsid w:val="00E27755"/>
    <w:rsid w:val="00E30852"/>
    <w:rsid w:val="00E31480"/>
    <w:rsid w:val="00E31AF9"/>
    <w:rsid w:val="00E355E1"/>
    <w:rsid w:val="00E3563F"/>
    <w:rsid w:val="00E36741"/>
    <w:rsid w:val="00E37364"/>
    <w:rsid w:val="00E406CB"/>
    <w:rsid w:val="00E4099A"/>
    <w:rsid w:val="00E40A8C"/>
    <w:rsid w:val="00E42EEE"/>
    <w:rsid w:val="00E45CCC"/>
    <w:rsid w:val="00E46ACE"/>
    <w:rsid w:val="00E472A7"/>
    <w:rsid w:val="00E47934"/>
    <w:rsid w:val="00E501AB"/>
    <w:rsid w:val="00E50D3F"/>
    <w:rsid w:val="00E51993"/>
    <w:rsid w:val="00E5375F"/>
    <w:rsid w:val="00E55231"/>
    <w:rsid w:val="00E55E1A"/>
    <w:rsid w:val="00E575D2"/>
    <w:rsid w:val="00E61898"/>
    <w:rsid w:val="00E63C59"/>
    <w:rsid w:val="00E655E0"/>
    <w:rsid w:val="00E668FC"/>
    <w:rsid w:val="00E67C7C"/>
    <w:rsid w:val="00E70469"/>
    <w:rsid w:val="00E70D31"/>
    <w:rsid w:val="00E7248F"/>
    <w:rsid w:val="00E72565"/>
    <w:rsid w:val="00E739F9"/>
    <w:rsid w:val="00E73E75"/>
    <w:rsid w:val="00E77D88"/>
    <w:rsid w:val="00E81189"/>
    <w:rsid w:val="00E813E8"/>
    <w:rsid w:val="00E8176A"/>
    <w:rsid w:val="00E82C85"/>
    <w:rsid w:val="00E83373"/>
    <w:rsid w:val="00E8412B"/>
    <w:rsid w:val="00E847F9"/>
    <w:rsid w:val="00E84E71"/>
    <w:rsid w:val="00E84EB9"/>
    <w:rsid w:val="00E84FDE"/>
    <w:rsid w:val="00E8777B"/>
    <w:rsid w:val="00E9049D"/>
    <w:rsid w:val="00E90E65"/>
    <w:rsid w:val="00E91B99"/>
    <w:rsid w:val="00E92791"/>
    <w:rsid w:val="00E9386A"/>
    <w:rsid w:val="00E94C96"/>
    <w:rsid w:val="00E971C6"/>
    <w:rsid w:val="00E97C3A"/>
    <w:rsid w:val="00EA15EC"/>
    <w:rsid w:val="00EA1663"/>
    <w:rsid w:val="00EA213E"/>
    <w:rsid w:val="00EA247C"/>
    <w:rsid w:val="00EA3E54"/>
    <w:rsid w:val="00EA49A7"/>
    <w:rsid w:val="00EA57A5"/>
    <w:rsid w:val="00EB02D0"/>
    <w:rsid w:val="00EB1075"/>
    <w:rsid w:val="00EB2C51"/>
    <w:rsid w:val="00EB3323"/>
    <w:rsid w:val="00EB548F"/>
    <w:rsid w:val="00EB76DE"/>
    <w:rsid w:val="00EC0C00"/>
    <w:rsid w:val="00EC17B0"/>
    <w:rsid w:val="00EC438C"/>
    <w:rsid w:val="00EC5C6F"/>
    <w:rsid w:val="00EC74FD"/>
    <w:rsid w:val="00EC7FBA"/>
    <w:rsid w:val="00ED09C0"/>
    <w:rsid w:val="00ED1047"/>
    <w:rsid w:val="00ED21FD"/>
    <w:rsid w:val="00ED24A5"/>
    <w:rsid w:val="00ED37E8"/>
    <w:rsid w:val="00ED6CDF"/>
    <w:rsid w:val="00EE0AE3"/>
    <w:rsid w:val="00EE19FE"/>
    <w:rsid w:val="00EE296B"/>
    <w:rsid w:val="00EF33C7"/>
    <w:rsid w:val="00EF4CD3"/>
    <w:rsid w:val="00EF5A94"/>
    <w:rsid w:val="00EF7FAB"/>
    <w:rsid w:val="00F02A95"/>
    <w:rsid w:val="00F03E95"/>
    <w:rsid w:val="00F03EC1"/>
    <w:rsid w:val="00F048CB"/>
    <w:rsid w:val="00F05750"/>
    <w:rsid w:val="00F0749A"/>
    <w:rsid w:val="00F07712"/>
    <w:rsid w:val="00F1419B"/>
    <w:rsid w:val="00F156E3"/>
    <w:rsid w:val="00F16907"/>
    <w:rsid w:val="00F16C37"/>
    <w:rsid w:val="00F20520"/>
    <w:rsid w:val="00F20983"/>
    <w:rsid w:val="00F21239"/>
    <w:rsid w:val="00F21997"/>
    <w:rsid w:val="00F221F9"/>
    <w:rsid w:val="00F223A2"/>
    <w:rsid w:val="00F23DE7"/>
    <w:rsid w:val="00F2404D"/>
    <w:rsid w:val="00F24B28"/>
    <w:rsid w:val="00F26F4B"/>
    <w:rsid w:val="00F3070E"/>
    <w:rsid w:val="00F30FA9"/>
    <w:rsid w:val="00F311E8"/>
    <w:rsid w:val="00F314EF"/>
    <w:rsid w:val="00F32364"/>
    <w:rsid w:val="00F32376"/>
    <w:rsid w:val="00F34776"/>
    <w:rsid w:val="00F34B1C"/>
    <w:rsid w:val="00F3607A"/>
    <w:rsid w:val="00F362A6"/>
    <w:rsid w:val="00F3653C"/>
    <w:rsid w:val="00F36939"/>
    <w:rsid w:val="00F377EB"/>
    <w:rsid w:val="00F37A00"/>
    <w:rsid w:val="00F37E93"/>
    <w:rsid w:val="00F41A10"/>
    <w:rsid w:val="00F43309"/>
    <w:rsid w:val="00F438A8"/>
    <w:rsid w:val="00F441BB"/>
    <w:rsid w:val="00F45EE0"/>
    <w:rsid w:val="00F4782F"/>
    <w:rsid w:val="00F50592"/>
    <w:rsid w:val="00F5176E"/>
    <w:rsid w:val="00F52E6E"/>
    <w:rsid w:val="00F5306A"/>
    <w:rsid w:val="00F53376"/>
    <w:rsid w:val="00F53D71"/>
    <w:rsid w:val="00F55130"/>
    <w:rsid w:val="00F5537C"/>
    <w:rsid w:val="00F56A32"/>
    <w:rsid w:val="00F5757E"/>
    <w:rsid w:val="00F579F0"/>
    <w:rsid w:val="00F57CC5"/>
    <w:rsid w:val="00F60824"/>
    <w:rsid w:val="00F61AA0"/>
    <w:rsid w:val="00F63352"/>
    <w:rsid w:val="00F6392D"/>
    <w:rsid w:val="00F63F2C"/>
    <w:rsid w:val="00F64174"/>
    <w:rsid w:val="00F6423D"/>
    <w:rsid w:val="00F6436E"/>
    <w:rsid w:val="00F6674A"/>
    <w:rsid w:val="00F70CC9"/>
    <w:rsid w:val="00F725FE"/>
    <w:rsid w:val="00F746FA"/>
    <w:rsid w:val="00F75C01"/>
    <w:rsid w:val="00F77652"/>
    <w:rsid w:val="00F80971"/>
    <w:rsid w:val="00F80A72"/>
    <w:rsid w:val="00F80B23"/>
    <w:rsid w:val="00F813CF"/>
    <w:rsid w:val="00F81696"/>
    <w:rsid w:val="00F820EF"/>
    <w:rsid w:val="00F82871"/>
    <w:rsid w:val="00F82C37"/>
    <w:rsid w:val="00F8381E"/>
    <w:rsid w:val="00F8569F"/>
    <w:rsid w:val="00F86439"/>
    <w:rsid w:val="00F86842"/>
    <w:rsid w:val="00F868C2"/>
    <w:rsid w:val="00F90592"/>
    <w:rsid w:val="00F914CD"/>
    <w:rsid w:val="00F91781"/>
    <w:rsid w:val="00F953C0"/>
    <w:rsid w:val="00FA3CBC"/>
    <w:rsid w:val="00FA4717"/>
    <w:rsid w:val="00FA5154"/>
    <w:rsid w:val="00FA5626"/>
    <w:rsid w:val="00FA610C"/>
    <w:rsid w:val="00FA6A9D"/>
    <w:rsid w:val="00FB0628"/>
    <w:rsid w:val="00FB08F7"/>
    <w:rsid w:val="00FB09A4"/>
    <w:rsid w:val="00FB21BC"/>
    <w:rsid w:val="00FB6FBC"/>
    <w:rsid w:val="00FC38BE"/>
    <w:rsid w:val="00FC4A17"/>
    <w:rsid w:val="00FC4E13"/>
    <w:rsid w:val="00FC7BBF"/>
    <w:rsid w:val="00FD06FF"/>
    <w:rsid w:val="00FD1B85"/>
    <w:rsid w:val="00FD2743"/>
    <w:rsid w:val="00FD2D4D"/>
    <w:rsid w:val="00FD34B6"/>
    <w:rsid w:val="00FD4EFD"/>
    <w:rsid w:val="00FD6421"/>
    <w:rsid w:val="00FD6B46"/>
    <w:rsid w:val="00FE1571"/>
    <w:rsid w:val="00FE1BEA"/>
    <w:rsid w:val="00FE2A48"/>
    <w:rsid w:val="00FE4732"/>
    <w:rsid w:val="00FE47A7"/>
    <w:rsid w:val="00FE65F9"/>
    <w:rsid w:val="00FE6D3E"/>
    <w:rsid w:val="00FF00E8"/>
    <w:rsid w:val="00FF1149"/>
    <w:rsid w:val="00FF19D3"/>
    <w:rsid w:val="00FF37A5"/>
    <w:rsid w:val="00FF50FA"/>
    <w:rsid w:val="00FF511B"/>
    <w:rsid w:val="00FF58A9"/>
    <w:rsid w:val="00FF6F6B"/>
    <w:rsid w:val="00FF7BA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93C460"/>
  <w14:defaultImageDpi w14:val="300"/>
  <w15:docId w15:val="{FAABC555-0B6D-41D1-AA38-0277910C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A33"/>
    <w:rPr>
      <w:rFonts w:ascii="Times New Roman" w:hAnsi="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20D9"/>
    <w:pPr>
      <w:tabs>
        <w:tab w:val="center" w:pos="4320"/>
        <w:tab w:val="right" w:pos="8640"/>
      </w:tabs>
    </w:pPr>
  </w:style>
  <w:style w:type="character" w:customStyle="1" w:styleId="FooterChar">
    <w:name w:val="Footer Char"/>
    <w:basedOn w:val="DefaultParagraphFont"/>
    <w:link w:val="Footer"/>
    <w:uiPriority w:val="99"/>
    <w:rsid w:val="00B720D9"/>
    <w:rPr>
      <w:rFonts w:ascii="Times New Roman" w:hAnsi="Times New Roman"/>
    </w:rPr>
  </w:style>
  <w:style w:type="character" w:styleId="PageNumber">
    <w:name w:val="page number"/>
    <w:basedOn w:val="DefaultParagraphFont"/>
    <w:uiPriority w:val="99"/>
    <w:semiHidden/>
    <w:unhideWhenUsed/>
    <w:rsid w:val="00B720D9"/>
  </w:style>
  <w:style w:type="paragraph" w:styleId="ListParagraph">
    <w:name w:val="List Paragraph"/>
    <w:basedOn w:val="Normal"/>
    <w:uiPriority w:val="34"/>
    <w:qFormat/>
    <w:rsid w:val="00DD394D"/>
    <w:pPr>
      <w:ind w:left="720"/>
      <w:contextualSpacing/>
    </w:pPr>
  </w:style>
  <w:style w:type="paragraph" w:styleId="EndnoteText">
    <w:name w:val="endnote text"/>
    <w:basedOn w:val="Normal"/>
    <w:link w:val="EndnoteTextChar"/>
    <w:uiPriority w:val="99"/>
    <w:unhideWhenUsed/>
    <w:rsid w:val="006C2C1C"/>
  </w:style>
  <w:style w:type="character" w:customStyle="1" w:styleId="EndnoteTextChar">
    <w:name w:val="Endnote Text Char"/>
    <w:basedOn w:val="DefaultParagraphFont"/>
    <w:link w:val="EndnoteText"/>
    <w:uiPriority w:val="99"/>
    <w:rsid w:val="006C2C1C"/>
    <w:rPr>
      <w:rFonts w:ascii="Times New Roman" w:hAnsi="Times New Roman"/>
    </w:rPr>
  </w:style>
  <w:style w:type="character" w:styleId="EndnoteReference">
    <w:name w:val="endnote reference"/>
    <w:basedOn w:val="DefaultParagraphFont"/>
    <w:uiPriority w:val="99"/>
    <w:unhideWhenUsed/>
    <w:rsid w:val="006C2C1C"/>
    <w:rPr>
      <w:vertAlign w:val="superscript"/>
    </w:rPr>
  </w:style>
  <w:style w:type="character" w:styleId="HTMLCite">
    <w:name w:val="HTML Cite"/>
    <w:basedOn w:val="DefaultParagraphFont"/>
    <w:uiPriority w:val="99"/>
    <w:semiHidden/>
    <w:unhideWhenUsed/>
    <w:rsid w:val="00FE2A48"/>
    <w:rPr>
      <w:i/>
      <w:iCs/>
    </w:rPr>
  </w:style>
  <w:style w:type="character" w:styleId="Hyperlink">
    <w:name w:val="Hyperlink"/>
    <w:basedOn w:val="DefaultParagraphFont"/>
    <w:uiPriority w:val="99"/>
    <w:unhideWhenUsed/>
    <w:rsid w:val="00C91223"/>
    <w:rPr>
      <w:color w:val="0000FF" w:themeColor="hyperlink"/>
      <w:u w:val="single"/>
    </w:rPr>
  </w:style>
  <w:style w:type="table" w:styleId="TableGrid">
    <w:name w:val="Table Grid"/>
    <w:basedOn w:val="TableNormal"/>
    <w:uiPriority w:val="59"/>
    <w:rsid w:val="00412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2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doi.org/10.7790/ajtde.v2n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A7C18CD07E0741899FB18159272771" ma:contentTypeVersion="0" ma:contentTypeDescription="Create a new document." ma:contentTypeScope="" ma:versionID="2f37dc0c4e1beec3308b40c2de82df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0B513-1E6F-4B5B-AC2B-4D551B69301E}">
  <ds:schemaRefs>
    <ds:schemaRef ds:uri="http://schemas.microsoft.com/sharepoint/v3/contenttype/forms"/>
  </ds:schemaRefs>
</ds:datastoreItem>
</file>

<file path=customXml/itemProps2.xml><?xml version="1.0" encoding="utf-8"?>
<ds:datastoreItem xmlns:ds="http://schemas.openxmlformats.org/officeDocument/2006/customXml" ds:itemID="{A3C2AF69-2EB0-48E9-92E6-C7FFC7A3C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7858E1-E606-47CC-B269-E513F9A3DC2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D828843-DFAB-4D7F-AF94-4EF1D24C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16</Pages>
  <Words>3830</Words>
  <Characters>21837</Characters>
  <Application>Microsoft Office Word</Application>
  <DocSecurity>0</DocSecurity>
  <Lines>181</Lines>
  <Paragraphs>51</Paragraphs>
  <ScaleCrop>false</ScaleCrop>
  <Company>University of Sydney</Company>
  <LinksUpToDate>false</LinksUpToDate>
  <CharactersWithSpaces>25616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Gerard Goggin</dc:creator>
  <cp:keywords/>
  <dc:description/>
  <cp:lastModifiedBy>Raward, Raoul</cp:lastModifiedBy>
  <cp:revision>665</cp:revision>
  <dcterms:created xsi:type="dcterms:W3CDTF">2015-10-25T19:05:00Z</dcterms:created>
  <dcterms:modified xsi:type="dcterms:W3CDTF">2016-05-06T03:40:00Z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0x01010025A7C18CD07E0741899FB18159272771</vt:lpwstr>
  </property>
  <property fmtid="{D5CDD505-2E9C-101B-9397-08002B2CF9AE}" pid="3" name="TrimRevisionNumber">
    <vt:i4>4</vt:i4>
  </property>
</Properties>
</file>