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0D27" w14:textId="77777777" w:rsidR="00C61801" w:rsidRPr="00866A71" w:rsidRDefault="00C61801" w:rsidP="00665016">
      <w:pPr>
        <w:pStyle w:val="DBCDElogo"/>
      </w:pPr>
    </w:p>
    <w:p w14:paraId="1AE0318A" w14:textId="77777777" w:rsidR="00583203" w:rsidRDefault="00583203" w:rsidP="009B3DEC">
      <w:pPr>
        <w:pStyle w:val="Titleheading"/>
        <w:contextualSpacing/>
      </w:pPr>
    </w:p>
    <w:p w14:paraId="25D94098" w14:textId="77777777" w:rsidR="00583203" w:rsidRDefault="00583203" w:rsidP="009B3DEC">
      <w:pPr>
        <w:pStyle w:val="Titleheading"/>
        <w:contextualSpacing/>
      </w:pPr>
    </w:p>
    <w:p w14:paraId="1A8FD4CF" w14:textId="2F2A5F8B" w:rsidR="009B3DEC" w:rsidRDefault="003D3890" w:rsidP="009B3DEC">
      <w:pPr>
        <w:pStyle w:val="Titleheading"/>
        <w:contextualSpacing/>
      </w:pPr>
      <w:r>
        <w:t>Review</w:t>
      </w:r>
      <w:r w:rsidR="00DE68EA">
        <w:t xml:space="preserve"> of the Australian Communications and Media Authority</w:t>
      </w:r>
    </w:p>
    <w:p w14:paraId="1AE3D345" w14:textId="77777777" w:rsidR="009B3DEC" w:rsidRDefault="003D3890" w:rsidP="009B3DEC">
      <w:pPr>
        <w:pStyle w:val="Titlesub-heading"/>
      </w:pPr>
      <w:r>
        <w:t>Issues Paper</w:t>
      </w:r>
    </w:p>
    <w:p w14:paraId="312CB387" w14:textId="621C137D" w:rsidR="009B3DEC" w:rsidRDefault="003D3890" w:rsidP="009B3DEC">
      <w:pPr>
        <w:pStyle w:val="Titledate"/>
      </w:pPr>
      <w:r>
        <w:t>July</w:t>
      </w:r>
      <w:r w:rsidR="009B3DEC">
        <w:t xml:space="preserve"> </w:t>
      </w:r>
      <w:r w:rsidR="00DE68EA">
        <w:t>2015</w:t>
      </w:r>
    </w:p>
    <w:p w14:paraId="1AF01FBE" w14:textId="77777777" w:rsidR="009C1549" w:rsidRPr="00866A71" w:rsidRDefault="009C1549" w:rsidP="00BA5622">
      <w:pPr>
        <w:pStyle w:val="BodyText"/>
      </w:pPr>
    </w:p>
    <w:p w14:paraId="08FE881E" w14:textId="77777777" w:rsidR="002F3D38" w:rsidRDefault="00C61801" w:rsidP="008A135A">
      <w:r>
        <w:br w:type="page"/>
      </w:r>
    </w:p>
    <w:p w14:paraId="27B898B1" w14:textId="77777777" w:rsidR="008A135A" w:rsidRDefault="008A135A" w:rsidP="006241BB">
      <w:pPr>
        <w:pStyle w:val="copyrighttextStyles"/>
      </w:pPr>
    </w:p>
    <w:p w14:paraId="6FC67974" w14:textId="77777777" w:rsidR="00F818F8" w:rsidRDefault="00F818F8" w:rsidP="00F818F8">
      <w:pPr>
        <w:pStyle w:val="copyrightHeading2Styles"/>
      </w:pPr>
      <w:r>
        <w:t>Disclaimer</w:t>
      </w:r>
    </w:p>
    <w:p w14:paraId="2C2E53B6" w14:textId="4D24DB88" w:rsidR="001C5FDD" w:rsidRDefault="001C5FDD" w:rsidP="001C5FDD">
      <w:pPr>
        <w:pStyle w:val="copyrighttextStyles"/>
      </w:pPr>
      <w:r w:rsidRPr="001C5FDD">
        <w:t xml:space="preserve">The material in this </w:t>
      </w:r>
      <w:r w:rsidR="00235B90">
        <w:t>issues</w:t>
      </w:r>
      <w:r w:rsidRPr="001C5FDD">
        <w:t xml:space="preserve">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084E3307" w14:textId="522B6BA5" w:rsidR="001C5FDD" w:rsidRPr="001C5FDD" w:rsidRDefault="001C5FDD" w:rsidP="001C5FDD">
      <w:pPr>
        <w:pStyle w:val="copyrighttextStyles"/>
      </w:pPr>
      <w:r w:rsidRPr="001C5FDD">
        <w:t xml:space="preserve">The Commonwealth accepts no responsibility or liability for any damage, loss or expense incurred as a result of the reliance on information contained in this </w:t>
      </w:r>
      <w:r w:rsidR="00235B90">
        <w:t>issues</w:t>
      </w:r>
      <w:r w:rsidRPr="001C5FDD">
        <w:t xml:space="preserve"> paper.</w:t>
      </w:r>
    </w:p>
    <w:p w14:paraId="3B085914" w14:textId="3C65C344" w:rsidR="00F818F8" w:rsidRPr="00F818F8" w:rsidRDefault="001C5FDD" w:rsidP="001C5FDD">
      <w:pPr>
        <w:pStyle w:val="copyrighttextStyles"/>
      </w:pPr>
      <w:r w:rsidRPr="001C5FDD">
        <w:t xml:space="preserve">This </w:t>
      </w:r>
      <w:r w:rsidR="00235B90">
        <w:t>issues</w:t>
      </w:r>
      <w:r w:rsidRPr="001C5FDD">
        <w:t xml:space="preserve"> paper has been prepared for consultation purposes only and does not indicate the Commonwealth’s commitment to a particular course of action. Additionally, any third party views or recommendations included in this </w:t>
      </w:r>
      <w:r w:rsidR="00235B90">
        <w:t>issues</w:t>
      </w:r>
      <w:r w:rsidRPr="001C5FDD">
        <w:t xml:space="preserve"> paper do not reflect the views of the Commonwealth, or indicate its commitment to a particular course of action.</w:t>
      </w:r>
    </w:p>
    <w:p w14:paraId="4A4E1D52" w14:textId="77777777" w:rsidR="00F41987" w:rsidRDefault="00F41987" w:rsidP="006241BB">
      <w:pPr>
        <w:pStyle w:val="copyrightHeading2Styles"/>
        <w:rPr>
          <w:lang w:eastAsia="en-AU"/>
        </w:rPr>
      </w:pPr>
      <w:r>
        <w:rPr>
          <w:lang w:eastAsia="en-AU"/>
        </w:rPr>
        <w:t>Copyright</w:t>
      </w:r>
    </w:p>
    <w:p w14:paraId="31C7B073" w14:textId="5F266DDE" w:rsidR="00F41987" w:rsidRDefault="00F41987" w:rsidP="006241BB">
      <w:pPr>
        <w:pStyle w:val="copyrighttextStyles"/>
        <w:rPr>
          <w:rFonts w:ascii="Calibri" w:hAnsi="Calibri" w:cs="Calibri"/>
          <w:color w:val="auto"/>
          <w:lang w:eastAsia="en-AU"/>
        </w:rPr>
      </w:pPr>
      <w:bookmarkStart w:id="0" w:name="_Toc356292516"/>
      <w:r>
        <w:rPr>
          <w:lang w:eastAsia="en-AU"/>
        </w:rPr>
        <w:t xml:space="preserve">© Commonwealth of Australia </w:t>
      </w:r>
      <w:bookmarkEnd w:id="0"/>
      <w:r>
        <w:rPr>
          <w:lang w:eastAsia="en-AU"/>
        </w:rPr>
        <w:t>201</w:t>
      </w:r>
      <w:r w:rsidR="000D4420">
        <w:rPr>
          <w:lang w:eastAsia="en-AU"/>
        </w:rPr>
        <w:t>5</w:t>
      </w:r>
    </w:p>
    <w:p w14:paraId="54C90790" w14:textId="721FCDAE" w:rsidR="00F41987" w:rsidRDefault="00F41987" w:rsidP="006241BB">
      <w:pPr>
        <w:pStyle w:val="copyrighttextStyles"/>
        <w:rPr>
          <w:lang w:eastAsia="en-AU"/>
        </w:rPr>
      </w:pPr>
      <w:bookmarkStart w:id="1" w:name="_Toc356292517"/>
      <w:r>
        <w:rPr>
          <w:noProof/>
          <w:lang w:eastAsia="en-AU"/>
        </w:rPr>
        <w:drawing>
          <wp:inline distT="0" distB="0" distL="0" distR="0" wp14:anchorId="026B0C49" wp14:editId="5FC2EBD7">
            <wp:extent cx="836930" cy="293370"/>
            <wp:effectExtent l="0" t="0" r="0" b="0"/>
            <wp:docPr id="1" name="Picture 1" descr="cid:image001.jpg@01CF4DB8.C9F87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bookmarkEnd w:id="1"/>
      <w:r>
        <w:rPr>
          <w:lang w:eastAsia="en-AU"/>
        </w:rPr>
        <w:t xml:space="preserve">  The material in this </w:t>
      </w:r>
      <w:r w:rsidR="000D4420">
        <w:rPr>
          <w:lang w:eastAsia="en-AU"/>
        </w:rPr>
        <w:t>issues</w:t>
      </w:r>
      <w:r>
        <w:rPr>
          <w:lang w:eastAsia="en-AU"/>
        </w:rPr>
        <w:t xml:space="preserve"> paper is licensed under a Creative Commons Attribution—3.0 Australia license, with the exception of:</w:t>
      </w:r>
    </w:p>
    <w:p w14:paraId="3F340CB5" w14:textId="77777777" w:rsidR="00F41987" w:rsidRDefault="00F41987" w:rsidP="002A2C02">
      <w:pPr>
        <w:pStyle w:val="copyrighttextStyles"/>
        <w:numPr>
          <w:ilvl w:val="0"/>
          <w:numId w:val="24"/>
        </w:numPr>
        <w:rPr>
          <w:lang w:eastAsia="en-AU"/>
        </w:rPr>
      </w:pPr>
      <w:bookmarkStart w:id="2" w:name="_Toc356292518"/>
      <w:r>
        <w:rPr>
          <w:lang w:eastAsia="en-AU"/>
        </w:rPr>
        <w:t>the Commonwealth Coat of Arms</w:t>
      </w:r>
      <w:bookmarkEnd w:id="2"/>
      <w:r>
        <w:rPr>
          <w:lang w:eastAsia="en-AU"/>
        </w:rPr>
        <w:t>;</w:t>
      </w:r>
    </w:p>
    <w:p w14:paraId="4AD85D16" w14:textId="77777777" w:rsidR="00F41987" w:rsidRDefault="00F41987" w:rsidP="002A2C02">
      <w:pPr>
        <w:pStyle w:val="copyrighttextStyles"/>
        <w:numPr>
          <w:ilvl w:val="0"/>
          <w:numId w:val="24"/>
        </w:numPr>
        <w:rPr>
          <w:lang w:eastAsia="en-AU"/>
        </w:rPr>
      </w:pPr>
      <w:bookmarkStart w:id="3" w:name="_Toc356292519"/>
      <w:r>
        <w:rPr>
          <w:lang w:eastAsia="en-AU"/>
        </w:rPr>
        <w:t>this Department’s logo</w:t>
      </w:r>
      <w:bookmarkEnd w:id="3"/>
      <w:r>
        <w:rPr>
          <w:lang w:eastAsia="en-AU"/>
        </w:rPr>
        <w:t>;</w:t>
      </w:r>
    </w:p>
    <w:p w14:paraId="6977ECF5" w14:textId="77777777" w:rsidR="00F41987" w:rsidRDefault="00F41987" w:rsidP="002A2C02">
      <w:pPr>
        <w:pStyle w:val="copyrighttextStyles"/>
        <w:numPr>
          <w:ilvl w:val="0"/>
          <w:numId w:val="24"/>
        </w:numPr>
        <w:rPr>
          <w:lang w:eastAsia="en-AU"/>
        </w:rPr>
      </w:pPr>
      <w:r>
        <w:rPr>
          <w:lang w:eastAsia="en-AU"/>
        </w:rPr>
        <w:t>any third party material;</w:t>
      </w:r>
    </w:p>
    <w:p w14:paraId="38CA5649" w14:textId="77777777" w:rsidR="00F41987" w:rsidRDefault="00F41987" w:rsidP="002A2C02">
      <w:pPr>
        <w:pStyle w:val="copyrighttextStyles"/>
        <w:numPr>
          <w:ilvl w:val="0"/>
          <w:numId w:val="24"/>
        </w:numPr>
        <w:rPr>
          <w:lang w:eastAsia="en-AU"/>
        </w:rPr>
      </w:pPr>
      <w:r>
        <w:rPr>
          <w:lang w:eastAsia="en-AU"/>
        </w:rPr>
        <w:t>any material protected by a trademark; and</w:t>
      </w:r>
    </w:p>
    <w:p w14:paraId="455CFBD8" w14:textId="77777777" w:rsidR="00F41987" w:rsidRDefault="00F41987" w:rsidP="002A2C02">
      <w:pPr>
        <w:pStyle w:val="copyrighttextStyles"/>
        <w:numPr>
          <w:ilvl w:val="0"/>
          <w:numId w:val="24"/>
        </w:numPr>
        <w:rPr>
          <w:lang w:eastAsia="en-AU"/>
        </w:rPr>
      </w:pPr>
      <w:proofErr w:type="gramStart"/>
      <w:r>
        <w:rPr>
          <w:lang w:eastAsia="en-AU"/>
        </w:rPr>
        <w:t>any</w:t>
      </w:r>
      <w:proofErr w:type="gramEnd"/>
      <w:r>
        <w:rPr>
          <w:lang w:eastAsia="en-AU"/>
        </w:rPr>
        <w:t xml:space="preserve"> images and/or photographs.</w:t>
      </w:r>
    </w:p>
    <w:p w14:paraId="1B3678B2" w14:textId="19490090" w:rsidR="00F41987" w:rsidRPr="006241BB" w:rsidRDefault="00F41987" w:rsidP="006241BB">
      <w:pPr>
        <w:pStyle w:val="copyrighttextStyles"/>
      </w:pPr>
      <w:bookmarkStart w:id="4" w:name="_Toc356292520"/>
      <w:r w:rsidRPr="006241BB">
        <w:t>More information on this CC BY license is set out at</w:t>
      </w:r>
      <w:r w:rsidR="00533634">
        <w:t xml:space="preserve"> the creative commons website:</w:t>
      </w:r>
      <w:r w:rsidRPr="006241BB">
        <w:t xml:space="preserve"> </w:t>
      </w:r>
      <w:bookmarkEnd w:id="4"/>
      <w:r w:rsidR="00235F66">
        <w:fldChar w:fldCharType="begin"/>
      </w:r>
      <w:r w:rsidR="00235F66">
        <w:instrText xml:space="preserve"> HYPERLINK "http://www.creativecommons.org/licenses/by/3.0/au/" </w:instrText>
      </w:r>
      <w:r w:rsidR="00235F66">
        <w:fldChar w:fldCharType="separate"/>
      </w:r>
      <w:r w:rsidRPr="006241BB">
        <w:rPr>
          <w:rStyle w:val="Hyperlink"/>
        </w:rPr>
        <w:t>www.creativecommons.org/licenses/by/3.0/au/</w:t>
      </w:r>
      <w:r w:rsidR="00235F66">
        <w:fldChar w:fldCharType="end"/>
      </w:r>
      <w:r w:rsidR="00533634">
        <w:t>.</w:t>
      </w:r>
      <w:r w:rsidR="00235F66">
        <w:t xml:space="preserve"> </w:t>
      </w:r>
      <w:r w:rsidRPr="006241BB">
        <w:t xml:space="preserve">Enquiries about this license and any use of this </w:t>
      </w:r>
      <w:r w:rsidR="000D4420">
        <w:t>issues</w:t>
      </w:r>
      <w:r w:rsidRPr="006241BB">
        <w:t xml:space="preserve"> paper can be sent to: </w:t>
      </w:r>
      <w:r w:rsidR="000D4420">
        <w:t>Project Office</w:t>
      </w:r>
      <w:r w:rsidRPr="006241BB">
        <w:t>, Department of Communications, GPO Box 2154, Canberra, ACT, 2601.</w:t>
      </w:r>
    </w:p>
    <w:p w14:paraId="13C0F55F" w14:textId="77777777" w:rsidR="00F41987" w:rsidRDefault="00F41987" w:rsidP="006241BB">
      <w:pPr>
        <w:pStyle w:val="copyrighttextStyles"/>
        <w:rPr>
          <w:b/>
          <w:bCs/>
          <w:lang w:eastAsia="en-AU"/>
        </w:rPr>
      </w:pPr>
      <w:bookmarkStart w:id="5" w:name="_Toc356292521"/>
      <w:r>
        <w:rPr>
          <w:b/>
          <w:bCs/>
          <w:lang w:eastAsia="en-AU"/>
        </w:rPr>
        <w:t>Attribution</w:t>
      </w:r>
      <w:bookmarkEnd w:id="5"/>
    </w:p>
    <w:p w14:paraId="6C91F388" w14:textId="77777777" w:rsidR="00F41987" w:rsidRDefault="00F41987" w:rsidP="006241BB">
      <w:pPr>
        <w:pStyle w:val="copyrighttextStyles"/>
        <w:rPr>
          <w:lang w:eastAsia="en-AU"/>
        </w:rPr>
      </w:pPr>
      <w:bookmarkStart w:id="6" w:name="_Toc356292522"/>
      <w:r>
        <w:rPr>
          <w:lang w:eastAsia="en-AU"/>
        </w:rPr>
        <w:t>Use of all or part of this discussion paper must include the following attribution:</w:t>
      </w:r>
      <w:bookmarkEnd w:id="6"/>
    </w:p>
    <w:p w14:paraId="3638A730" w14:textId="1E38D7CD" w:rsidR="00F41987" w:rsidRDefault="00F41987" w:rsidP="00F818F8">
      <w:pPr>
        <w:pStyle w:val="copyrighttextStyles"/>
        <w:ind w:left="720"/>
        <w:rPr>
          <w:lang w:eastAsia="en-AU"/>
        </w:rPr>
      </w:pPr>
      <w:bookmarkStart w:id="7" w:name="_Toc356292523"/>
      <w:r>
        <w:rPr>
          <w:lang w:eastAsia="en-AU"/>
        </w:rPr>
        <w:t xml:space="preserve">© Commonwealth of Australia </w:t>
      </w:r>
      <w:bookmarkEnd w:id="7"/>
      <w:r>
        <w:rPr>
          <w:lang w:eastAsia="en-AU"/>
        </w:rPr>
        <w:t>201</w:t>
      </w:r>
      <w:r w:rsidR="000D4420">
        <w:rPr>
          <w:lang w:eastAsia="en-AU"/>
        </w:rPr>
        <w:t>5</w:t>
      </w:r>
    </w:p>
    <w:p w14:paraId="36729CCD" w14:textId="77777777" w:rsidR="00F41987" w:rsidRDefault="00F41987" w:rsidP="006241BB">
      <w:pPr>
        <w:pStyle w:val="copyrighttextStyles"/>
        <w:rPr>
          <w:b/>
          <w:bCs/>
          <w:lang w:eastAsia="en-AU"/>
        </w:rPr>
      </w:pPr>
      <w:bookmarkStart w:id="8" w:name="_Toc356292524"/>
      <w:r>
        <w:rPr>
          <w:b/>
          <w:bCs/>
          <w:lang w:eastAsia="en-AU"/>
        </w:rPr>
        <w:t>Using the Commonwealth Coat of Arms</w:t>
      </w:r>
      <w:bookmarkEnd w:id="8"/>
    </w:p>
    <w:p w14:paraId="65F63F6F" w14:textId="77777777" w:rsidR="006241BB" w:rsidRPr="006241BB" w:rsidRDefault="00F41987" w:rsidP="006241BB">
      <w:pPr>
        <w:pStyle w:val="copyrighttextStyles"/>
      </w:pPr>
      <w:bookmarkStart w:id="9" w:name="_Toc356292525"/>
      <w:r w:rsidRPr="006241BB">
        <w:t xml:space="preserve">The terms of use for the Coat of Arms are available from the </w:t>
      </w:r>
      <w:r w:rsidRPr="006241BB">
        <w:rPr>
          <w:i/>
        </w:rPr>
        <w:t xml:space="preserve">It’s an Honour </w:t>
      </w:r>
      <w:r w:rsidRPr="006241BB">
        <w:t xml:space="preserve">website </w:t>
      </w:r>
      <w:r w:rsidRPr="006241BB">
        <w:br/>
        <w:t>(</w:t>
      </w:r>
      <w:proofErr w:type="gramStart"/>
      <w:r w:rsidRPr="006241BB">
        <w:t>see</w:t>
      </w:r>
      <w:proofErr w:type="gramEnd"/>
      <w:r w:rsidRPr="006241BB">
        <w:t xml:space="preserve"> </w:t>
      </w:r>
      <w:bookmarkEnd w:id="9"/>
      <w:r w:rsidR="00235F66">
        <w:fldChar w:fldCharType="begin"/>
      </w:r>
      <w:r w:rsidR="00235F66">
        <w:instrText xml:space="preserve"> HYPERLINK "http://www.itsanhonour.gov.au/" </w:instrText>
      </w:r>
      <w:r w:rsidR="00235F66">
        <w:fldChar w:fldCharType="separate"/>
      </w:r>
      <w:r w:rsidRPr="006241BB">
        <w:rPr>
          <w:rStyle w:val="Hyperlink"/>
        </w:rPr>
        <w:t>www.itsanhonour.gov.au</w:t>
      </w:r>
      <w:r w:rsidR="00235F66">
        <w:fldChar w:fldCharType="end"/>
      </w:r>
      <w:r w:rsidRPr="006241BB">
        <w:t xml:space="preserve"> and click ‘Commonwealth Coat of Arms’).</w:t>
      </w:r>
    </w:p>
    <w:p w14:paraId="32EC72CC" w14:textId="77777777" w:rsidR="002F3D38" w:rsidRPr="008828C2" w:rsidRDefault="002F3D38" w:rsidP="006241BB">
      <w:pPr>
        <w:pStyle w:val="copyrighttextStyles"/>
        <w:rPr>
          <w:rFonts w:eastAsia="Arial"/>
        </w:rPr>
      </w:pPr>
      <w:r>
        <w:br w:type="page"/>
      </w:r>
    </w:p>
    <w:p w14:paraId="33FCBE0C" w14:textId="77777777" w:rsidR="00C61801" w:rsidRDefault="00C61801" w:rsidP="00DE44E7">
      <w:pPr>
        <w:pStyle w:val="TOCHeading"/>
        <w:rPr>
          <w:rFonts w:eastAsiaTheme="minorHAnsi"/>
        </w:rPr>
      </w:pPr>
      <w:r w:rsidRPr="00D153EC">
        <w:lastRenderedPageBreak/>
        <w:t>Contents</w:t>
      </w:r>
    </w:p>
    <w:p w14:paraId="53136C33" w14:textId="77777777" w:rsidR="00815AFC" w:rsidRDefault="00AB0EF0">
      <w:pPr>
        <w:pStyle w:val="TOC1"/>
        <w:rPr>
          <w:rFonts w:asciiTheme="minorHAnsi" w:eastAsiaTheme="minorEastAsia" w:hAnsiTheme="minorHAnsi"/>
          <w:color w:val="auto"/>
          <w:sz w:val="22"/>
          <w:lang w:eastAsia="en-AU"/>
        </w:rPr>
      </w:pPr>
      <w:r>
        <w:fldChar w:fldCharType="begin"/>
      </w:r>
      <w:r w:rsidR="00A52637">
        <w:instrText xml:space="preserve"> TOC \o "1-1" \h \z \t "Heading 2,2,Heading 3,3" </w:instrText>
      </w:r>
      <w:r>
        <w:fldChar w:fldCharType="separate"/>
      </w:r>
      <w:hyperlink w:anchor="_Toc424289839" w:history="1">
        <w:r w:rsidR="00815AFC" w:rsidRPr="00945471">
          <w:rPr>
            <w:rStyle w:val="Hyperlink"/>
          </w:rPr>
          <w:t>1.</w:t>
        </w:r>
        <w:r w:rsidR="00815AFC">
          <w:rPr>
            <w:rFonts w:asciiTheme="minorHAnsi" w:eastAsiaTheme="minorEastAsia" w:hAnsiTheme="minorHAnsi"/>
            <w:color w:val="auto"/>
            <w:sz w:val="22"/>
            <w:lang w:eastAsia="en-AU"/>
          </w:rPr>
          <w:tab/>
        </w:r>
        <w:r w:rsidR="00815AFC" w:rsidRPr="00945471">
          <w:rPr>
            <w:rStyle w:val="Hyperlink"/>
          </w:rPr>
          <w:t>Introduction</w:t>
        </w:r>
        <w:r w:rsidR="00815AFC">
          <w:rPr>
            <w:webHidden/>
          </w:rPr>
          <w:tab/>
        </w:r>
        <w:r w:rsidR="00815AFC">
          <w:rPr>
            <w:webHidden/>
          </w:rPr>
          <w:fldChar w:fldCharType="begin"/>
        </w:r>
        <w:r w:rsidR="00815AFC">
          <w:rPr>
            <w:webHidden/>
          </w:rPr>
          <w:instrText xml:space="preserve"> PAGEREF _Toc424289839 \h </w:instrText>
        </w:r>
        <w:r w:rsidR="00815AFC">
          <w:rPr>
            <w:webHidden/>
          </w:rPr>
        </w:r>
        <w:r w:rsidR="00815AFC">
          <w:rPr>
            <w:webHidden/>
          </w:rPr>
          <w:fldChar w:fldCharType="separate"/>
        </w:r>
        <w:r w:rsidR="00815AFC">
          <w:rPr>
            <w:webHidden/>
          </w:rPr>
          <w:t>4</w:t>
        </w:r>
        <w:r w:rsidR="00815AFC">
          <w:rPr>
            <w:webHidden/>
          </w:rPr>
          <w:fldChar w:fldCharType="end"/>
        </w:r>
      </w:hyperlink>
    </w:p>
    <w:p w14:paraId="2B2AB725" w14:textId="77777777" w:rsidR="00815AFC" w:rsidRDefault="00B66BA4">
      <w:pPr>
        <w:pStyle w:val="TOC2"/>
        <w:rPr>
          <w:rFonts w:asciiTheme="minorHAnsi" w:eastAsiaTheme="minorEastAsia" w:hAnsiTheme="minorHAnsi"/>
          <w:noProof/>
          <w:lang w:eastAsia="en-AU"/>
        </w:rPr>
      </w:pPr>
      <w:hyperlink w:anchor="_Toc424289840" w:history="1">
        <w:r w:rsidR="00815AFC" w:rsidRPr="00945471">
          <w:rPr>
            <w:rStyle w:val="Hyperlink"/>
            <w:noProof/>
          </w:rPr>
          <w:t>1.1.</w:t>
        </w:r>
        <w:r w:rsidR="00815AFC">
          <w:rPr>
            <w:rFonts w:asciiTheme="minorHAnsi" w:eastAsiaTheme="minorEastAsia" w:hAnsiTheme="minorHAnsi"/>
            <w:noProof/>
            <w:lang w:eastAsia="en-AU"/>
          </w:rPr>
          <w:tab/>
        </w:r>
        <w:r w:rsidR="00815AFC" w:rsidRPr="00945471">
          <w:rPr>
            <w:rStyle w:val="Hyperlink"/>
            <w:noProof/>
          </w:rPr>
          <w:t>Terms of reference</w:t>
        </w:r>
        <w:r w:rsidR="00815AFC">
          <w:rPr>
            <w:noProof/>
            <w:webHidden/>
          </w:rPr>
          <w:tab/>
        </w:r>
        <w:r w:rsidR="00815AFC">
          <w:rPr>
            <w:noProof/>
            <w:webHidden/>
          </w:rPr>
          <w:fldChar w:fldCharType="begin"/>
        </w:r>
        <w:r w:rsidR="00815AFC">
          <w:rPr>
            <w:noProof/>
            <w:webHidden/>
          </w:rPr>
          <w:instrText xml:space="preserve"> PAGEREF _Toc424289840 \h </w:instrText>
        </w:r>
        <w:r w:rsidR="00815AFC">
          <w:rPr>
            <w:noProof/>
            <w:webHidden/>
          </w:rPr>
        </w:r>
        <w:r w:rsidR="00815AFC">
          <w:rPr>
            <w:noProof/>
            <w:webHidden/>
          </w:rPr>
          <w:fldChar w:fldCharType="separate"/>
        </w:r>
        <w:r w:rsidR="00815AFC">
          <w:rPr>
            <w:noProof/>
            <w:webHidden/>
          </w:rPr>
          <w:t>4</w:t>
        </w:r>
        <w:r w:rsidR="00815AFC">
          <w:rPr>
            <w:noProof/>
            <w:webHidden/>
          </w:rPr>
          <w:fldChar w:fldCharType="end"/>
        </w:r>
      </w:hyperlink>
    </w:p>
    <w:p w14:paraId="20C0DF62" w14:textId="77777777" w:rsidR="00815AFC" w:rsidRDefault="00B66BA4">
      <w:pPr>
        <w:pStyle w:val="TOC2"/>
        <w:rPr>
          <w:rFonts w:asciiTheme="minorHAnsi" w:eastAsiaTheme="minorEastAsia" w:hAnsiTheme="minorHAnsi"/>
          <w:noProof/>
          <w:lang w:eastAsia="en-AU"/>
        </w:rPr>
      </w:pPr>
      <w:hyperlink w:anchor="_Toc424289841" w:history="1">
        <w:r w:rsidR="00815AFC" w:rsidRPr="00945471">
          <w:rPr>
            <w:rStyle w:val="Hyperlink"/>
            <w:noProof/>
          </w:rPr>
          <w:t>1.2.</w:t>
        </w:r>
        <w:r w:rsidR="00815AFC">
          <w:rPr>
            <w:rFonts w:asciiTheme="minorHAnsi" w:eastAsiaTheme="minorEastAsia" w:hAnsiTheme="minorHAnsi"/>
            <w:noProof/>
            <w:lang w:eastAsia="en-AU"/>
          </w:rPr>
          <w:tab/>
        </w:r>
        <w:r w:rsidR="00815AFC" w:rsidRPr="00945471">
          <w:rPr>
            <w:rStyle w:val="Hyperlink"/>
            <w:noProof/>
          </w:rPr>
          <w:t>Structure of this paper</w:t>
        </w:r>
        <w:r w:rsidR="00815AFC">
          <w:rPr>
            <w:noProof/>
            <w:webHidden/>
          </w:rPr>
          <w:tab/>
        </w:r>
        <w:r w:rsidR="00815AFC">
          <w:rPr>
            <w:noProof/>
            <w:webHidden/>
          </w:rPr>
          <w:fldChar w:fldCharType="begin"/>
        </w:r>
        <w:r w:rsidR="00815AFC">
          <w:rPr>
            <w:noProof/>
            <w:webHidden/>
          </w:rPr>
          <w:instrText xml:space="preserve"> PAGEREF _Toc424289841 \h </w:instrText>
        </w:r>
        <w:r w:rsidR="00815AFC">
          <w:rPr>
            <w:noProof/>
            <w:webHidden/>
          </w:rPr>
        </w:r>
        <w:r w:rsidR="00815AFC">
          <w:rPr>
            <w:noProof/>
            <w:webHidden/>
          </w:rPr>
          <w:fldChar w:fldCharType="separate"/>
        </w:r>
        <w:r w:rsidR="00815AFC">
          <w:rPr>
            <w:noProof/>
            <w:webHidden/>
          </w:rPr>
          <w:t>5</w:t>
        </w:r>
        <w:r w:rsidR="00815AFC">
          <w:rPr>
            <w:noProof/>
            <w:webHidden/>
          </w:rPr>
          <w:fldChar w:fldCharType="end"/>
        </w:r>
      </w:hyperlink>
    </w:p>
    <w:p w14:paraId="22467D62" w14:textId="77777777" w:rsidR="00815AFC" w:rsidRDefault="00B66BA4">
      <w:pPr>
        <w:pStyle w:val="TOC1"/>
        <w:rPr>
          <w:rFonts w:asciiTheme="minorHAnsi" w:eastAsiaTheme="minorEastAsia" w:hAnsiTheme="minorHAnsi"/>
          <w:color w:val="auto"/>
          <w:sz w:val="22"/>
          <w:lang w:eastAsia="en-AU"/>
        </w:rPr>
      </w:pPr>
      <w:hyperlink w:anchor="_Toc424289842" w:history="1">
        <w:r w:rsidR="00815AFC" w:rsidRPr="00945471">
          <w:rPr>
            <w:rStyle w:val="Hyperlink"/>
          </w:rPr>
          <w:t>2.</w:t>
        </w:r>
        <w:r w:rsidR="00815AFC">
          <w:rPr>
            <w:rFonts w:asciiTheme="minorHAnsi" w:eastAsiaTheme="minorEastAsia" w:hAnsiTheme="minorHAnsi"/>
            <w:color w:val="auto"/>
            <w:sz w:val="22"/>
            <w:lang w:eastAsia="en-AU"/>
          </w:rPr>
          <w:tab/>
        </w:r>
        <w:r w:rsidR="00815AFC" w:rsidRPr="00945471">
          <w:rPr>
            <w:rStyle w:val="Hyperlink"/>
          </w:rPr>
          <w:t>Issues</w:t>
        </w:r>
        <w:r w:rsidR="00815AFC">
          <w:rPr>
            <w:webHidden/>
          </w:rPr>
          <w:tab/>
        </w:r>
        <w:r w:rsidR="00815AFC">
          <w:rPr>
            <w:webHidden/>
          </w:rPr>
          <w:fldChar w:fldCharType="begin"/>
        </w:r>
        <w:r w:rsidR="00815AFC">
          <w:rPr>
            <w:webHidden/>
          </w:rPr>
          <w:instrText xml:space="preserve"> PAGEREF _Toc424289842 \h </w:instrText>
        </w:r>
        <w:r w:rsidR="00815AFC">
          <w:rPr>
            <w:webHidden/>
          </w:rPr>
        </w:r>
        <w:r w:rsidR="00815AFC">
          <w:rPr>
            <w:webHidden/>
          </w:rPr>
          <w:fldChar w:fldCharType="separate"/>
        </w:r>
        <w:r w:rsidR="00815AFC">
          <w:rPr>
            <w:webHidden/>
          </w:rPr>
          <w:t>6</w:t>
        </w:r>
        <w:r w:rsidR="00815AFC">
          <w:rPr>
            <w:webHidden/>
          </w:rPr>
          <w:fldChar w:fldCharType="end"/>
        </w:r>
      </w:hyperlink>
    </w:p>
    <w:p w14:paraId="0544D6B9" w14:textId="77777777" w:rsidR="00815AFC" w:rsidRDefault="00B66BA4">
      <w:pPr>
        <w:pStyle w:val="TOC2"/>
        <w:rPr>
          <w:rFonts w:asciiTheme="minorHAnsi" w:eastAsiaTheme="minorEastAsia" w:hAnsiTheme="minorHAnsi"/>
          <w:noProof/>
          <w:lang w:eastAsia="en-AU"/>
        </w:rPr>
      </w:pPr>
      <w:hyperlink w:anchor="_Toc424289843" w:history="1">
        <w:r w:rsidR="00815AFC" w:rsidRPr="00945471">
          <w:rPr>
            <w:rStyle w:val="Hyperlink"/>
            <w:noProof/>
          </w:rPr>
          <w:t>2.1.</w:t>
        </w:r>
        <w:r w:rsidR="00815AFC">
          <w:rPr>
            <w:rFonts w:asciiTheme="minorHAnsi" w:eastAsiaTheme="minorEastAsia" w:hAnsiTheme="minorHAnsi"/>
            <w:noProof/>
            <w:lang w:eastAsia="en-AU"/>
          </w:rPr>
          <w:tab/>
        </w:r>
        <w:r w:rsidR="00815AFC" w:rsidRPr="00945471">
          <w:rPr>
            <w:rStyle w:val="Hyperlink"/>
            <w:noProof/>
          </w:rPr>
          <w:t>The Australian communications market</w:t>
        </w:r>
        <w:r w:rsidR="00815AFC">
          <w:rPr>
            <w:noProof/>
            <w:webHidden/>
          </w:rPr>
          <w:tab/>
        </w:r>
        <w:r w:rsidR="00815AFC">
          <w:rPr>
            <w:noProof/>
            <w:webHidden/>
          </w:rPr>
          <w:fldChar w:fldCharType="begin"/>
        </w:r>
        <w:r w:rsidR="00815AFC">
          <w:rPr>
            <w:noProof/>
            <w:webHidden/>
          </w:rPr>
          <w:instrText xml:space="preserve"> PAGEREF _Toc424289843 \h </w:instrText>
        </w:r>
        <w:r w:rsidR="00815AFC">
          <w:rPr>
            <w:noProof/>
            <w:webHidden/>
          </w:rPr>
        </w:r>
        <w:r w:rsidR="00815AFC">
          <w:rPr>
            <w:noProof/>
            <w:webHidden/>
          </w:rPr>
          <w:fldChar w:fldCharType="separate"/>
        </w:r>
        <w:r w:rsidR="00815AFC">
          <w:rPr>
            <w:noProof/>
            <w:webHidden/>
          </w:rPr>
          <w:t>6</w:t>
        </w:r>
        <w:r w:rsidR="00815AFC">
          <w:rPr>
            <w:noProof/>
            <w:webHidden/>
          </w:rPr>
          <w:fldChar w:fldCharType="end"/>
        </w:r>
      </w:hyperlink>
    </w:p>
    <w:p w14:paraId="3CEE1A93" w14:textId="77777777" w:rsidR="00815AFC" w:rsidRDefault="00B66BA4">
      <w:pPr>
        <w:pStyle w:val="TOC2"/>
        <w:rPr>
          <w:rFonts w:asciiTheme="minorHAnsi" w:eastAsiaTheme="minorEastAsia" w:hAnsiTheme="minorHAnsi"/>
          <w:noProof/>
          <w:lang w:eastAsia="en-AU"/>
        </w:rPr>
      </w:pPr>
      <w:hyperlink w:anchor="_Toc424289844" w:history="1">
        <w:r w:rsidR="00815AFC" w:rsidRPr="00945471">
          <w:rPr>
            <w:rStyle w:val="Hyperlink"/>
            <w:noProof/>
          </w:rPr>
          <w:t>2.2.</w:t>
        </w:r>
        <w:r w:rsidR="00815AFC">
          <w:rPr>
            <w:rFonts w:asciiTheme="minorHAnsi" w:eastAsiaTheme="minorEastAsia" w:hAnsiTheme="minorHAnsi"/>
            <w:noProof/>
            <w:lang w:eastAsia="en-AU"/>
          </w:rPr>
          <w:tab/>
        </w:r>
        <w:r w:rsidR="00815AFC" w:rsidRPr="00945471">
          <w:rPr>
            <w:rStyle w:val="Hyperlink"/>
            <w:noProof/>
          </w:rPr>
          <w:t>What should a future-focused communications regulator look like?</w:t>
        </w:r>
        <w:r w:rsidR="00815AFC">
          <w:rPr>
            <w:noProof/>
            <w:webHidden/>
          </w:rPr>
          <w:tab/>
        </w:r>
        <w:r w:rsidR="00815AFC">
          <w:rPr>
            <w:noProof/>
            <w:webHidden/>
          </w:rPr>
          <w:fldChar w:fldCharType="begin"/>
        </w:r>
        <w:r w:rsidR="00815AFC">
          <w:rPr>
            <w:noProof/>
            <w:webHidden/>
          </w:rPr>
          <w:instrText xml:space="preserve"> PAGEREF _Toc424289844 \h </w:instrText>
        </w:r>
        <w:r w:rsidR="00815AFC">
          <w:rPr>
            <w:noProof/>
            <w:webHidden/>
          </w:rPr>
        </w:r>
        <w:r w:rsidR="00815AFC">
          <w:rPr>
            <w:noProof/>
            <w:webHidden/>
          </w:rPr>
          <w:fldChar w:fldCharType="separate"/>
        </w:r>
        <w:r w:rsidR="00815AFC">
          <w:rPr>
            <w:noProof/>
            <w:webHidden/>
          </w:rPr>
          <w:t>7</w:t>
        </w:r>
        <w:r w:rsidR="00815AFC">
          <w:rPr>
            <w:noProof/>
            <w:webHidden/>
          </w:rPr>
          <w:fldChar w:fldCharType="end"/>
        </w:r>
      </w:hyperlink>
    </w:p>
    <w:p w14:paraId="157E490E" w14:textId="77777777" w:rsidR="00815AFC" w:rsidRDefault="00B66BA4">
      <w:pPr>
        <w:pStyle w:val="TOC2"/>
        <w:rPr>
          <w:rFonts w:asciiTheme="minorHAnsi" w:eastAsiaTheme="minorEastAsia" w:hAnsiTheme="minorHAnsi"/>
          <w:noProof/>
          <w:lang w:eastAsia="en-AU"/>
        </w:rPr>
      </w:pPr>
      <w:hyperlink w:anchor="_Toc424289845" w:history="1">
        <w:r w:rsidR="00815AFC" w:rsidRPr="00945471">
          <w:rPr>
            <w:rStyle w:val="Hyperlink"/>
            <w:noProof/>
          </w:rPr>
          <w:t>2.3.</w:t>
        </w:r>
        <w:r w:rsidR="00815AFC">
          <w:rPr>
            <w:rFonts w:asciiTheme="minorHAnsi" w:eastAsiaTheme="minorEastAsia" w:hAnsiTheme="minorHAnsi"/>
            <w:noProof/>
            <w:lang w:eastAsia="en-AU"/>
          </w:rPr>
          <w:tab/>
        </w:r>
        <w:r w:rsidR="00815AFC" w:rsidRPr="00945471">
          <w:rPr>
            <w:rStyle w:val="Hyperlink"/>
            <w:noProof/>
          </w:rPr>
          <w:t>Enhancing the regulatory performance of the ACMA</w:t>
        </w:r>
        <w:r w:rsidR="00815AFC">
          <w:rPr>
            <w:noProof/>
            <w:webHidden/>
          </w:rPr>
          <w:tab/>
        </w:r>
        <w:r w:rsidR="00815AFC">
          <w:rPr>
            <w:noProof/>
            <w:webHidden/>
          </w:rPr>
          <w:fldChar w:fldCharType="begin"/>
        </w:r>
        <w:r w:rsidR="00815AFC">
          <w:rPr>
            <w:noProof/>
            <w:webHidden/>
          </w:rPr>
          <w:instrText xml:space="preserve"> PAGEREF _Toc424289845 \h </w:instrText>
        </w:r>
        <w:r w:rsidR="00815AFC">
          <w:rPr>
            <w:noProof/>
            <w:webHidden/>
          </w:rPr>
        </w:r>
        <w:r w:rsidR="00815AFC">
          <w:rPr>
            <w:noProof/>
            <w:webHidden/>
          </w:rPr>
          <w:fldChar w:fldCharType="separate"/>
        </w:r>
        <w:r w:rsidR="00815AFC">
          <w:rPr>
            <w:noProof/>
            <w:webHidden/>
          </w:rPr>
          <w:t>9</w:t>
        </w:r>
        <w:r w:rsidR="00815AFC">
          <w:rPr>
            <w:noProof/>
            <w:webHidden/>
          </w:rPr>
          <w:fldChar w:fldCharType="end"/>
        </w:r>
      </w:hyperlink>
    </w:p>
    <w:p w14:paraId="28C554C9" w14:textId="77777777" w:rsidR="00815AFC" w:rsidRDefault="00B66BA4">
      <w:pPr>
        <w:pStyle w:val="TOC2"/>
        <w:rPr>
          <w:rFonts w:asciiTheme="minorHAnsi" w:eastAsiaTheme="minorEastAsia" w:hAnsiTheme="minorHAnsi"/>
          <w:noProof/>
          <w:lang w:eastAsia="en-AU"/>
        </w:rPr>
      </w:pPr>
      <w:hyperlink w:anchor="_Toc424289846" w:history="1">
        <w:r w:rsidR="00815AFC" w:rsidRPr="00945471">
          <w:rPr>
            <w:rStyle w:val="Hyperlink"/>
            <w:noProof/>
          </w:rPr>
          <w:t>2.4.</w:t>
        </w:r>
        <w:r w:rsidR="00815AFC">
          <w:rPr>
            <w:rFonts w:asciiTheme="minorHAnsi" w:eastAsiaTheme="minorEastAsia" w:hAnsiTheme="minorHAnsi"/>
            <w:noProof/>
            <w:lang w:eastAsia="en-AU"/>
          </w:rPr>
          <w:tab/>
        </w:r>
        <w:r w:rsidR="00815AFC" w:rsidRPr="00945471">
          <w:rPr>
            <w:rStyle w:val="Hyperlink"/>
            <w:noProof/>
          </w:rPr>
          <w:t>Maximising the ACMA’s efficiency</w:t>
        </w:r>
        <w:r w:rsidR="00815AFC">
          <w:rPr>
            <w:noProof/>
            <w:webHidden/>
          </w:rPr>
          <w:tab/>
        </w:r>
        <w:r w:rsidR="00815AFC">
          <w:rPr>
            <w:noProof/>
            <w:webHidden/>
          </w:rPr>
          <w:fldChar w:fldCharType="begin"/>
        </w:r>
        <w:r w:rsidR="00815AFC">
          <w:rPr>
            <w:noProof/>
            <w:webHidden/>
          </w:rPr>
          <w:instrText xml:space="preserve"> PAGEREF _Toc424289846 \h </w:instrText>
        </w:r>
        <w:r w:rsidR="00815AFC">
          <w:rPr>
            <w:noProof/>
            <w:webHidden/>
          </w:rPr>
        </w:r>
        <w:r w:rsidR="00815AFC">
          <w:rPr>
            <w:noProof/>
            <w:webHidden/>
          </w:rPr>
          <w:fldChar w:fldCharType="separate"/>
        </w:r>
        <w:r w:rsidR="00815AFC">
          <w:rPr>
            <w:noProof/>
            <w:webHidden/>
          </w:rPr>
          <w:t>10</w:t>
        </w:r>
        <w:r w:rsidR="00815AFC">
          <w:rPr>
            <w:noProof/>
            <w:webHidden/>
          </w:rPr>
          <w:fldChar w:fldCharType="end"/>
        </w:r>
      </w:hyperlink>
    </w:p>
    <w:p w14:paraId="35526D6D" w14:textId="77777777" w:rsidR="00815AFC" w:rsidRDefault="00B66BA4">
      <w:pPr>
        <w:pStyle w:val="TOC2"/>
        <w:rPr>
          <w:rFonts w:asciiTheme="minorHAnsi" w:eastAsiaTheme="minorEastAsia" w:hAnsiTheme="minorHAnsi"/>
          <w:noProof/>
          <w:lang w:eastAsia="en-AU"/>
        </w:rPr>
      </w:pPr>
      <w:hyperlink w:anchor="_Toc424289847" w:history="1">
        <w:r w:rsidR="00815AFC" w:rsidRPr="00945471">
          <w:rPr>
            <w:rStyle w:val="Hyperlink"/>
            <w:noProof/>
          </w:rPr>
          <w:t>2.5.</w:t>
        </w:r>
        <w:r w:rsidR="00815AFC">
          <w:rPr>
            <w:rFonts w:asciiTheme="minorHAnsi" w:eastAsiaTheme="minorEastAsia" w:hAnsiTheme="minorHAnsi"/>
            <w:noProof/>
            <w:lang w:eastAsia="en-AU"/>
          </w:rPr>
          <w:tab/>
        </w:r>
        <w:r w:rsidR="00815AFC" w:rsidRPr="00945471">
          <w:rPr>
            <w:rStyle w:val="Hyperlink"/>
            <w:noProof/>
          </w:rPr>
          <w:t>The communications regulatory framework</w:t>
        </w:r>
        <w:r w:rsidR="00815AFC">
          <w:rPr>
            <w:noProof/>
            <w:webHidden/>
          </w:rPr>
          <w:tab/>
        </w:r>
        <w:r w:rsidR="00815AFC">
          <w:rPr>
            <w:noProof/>
            <w:webHidden/>
          </w:rPr>
          <w:fldChar w:fldCharType="begin"/>
        </w:r>
        <w:r w:rsidR="00815AFC">
          <w:rPr>
            <w:noProof/>
            <w:webHidden/>
          </w:rPr>
          <w:instrText xml:space="preserve"> PAGEREF _Toc424289847 \h </w:instrText>
        </w:r>
        <w:r w:rsidR="00815AFC">
          <w:rPr>
            <w:noProof/>
            <w:webHidden/>
          </w:rPr>
        </w:r>
        <w:r w:rsidR="00815AFC">
          <w:rPr>
            <w:noProof/>
            <w:webHidden/>
          </w:rPr>
          <w:fldChar w:fldCharType="separate"/>
        </w:r>
        <w:r w:rsidR="00815AFC">
          <w:rPr>
            <w:noProof/>
            <w:webHidden/>
          </w:rPr>
          <w:t>11</w:t>
        </w:r>
        <w:r w:rsidR="00815AFC">
          <w:rPr>
            <w:noProof/>
            <w:webHidden/>
          </w:rPr>
          <w:fldChar w:fldCharType="end"/>
        </w:r>
      </w:hyperlink>
    </w:p>
    <w:p w14:paraId="363CB03C" w14:textId="77777777" w:rsidR="00815AFC" w:rsidRDefault="00B66BA4">
      <w:pPr>
        <w:pStyle w:val="TOC1"/>
        <w:rPr>
          <w:rFonts w:asciiTheme="minorHAnsi" w:eastAsiaTheme="minorEastAsia" w:hAnsiTheme="minorHAnsi"/>
          <w:color w:val="auto"/>
          <w:sz w:val="22"/>
          <w:lang w:eastAsia="en-AU"/>
        </w:rPr>
      </w:pPr>
      <w:hyperlink w:anchor="_Toc424289848" w:history="1">
        <w:r w:rsidR="00815AFC" w:rsidRPr="00945471">
          <w:rPr>
            <w:rStyle w:val="Hyperlink"/>
          </w:rPr>
          <w:t>3.</w:t>
        </w:r>
        <w:r w:rsidR="00815AFC">
          <w:rPr>
            <w:rFonts w:asciiTheme="minorHAnsi" w:eastAsiaTheme="minorEastAsia" w:hAnsiTheme="minorHAnsi"/>
            <w:color w:val="auto"/>
            <w:sz w:val="22"/>
            <w:lang w:eastAsia="en-AU"/>
          </w:rPr>
          <w:tab/>
        </w:r>
        <w:r w:rsidR="00815AFC" w:rsidRPr="00945471">
          <w:rPr>
            <w:rStyle w:val="Hyperlink"/>
          </w:rPr>
          <w:t>Consultation process</w:t>
        </w:r>
        <w:r w:rsidR="00815AFC">
          <w:rPr>
            <w:webHidden/>
          </w:rPr>
          <w:tab/>
        </w:r>
        <w:r w:rsidR="00815AFC">
          <w:rPr>
            <w:webHidden/>
          </w:rPr>
          <w:fldChar w:fldCharType="begin"/>
        </w:r>
        <w:r w:rsidR="00815AFC">
          <w:rPr>
            <w:webHidden/>
          </w:rPr>
          <w:instrText xml:space="preserve"> PAGEREF _Toc424289848 \h </w:instrText>
        </w:r>
        <w:r w:rsidR="00815AFC">
          <w:rPr>
            <w:webHidden/>
          </w:rPr>
        </w:r>
        <w:r w:rsidR="00815AFC">
          <w:rPr>
            <w:webHidden/>
          </w:rPr>
          <w:fldChar w:fldCharType="separate"/>
        </w:r>
        <w:r w:rsidR="00815AFC">
          <w:rPr>
            <w:webHidden/>
          </w:rPr>
          <w:t>14</w:t>
        </w:r>
        <w:r w:rsidR="00815AFC">
          <w:rPr>
            <w:webHidden/>
          </w:rPr>
          <w:fldChar w:fldCharType="end"/>
        </w:r>
      </w:hyperlink>
    </w:p>
    <w:p w14:paraId="401FCA15" w14:textId="77777777" w:rsidR="00B46E1B" w:rsidRPr="00B46E1B" w:rsidRDefault="00AB0EF0" w:rsidP="006917CB">
      <w:r>
        <w:rPr>
          <w:noProof/>
          <w:color w:val="00728F"/>
          <w:sz w:val="24"/>
        </w:rPr>
        <w:fldChar w:fldCharType="end"/>
      </w:r>
      <w:r w:rsidR="00C61801">
        <w:br w:type="page"/>
      </w:r>
      <w:bookmarkStart w:id="10" w:name="_Toc382493210"/>
      <w:bookmarkStart w:id="11" w:name="_Toc382580071"/>
    </w:p>
    <w:p w14:paraId="1E985555" w14:textId="77777777" w:rsidR="00C61801" w:rsidRDefault="003D3890" w:rsidP="001435DB">
      <w:pPr>
        <w:pStyle w:val="Heading1"/>
      </w:pPr>
      <w:bookmarkStart w:id="12" w:name="_Toc424289839"/>
      <w:bookmarkEnd w:id="10"/>
      <w:bookmarkEnd w:id="11"/>
      <w:r>
        <w:lastRenderedPageBreak/>
        <w:t>Introduction</w:t>
      </w:r>
      <w:bookmarkEnd w:id="12"/>
    </w:p>
    <w:p w14:paraId="045AB315" w14:textId="78CA72E7" w:rsidR="00420C4B" w:rsidRPr="00420C4B" w:rsidRDefault="003D3890" w:rsidP="00420C4B">
      <w:pPr>
        <w:rPr>
          <w:rFonts w:cs="Arial"/>
          <w:color w:val="12293A"/>
          <w:lang w:val="en"/>
        </w:rPr>
      </w:pPr>
      <w:r w:rsidRPr="00ED26FA">
        <w:rPr>
          <w:rFonts w:cs="Arial"/>
          <w:color w:val="12293A"/>
          <w:lang w:val="en"/>
        </w:rPr>
        <w:t>On 12 June 2015, the Minister for Communications, the Hon Malcolm Turnbull, MP, announced a review of the Australian Communications and Media Authority (ACMA).</w:t>
      </w:r>
      <w:r w:rsidR="00420C4B">
        <w:rPr>
          <w:rFonts w:cs="Arial"/>
          <w:color w:val="12293A"/>
          <w:lang w:val="en"/>
        </w:rPr>
        <w:t xml:space="preserve"> </w:t>
      </w:r>
      <w:r w:rsidR="00420C4B" w:rsidRPr="00420C4B">
        <w:rPr>
          <w:rFonts w:cs="Arial"/>
          <w:color w:val="12293A"/>
          <w:lang w:val="en"/>
        </w:rPr>
        <w:t>The ACMA is responsible for the regulation of the broadcasting, telecommunications</w:t>
      </w:r>
      <w:r w:rsidR="002A3999">
        <w:rPr>
          <w:rFonts w:cs="Arial"/>
          <w:color w:val="12293A"/>
          <w:lang w:val="en"/>
        </w:rPr>
        <w:t>,</w:t>
      </w:r>
      <w:r w:rsidR="00420C4B" w:rsidRPr="00420C4B">
        <w:rPr>
          <w:rFonts w:cs="Arial"/>
          <w:color w:val="12293A"/>
          <w:lang w:val="en"/>
        </w:rPr>
        <w:t xml:space="preserve"> </w:t>
      </w:r>
      <w:proofErr w:type="spellStart"/>
      <w:r w:rsidR="00420C4B" w:rsidRPr="00420C4B">
        <w:rPr>
          <w:rFonts w:cs="Arial"/>
          <w:color w:val="12293A"/>
          <w:lang w:val="en"/>
        </w:rPr>
        <w:t>radiocommunications</w:t>
      </w:r>
      <w:proofErr w:type="spellEnd"/>
      <w:r w:rsidR="00420C4B" w:rsidRPr="00420C4B">
        <w:rPr>
          <w:rFonts w:cs="Arial"/>
          <w:color w:val="12293A"/>
          <w:lang w:val="en"/>
        </w:rPr>
        <w:t xml:space="preserve"> and internet industries in Australia.</w:t>
      </w:r>
    </w:p>
    <w:p w14:paraId="39EA4C06" w14:textId="68F948C5" w:rsidR="00420C4B" w:rsidRPr="00420C4B" w:rsidRDefault="00420C4B" w:rsidP="006F0C3A">
      <w:pPr>
        <w:ind w:right="-188"/>
        <w:rPr>
          <w:rFonts w:cs="Arial"/>
          <w:color w:val="12293A"/>
          <w:lang w:val="en"/>
        </w:rPr>
      </w:pPr>
      <w:r w:rsidRPr="00420C4B">
        <w:rPr>
          <w:rFonts w:cs="Arial"/>
          <w:color w:val="12293A"/>
          <w:lang w:val="en"/>
        </w:rPr>
        <w:t xml:space="preserve">The purpose of the review is to examine the objectives, </w:t>
      </w:r>
      <w:r w:rsidR="00DC43FE">
        <w:rPr>
          <w:rFonts w:cs="Arial"/>
          <w:color w:val="12293A"/>
          <w:lang w:val="en"/>
        </w:rPr>
        <w:t xml:space="preserve">functions, </w:t>
      </w:r>
      <w:r w:rsidRPr="00420C4B">
        <w:rPr>
          <w:rFonts w:cs="Arial"/>
          <w:color w:val="12293A"/>
          <w:lang w:val="en"/>
        </w:rPr>
        <w:t xml:space="preserve">structure, </w:t>
      </w:r>
      <w:r w:rsidR="00DC43FE">
        <w:rPr>
          <w:rFonts w:cs="Arial"/>
          <w:color w:val="12293A"/>
          <w:lang w:val="en"/>
        </w:rPr>
        <w:t xml:space="preserve">governance and resource base </w:t>
      </w:r>
      <w:r w:rsidRPr="00420C4B">
        <w:rPr>
          <w:rFonts w:cs="Arial"/>
          <w:color w:val="12293A"/>
          <w:lang w:val="en"/>
        </w:rPr>
        <w:t>of the ACMA to ensure it remains fit-for-purpose for both the contemporary and future communications regulatory environment.</w:t>
      </w:r>
      <w:r>
        <w:rPr>
          <w:rFonts w:cs="Arial"/>
          <w:color w:val="12293A"/>
          <w:lang w:val="en"/>
        </w:rPr>
        <w:t xml:space="preserve"> </w:t>
      </w:r>
      <w:r w:rsidRPr="00420C4B">
        <w:rPr>
          <w:rFonts w:cs="Arial"/>
          <w:color w:val="12293A"/>
          <w:lang w:val="en"/>
        </w:rPr>
        <w:t xml:space="preserve">The ACMA review will also incorporate the broad requirements of the Government’s Contestability </w:t>
      </w:r>
      <w:proofErr w:type="spellStart"/>
      <w:r w:rsidRPr="00420C4B">
        <w:rPr>
          <w:rFonts w:cs="Arial"/>
          <w:color w:val="12293A"/>
          <w:lang w:val="en"/>
        </w:rPr>
        <w:t>Programme</w:t>
      </w:r>
      <w:proofErr w:type="spellEnd"/>
      <w:r w:rsidRPr="00420C4B">
        <w:rPr>
          <w:rFonts w:cs="Arial"/>
          <w:color w:val="12293A"/>
          <w:lang w:val="en"/>
        </w:rPr>
        <w:t xml:space="preserve"> and Regulator Performance Framework to assess the efficiency of the ACMA and its administration of communications laws and regulations.</w:t>
      </w:r>
    </w:p>
    <w:p w14:paraId="75B57A96" w14:textId="7620A71F" w:rsidR="00420C4B" w:rsidRDefault="00DC43FE" w:rsidP="003D3890">
      <w:pPr>
        <w:rPr>
          <w:rFonts w:cs="Arial"/>
          <w:color w:val="12293A"/>
          <w:lang w:val="en"/>
        </w:rPr>
      </w:pPr>
      <w:r w:rsidRPr="002E7D58">
        <w:t xml:space="preserve">The review </w:t>
      </w:r>
      <w:r>
        <w:t xml:space="preserve">is </w:t>
      </w:r>
      <w:r w:rsidRPr="00F51DD5">
        <w:rPr>
          <w:rFonts w:cs="Arial"/>
          <w:color w:val="12293A"/>
          <w:lang w:val="en"/>
        </w:rPr>
        <w:t>being undertaken by the Department of Communications, supported by a Reference Group of Australian and international communications and regulatory experts. The Department will report to the Minister for Communications by the end of 2015.</w:t>
      </w:r>
    </w:p>
    <w:p w14:paraId="550E5F37" w14:textId="0FB0DFF9" w:rsidR="003D3890" w:rsidRDefault="003D3890" w:rsidP="003D3890">
      <w:pPr>
        <w:rPr>
          <w:rFonts w:cs="Arial"/>
          <w:color w:val="12293A"/>
          <w:lang w:val="en"/>
        </w:rPr>
      </w:pPr>
      <w:r>
        <w:rPr>
          <w:rFonts w:cs="Arial"/>
          <w:color w:val="12293A"/>
          <w:lang w:val="en"/>
        </w:rPr>
        <w:t>Background to t</w:t>
      </w:r>
      <w:r w:rsidR="00F32C67">
        <w:rPr>
          <w:rFonts w:cs="Arial"/>
          <w:color w:val="12293A"/>
          <w:lang w:val="en"/>
        </w:rPr>
        <w:t xml:space="preserve">he review is available at </w:t>
      </w:r>
      <w:hyperlink r:id="rId13" w:history="1">
        <w:r w:rsidR="00F32C67" w:rsidRPr="003668CE">
          <w:rPr>
            <w:rStyle w:val="Hyperlink"/>
            <w:rFonts w:cs="Arial"/>
            <w:lang w:val="en"/>
          </w:rPr>
          <w:t>https://www.communications.gov.au/what-we-do/television/media/acma-review</w:t>
        </w:r>
      </w:hyperlink>
      <w:r w:rsidR="00F32C67">
        <w:rPr>
          <w:rFonts w:cs="Arial"/>
          <w:color w:val="12293A"/>
          <w:lang w:val="en"/>
        </w:rPr>
        <w:t xml:space="preserve">. </w:t>
      </w:r>
    </w:p>
    <w:p w14:paraId="2367A9CF" w14:textId="491786D9" w:rsidR="003D3890" w:rsidRDefault="003D3890" w:rsidP="003D3890">
      <w:pPr>
        <w:pStyle w:val="Heading2"/>
      </w:pPr>
      <w:bookmarkStart w:id="13" w:name="_Toc424289840"/>
      <w:r>
        <w:t xml:space="preserve">Terms of </w:t>
      </w:r>
      <w:r w:rsidR="00ED588D">
        <w:t>r</w:t>
      </w:r>
      <w:r>
        <w:t>eference</w:t>
      </w:r>
      <w:bookmarkEnd w:id="13"/>
    </w:p>
    <w:p w14:paraId="1DC87909" w14:textId="23578A8C" w:rsidR="00F32C67" w:rsidRPr="00F32C67" w:rsidRDefault="003D3890" w:rsidP="006F0C3A">
      <w:pPr>
        <w:ind w:right="-755"/>
        <w:contextualSpacing/>
      </w:pPr>
      <w:r>
        <w:t>The review will examine and provide a report to the Minister for Communications on:</w:t>
      </w:r>
    </w:p>
    <w:p w14:paraId="632ADFE3" w14:textId="77777777" w:rsidR="003D3890" w:rsidRDefault="003D3890" w:rsidP="006F0C3A">
      <w:pPr>
        <w:pStyle w:val="ListParagraph"/>
        <w:numPr>
          <w:ilvl w:val="0"/>
          <w:numId w:val="25"/>
        </w:numPr>
        <w:spacing w:before="0" w:after="200"/>
        <w:ind w:left="357" w:right="-755" w:hanging="357"/>
      </w:pPr>
      <w:r>
        <w:t>The current objectives of the entity as determined by the Government’s forward priorities, other reviews and contemporary pressures of the broadening ‘digital’ character of the sector;</w:t>
      </w:r>
    </w:p>
    <w:p w14:paraId="7EDBFA40" w14:textId="77777777" w:rsidR="003D3890" w:rsidRDefault="003D3890" w:rsidP="006F0C3A">
      <w:pPr>
        <w:pStyle w:val="ListParagraph"/>
        <w:numPr>
          <w:ilvl w:val="0"/>
          <w:numId w:val="25"/>
        </w:numPr>
        <w:spacing w:before="0" w:after="200"/>
        <w:ind w:left="357" w:right="-755" w:hanging="357"/>
      </w:pPr>
      <w:r>
        <w:t>The efficiency of the ACMA in delivering its functions to support these priorities, any areas requiring improvement, and potential alternative arrangements (including costs/benefit analysis and implementation actions required) that could improve efficiency, where required;</w:t>
      </w:r>
    </w:p>
    <w:p w14:paraId="581C73F1" w14:textId="77777777" w:rsidR="003D3890" w:rsidRDefault="003D3890" w:rsidP="006F0C3A">
      <w:pPr>
        <w:pStyle w:val="ListParagraph"/>
        <w:numPr>
          <w:ilvl w:val="0"/>
          <w:numId w:val="25"/>
        </w:numPr>
        <w:spacing w:before="0" w:after="200"/>
        <w:ind w:left="357" w:right="-755" w:hanging="357"/>
      </w:pPr>
      <w:r>
        <w:t xml:space="preserve">The recent performance of the ACMA set broadly against the Government’s </w:t>
      </w:r>
      <w:r>
        <w:rPr>
          <w:i/>
        </w:rPr>
        <w:t>Regulator Performance Framework</w:t>
      </w:r>
      <w:r>
        <w:t xml:space="preserve"> and any areas for improvement;</w:t>
      </w:r>
    </w:p>
    <w:p w14:paraId="5698C6C8" w14:textId="3337623D" w:rsidR="003D3890" w:rsidRDefault="003D3890" w:rsidP="006F0C3A">
      <w:pPr>
        <w:pStyle w:val="ListParagraph"/>
        <w:numPr>
          <w:ilvl w:val="0"/>
          <w:numId w:val="25"/>
        </w:numPr>
        <w:spacing w:before="0" w:after="200"/>
        <w:ind w:left="357" w:right="-755" w:hanging="357"/>
      </w:pPr>
      <w:r>
        <w:t>The current resource base of the organisation and relative contributions from current sources—i.e. government funding, industry cost recovery and/or levy arrangements and funding from other sources.</w:t>
      </w:r>
    </w:p>
    <w:p w14:paraId="3E0EC584" w14:textId="77777777" w:rsidR="003D3890" w:rsidRDefault="003D3890" w:rsidP="003D3890">
      <w:r>
        <w:t>The review will also provide recommendations to the Minister for Communications on options for reform in relation to:</w:t>
      </w:r>
    </w:p>
    <w:p w14:paraId="57BC3125" w14:textId="77777777" w:rsidR="003D3890" w:rsidRDefault="003D3890" w:rsidP="002A2C02">
      <w:pPr>
        <w:pStyle w:val="ListParagraph"/>
        <w:numPr>
          <w:ilvl w:val="0"/>
          <w:numId w:val="26"/>
        </w:numPr>
        <w:spacing w:before="0" w:after="200"/>
        <w:ind w:left="357" w:hanging="357"/>
      </w:pPr>
      <w:r>
        <w:t>The future objectives and functions of the regulator;</w:t>
      </w:r>
    </w:p>
    <w:p w14:paraId="69B62A43" w14:textId="77777777" w:rsidR="003D3890" w:rsidRDefault="003D3890" w:rsidP="002A2C02">
      <w:pPr>
        <w:pStyle w:val="ListParagraph"/>
        <w:numPr>
          <w:ilvl w:val="0"/>
          <w:numId w:val="26"/>
        </w:numPr>
        <w:spacing w:before="0" w:after="200"/>
        <w:ind w:left="357" w:hanging="357"/>
      </w:pPr>
      <w:r>
        <w:t>The appropriate structure, governance and accountability arrangements of the regulator;</w:t>
      </w:r>
    </w:p>
    <w:p w14:paraId="0C8033AB" w14:textId="77777777" w:rsidR="003D3890" w:rsidRDefault="003D3890" w:rsidP="002A2C02">
      <w:pPr>
        <w:pStyle w:val="ListParagraph"/>
        <w:numPr>
          <w:ilvl w:val="0"/>
          <w:numId w:val="26"/>
        </w:numPr>
        <w:spacing w:before="0" w:after="200"/>
        <w:ind w:left="357" w:hanging="357"/>
      </w:pPr>
      <w:r>
        <w:t>An appropriate resource base for the regulator and the expected relative contribution from government, industry and other sources;</w:t>
      </w:r>
    </w:p>
    <w:p w14:paraId="2D4AED1B" w14:textId="77777777" w:rsidR="003D3890" w:rsidRDefault="003D3890" w:rsidP="002A2C02">
      <w:pPr>
        <w:pStyle w:val="ListParagraph"/>
        <w:numPr>
          <w:ilvl w:val="0"/>
          <w:numId w:val="26"/>
        </w:numPr>
        <w:spacing w:before="0" w:after="200"/>
        <w:ind w:left="357" w:hanging="357"/>
      </w:pPr>
      <w:r>
        <w:t>A proposed transition path to implement preferred alternatives to enable proposed changes (if any) to be put in place by 2016-17.</w:t>
      </w:r>
    </w:p>
    <w:p w14:paraId="2E76F150" w14:textId="77777777" w:rsidR="003D3890" w:rsidRDefault="003D3890" w:rsidP="006F0C3A">
      <w:pPr>
        <w:ind w:right="-1039"/>
      </w:pPr>
      <w:r>
        <w:t>The review will have regard to:</w:t>
      </w:r>
    </w:p>
    <w:p w14:paraId="24144F00" w14:textId="77777777" w:rsidR="003D3890" w:rsidRDefault="003D3890" w:rsidP="006F0C3A">
      <w:pPr>
        <w:pStyle w:val="ListParagraph"/>
        <w:numPr>
          <w:ilvl w:val="0"/>
          <w:numId w:val="27"/>
        </w:numPr>
        <w:spacing w:before="0"/>
        <w:ind w:left="357" w:right="-1039" w:hanging="357"/>
      </w:pPr>
      <w:r>
        <w:t>The market structure of the communications sector in Australia and relevant changes since 2005;</w:t>
      </w:r>
    </w:p>
    <w:p w14:paraId="3A276AAC" w14:textId="77777777" w:rsidR="003D3890" w:rsidRDefault="003D3890" w:rsidP="006F0C3A">
      <w:pPr>
        <w:pStyle w:val="ListParagraph"/>
        <w:numPr>
          <w:ilvl w:val="0"/>
          <w:numId w:val="27"/>
        </w:numPr>
        <w:spacing w:before="0"/>
        <w:ind w:left="357" w:right="-1039" w:hanging="357"/>
      </w:pPr>
      <w:r>
        <w:t xml:space="preserve">The impact of digital network technologies changing media forms and communications platforms; </w:t>
      </w:r>
    </w:p>
    <w:p w14:paraId="153420C1" w14:textId="77777777" w:rsidR="003D3890" w:rsidRDefault="003D3890" w:rsidP="006F0C3A">
      <w:pPr>
        <w:pStyle w:val="ListParagraph"/>
        <w:numPr>
          <w:ilvl w:val="0"/>
          <w:numId w:val="27"/>
        </w:numPr>
        <w:spacing w:before="0"/>
        <w:ind w:left="357" w:right="-1039" w:hanging="357"/>
      </w:pPr>
      <w:r>
        <w:t xml:space="preserve">Enduring public interest objectives relevant to citizens and consumers as well as industry; </w:t>
      </w:r>
    </w:p>
    <w:p w14:paraId="0BD93E8B" w14:textId="77777777" w:rsidR="003D3890" w:rsidRDefault="003D3890" w:rsidP="006F0C3A">
      <w:pPr>
        <w:pStyle w:val="ListParagraph"/>
        <w:numPr>
          <w:ilvl w:val="0"/>
          <w:numId w:val="27"/>
        </w:numPr>
        <w:spacing w:before="0"/>
        <w:ind w:left="357" w:right="-1039" w:hanging="357"/>
      </w:pPr>
      <w:r>
        <w:t>National and international best practice models of sectoral regulation and regulator governance structures;</w:t>
      </w:r>
    </w:p>
    <w:p w14:paraId="28411757" w14:textId="77777777" w:rsidR="003D3890" w:rsidRDefault="003D3890" w:rsidP="006F0C3A">
      <w:pPr>
        <w:pStyle w:val="ListParagraph"/>
        <w:numPr>
          <w:ilvl w:val="0"/>
          <w:numId w:val="27"/>
        </w:numPr>
        <w:spacing w:before="0"/>
        <w:ind w:left="357" w:right="-1039" w:hanging="357"/>
      </w:pPr>
      <w:r>
        <w:t>Any announced deregulatory proposals, recognising that these are subject to agreement by the Parliament;</w:t>
      </w:r>
    </w:p>
    <w:p w14:paraId="64292AF6" w14:textId="77777777" w:rsidR="003D3890" w:rsidRDefault="003D3890" w:rsidP="002A2C02">
      <w:pPr>
        <w:pStyle w:val="ListParagraph"/>
        <w:numPr>
          <w:ilvl w:val="0"/>
          <w:numId w:val="27"/>
        </w:numPr>
        <w:spacing w:before="0"/>
        <w:ind w:left="357" w:hanging="357"/>
      </w:pPr>
      <w:r>
        <w:t>Evidence and views of the ACMA and its stakeholders in relation to its performance;</w:t>
      </w:r>
    </w:p>
    <w:p w14:paraId="1A620EB7" w14:textId="77777777" w:rsidR="003D3890" w:rsidRDefault="003D3890" w:rsidP="002A2C02">
      <w:pPr>
        <w:pStyle w:val="ListParagraph"/>
        <w:numPr>
          <w:ilvl w:val="0"/>
          <w:numId w:val="27"/>
        </w:numPr>
        <w:spacing w:before="0"/>
        <w:ind w:left="357" w:hanging="357"/>
      </w:pPr>
      <w:r>
        <w:t xml:space="preserve">Future spectrum policy and management arrangements under the </w:t>
      </w:r>
      <w:r>
        <w:rPr>
          <w:i/>
        </w:rPr>
        <w:t>Spectrum Review</w:t>
      </w:r>
      <w:r>
        <w:t xml:space="preserve"> being undertaken by the Department;</w:t>
      </w:r>
    </w:p>
    <w:p w14:paraId="3EDB32CF" w14:textId="77777777" w:rsidR="003D3890" w:rsidRDefault="003D3890" w:rsidP="002A2C02">
      <w:pPr>
        <w:pStyle w:val="ListParagraph"/>
        <w:numPr>
          <w:ilvl w:val="0"/>
          <w:numId w:val="27"/>
        </w:numPr>
        <w:spacing w:before="0"/>
        <w:ind w:left="357" w:hanging="357"/>
      </w:pPr>
      <w:r>
        <w:lastRenderedPageBreak/>
        <w:t>Any changes to the regulation of infrastructure access arrangements proposed or agreed by Government under the Competition Policy Review;</w:t>
      </w:r>
    </w:p>
    <w:p w14:paraId="7A390F1B" w14:textId="77777777" w:rsidR="003D3890" w:rsidRDefault="003D3890" w:rsidP="002A2C02">
      <w:pPr>
        <w:pStyle w:val="ListParagraph"/>
        <w:numPr>
          <w:ilvl w:val="0"/>
          <w:numId w:val="27"/>
        </w:numPr>
        <w:spacing w:before="0"/>
        <w:ind w:left="357" w:hanging="357"/>
      </w:pPr>
      <w:r>
        <w:t>Other relevant government policies or matters identified through consultation or research.</w:t>
      </w:r>
    </w:p>
    <w:p w14:paraId="7A056BD3" w14:textId="6E1B8529" w:rsidR="003D3890" w:rsidRDefault="003D3890" w:rsidP="006F0C3A">
      <w:pPr>
        <w:ind w:right="-472"/>
      </w:pPr>
      <w:r w:rsidRPr="003D3890">
        <w:rPr>
          <w:rFonts w:cs="Arial"/>
          <w:lang w:val="en"/>
        </w:rPr>
        <w:t>This issues paper aims to provide additional information to inform submissions from interested parties. You may choose to address your submission against the questions raised in this paper or against any or all of the term</w:t>
      </w:r>
      <w:r w:rsidR="006F0C3A">
        <w:rPr>
          <w:rFonts w:cs="Arial"/>
          <w:lang w:val="en"/>
        </w:rPr>
        <w:t xml:space="preserve">s of reference for the review. </w:t>
      </w:r>
      <w:r>
        <w:t xml:space="preserve">Further public consultation will be held as the review proceeds, including with members of the public </w:t>
      </w:r>
      <w:r w:rsidR="00DC43FE">
        <w:t xml:space="preserve">and small businesses </w:t>
      </w:r>
      <w:r>
        <w:t xml:space="preserve">that engage directly with the ACMA. </w:t>
      </w:r>
    </w:p>
    <w:p w14:paraId="3D0688F2" w14:textId="2A6CD7D3" w:rsidR="003D3890" w:rsidRDefault="003D3890" w:rsidP="003D3890">
      <w:r>
        <w:t>The review focuses on the shape and responsibilities of the future regulator. However, the review recognises that this cannot be c</w:t>
      </w:r>
      <w:r w:rsidR="00F32C67">
        <w:t>onsidered in complete isolation</w:t>
      </w:r>
      <w:r>
        <w:t xml:space="preserve"> from the future regulatory </w:t>
      </w:r>
      <w:r w:rsidR="00DE68EA">
        <w:t>framework</w:t>
      </w:r>
      <w:r>
        <w:t>. The issue paper predominantl</w:t>
      </w:r>
      <w:r w:rsidR="00F32C67">
        <w:t>y focus</w:t>
      </w:r>
      <w:r>
        <w:t xml:space="preserve">es on the former but invites general commentary on the regulatory </w:t>
      </w:r>
      <w:r w:rsidR="00420C4B">
        <w:t>framework</w:t>
      </w:r>
      <w:r>
        <w:t xml:space="preserve"> </w:t>
      </w:r>
      <w:r w:rsidR="00420C4B">
        <w:t xml:space="preserve">for the communications sector </w:t>
      </w:r>
      <w:r>
        <w:t>in</w:t>
      </w:r>
      <w:r w:rsidR="00A350DA">
        <w:t xml:space="preserve"> section 2.5.</w:t>
      </w:r>
    </w:p>
    <w:p w14:paraId="3EC0792A" w14:textId="7C5FBDC9" w:rsidR="003D3890" w:rsidRDefault="003D3890" w:rsidP="003D3890">
      <w:pPr>
        <w:pStyle w:val="BodyText"/>
      </w:pPr>
      <w:r>
        <w:t xml:space="preserve">The Department is aware that stakeholders may have made submissions on issues related to the ACMA Review in recent reviews commissioned by the Government. Where relevant, views raised in submissions to the </w:t>
      </w:r>
      <w:r w:rsidR="00F93845">
        <w:t>NBN Cost Benefit Analysis and Review of Regulation</w:t>
      </w:r>
      <w:r w:rsidR="004358C0">
        <w:t xml:space="preserve"> (the </w:t>
      </w:r>
      <w:proofErr w:type="spellStart"/>
      <w:r>
        <w:t>Vertigan</w:t>
      </w:r>
      <w:proofErr w:type="spellEnd"/>
      <w:r w:rsidR="004358C0">
        <w:t xml:space="preserve"> Review)</w:t>
      </w:r>
      <w:r>
        <w:t xml:space="preserve">, </w:t>
      </w:r>
      <w:r w:rsidR="004358C0">
        <w:t>Competition Policy Review (</w:t>
      </w:r>
      <w:r>
        <w:t>Harper</w:t>
      </w:r>
      <w:r w:rsidR="004358C0">
        <w:t xml:space="preserve"> Review)</w:t>
      </w:r>
      <w:r>
        <w:t xml:space="preserve"> and Spectrum Review will be taken into account by this review.</w:t>
      </w:r>
    </w:p>
    <w:p w14:paraId="78F52482" w14:textId="77777777" w:rsidR="003D3890" w:rsidRPr="0047165B" w:rsidRDefault="003D3890" w:rsidP="003D3890">
      <w:pPr>
        <w:pStyle w:val="BodyText"/>
      </w:pPr>
      <w:r>
        <w:t>The Department is planning to undertake further consultation with interested stakeholders. To be kept informed of future opportunities to contribute, and to keep up with the progress of the review, email</w:t>
      </w:r>
      <w:r w:rsidRPr="0047165B">
        <w:rPr>
          <w:rFonts w:cs="Arial"/>
          <w:color w:val="12293A"/>
          <w:lang w:val="en"/>
        </w:rPr>
        <w:t xml:space="preserve"> </w:t>
      </w:r>
      <w:hyperlink r:id="rId14" w:history="1">
        <w:r w:rsidRPr="00A37B38">
          <w:rPr>
            <w:rStyle w:val="Hyperlink"/>
          </w:rPr>
          <w:t>ACMAreview@communications.gov.au</w:t>
        </w:r>
      </w:hyperlink>
      <w:r>
        <w:rPr>
          <w:b/>
        </w:rPr>
        <w:t xml:space="preserve"> </w:t>
      </w:r>
      <w:r>
        <w:t>with the subject ‘SUBSCRIBE’.</w:t>
      </w:r>
    </w:p>
    <w:p w14:paraId="186CFE62" w14:textId="6A9478A2" w:rsidR="003D3890" w:rsidRDefault="003D3890" w:rsidP="00F82C9F">
      <w:pPr>
        <w:pStyle w:val="Heading2"/>
      </w:pPr>
      <w:bookmarkStart w:id="14" w:name="_Toc424289841"/>
      <w:r>
        <w:t>Structure of this paper</w:t>
      </w:r>
      <w:bookmarkEnd w:id="14"/>
    </w:p>
    <w:p w14:paraId="2DF351C3" w14:textId="4FBC662F" w:rsidR="00F82C9F" w:rsidRDefault="00D804C7" w:rsidP="00F82C9F">
      <w:pPr>
        <w:pStyle w:val="BodyText"/>
      </w:pPr>
      <w:r>
        <w:t xml:space="preserve">This paper has five main </w:t>
      </w:r>
      <w:r w:rsidR="00CA60BD">
        <w:t>areas of</w:t>
      </w:r>
      <w:r>
        <w:t xml:space="preserve"> discussion:</w:t>
      </w:r>
    </w:p>
    <w:p w14:paraId="5CE4D40A" w14:textId="6EC08929" w:rsidR="00F82C9F" w:rsidRDefault="00A37B38" w:rsidP="00F82C9F">
      <w:pPr>
        <w:pStyle w:val="BodyText"/>
        <w:numPr>
          <w:ilvl w:val="0"/>
          <w:numId w:val="40"/>
        </w:numPr>
      </w:pPr>
      <w:r>
        <w:t>T</w:t>
      </w:r>
      <w:r w:rsidR="00F82C9F">
        <w:t>he communications sector in Australia –</w:t>
      </w:r>
      <w:r w:rsidR="00F32C67">
        <w:t xml:space="preserve"> stakeholders are asked to provide views on the likely changes in the communications sector over the next 5</w:t>
      </w:r>
      <w:r w:rsidR="00F93845">
        <w:t>-10</w:t>
      </w:r>
      <w:r w:rsidR="00F32C67">
        <w:t xml:space="preserve"> years</w:t>
      </w:r>
      <w:r w:rsidR="005E0899">
        <w:t xml:space="preserve"> and</w:t>
      </w:r>
      <w:r w:rsidR="00F32C67">
        <w:t xml:space="preserve"> the impact on the </w:t>
      </w:r>
      <w:r w:rsidR="001007D5">
        <w:t xml:space="preserve">role of the </w:t>
      </w:r>
      <w:r w:rsidR="005E0899">
        <w:t>regulator</w:t>
      </w:r>
      <w:r>
        <w:t>.</w:t>
      </w:r>
    </w:p>
    <w:p w14:paraId="50E97954" w14:textId="41448B99" w:rsidR="00F32C67" w:rsidRDefault="00A37B38" w:rsidP="00F32C67">
      <w:pPr>
        <w:pStyle w:val="BodyText"/>
        <w:numPr>
          <w:ilvl w:val="0"/>
          <w:numId w:val="40"/>
        </w:numPr>
      </w:pPr>
      <w:r>
        <w:t>W</w:t>
      </w:r>
      <w:r w:rsidR="00F32C67">
        <w:t>hat should a future-focused communications regulator look like</w:t>
      </w:r>
      <w:r w:rsidR="005154BF">
        <w:t>?</w:t>
      </w:r>
      <w:r w:rsidR="00B503F3">
        <w:t xml:space="preserve"> </w:t>
      </w:r>
      <w:r w:rsidR="00F32C67">
        <w:t xml:space="preserve">– </w:t>
      </w:r>
      <w:proofErr w:type="gramStart"/>
      <w:r w:rsidR="00F32C67">
        <w:t>this</w:t>
      </w:r>
      <w:proofErr w:type="gramEnd"/>
      <w:r w:rsidR="00F32C67">
        <w:t xml:space="preserve"> section seeks views on the </w:t>
      </w:r>
      <w:r w:rsidR="005425E9">
        <w:t xml:space="preserve">purpose, objectives, functions </w:t>
      </w:r>
      <w:r w:rsidR="00F32C67">
        <w:t>and governance of a best practice regulator</w:t>
      </w:r>
      <w:r>
        <w:t>.</w:t>
      </w:r>
    </w:p>
    <w:p w14:paraId="781FE5FF" w14:textId="79DAC89B" w:rsidR="00F32C67" w:rsidRDefault="00A37B38" w:rsidP="00F32C67">
      <w:pPr>
        <w:pStyle w:val="BodyText"/>
        <w:numPr>
          <w:ilvl w:val="0"/>
          <w:numId w:val="40"/>
        </w:numPr>
      </w:pPr>
      <w:r>
        <w:t>E</w:t>
      </w:r>
      <w:r w:rsidR="00F32C67">
        <w:t xml:space="preserve">nhancing the </w:t>
      </w:r>
      <w:r w:rsidR="001007D5">
        <w:t xml:space="preserve">regulatory </w:t>
      </w:r>
      <w:r w:rsidR="00F32C67">
        <w:t xml:space="preserve">performance of the </w:t>
      </w:r>
      <w:r w:rsidR="001007D5">
        <w:t>ACMA</w:t>
      </w:r>
      <w:r w:rsidR="00F32C67">
        <w:t xml:space="preserve"> – how does the ACMA perform currently? Stakeholders are </w:t>
      </w:r>
      <w:r w:rsidR="000F7554">
        <w:t xml:space="preserve">also </w:t>
      </w:r>
      <w:r w:rsidR="00F32C67">
        <w:t>asked to comment on what are the optimal forward-looking attributes and risk-based approach of a best practice communications regulator</w:t>
      </w:r>
      <w:r>
        <w:t>.</w:t>
      </w:r>
    </w:p>
    <w:p w14:paraId="79E29C7D" w14:textId="50E70144" w:rsidR="00F32C67" w:rsidRDefault="00A37B38" w:rsidP="00F32C67">
      <w:pPr>
        <w:pStyle w:val="BodyText"/>
        <w:numPr>
          <w:ilvl w:val="0"/>
          <w:numId w:val="40"/>
        </w:numPr>
      </w:pPr>
      <w:r>
        <w:t>M</w:t>
      </w:r>
      <w:r w:rsidR="00F32C67">
        <w:t xml:space="preserve">aximising the ACMA’s efficiency </w:t>
      </w:r>
      <w:r w:rsidR="00D804C7">
        <w:t>–</w:t>
      </w:r>
      <w:r w:rsidR="00F32C67">
        <w:t xml:space="preserve"> </w:t>
      </w:r>
      <w:r w:rsidR="00D804C7">
        <w:t>this section seeks submissions on t</w:t>
      </w:r>
      <w:r w:rsidR="00D804C7" w:rsidRPr="00EC24F1">
        <w:t>he efficiency of the ACMA in delivering its functions to support its priorities, any areas requiring improvement, and potential alternative arrangement</w:t>
      </w:r>
      <w:r w:rsidR="00D804C7">
        <w:t>s that could improve efficiency, including functions that could be performed elsewhere</w:t>
      </w:r>
      <w:r w:rsidR="00223886">
        <w:t>, or would be better performed by the ACMA</w:t>
      </w:r>
      <w:r w:rsidR="005B25FA">
        <w:t>.</w:t>
      </w:r>
    </w:p>
    <w:p w14:paraId="11533A41" w14:textId="6AF39F70" w:rsidR="005E0899" w:rsidRDefault="005E0899" w:rsidP="00F32C67">
      <w:pPr>
        <w:pStyle w:val="BodyText"/>
        <w:numPr>
          <w:ilvl w:val="0"/>
          <w:numId w:val="40"/>
        </w:numPr>
      </w:pPr>
      <w:r>
        <w:t xml:space="preserve">The communications regulatory framework – how will </w:t>
      </w:r>
      <w:r w:rsidR="006F0C3A">
        <w:t xml:space="preserve">the </w:t>
      </w:r>
      <w:r>
        <w:t xml:space="preserve">ACMA’s functions be affected by reforms in the communications regulatory framework being </w:t>
      </w:r>
      <w:r w:rsidR="00252CAD">
        <w:t xml:space="preserve">considered by </w:t>
      </w:r>
      <w:r>
        <w:t>the Government? Stakeholder views are sought on the value of ‘enduring concepts’ to the regulatory regime.</w:t>
      </w:r>
    </w:p>
    <w:p w14:paraId="2C3F454B" w14:textId="77777777" w:rsidR="005A2E62" w:rsidRDefault="005A2E62">
      <w:pPr>
        <w:spacing w:after="120"/>
        <w:ind w:left="1021" w:hanging="1021"/>
        <w:rPr>
          <w:rFonts w:ascii="Cambria" w:eastAsiaTheme="majorEastAsia" w:hAnsi="Cambria" w:cstheme="majorBidi"/>
          <w:bCs/>
          <w:color w:val="0072B9"/>
          <w:sz w:val="36"/>
          <w:szCs w:val="28"/>
        </w:rPr>
      </w:pPr>
      <w:r>
        <w:br w:type="page"/>
      </w:r>
    </w:p>
    <w:p w14:paraId="2867B238" w14:textId="3613AF77" w:rsidR="003D3890" w:rsidRDefault="003D3890" w:rsidP="003D3890">
      <w:pPr>
        <w:pStyle w:val="Heading1"/>
      </w:pPr>
      <w:bookmarkStart w:id="15" w:name="_Toc424289842"/>
      <w:r>
        <w:lastRenderedPageBreak/>
        <w:t>Issues</w:t>
      </w:r>
      <w:bookmarkEnd w:id="15"/>
    </w:p>
    <w:p w14:paraId="2D2CE629" w14:textId="77777777" w:rsidR="003D3890" w:rsidRDefault="003D3890" w:rsidP="003D3890">
      <w:pPr>
        <w:pStyle w:val="Heading2"/>
      </w:pPr>
      <w:bookmarkStart w:id="16" w:name="_Toc424289843"/>
      <w:r>
        <w:t>The Australian communications market</w:t>
      </w:r>
      <w:bookmarkEnd w:id="16"/>
    </w:p>
    <w:p w14:paraId="3ACCE708" w14:textId="02A0F5FE" w:rsidR="002416EA" w:rsidRDefault="00063188" w:rsidP="00063188">
      <w:pPr>
        <w:pStyle w:val="Bodytext-Indent"/>
        <w:ind w:left="0"/>
      </w:pPr>
      <w:bookmarkStart w:id="17" w:name="_Toc399257337"/>
      <w:bookmarkStart w:id="18" w:name="_Toc402337480"/>
      <w:r>
        <w:t>Technological advancements, changes in consumer demand and policy-induced structural change continue to ensure that Australian communications markets are dynamic</w:t>
      </w:r>
      <w:r w:rsidR="002416EA">
        <w:t xml:space="preserve"> and complex</w:t>
      </w:r>
      <w:r>
        <w:t>.</w:t>
      </w:r>
    </w:p>
    <w:p w14:paraId="6B2AD5DE" w14:textId="54142156" w:rsidR="00CA5113" w:rsidRDefault="00CA5113" w:rsidP="00CA5113">
      <w:pPr>
        <w:pStyle w:val="BodyText"/>
      </w:pPr>
      <w:r>
        <w:t xml:space="preserve">The pace of change in these markets </w:t>
      </w:r>
      <w:r w:rsidR="0014703B">
        <w:t>is potentially greater than</w:t>
      </w:r>
      <w:r w:rsidR="00252CAD">
        <w:t xml:space="preserve"> many</w:t>
      </w:r>
      <w:r w:rsidR="0014703B">
        <w:t xml:space="preserve"> other industr</w:t>
      </w:r>
      <w:r w:rsidR="00252CAD">
        <w:t>ies</w:t>
      </w:r>
      <w:r w:rsidR="0014703B">
        <w:t xml:space="preserve"> and </w:t>
      </w:r>
      <w:r>
        <w:t xml:space="preserve">makes forecasting future </w:t>
      </w:r>
      <w:r w:rsidR="00565055">
        <w:t>outcomes challenging. At an economy</w:t>
      </w:r>
      <w:r w:rsidR="00CA60BD">
        <w:t>-</w:t>
      </w:r>
      <w:r w:rsidR="00565055">
        <w:t xml:space="preserve">wide </w:t>
      </w:r>
      <w:r>
        <w:t xml:space="preserve">level it is possible to identify </w:t>
      </w:r>
      <w:r w:rsidR="00B04C87">
        <w:t xml:space="preserve">the following </w:t>
      </w:r>
      <w:r>
        <w:t>broad trends</w:t>
      </w:r>
      <w:r w:rsidR="00B04C87">
        <w:t>:</w:t>
      </w:r>
    </w:p>
    <w:p w14:paraId="0A74AE46" w14:textId="147DCC23" w:rsidR="00CA5113" w:rsidRDefault="00CA5113" w:rsidP="00CA5113">
      <w:pPr>
        <w:pStyle w:val="BodyText"/>
        <w:numPr>
          <w:ilvl w:val="0"/>
          <w:numId w:val="41"/>
        </w:numPr>
      </w:pPr>
      <w:r>
        <w:t>Technology is becoming more capable, ubiquitous and connected</w:t>
      </w:r>
      <w:r w:rsidR="00B04C87">
        <w:t>. These developments are leading communications industries to evolve from local, technology defined ‘</w:t>
      </w:r>
      <w:r w:rsidR="005154BF">
        <w:t xml:space="preserve">silos’ </w:t>
      </w:r>
      <w:r w:rsidR="00B04C87">
        <w:t>into global, interoperable layers of services;</w:t>
      </w:r>
    </w:p>
    <w:p w14:paraId="1A1CC278" w14:textId="5FCF2509" w:rsidR="00B04C87" w:rsidRDefault="00B04C87" w:rsidP="00CA5113">
      <w:pPr>
        <w:pStyle w:val="BodyText"/>
        <w:numPr>
          <w:ilvl w:val="0"/>
          <w:numId w:val="41"/>
        </w:numPr>
      </w:pPr>
      <w:r>
        <w:t>Consumers are taking full advantage of new digital technologies;</w:t>
      </w:r>
    </w:p>
    <w:p w14:paraId="7E06A404" w14:textId="23B29378" w:rsidR="00B04C87" w:rsidRDefault="00B04C87" w:rsidP="00CA5113">
      <w:pPr>
        <w:pStyle w:val="BodyText"/>
        <w:numPr>
          <w:ilvl w:val="0"/>
          <w:numId w:val="41"/>
        </w:numPr>
      </w:pPr>
      <w:r>
        <w:t>Enterprise</w:t>
      </w:r>
      <w:r w:rsidR="00252CAD">
        <w:t>s</w:t>
      </w:r>
      <w:r>
        <w:t xml:space="preserve"> are adopting new digital technologies and changin</w:t>
      </w:r>
      <w:r w:rsidR="00CA60BD">
        <w:t>g business practices to respond</w:t>
      </w:r>
      <w:r>
        <w:t xml:space="preserve"> to consumer demands, drive productivity and compete. This is extending the reach of the ‘digital economy’ across all sectors and enterprises and creating more uncertainty in consumer behaviour and business models;</w:t>
      </w:r>
    </w:p>
    <w:p w14:paraId="24B65885" w14:textId="19976FBB" w:rsidR="00B04C87" w:rsidRPr="00CA5113" w:rsidRDefault="00565055" w:rsidP="00CA5113">
      <w:pPr>
        <w:pStyle w:val="BodyText"/>
        <w:numPr>
          <w:ilvl w:val="0"/>
          <w:numId w:val="41"/>
        </w:numPr>
      </w:pPr>
      <w:r>
        <w:t xml:space="preserve">Social practices and institutions are adapting to the implications of digital technologies in a variety of ways and at different rates.  </w:t>
      </w:r>
    </w:p>
    <w:p w14:paraId="079A53C1" w14:textId="79E04C0E" w:rsidR="008F0108" w:rsidRDefault="008F0108" w:rsidP="00565055">
      <w:pPr>
        <w:pStyle w:val="BodyText"/>
        <w:rPr>
          <w:lang w:eastAsia="en-AU"/>
        </w:rPr>
      </w:pPr>
      <w:r>
        <w:rPr>
          <w:lang w:eastAsia="en-AU"/>
        </w:rPr>
        <w:t>Consumer</w:t>
      </w:r>
      <w:r w:rsidR="00CA60BD">
        <w:rPr>
          <w:lang w:eastAsia="en-AU"/>
        </w:rPr>
        <w:t>s</w:t>
      </w:r>
      <w:r>
        <w:rPr>
          <w:lang w:eastAsia="en-AU"/>
        </w:rPr>
        <w:t xml:space="preserve"> are adopting technology at a faster rate and earlier, although this is not uniform. Media consumption in multiple forms is increasing and consumers tend to be more engaged online, both </w:t>
      </w:r>
      <w:r w:rsidR="00CA60BD">
        <w:rPr>
          <w:lang w:eastAsia="en-AU"/>
        </w:rPr>
        <w:t xml:space="preserve">in </w:t>
      </w:r>
      <w:r>
        <w:rPr>
          <w:lang w:eastAsia="en-AU"/>
        </w:rPr>
        <w:t xml:space="preserve">consuming and producing content, and </w:t>
      </w:r>
      <w:r w:rsidR="0014703B">
        <w:rPr>
          <w:lang w:eastAsia="en-AU"/>
        </w:rPr>
        <w:t>undertaking</w:t>
      </w:r>
      <w:r>
        <w:rPr>
          <w:lang w:eastAsia="en-AU"/>
        </w:rPr>
        <w:t xml:space="preserve"> more online transactions.  </w:t>
      </w:r>
    </w:p>
    <w:p w14:paraId="428ABC13" w14:textId="6C310750" w:rsidR="008F0108" w:rsidRDefault="008F0108" w:rsidP="00565055">
      <w:pPr>
        <w:pStyle w:val="BodyText"/>
        <w:rPr>
          <w:lang w:eastAsia="en-AU"/>
        </w:rPr>
      </w:pPr>
      <w:r>
        <w:rPr>
          <w:lang w:eastAsia="en-AU"/>
        </w:rPr>
        <w:t xml:space="preserve">There are a greater and more diverse number of </w:t>
      </w:r>
      <w:r w:rsidR="00987B9D">
        <w:rPr>
          <w:lang w:eastAsia="en-AU"/>
        </w:rPr>
        <w:t>business</w:t>
      </w:r>
      <w:r w:rsidR="00CA60BD">
        <w:rPr>
          <w:lang w:eastAsia="en-AU"/>
        </w:rPr>
        <w:t>es</w:t>
      </w:r>
      <w:r w:rsidR="00987B9D">
        <w:rPr>
          <w:lang w:eastAsia="en-AU"/>
        </w:rPr>
        <w:t xml:space="preserve"> involved in the </w:t>
      </w:r>
      <w:r w:rsidR="00252CAD">
        <w:rPr>
          <w:lang w:eastAsia="en-AU"/>
        </w:rPr>
        <w:t xml:space="preserve">Australian </w:t>
      </w:r>
      <w:r w:rsidR="00987B9D">
        <w:rPr>
          <w:lang w:eastAsia="en-AU"/>
        </w:rPr>
        <w:t xml:space="preserve">communications sector, many based </w:t>
      </w:r>
      <w:r w:rsidR="00252CAD">
        <w:rPr>
          <w:lang w:eastAsia="en-AU"/>
        </w:rPr>
        <w:t>offshore</w:t>
      </w:r>
      <w:r w:rsidR="00987B9D">
        <w:rPr>
          <w:lang w:eastAsia="en-AU"/>
        </w:rPr>
        <w:t xml:space="preserve">. Communications </w:t>
      </w:r>
      <w:r w:rsidR="0014703B">
        <w:rPr>
          <w:lang w:eastAsia="en-AU"/>
        </w:rPr>
        <w:t>networks</w:t>
      </w:r>
      <w:r w:rsidR="00987B9D">
        <w:rPr>
          <w:lang w:eastAsia="en-AU"/>
        </w:rPr>
        <w:t xml:space="preserve"> are increasingly utilised for the delivery of health, education and other services. Consumer</w:t>
      </w:r>
      <w:r w:rsidR="00CA60BD">
        <w:rPr>
          <w:lang w:eastAsia="en-AU"/>
        </w:rPr>
        <w:t xml:space="preserve"> and citizen</w:t>
      </w:r>
      <w:r w:rsidR="00987B9D">
        <w:rPr>
          <w:lang w:eastAsia="en-AU"/>
        </w:rPr>
        <w:t xml:space="preserve"> interactions with the digital economy are increasingly central to their participat</w:t>
      </w:r>
      <w:r w:rsidR="00DE68EA">
        <w:rPr>
          <w:lang w:eastAsia="en-AU"/>
        </w:rPr>
        <w:t>ion</w:t>
      </w:r>
      <w:r w:rsidR="00987B9D">
        <w:rPr>
          <w:lang w:eastAsia="en-AU"/>
        </w:rPr>
        <w:t xml:space="preserve"> in society b</w:t>
      </w:r>
      <w:r w:rsidR="00A10160">
        <w:rPr>
          <w:lang w:eastAsia="en-AU"/>
        </w:rPr>
        <w:t xml:space="preserve">oth economically and socially. </w:t>
      </w:r>
    </w:p>
    <w:p w14:paraId="5857FDDA" w14:textId="4436BA88" w:rsidR="005B25FA" w:rsidRDefault="005B25FA" w:rsidP="005B25FA">
      <w:pPr>
        <w:pStyle w:val="Bodytext-Indent"/>
        <w:ind w:left="0"/>
        <w:rPr>
          <w:rStyle w:val="Abc-TextChar"/>
          <w:rFonts w:asciiTheme="minorHAnsi" w:hAnsiTheme="minorHAnsi"/>
          <w:sz w:val="22"/>
          <w:szCs w:val="22"/>
        </w:rPr>
      </w:pPr>
      <w:r>
        <w:rPr>
          <w:rStyle w:val="Abc-TextChar"/>
          <w:rFonts w:asciiTheme="minorHAnsi" w:hAnsiTheme="minorHAnsi"/>
          <w:sz w:val="22"/>
          <w:szCs w:val="22"/>
        </w:rPr>
        <w:t xml:space="preserve">At a structural level the </w:t>
      </w:r>
      <w:r w:rsidRPr="00F82C9F">
        <w:rPr>
          <w:rStyle w:val="Abc-TextChar"/>
          <w:rFonts w:asciiTheme="minorHAnsi" w:hAnsiTheme="minorHAnsi"/>
          <w:sz w:val="22"/>
          <w:szCs w:val="22"/>
        </w:rPr>
        <w:t xml:space="preserve">distinction between the traditional </w:t>
      </w:r>
      <w:r>
        <w:rPr>
          <w:rStyle w:val="Abc-TextChar"/>
          <w:rFonts w:asciiTheme="minorHAnsi" w:hAnsiTheme="minorHAnsi"/>
          <w:sz w:val="22"/>
          <w:szCs w:val="22"/>
        </w:rPr>
        <w:t xml:space="preserve">well-defined, vertically integrated </w:t>
      </w:r>
      <w:r w:rsidRPr="00F82C9F">
        <w:rPr>
          <w:rStyle w:val="Abc-TextChar"/>
          <w:rFonts w:asciiTheme="minorHAnsi" w:hAnsiTheme="minorHAnsi"/>
          <w:sz w:val="22"/>
          <w:szCs w:val="22"/>
        </w:rPr>
        <w:t xml:space="preserve">segments of </w:t>
      </w:r>
      <w:r>
        <w:rPr>
          <w:rStyle w:val="Abc-TextChar"/>
          <w:rFonts w:asciiTheme="minorHAnsi" w:hAnsiTheme="minorHAnsi"/>
          <w:sz w:val="22"/>
          <w:szCs w:val="22"/>
        </w:rPr>
        <w:t xml:space="preserve">the </w:t>
      </w:r>
      <w:r w:rsidRPr="00F82C9F">
        <w:rPr>
          <w:rStyle w:val="Abc-TextChar"/>
          <w:rFonts w:asciiTheme="minorHAnsi" w:hAnsiTheme="minorHAnsi"/>
          <w:sz w:val="22"/>
          <w:szCs w:val="22"/>
        </w:rPr>
        <w:t xml:space="preserve">telecommunications, broadcasting and online </w:t>
      </w:r>
      <w:r>
        <w:rPr>
          <w:rStyle w:val="Abc-TextChar"/>
          <w:rFonts w:asciiTheme="minorHAnsi" w:hAnsiTheme="minorHAnsi"/>
          <w:sz w:val="22"/>
          <w:szCs w:val="22"/>
        </w:rPr>
        <w:t>industries</w:t>
      </w:r>
      <w:r w:rsidRPr="00F82C9F">
        <w:rPr>
          <w:rStyle w:val="Abc-TextChar"/>
          <w:rFonts w:asciiTheme="minorHAnsi" w:hAnsiTheme="minorHAnsi"/>
          <w:sz w:val="22"/>
          <w:szCs w:val="22"/>
        </w:rPr>
        <w:t xml:space="preserve"> is </w:t>
      </w:r>
      <w:r>
        <w:rPr>
          <w:rStyle w:val="Abc-TextChar"/>
          <w:rFonts w:asciiTheme="minorHAnsi" w:hAnsiTheme="minorHAnsi"/>
          <w:sz w:val="22"/>
          <w:szCs w:val="22"/>
        </w:rPr>
        <w:t>breaking down. This deconstruction is being driven by the digitisation of content which has enabled it to be accessed over multiple platforms and devices. The heterogeneous nature of digital services and the any-to-any connectivity of communications networks is distinguishing them from more traditional networked industries</w:t>
      </w:r>
      <w:r w:rsidR="00223886">
        <w:rPr>
          <w:rStyle w:val="Abc-TextChar"/>
          <w:rFonts w:asciiTheme="minorHAnsi" w:hAnsiTheme="minorHAnsi"/>
          <w:sz w:val="22"/>
          <w:szCs w:val="22"/>
        </w:rPr>
        <w:t>, such as utilities</w:t>
      </w:r>
      <w:r>
        <w:rPr>
          <w:rStyle w:val="Abc-TextChar"/>
          <w:rFonts w:asciiTheme="minorHAnsi" w:hAnsiTheme="minorHAnsi"/>
          <w:sz w:val="22"/>
          <w:szCs w:val="22"/>
        </w:rPr>
        <w:t xml:space="preserve">. </w:t>
      </w:r>
    </w:p>
    <w:p w14:paraId="1D459264" w14:textId="2FF285B8" w:rsidR="009D02CB" w:rsidRDefault="005B25FA" w:rsidP="005B25FA">
      <w:pPr>
        <w:pStyle w:val="BodyText"/>
        <w:rPr>
          <w:lang w:eastAsia="en-AU"/>
        </w:rPr>
      </w:pPr>
      <w:r>
        <w:rPr>
          <w:lang w:eastAsia="en-AU"/>
        </w:rPr>
        <w:t xml:space="preserve">It is now more </w:t>
      </w:r>
      <w:r w:rsidR="00262822">
        <w:rPr>
          <w:lang w:eastAsia="en-AU"/>
        </w:rPr>
        <w:t>accurate</w:t>
      </w:r>
      <w:r>
        <w:rPr>
          <w:lang w:eastAsia="en-AU"/>
        </w:rPr>
        <w:t xml:space="preserve"> to consider the communications sector as a series of horizontal layers of services and activities, with each layer (beginning with infrastructure, then digital/IP transport, applications/services and finally content) providing services to the layer above. </w:t>
      </w:r>
    </w:p>
    <w:p w14:paraId="046F1E15" w14:textId="39A879FE" w:rsidR="004C18D4" w:rsidRPr="00414403" w:rsidRDefault="009332D1" w:rsidP="005B25FA">
      <w:pPr>
        <w:pStyle w:val="BodyText"/>
        <w:rPr>
          <w:rFonts w:asciiTheme="minorHAnsi" w:hAnsiTheme="minorHAnsi"/>
          <w:lang w:eastAsia="en-AU"/>
        </w:rPr>
      </w:pPr>
      <w:r>
        <w:rPr>
          <w:lang w:eastAsia="en-AU"/>
        </w:rPr>
        <w:t>Key economic regulation issues</w:t>
      </w:r>
      <w:r w:rsidR="00D16908">
        <w:rPr>
          <w:lang w:eastAsia="en-AU"/>
        </w:rPr>
        <w:t>,</w:t>
      </w:r>
      <w:r>
        <w:rPr>
          <w:lang w:eastAsia="en-AU"/>
        </w:rPr>
        <w:t xml:space="preserve"> such as how to provide sufficient incentive</w:t>
      </w:r>
      <w:r w:rsidR="004C18D4">
        <w:rPr>
          <w:lang w:eastAsia="en-AU"/>
        </w:rPr>
        <w:t>s</w:t>
      </w:r>
      <w:r>
        <w:rPr>
          <w:lang w:eastAsia="en-AU"/>
        </w:rPr>
        <w:t xml:space="preserve"> for private sector investment while </w:t>
      </w:r>
      <w:r w:rsidR="004C18D4">
        <w:rPr>
          <w:lang w:eastAsia="en-AU"/>
        </w:rPr>
        <w:t>providing consumer benefits</w:t>
      </w:r>
      <w:r w:rsidR="00D16908">
        <w:rPr>
          <w:lang w:eastAsia="en-AU"/>
        </w:rPr>
        <w:t>,</w:t>
      </w:r>
      <w:r w:rsidR="007F777A">
        <w:rPr>
          <w:lang w:eastAsia="en-AU"/>
        </w:rPr>
        <w:t xml:space="preserve"> </w:t>
      </w:r>
      <w:r>
        <w:rPr>
          <w:lang w:eastAsia="en-AU"/>
        </w:rPr>
        <w:t xml:space="preserve">increasingly need to be considered </w:t>
      </w:r>
      <w:r w:rsidR="004C18D4">
        <w:rPr>
          <w:lang w:eastAsia="en-AU"/>
        </w:rPr>
        <w:t xml:space="preserve">in the context of an </w:t>
      </w:r>
      <w:r>
        <w:rPr>
          <w:lang w:eastAsia="en-AU"/>
        </w:rPr>
        <w:t xml:space="preserve">interdependent </w:t>
      </w:r>
      <w:r w:rsidR="004C18D4">
        <w:rPr>
          <w:lang w:eastAsia="en-AU"/>
        </w:rPr>
        <w:t>communications</w:t>
      </w:r>
      <w:r>
        <w:rPr>
          <w:lang w:eastAsia="en-AU"/>
        </w:rPr>
        <w:t xml:space="preserve"> economic eco-</w:t>
      </w:r>
      <w:r w:rsidRPr="00414403">
        <w:rPr>
          <w:lang w:eastAsia="en-AU"/>
        </w:rPr>
        <w:t>system</w:t>
      </w:r>
      <w:r w:rsidRPr="00414403">
        <w:rPr>
          <w:rFonts w:asciiTheme="minorHAnsi" w:hAnsiTheme="minorHAnsi"/>
          <w:lang w:eastAsia="en-AU"/>
        </w:rPr>
        <w:t>.</w:t>
      </w:r>
      <w:r w:rsidR="006F2586" w:rsidRPr="00414403">
        <w:rPr>
          <w:rFonts w:asciiTheme="minorHAnsi" w:hAnsiTheme="minorHAnsi"/>
          <w:lang w:eastAsia="en-AU"/>
        </w:rPr>
        <w:t xml:space="preserve"> </w:t>
      </w:r>
      <w:r w:rsidR="006F2586" w:rsidRPr="00414403">
        <w:rPr>
          <w:rFonts w:asciiTheme="minorHAnsi" w:eastAsia="Calibri" w:hAnsiTheme="minorHAnsi" w:cs="Arial"/>
          <w:lang w:val="en-NZ"/>
        </w:rPr>
        <w:t>Internationally, de</w:t>
      </w:r>
      <w:r w:rsidR="00D16908">
        <w:rPr>
          <w:rFonts w:asciiTheme="minorHAnsi" w:eastAsia="Calibri" w:hAnsiTheme="minorHAnsi" w:cs="Arial"/>
          <w:lang w:val="en-NZ"/>
        </w:rPr>
        <w:t xml:space="preserve">bate has centred on whether </w:t>
      </w:r>
      <w:r w:rsidR="006F2586" w:rsidRPr="00414403">
        <w:rPr>
          <w:rFonts w:asciiTheme="minorHAnsi" w:eastAsia="Calibri" w:hAnsiTheme="minorHAnsi" w:cs="Arial"/>
          <w:lang w:val="en-NZ"/>
        </w:rPr>
        <w:t xml:space="preserve">economic regulation should be handled by a single specialist regulator irrespective of the industry (on the basis that it is essential to maintain a consistent approach across all industries), or </w:t>
      </w:r>
      <w:r w:rsidR="00224B4A">
        <w:rPr>
          <w:rFonts w:asciiTheme="minorHAnsi" w:eastAsia="Calibri" w:hAnsiTheme="minorHAnsi" w:cs="Arial"/>
          <w:lang w:val="en-NZ"/>
        </w:rPr>
        <w:t xml:space="preserve">whether, </w:t>
      </w:r>
      <w:r w:rsidR="00F56715" w:rsidRPr="00414403">
        <w:rPr>
          <w:rFonts w:asciiTheme="minorHAnsi" w:eastAsia="Calibri" w:hAnsiTheme="minorHAnsi" w:cs="Arial"/>
          <w:lang w:val="en-NZ"/>
        </w:rPr>
        <w:t xml:space="preserve">where </w:t>
      </w:r>
      <w:r w:rsidR="00D16908">
        <w:rPr>
          <w:rFonts w:asciiTheme="minorHAnsi" w:eastAsia="Calibri" w:hAnsiTheme="minorHAnsi" w:cs="Arial"/>
          <w:lang w:val="en-NZ"/>
        </w:rPr>
        <w:t>an industry-</w:t>
      </w:r>
      <w:r w:rsidR="006F2586" w:rsidRPr="00414403">
        <w:rPr>
          <w:rFonts w:asciiTheme="minorHAnsi" w:eastAsia="Calibri" w:hAnsiTheme="minorHAnsi" w:cs="Arial"/>
          <w:lang w:val="en-NZ"/>
        </w:rPr>
        <w:t xml:space="preserve">specific regulator is </w:t>
      </w:r>
      <w:r w:rsidR="00F56715" w:rsidRPr="00414403">
        <w:rPr>
          <w:rFonts w:asciiTheme="minorHAnsi" w:eastAsia="Calibri" w:hAnsiTheme="minorHAnsi" w:cs="Arial"/>
          <w:lang w:val="en-NZ"/>
        </w:rPr>
        <w:t>used for communications (</w:t>
      </w:r>
      <w:r w:rsidR="003253C5" w:rsidRPr="00414403">
        <w:rPr>
          <w:rFonts w:asciiTheme="minorHAnsi" w:eastAsia="Calibri" w:hAnsiTheme="minorHAnsi" w:cs="Arial"/>
          <w:lang w:val="en-NZ"/>
        </w:rPr>
        <w:t xml:space="preserve">that is, </w:t>
      </w:r>
      <w:r w:rsidR="006F2586" w:rsidRPr="00414403">
        <w:rPr>
          <w:rFonts w:asciiTheme="minorHAnsi" w:eastAsia="Calibri" w:hAnsiTheme="minorHAnsi" w:cs="Arial"/>
          <w:lang w:val="en-NZ"/>
        </w:rPr>
        <w:t xml:space="preserve">broadcasting, </w:t>
      </w:r>
      <w:r w:rsidR="006F2586" w:rsidRPr="00414403">
        <w:rPr>
          <w:rFonts w:asciiTheme="minorHAnsi" w:eastAsia="Calibri" w:hAnsiTheme="minorHAnsi" w:cs="Arial"/>
          <w:lang w:val="en-NZ"/>
        </w:rPr>
        <w:lastRenderedPageBreak/>
        <w:t xml:space="preserve">telecommunications, </w:t>
      </w:r>
      <w:proofErr w:type="spellStart"/>
      <w:r w:rsidR="006F2586" w:rsidRPr="00414403">
        <w:rPr>
          <w:rFonts w:asciiTheme="minorHAnsi" w:eastAsia="Calibri" w:hAnsiTheme="minorHAnsi" w:cs="Arial"/>
          <w:lang w:val="en-NZ"/>
        </w:rPr>
        <w:t>radiocommunications</w:t>
      </w:r>
      <w:proofErr w:type="spellEnd"/>
      <w:r w:rsidR="006F2586" w:rsidRPr="00414403">
        <w:rPr>
          <w:rFonts w:asciiTheme="minorHAnsi" w:eastAsia="Calibri" w:hAnsiTheme="minorHAnsi" w:cs="Arial"/>
          <w:lang w:val="en-NZ"/>
        </w:rPr>
        <w:t xml:space="preserve"> and internet industries), it should be responsible for all aspects of industry regulation, including economic regulation.</w:t>
      </w:r>
    </w:p>
    <w:bookmarkEnd w:id="17"/>
    <w:bookmarkEnd w:id="18"/>
    <w:p w14:paraId="65D20F2E" w14:textId="2AF6B340" w:rsidR="002A2C02" w:rsidRPr="00A97B41" w:rsidRDefault="002A2C02" w:rsidP="00A97B41">
      <w:pPr>
        <w:pStyle w:val="BodyText"/>
        <w:rPr>
          <w:b/>
        </w:rPr>
      </w:pPr>
      <w:r w:rsidRPr="002A2C02">
        <w:rPr>
          <w:b/>
        </w:rPr>
        <w:t>Questions</w:t>
      </w:r>
    </w:p>
    <w:p w14:paraId="7F0C3C82" w14:textId="2A1EE5D4" w:rsidR="005B25FA" w:rsidRDefault="00223886" w:rsidP="005B25FA">
      <w:pPr>
        <w:pStyle w:val="BodyText"/>
        <w:numPr>
          <w:ilvl w:val="0"/>
          <w:numId w:val="31"/>
        </w:numPr>
      </w:pPr>
      <w:r>
        <w:t>Are there unique characteristics of the communications sector that require a particular style of regulation and regulator?</w:t>
      </w:r>
      <w:r w:rsidDel="00223886">
        <w:t xml:space="preserve"> </w:t>
      </w:r>
    </w:p>
    <w:p w14:paraId="7CCD8F55" w14:textId="50DD1346" w:rsidR="005B25FA" w:rsidRDefault="009D02CB" w:rsidP="005B25FA">
      <w:pPr>
        <w:pStyle w:val="BodyText"/>
        <w:numPr>
          <w:ilvl w:val="0"/>
          <w:numId w:val="31"/>
        </w:numPr>
      </w:pPr>
      <w:r>
        <w:t xml:space="preserve">Do the characteristics of the </w:t>
      </w:r>
      <w:r w:rsidR="009332D1">
        <w:t xml:space="preserve">communications </w:t>
      </w:r>
      <w:r>
        <w:t xml:space="preserve">sector mean that a sector-specific regulator </w:t>
      </w:r>
      <w:r w:rsidR="00771887">
        <w:t>sh</w:t>
      </w:r>
      <w:r w:rsidR="000A2056">
        <w:t>ould</w:t>
      </w:r>
      <w:r>
        <w:t xml:space="preserve"> be responsible for </w:t>
      </w:r>
      <w:r w:rsidR="009332D1">
        <w:t>all aspects of industry regulation including economic regulation?</w:t>
      </w:r>
      <w:r w:rsidR="000A2056">
        <w:t xml:space="preserve"> Would switching models enable the regulator to </w:t>
      </w:r>
      <w:r w:rsidR="00771887">
        <w:t>strike the optimal</w:t>
      </w:r>
      <w:r w:rsidR="000A2056">
        <w:t xml:space="preserve"> balance between investment and consumer outcomes?</w:t>
      </w:r>
    </w:p>
    <w:p w14:paraId="6CBB6C32" w14:textId="4C393294" w:rsidR="000F7554" w:rsidRDefault="000F7554" w:rsidP="002A2C02">
      <w:pPr>
        <w:pStyle w:val="BodyText"/>
        <w:numPr>
          <w:ilvl w:val="0"/>
          <w:numId w:val="31"/>
        </w:numPr>
      </w:pPr>
      <w:r>
        <w:t>What developments in the communications sector over the next 5</w:t>
      </w:r>
      <w:r w:rsidR="00E63DA0">
        <w:t>-10</w:t>
      </w:r>
      <w:r>
        <w:t xml:space="preserve"> years are likely to affect the role of the regulator?</w:t>
      </w:r>
      <w:r w:rsidR="00252CAD">
        <w:t xml:space="preserve"> In what ways will that role be affected?</w:t>
      </w:r>
    </w:p>
    <w:p w14:paraId="195C0CD0" w14:textId="77777777" w:rsidR="003D3890" w:rsidRDefault="003D3890" w:rsidP="003D3890">
      <w:pPr>
        <w:pStyle w:val="Heading2"/>
      </w:pPr>
      <w:bookmarkStart w:id="19" w:name="_Toc424289844"/>
      <w:r>
        <w:t>What should a future-focused communications regulator look like?</w:t>
      </w:r>
      <w:bookmarkEnd w:id="19"/>
    </w:p>
    <w:p w14:paraId="329BC232" w14:textId="36CC3410" w:rsidR="00CA60BD" w:rsidRDefault="00472D0D" w:rsidP="00CF00AC">
      <w:r>
        <w:t xml:space="preserve">The primary purpose of this review is to examine the </w:t>
      </w:r>
      <w:r w:rsidR="00D111B7">
        <w:t xml:space="preserve">purpose, </w:t>
      </w:r>
      <w:r>
        <w:t>objectives, functions and governance of the ACMA to ensure that it is fit-for-purpose and able to deliver good regulatory outcomes in the dynamic environment described above.</w:t>
      </w:r>
      <w:r w:rsidR="00CA60BD">
        <w:t xml:space="preserve"> </w:t>
      </w:r>
    </w:p>
    <w:p w14:paraId="0BD9856E" w14:textId="24ABFA67" w:rsidR="00CF00AC" w:rsidRDefault="00CF00AC" w:rsidP="00CF00AC">
      <w:r>
        <w:t xml:space="preserve">Regulatory best practice </w:t>
      </w:r>
      <w:r w:rsidR="001007D5">
        <w:t>suggests</w:t>
      </w:r>
      <w:r>
        <w:t xml:space="preserve"> that an effective regulator must have a clear purpose and objectives, with clear and linked functions and the mechanisms to co-ordinate with other relevant bodies to achieve the desired regulatory outcome.</w:t>
      </w:r>
      <w:r>
        <w:rPr>
          <w:rStyle w:val="FootnoteReference"/>
        </w:rPr>
        <w:footnoteReference w:id="2"/>
      </w:r>
    </w:p>
    <w:p w14:paraId="16CBB718" w14:textId="79C82694" w:rsidR="000C28AB" w:rsidRDefault="00CF00AC" w:rsidP="00CF00AC">
      <w:r>
        <w:t>A regulator’s functi</w:t>
      </w:r>
      <w:r w:rsidR="00980F5C">
        <w:t xml:space="preserve">ons should enable it to meet </w:t>
      </w:r>
      <w:r w:rsidR="005154BF">
        <w:t xml:space="preserve">relevant </w:t>
      </w:r>
      <w:r>
        <w:t xml:space="preserve">public policy objectives. </w:t>
      </w:r>
      <w:r w:rsidR="005154BF">
        <w:t xml:space="preserve">Its establishing legislation should clearly define its purpose, objectives, functions and powers. Ideally, it should not assign conflicting functions or, if it does, </w:t>
      </w:r>
      <w:r w:rsidR="00771887">
        <w:t xml:space="preserve">it should </w:t>
      </w:r>
      <w:r w:rsidR="00D25AB9">
        <w:t>identify</w:t>
      </w:r>
      <w:r w:rsidR="005154BF">
        <w:t xml:space="preserve"> the mechanism </w:t>
      </w:r>
      <w:r w:rsidR="000A2C34">
        <w:t>for resolving such conflicts.</w:t>
      </w:r>
      <w:r w:rsidR="00D25AB9">
        <w:t xml:space="preserve"> </w:t>
      </w:r>
      <w:r w:rsidR="00771887">
        <w:t>The legislation</w:t>
      </w:r>
      <w:r w:rsidR="00D25AB9">
        <w:t xml:space="preserve"> should also identify functions on which the regulator can, and cannot, receive directions from the government. </w:t>
      </w:r>
    </w:p>
    <w:p w14:paraId="203BC074" w14:textId="213D12F2" w:rsidR="000C28AB" w:rsidRDefault="000C28AB" w:rsidP="00CF00AC">
      <w:r>
        <w:t>The purpose, objectives and functions of the regulator is usually set by the Parliament through legislation. Parliament may also determine the level of regulatory independence (either comprehensively, or in specific areas, such as the regulation of content) offered to the regulator and the continuing role of the Parliament and the government of the day in its oversight or direction.</w:t>
      </w:r>
    </w:p>
    <w:p w14:paraId="65DE8EF6" w14:textId="0E7CE591" w:rsidR="005A61BB" w:rsidRDefault="00CF00AC" w:rsidP="00CF00AC">
      <w:r>
        <w:t xml:space="preserve">The </w:t>
      </w:r>
      <w:r w:rsidRPr="00BB4C7A">
        <w:rPr>
          <w:i/>
        </w:rPr>
        <w:t>A</w:t>
      </w:r>
      <w:r w:rsidR="00BB4C7A">
        <w:rPr>
          <w:i/>
        </w:rPr>
        <w:t xml:space="preserve">ustralian </w:t>
      </w:r>
      <w:r w:rsidRPr="00BB4C7A">
        <w:rPr>
          <w:i/>
        </w:rPr>
        <w:t>C</w:t>
      </w:r>
      <w:r w:rsidR="00BB4C7A">
        <w:rPr>
          <w:i/>
        </w:rPr>
        <w:t xml:space="preserve">ommunications and </w:t>
      </w:r>
      <w:r w:rsidRPr="00BB4C7A">
        <w:rPr>
          <w:i/>
        </w:rPr>
        <w:t>M</w:t>
      </w:r>
      <w:r w:rsidR="00BB4C7A">
        <w:rPr>
          <w:i/>
        </w:rPr>
        <w:t xml:space="preserve">edia </w:t>
      </w:r>
      <w:r w:rsidRPr="00BB4C7A">
        <w:rPr>
          <w:i/>
        </w:rPr>
        <w:t>A</w:t>
      </w:r>
      <w:r w:rsidR="00BB4C7A">
        <w:rPr>
          <w:i/>
        </w:rPr>
        <w:t>uthority</w:t>
      </w:r>
      <w:r w:rsidRPr="00BB4C7A">
        <w:rPr>
          <w:i/>
        </w:rPr>
        <w:t xml:space="preserve"> Act</w:t>
      </w:r>
      <w:r w:rsidR="000A2C34">
        <w:t xml:space="preserve"> </w:t>
      </w:r>
      <w:r w:rsidR="000A2C34" w:rsidRPr="00BB4C7A">
        <w:rPr>
          <w:i/>
        </w:rPr>
        <w:t>2005</w:t>
      </w:r>
      <w:r>
        <w:t xml:space="preserve"> lists the ACMA’s telecommunications, spectrum management, broadcasting, content and datacasting</w:t>
      </w:r>
      <w:r w:rsidR="00C00AE8">
        <w:t xml:space="preserve"> </w:t>
      </w:r>
      <w:r>
        <w:t xml:space="preserve">functions. </w:t>
      </w:r>
      <w:r w:rsidR="00C00AE8">
        <w:t xml:space="preserve">General functions involve industry regulation, reporting to and advising the Minister, managing Australia’s input into international standards setting and informing and educating the public. Specific functions are </w:t>
      </w:r>
      <w:r w:rsidR="000A2C34">
        <w:t xml:space="preserve">also </w:t>
      </w:r>
      <w:r w:rsidR="00C00AE8">
        <w:t>listed by reference to relevant legislative instruments.</w:t>
      </w:r>
    </w:p>
    <w:p w14:paraId="545E772F" w14:textId="77777777" w:rsidR="005425E9" w:rsidRDefault="005425E9">
      <w:pPr>
        <w:spacing w:after="120"/>
        <w:ind w:left="1021" w:hanging="1021"/>
        <w:rPr>
          <w:b/>
        </w:rPr>
      </w:pPr>
      <w:r>
        <w:rPr>
          <w:b/>
        </w:rPr>
        <w:br w:type="page"/>
      </w:r>
    </w:p>
    <w:p w14:paraId="53495150" w14:textId="7DAC419F" w:rsidR="00CF00AC" w:rsidRPr="00C00AE8" w:rsidRDefault="00CF00AC" w:rsidP="00C00AE8">
      <w:pPr>
        <w:rPr>
          <w:b/>
        </w:rPr>
      </w:pPr>
      <w:r>
        <w:rPr>
          <w:b/>
        </w:rPr>
        <w:lastRenderedPageBreak/>
        <w:t xml:space="preserve">Questions </w:t>
      </w:r>
    </w:p>
    <w:p w14:paraId="0D07EBB1" w14:textId="27D2B629" w:rsidR="00D111B7" w:rsidRPr="00D91436" w:rsidRDefault="00D111B7" w:rsidP="00D92020">
      <w:pPr>
        <w:pStyle w:val="ListParagraph"/>
        <w:numPr>
          <w:ilvl w:val="0"/>
          <w:numId w:val="31"/>
        </w:numPr>
        <w:spacing w:before="120" w:after="160" w:line="259" w:lineRule="auto"/>
        <w:contextualSpacing w:val="0"/>
      </w:pPr>
      <w:r w:rsidRPr="00D91436">
        <w:t xml:space="preserve">What should be the unifying objective </w:t>
      </w:r>
      <w:r>
        <w:t xml:space="preserve">and purpose </w:t>
      </w:r>
      <w:r w:rsidRPr="00D91436">
        <w:t>of the</w:t>
      </w:r>
      <w:r>
        <w:t xml:space="preserve"> communications regulator—i</w:t>
      </w:r>
      <w:r w:rsidRPr="00D91436">
        <w:t>s t</w:t>
      </w:r>
      <w:r w:rsidR="00FC53F2">
        <w:t>here a succinct way to describe what the regulator should achieve</w:t>
      </w:r>
      <w:r w:rsidRPr="00D91436">
        <w:t>?</w:t>
      </w:r>
    </w:p>
    <w:p w14:paraId="3EC14447" w14:textId="3B3B3493" w:rsidR="00CF00AC" w:rsidRPr="00D91436" w:rsidRDefault="00252CAD" w:rsidP="00D92020">
      <w:pPr>
        <w:pStyle w:val="ListParagraph"/>
        <w:numPr>
          <w:ilvl w:val="0"/>
          <w:numId w:val="31"/>
        </w:numPr>
        <w:spacing w:before="120" w:after="160" w:line="259" w:lineRule="auto"/>
        <w:contextualSpacing w:val="0"/>
      </w:pPr>
      <w:r>
        <w:t xml:space="preserve">Looking at both national and international trends, what are considered the optimal objectives, functions and structures for a best practice regulator in the </w:t>
      </w:r>
      <w:r w:rsidR="007F777A">
        <w:t xml:space="preserve">Australian </w:t>
      </w:r>
      <w:r>
        <w:t>communications sector?</w:t>
      </w:r>
    </w:p>
    <w:p w14:paraId="1E6D79B3" w14:textId="385F9CDF" w:rsidR="00CF00AC" w:rsidRPr="00D91436" w:rsidRDefault="00CF00AC" w:rsidP="00D92020">
      <w:pPr>
        <w:pStyle w:val="ListParagraph"/>
        <w:numPr>
          <w:ilvl w:val="0"/>
          <w:numId w:val="31"/>
        </w:numPr>
        <w:spacing w:before="120" w:after="160" w:line="259" w:lineRule="auto"/>
        <w:contextualSpacing w:val="0"/>
      </w:pPr>
      <w:r w:rsidRPr="00D91436">
        <w:t xml:space="preserve">What functions are </w:t>
      </w:r>
      <w:r w:rsidR="00223886" w:rsidRPr="00D91436">
        <w:t>unique</w:t>
      </w:r>
      <w:r w:rsidR="00223886">
        <w:t xml:space="preserve"> </w:t>
      </w:r>
      <w:r w:rsidR="00223886" w:rsidRPr="00D91436">
        <w:t>to</w:t>
      </w:r>
      <w:r w:rsidRPr="00D91436">
        <w:t xml:space="preserve"> the ACMA</w:t>
      </w:r>
      <w:r w:rsidR="00223886">
        <w:t xml:space="preserve"> (that is, not present or relevant to other regulators or industry sectors)</w:t>
      </w:r>
      <w:r w:rsidRPr="00D91436">
        <w:t xml:space="preserve"> and will these remain relevant in the future?</w:t>
      </w:r>
    </w:p>
    <w:p w14:paraId="68E29820" w14:textId="77777777" w:rsidR="00CF00AC" w:rsidRDefault="00CF00AC" w:rsidP="00D92020">
      <w:pPr>
        <w:pStyle w:val="ListParagraph"/>
        <w:numPr>
          <w:ilvl w:val="0"/>
          <w:numId w:val="31"/>
        </w:numPr>
        <w:spacing w:before="120" w:after="160" w:line="259" w:lineRule="auto"/>
        <w:contextualSpacing w:val="0"/>
      </w:pPr>
      <w:r>
        <w:t>Are new functions likely to emerge over time?</w:t>
      </w:r>
    </w:p>
    <w:p w14:paraId="0DC24484" w14:textId="5027B4D7" w:rsidR="00D25AB9" w:rsidRDefault="00D25AB9" w:rsidP="00D92020">
      <w:pPr>
        <w:pStyle w:val="ListParagraph"/>
        <w:numPr>
          <w:ilvl w:val="0"/>
          <w:numId w:val="31"/>
        </w:numPr>
        <w:spacing w:before="120" w:after="160" w:line="259" w:lineRule="auto"/>
        <w:contextualSpacing w:val="0"/>
      </w:pPr>
      <w:r>
        <w:t>When should the Minister be able to give directions to the ACMA in relation to the performance of its functions?</w:t>
      </w:r>
    </w:p>
    <w:p w14:paraId="1C26C465" w14:textId="72145CA6" w:rsidR="00CF00AC" w:rsidRDefault="00CF00AC" w:rsidP="00CF00AC">
      <w:r>
        <w:t xml:space="preserve">Regulators require a structure and governance arrangements that ensure their effective functioning, independence and ability to deliver their objectives. </w:t>
      </w:r>
    </w:p>
    <w:p w14:paraId="16491A94" w14:textId="18569850" w:rsidR="00CF00AC" w:rsidRDefault="00CF00AC" w:rsidP="00CF00AC">
      <w:r>
        <w:t xml:space="preserve">The ACMA has a </w:t>
      </w:r>
      <w:r w:rsidR="000A2C34">
        <w:t>‘</w:t>
      </w:r>
      <w:r>
        <w:t>commission</w:t>
      </w:r>
      <w:r w:rsidR="000A2C34">
        <w:t>’</w:t>
      </w:r>
      <w:r>
        <w:t xml:space="preserve"> structure, under which </w:t>
      </w:r>
      <w:r w:rsidR="000A2C34">
        <w:t xml:space="preserve">the </w:t>
      </w:r>
      <w:r>
        <w:t>Authority</w:t>
      </w:r>
      <w:r w:rsidR="000A2C34">
        <w:t xml:space="preserve"> itself</w:t>
      </w:r>
      <w:r w:rsidR="00D56702">
        <w:t xml:space="preserve"> is the principal decision-maker</w:t>
      </w:r>
      <w:r>
        <w:t xml:space="preserve">. The Authority has a Chair, deputy Chair and at least one but not more than seven other members. The Authority is the regulator </w:t>
      </w:r>
      <w:r w:rsidR="00F57E68">
        <w:t>and makes</w:t>
      </w:r>
      <w:r>
        <w:t xml:space="preserve"> decisions</w:t>
      </w:r>
      <w:r w:rsidR="000A2C34">
        <w:t>,</w:t>
      </w:r>
      <w:r>
        <w:t xml:space="preserve"> although it can delegate decision-making</w:t>
      </w:r>
      <w:r w:rsidR="003F13BC">
        <w:t xml:space="preserve"> (noting that it cannot delegate certain powers)</w:t>
      </w:r>
      <w:r>
        <w:t>.</w:t>
      </w:r>
      <w:r w:rsidR="003F13BC">
        <w:t xml:space="preserve"> </w:t>
      </w:r>
      <w:r w:rsidDel="00952DED">
        <w:t>The C</w:t>
      </w:r>
      <w:r w:rsidR="00D16908">
        <w:t>hair of the ACMA is also its</w:t>
      </w:r>
      <w:r w:rsidR="00224B4A">
        <w:t xml:space="preserve"> chief executive officer</w:t>
      </w:r>
      <w:r w:rsidDel="00952DED">
        <w:t>.</w:t>
      </w:r>
      <w:r w:rsidR="00FD1875" w:rsidDel="00952DED">
        <w:t xml:space="preserve"> Authority members can be either full or part-tim</w:t>
      </w:r>
      <w:r w:rsidR="006A73F4" w:rsidDel="00952DED">
        <w:t>e</w:t>
      </w:r>
      <w:r w:rsidR="00D658D7" w:rsidDel="00952DED">
        <w:t xml:space="preserve"> potentially enabling industry</w:t>
      </w:r>
      <w:r w:rsidR="006F31E3">
        <w:t>, consumer or technical</w:t>
      </w:r>
      <w:r w:rsidR="00B432AA">
        <w:t xml:space="preserve"> </w:t>
      </w:r>
      <w:r w:rsidR="00D658D7" w:rsidDel="00952DED">
        <w:t>experience to be reflected on the decision-making body</w:t>
      </w:r>
      <w:r w:rsidR="00D658D7">
        <w:t>.</w:t>
      </w:r>
    </w:p>
    <w:p w14:paraId="2E08A14F" w14:textId="77777777" w:rsidR="00CF00AC" w:rsidRDefault="00CF00AC" w:rsidP="00CF00AC">
      <w:pPr>
        <w:spacing w:before="0"/>
      </w:pPr>
    </w:p>
    <w:p w14:paraId="5BA83229" w14:textId="139EF792" w:rsidR="000A2C34" w:rsidRDefault="00CF00AC" w:rsidP="00CF00AC">
      <w:pPr>
        <w:spacing w:before="0"/>
      </w:pPr>
      <w:r>
        <w:t>These governance arrangements are similar to comparable international regulators</w:t>
      </w:r>
      <w:r w:rsidR="000A2C34">
        <w:t xml:space="preserve">, such as the </w:t>
      </w:r>
      <w:r w:rsidR="006F31E3">
        <w:t xml:space="preserve">United States’ </w:t>
      </w:r>
      <w:r w:rsidR="000A2C34">
        <w:t>Federal Communications Commission</w:t>
      </w:r>
      <w:r w:rsidR="006F31E3">
        <w:t xml:space="preserve">. In Australia there are variations on the commission model. For example, while </w:t>
      </w:r>
      <w:r w:rsidR="00D25AB9">
        <w:t>the Australian Competition and Consumer Commission</w:t>
      </w:r>
      <w:r w:rsidR="006F31E3">
        <w:t xml:space="preserve"> has a similar arrangement to the ACMA with its chair also acting as CEO, the Australian Energy Regulator has a separate Chair and CEO arrangement</w:t>
      </w:r>
      <w:r w:rsidR="00F57E68">
        <w:t xml:space="preserve">. </w:t>
      </w:r>
    </w:p>
    <w:p w14:paraId="3668D2B3" w14:textId="77777777" w:rsidR="000A2C34" w:rsidRDefault="000A2C34" w:rsidP="00CF00AC">
      <w:pPr>
        <w:spacing w:before="0"/>
      </w:pPr>
    </w:p>
    <w:p w14:paraId="7D1A6D8F" w14:textId="2BDBCB25" w:rsidR="00980F5C" w:rsidRDefault="00BB4C7A" w:rsidP="00CF00AC">
      <w:pPr>
        <w:spacing w:before="0"/>
      </w:pPr>
      <w:r>
        <w:t xml:space="preserve">An alternative arrangement is the </w:t>
      </w:r>
      <w:r w:rsidR="000A2C34">
        <w:t>‘governance board model’</w:t>
      </w:r>
      <w:r w:rsidR="00D25AB9">
        <w:t xml:space="preserve">. </w:t>
      </w:r>
      <w:r>
        <w:t xml:space="preserve">This is where the board </w:t>
      </w:r>
      <w:proofErr w:type="gramStart"/>
      <w:r>
        <w:t>delegates</w:t>
      </w:r>
      <w:proofErr w:type="gramEnd"/>
      <w:r>
        <w:t xml:space="preserve"> most regulatory decision making functions to the chief executive officer and staff. </w:t>
      </w:r>
      <w:r w:rsidR="003F13BC">
        <w:t xml:space="preserve">The board appoints the CEO, </w:t>
      </w:r>
      <w:r>
        <w:t>oversees the organisation and is responsible for strategic guidance and operational policy. An example</w:t>
      </w:r>
      <w:r w:rsidR="001E1D37">
        <w:t xml:space="preserve"> provided by the OECD</w:t>
      </w:r>
      <w:r>
        <w:t xml:space="preserve"> is the United Kingdom’s OFWAT (Water Services Regulation Authority).</w:t>
      </w:r>
      <w:r w:rsidR="00220815">
        <w:rPr>
          <w:rStyle w:val="FootnoteReference"/>
        </w:rPr>
        <w:footnoteReference w:id="3"/>
      </w:r>
    </w:p>
    <w:p w14:paraId="3E590058" w14:textId="42AA2FE4" w:rsidR="00F57E68" w:rsidRDefault="00F57E68" w:rsidP="00CF00AC">
      <w:pPr>
        <w:spacing w:before="0"/>
      </w:pPr>
    </w:p>
    <w:p w14:paraId="1E7AD2DE" w14:textId="77777777" w:rsidR="006F31E3" w:rsidRDefault="006F31E3" w:rsidP="006F31E3">
      <w:pPr>
        <w:spacing w:before="0"/>
      </w:pPr>
      <w:r>
        <w:t>Importantly, while the ACMA Authority is the regulator and makes decisions, it delegates a significant number of routine decisions to ACMA staff.</w:t>
      </w:r>
      <w:r>
        <w:rPr>
          <w:rStyle w:val="FootnoteReference"/>
        </w:rPr>
        <w:footnoteReference w:id="4"/>
      </w:r>
      <w:r>
        <w:t xml:space="preserve"> Decisions that are not routine are usually reserved for the Authority itself (noting that it cannot delegate certain of its powers). The Authority </w:t>
      </w:r>
      <w:r>
        <w:lastRenderedPageBreak/>
        <w:t xml:space="preserve">uses a formal assessment approach to determine which decisions it reserves to itself by balancing the impact and significance of the decision and any associated risks against the practical efficiencies and other benefits which may be gained by delegation. </w:t>
      </w:r>
    </w:p>
    <w:p w14:paraId="2667F691" w14:textId="3CF08699" w:rsidR="00F258DB" w:rsidRPr="00B66BA4" w:rsidRDefault="00F258DB" w:rsidP="00B66BA4">
      <w:pPr>
        <w:rPr>
          <w:b/>
        </w:rPr>
      </w:pPr>
      <w:r w:rsidRPr="00B66BA4">
        <w:rPr>
          <w:b/>
        </w:rPr>
        <w:t>Questions</w:t>
      </w:r>
    </w:p>
    <w:p w14:paraId="72C37CE9" w14:textId="67294E05" w:rsidR="00980F5C" w:rsidRDefault="00980F5C" w:rsidP="00B66BA4">
      <w:pPr>
        <w:spacing w:before="120" w:after="160" w:line="259" w:lineRule="auto"/>
        <w:ind w:left="360"/>
      </w:pPr>
      <w:r>
        <w:t xml:space="preserve">This review seeks to understand how differences in structure and governance arrangements can affect the way in which a regulator performs its functions. </w:t>
      </w:r>
    </w:p>
    <w:p w14:paraId="0500DDB2" w14:textId="5F00EAC9" w:rsidR="00CF00AC" w:rsidRDefault="00CF00AC" w:rsidP="00D92020">
      <w:pPr>
        <w:pStyle w:val="ListParagraph"/>
        <w:numPr>
          <w:ilvl w:val="0"/>
          <w:numId w:val="31"/>
        </w:numPr>
        <w:spacing w:before="120" w:after="160" w:line="259" w:lineRule="auto"/>
        <w:contextualSpacing w:val="0"/>
      </w:pPr>
      <w:r w:rsidRPr="00D91436">
        <w:t>What are the optimal structure and governance arrangements for</w:t>
      </w:r>
      <w:r w:rsidR="006A73F4">
        <w:t xml:space="preserve"> </w:t>
      </w:r>
      <w:r w:rsidRPr="00D91436">
        <w:t>the Authority and Executive?</w:t>
      </w:r>
      <w:bookmarkStart w:id="20" w:name="_GoBack"/>
      <w:bookmarkEnd w:id="20"/>
    </w:p>
    <w:p w14:paraId="39EBDA1D" w14:textId="0696783D" w:rsidR="001E1D37" w:rsidRDefault="001E1D37" w:rsidP="00D92020">
      <w:pPr>
        <w:pStyle w:val="ListParagraph"/>
        <w:numPr>
          <w:ilvl w:val="0"/>
          <w:numId w:val="31"/>
        </w:numPr>
        <w:spacing w:before="120" w:after="160" w:line="259" w:lineRule="auto"/>
        <w:contextualSpacing w:val="0"/>
      </w:pPr>
      <w:r>
        <w:t xml:space="preserve">What are the optimal arrangements </w:t>
      </w:r>
      <w:r w:rsidR="00252CAD">
        <w:t xml:space="preserve">to support good decision-making </w:t>
      </w:r>
      <w:r w:rsidR="00792960">
        <w:t xml:space="preserve">and maintain trust </w:t>
      </w:r>
      <w:r w:rsidR="00252CAD">
        <w:t xml:space="preserve">(including </w:t>
      </w:r>
      <w:r>
        <w:t>for managing conflicts of interest for decision makers</w:t>
      </w:r>
      <w:r w:rsidR="0007569D">
        <w:t xml:space="preserve"> and delegating decision-making</w:t>
      </w:r>
      <w:r w:rsidR="00F93845">
        <w:t>)</w:t>
      </w:r>
      <w:r>
        <w:t>?</w:t>
      </w:r>
    </w:p>
    <w:p w14:paraId="67E16CA1" w14:textId="7548DF83" w:rsidR="003D3890" w:rsidRDefault="003D3890" w:rsidP="003D3890">
      <w:pPr>
        <w:pStyle w:val="Heading2"/>
      </w:pPr>
      <w:bookmarkStart w:id="21" w:name="_Toc424289845"/>
      <w:r>
        <w:t xml:space="preserve">Enhancing the </w:t>
      </w:r>
      <w:r w:rsidR="00420C4B">
        <w:t xml:space="preserve">regulatory </w:t>
      </w:r>
      <w:r>
        <w:t xml:space="preserve">performance of the </w:t>
      </w:r>
      <w:r w:rsidR="00420C4B">
        <w:t>ACMA</w:t>
      </w:r>
      <w:bookmarkEnd w:id="21"/>
    </w:p>
    <w:p w14:paraId="4E11592B" w14:textId="098B6968" w:rsidR="003D3890" w:rsidRDefault="003D3890" w:rsidP="003D3890">
      <w:r>
        <w:t xml:space="preserve">An important feature of this review is to assess the ACMA’s current </w:t>
      </w:r>
      <w:r w:rsidR="0013672A">
        <w:t xml:space="preserve">regulatory </w:t>
      </w:r>
      <w:r>
        <w:t xml:space="preserve">performance. </w:t>
      </w:r>
    </w:p>
    <w:p w14:paraId="0A96AA0E" w14:textId="2B5DF4B0" w:rsidR="003D3890" w:rsidRPr="00810A0E" w:rsidRDefault="003D3890" w:rsidP="003D3890">
      <w:pPr>
        <w:rPr>
          <w:lang w:val="en"/>
        </w:rPr>
      </w:pPr>
      <w:r>
        <w:t>In October 2014 the Government released its Regulator Performance Framework (RPF) which recognises that the way regulators administer regulations can have a major effec</w:t>
      </w:r>
      <w:r w:rsidR="00980F5C">
        <w:t xml:space="preserve">t on productivity. The RPF </w:t>
      </w:r>
      <w:r>
        <w:t>establish</w:t>
      </w:r>
      <w:r w:rsidR="00980F5C">
        <w:t>es</w:t>
      </w:r>
      <w:r>
        <w:t xml:space="preserve"> a common set of performance measures that allow for the assessment of how regulators perform. </w:t>
      </w:r>
      <w:r>
        <w:rPr>
          <w:lang w:val="en"/>
        </w:rPr>
        <w:t xml:space="preserve">The Framework forms an important part of the Government’s deregulation agenda which aims to reduce the cost of unnecessary and inefficient regulation. </w:t>
      </w:r>
      <w:r>
        <w:t xml:space="preserve">The RPF </w:t>
      </w:r>
      <w:r w:rsidRPr="00810A0E">
        <w:rPr>
          <w:lang w:val="en"/>
        </w:rPr>
        <w:t>consists of six outcomes-based key performance indicators</w:t>
      </w:r>
      <w:r>
        <w:rPr>
          <w:lang w:val="en"/>
        </w:rPr>
        <w:t xml:space="preserve">: </w:t>
      </w:r>
    </w:p>
    <w:p w14:paraId="51068FFC" w14:textId="77777777" w:rsidR="003D3890" w:rsidRPr="0035092A" w:rsidRDefault="003D3890" w:rsidP="003D3890">
      <w:pPr>
        <w:ind w:left="720"/>
        <w:rPr>
          <w:sz w:val="21"/>
          <w:szCs w:val="21"/>
          <w:lang w:val="en"/>
        </w:rPr>
      </w:pPr>
      <w:r w:rsidRPr="0035092A">
        <w:rPr>
          <w:sz w:val="21"/>
          <w:szCs w:val="21"/>
          <w:lang w:val="en"/>
        </w:rPr>
        <w:t>KPI 1 – Regulators do not unnecessarily impede the efficient operation of regulated entities</w:t>
      </w:r>
    </w:p>
    <w:p w14:paraId="03CE9988" w14:textId="77777777" w:rsidR="003D3890" w:rsidRPr="0035092A" w:rsidRDefault="003D3890" w:rsidP="003D3890">
      <w:pPr>
        <w:ind w:left="720"/>
        <w:rPr>
          <w:sz w:val="21"/>
          <w:szCs w:val="21"/>
          <w:lang w:val="en"/>
        </w:rPr>
      </w:pPr>
      <w:r w:rsidRPr="0035092A">
        <w:rPr>
          <w:sz w:val="21"/>
          <w:szCs w:val="21"/>
          <w:lang w:val="en"/>
        </w:rPr>
        <w:t>KPI 2 – Communication with regulated entities is clear, targeted and effective</w:t>
      </w:r>
    </w:p>
    <w:p w14:paraId="27E4A7DC" w14:textId="77777777" w:rsidR="003D3890" w:rsidRPr="0035092A" w:rsidRDefault="003D3890" w:rsidP="003D3890">
      <w:pPr>
        <w:ind w:left="720"/>
        <w:rPr>
          <w:sz w:val="21"/>
          <w:szCs w:val="21"/>
          <w:lang w:val="en"/>
        </w:rPr>
      </w:pPr>
      <w:r w:rsidRPr="0035092A">
        <w:rPr>
          <w:sz w:val="21"/>
          <w:szCs w:val="21"/>
          <w:lang w:val="en"/>
        </w:rPr>
        <w:t>KPI 3 – Actions undertaken by regulators are proportionate to the regulatory risk being managed</w:t>
      </w:r>
    </w:p>
    <w:p w14:paraId="0A087845" w14:textId="77777777" w:rsidR="003D3890" w:rsidRPr="0035092A" w:rsidRDefault="003D3890" w:rsidP="003D3890">
      <w:pPr>
        <w:ind w:left="720"/>
        <w:rPr>
          <w:sz w:val="21"/>
          <w:szCs w:val="21"/>
          <w:lang w:val="en"/>
        </w:rPr>
      </w:pPr>
      <w:r w:rsidRPr="0035092A">
        <w:rPr>
          <w:sz w:val="21"/>
          <w:szCs w:val="21"/>
          <w:lang w:val="en"/>
        </w:rPr>
        <w:t>KPI 4 – Compliance and monitoring approaches are streamlined and coordinated</w:t>
      </w:r>
    </w:p>
    <w:p w14:paraId="01FA9E46" w14:textId="77777777" w:rsidR="003D3890" w:rsidRPr="0035092A" w:rsidRDefault="003D3890" w:rsidP="003D3890">
      <w:pPr>
        <w:ind w:left="720"/>
        <w:rPr>
          <w:sz w:val="21"/>
          <w:szCs w:val="21"/>
          <w:lang w:val="en"/>
        </w:rPr>
      </w:pPr>
      <w:r w:rsidRPr="0035092A">
        <w:rPr>
          <w:sz w:val="21"/>
          <w:szCs w:val="21"/>
          <w:lang w:val="en"/>
        </w:rPr>
        <w:t>KPI 5 – Regulators are open and transparent in their dealings with regulated entities</w:t>
      </w:r>
    </w:p>
    <w:p w14:paraId="0696A78B" w14:textId="77777777" w:rsidR="003D3890" w:rsidRPr="0035092A" w:rsidRDefault="003D3890" w:rsidP="003D3890">
      <w:pPr>
        <w:ind w:left="720"/>
        <w:rPr>
          <w:sz w:val="21"/>
          <w:szCs w:val="21"/>
          <w:lang w:val="en"/>
        </w:rPr>
      </w:pPr>
      <w:r w:rsidRPr="0035092A">
        <w:rPr>
          <w:sz w:val="21"/>
          <w:szCs w:val="21"/>
          <w:lang w:val="en"/>
        </w:rPr>
        <w:t>KPI 6 – Regulators actively contribute to the continuous improvement of regulatory frameworks</w:t>
      </w:r>
    </w:p>
    <w:p w14:paraId="5CA6373E" w14:textId="77777777" w:rsidR="003D3890" w:rsidRPr="00D02C62" w:rsidRDefault="003D3890" w:rsidP="003D3890">
      <w:pPr>
        <w:autoSpaceDE w:val="0"/>
        <w:autoSpaceDN w:val="0"/>
        <w:rPr>
          <w:rFonts w:cs="Segoe UI"/>
        </w:rPr>
      </w:pPr>
      <w:r>
        <w:rPr>
          <w:rFonts w:cs="Segoe UI"/>
        </w:rPr>
        <w:t>M</w:t>
      </w:r>
      <w:r w:rsidRPr="00D02C62">
        <w:rPr>
          <w:rFonts w:cs="Segoe UI"/>
        </w:rPr>
        <w:t xml:space="preserve">ore </w:t>
      </w:r>
      <w:r>
        <w:rPr>
          <w:rFonts w:cs="Segoe UI"/>
        </w:rPr>
        <w:t xml:space="preserve">detail on the RPF can be found </w:t>
      </w:r>
      <w:r w:rsidRPr="00D02C62">
        <w:rPr>
          <w:rFonts w:cs="Segoe UI"/>
        </w:rPr>
        <w:t>here:</w:t>
      </w:r>
      <w:r>
        <w:rPr>
          <w:rFonts w:cs="Segoe UI"/>
        </w:rPr>
        <w:t xml:space="preserve"> </w:t>
      </w:r>
      <w:hyperlink r:id="rId15" w:history="1">
        <w:r w:rsidRPr="00D02C62">
          <w:rPr>
            <w:rStyle w:val="Hyperlink"/>
            <w:rFonts w:cs="Segoe UI"/>
          </w:rPr>
          <w:t>https://www.cuttingredtape.gov.au/resources/rpf</w:t>
        </w:r>
      </w:hyperlink>
    </w:p>
    <w:p w14:paraId="6FA23BC0" w14:textId="2AC8BCBF" w:rsidR="003D3890" w:rsidRDefault="003D3890" w:rsidP="003D3890">
      <w:pPr>
        <w:autoSpaceDE w:val="0"/>
        <w:autoSpaceDN w:val="0"/>
        <w:rPr>
          <w:rFonts w:cs="Segoe UI"/>
        </w:rPr>
      </w:pPr>
      <w:r w:rsidRPr="00BE47FD">
        <w:rPr>
          <w:rFonts w:cs="Segoe UI"/>
        </w:rPr>
        <w:t xml:space="preserve">The ACMA has received feedback from industry stakeholders on </w:t>
      </w:r>
      <w:r w:rsidR="0013672A" w:rsidRPr="00BE47FD">
        <w:rPr>
          <w:rFonts w:cs="Segoe UI"/>
        </w:rPr>
        <w:t xml:space="preserve">a set of </w:t>
      </w:r>
      <w:r w:rsidRPr="00BE47FD">
        <w:rPr>
          <w:rFonts w:cs="Segoe UI"/>
        </w:rPr>
        <w:t xml:space="preserve">indicators and </w:t>
      </w:r>
      <w:r w:rsidR="0013672A" w:rsidRPr="00BE47FD">
        <w:rPr>
          <w:rFonts w:cs="Segoe UI"/>
        </w:rPr>
        <w:t xml:space="preserve">a </w:t>
      </w:r>
      <w:r w:rsidRPr="00BE47FD">
        <w:rPr>
          <w:rFonts w:cs="Segoe UI"/>
        </w:rPr>
        <w:t>self-</w:t>
      </w:r>
      <w:r w:rsidRPr="0035092A">
        <w:rPr>
          <w:rFonts w:cs="Segoe UI"/>
        </w:rPr>
        <w:t xml:space="preserve">assessment methodology it has developed to support implementation of the RPF and is intending to publish the self-assessment methodology and indicators </w:t>
      </w:r>
      <w:r w:rsidRPr="00BE47FD">
        <w:rPr>
          <w:rFonts w:cs="Segoe UI"/>
        </w:rPr>
        <w:t xml:space="preserve">in </w:t>
      </w:r>
      <w:r w:rsidRPr="00DE15A2">
        <w:rPr>
          <w:rFonts w:cs="Segoe UI"/>
        </w:rPr>
        <w:t>July 2015</w:t>
      </w:r>
      <w:r w:rsidRPr="0035092A">
        <w:rPr>
          <w:rFonts w:cs="Segoe UI"/>
        </w:rPr>
        <w:t xml:space="preserve"> on commencement</w:t>
      </w:r>
      <w:r>
        <w:rPr>
          <w:rFonts w:cs="Segoe UI"/>
        </w:rPr>
        <w:t xml:space="preserve"> of the first cycle of the RPF.</w:t>
      </w:r>
      <w:r w:rsidRPr="0035092A">
        <w:rPr>
          <w:rFonts w:cs="Segoe UI"/>
        </w:rPr>
        <w:t xml:space="preserve"> As the ACMA is not required to report under the RPF until </w:t>
      </w:r>
      <w:r w:rsidR="00BE47FD">
        <w:rPr>
          <w:rFonts w:cs="Segoe UI"/>
        </w:rPr>
        <w:t>December</w:t>
      </w:r>
      <w:r w:rsidRPr="0035092A">
        <w:rPr>
          <w:rFonts w:cs="Segoe UI"/>
        </w:rPr>
        <w:t xml:space="preserve"> 2016, </w:t>
      </w:r>
      <w:r>
        <w:rPr>
          <w:rFonts w:cs="Segoe UI"/>
        </w:rPr>
        <w:t>this</w:t>
      </w:r>
      <w:r w:rsidRPr="0035092A">
        <w:rPr>
          <w:rFonts w:cs="Segoe UI"/>
        </w:rPr>
        <w:t xml:space="preserve"> review has been tasked to report on the performance of the ACMA set broadly against the RPF. The Review is seeking preliminary views from stakeholders on how the ACMA is performing against the KPIs</w:t>
      </w:r>
      <w:r>
        <w:rPr>
          <w:rFonts w:cs="Segoe UI"/>
        </w:rPr>
        <w:t xml:space="preserve"> and any areas for improvement</w:t>
      </w:r>
      <w:r w:rsidRPr="0035092A">
        <w:rPr>
          <w:rFonts w:cs="Segoe UI"/>
        </w:rPr>
        <w:t>.</w:t>
      </w:r>
    </w:p>
    <w:p w14:paraId="3DDB176E" w14:textId="0E2E4E73" w:rsidR="003D3890" w:rsidRDefault="00252CAD" w:rsidP="003D3890">
      <w:r>
        <w:t>The</w:t>
      </w:r>
      <w:r w:rsidR="003D3890">
        <w:t xml:space="preserve"> review is also seeking to identify the optimal forward looking attributes and risk-based approach of a best practice communications regulator. These attributes</w:t>
      </w:r>
      <w:r>
        <w:t xml:space="preserve"> and approach</w:t>
      </w:r>
      <w:r w:rsidR="003D3890">
        <w:t xml:space="preserve"> should enable the regulator to adjust its operating techniques over time as the regulatory regime and its operating environment evolve</w:t>
      </w:r>
      <w:r w:rsidR="00473CC6">
        <w:t>, noting that these may not happen in unison</w:t>
      </w:r>
      <w:r w:rsidR="00D16908">
        <w:t>.</w:t>
      </w:r>
      <w:r w:rsidR="003D3890">
        <w:t xml:space="preserve"> The review will aim to understand </w:t>
      </w:r>
      <w:r w:rsidR="003D3890">
        <w:lastRenderedPageBreak/>
        <w:t xml:space="preserve">how these attributes </w:t>
      </w:r>
      <w:r>
        <w:t xml:space="preserve">and approach </w:t>
      </w:r>
      <w:r w:rsidR="003D3890">
        <w:t xml:space="preserve">might be shaped or influenced by the objectives and functions considerations canvassed </w:t>
      </w:r>
      <w:r w:rsidR="0013672A">
        <w:t>elsewhere</w:t>
      </w:r>
      <w:r w:rsidR="003D3890">
        <w:t xml:space="preserve"> in this paper.</w:t>
      </w:r>
    </w:p>
    <w:p w14:paraId="191EB958" w14:textId="77777777" w:rsidR="003D3890" w:rsidRDefault="003D3890" w:rsidP="003D3890">
      <w:pPr>
        <w:rPr>
          <w:b/>
        </w:rPr>
      </w:pPr>
      <w:r>
        <w:rPr>
          <w:b/>
        </w:rPr>
        <w:t>Questions</w:t>
      </w:r>
    </w:p>
    <w:p w14:paraId="4AB92B67" w14:textId="72228F0E" w:rsidR="003D3890" w:rsidRDefault="003D3890" w:rsidP="0045348F">
      <w:pPr>
        <w:numPr>
          <w:ilvl w:val="0"/>
          <w:numId w:val="31"/>
        </w:numPr>
        <w:spacing w:before="120"/>
      </w:pPr>
      <w:r>
        <w:t>How does the ACMA perform against the Regulator Performance Framework KPIs? Please provide examples</w:t>
      </w:r>
      <w:r w:rsidR="007879C3">
        <w:t>.</w:t>
      </w:r>
    </w:p>
    <w:p w14:paraId="3CC2DE5E" w14:textId="3A4702D7" w:rsidR="003D3890" w:rsidRDefault="003D3890" w:rsidP="0045348F">
      <w:pPr>
        <w:numPr>
          <w:ilvl w:val="0"/>
          <w:numId w:val="31"/>
        </w:numPr>
        <w:spacing w:before="120"/>
      </w:pPr>
      <w:r>
        <w:t xml:space="preserve">Has the ACMA been effective in progressing </w:t>
      </w:r>
      <w:r w:rsidR="00252CAD">
        <w:t xml:space="preserve">or influencing regulatory reform </w:t>
      </w:r>
      <w:r>
        <w:t>initiatives where there has been a change in risk or market characteristics to warrant change?</w:t>
      </w:r>
    </w:p>
    <w:p w14:paraId="1AD98EB9" w14:textId="5144D1B7" w:rsidR="003D3890" w:rsidRDefault="003D3890" w:rsidP="0045348F">
      <w:pPr>
        <w:numPr>
          <w:ilvl w:val="0"/>
          <w:numId w:val="31"/>
        </w:numPr>
        <w:spacing w:before="120"/>
      </w:pPr>
      <w:r>
        <w:t xml:space="preserve">What are the forward looking risk characteristics of the communications landscape? </w:t>
      </w:r>
      <w:r w:rsidR="00ED588D">
        <w:t xml:space="preserve">In this environment what is the optimal mix of capabilities and cultural attributes for a high performance communications regulator? </w:t>
      </w:r>
      <w:r>
        <w:t xml:space="preserve">Are these characteristics unique to communications? </w:t>
      </w:r>
    </w:p>
    <w:p w14:paraId="27450921" w14:textId="77777777" w:rsidR="003D3890" w:rsidRDefault="003D3890" w:rsidP="003D3890">
      <w:pPr>
        <w:pStyle w:val="Heading2"/>
      </w:pPr>
      <w:bookmarkStart w:id="22" w:name="_Toc424289846"/>
      <w:r>
        <w:t>Maximising the ACMA’s efficiency</w:t>
      </w:r>
      <w:bookmarkEnd w:id="22"/>
    </w:p>
    <w:p w14:paraId="1E7BFA20" w14:textId="77777777" w:rsidR="003D3890" w:rsidRPr="00ED26FA" w:rsidRDefault="003D3890" w:rsidP="003D3890">
      <w:r>
        <w:t>The review is also examining ways in which the efficiency of the ACMA can be maximised. It</w:t>
      </w:r>
      <w:r w:rsidRPr="00EC24F1">
        <w:t xml:space="preserve"> </w:t>
      </w:r>
      <w:r>
        <w:t xml:space="preserve">will </w:t>
      </w:r>
      <w:r w:rsidRPr="00EC24F1">
        <w:t>consider the efficiency of the ACMA in delivering its functions to support its priorities, any areas requiring improvement, and potential alternative arrangements that could improve efficiency, where required.</w:t>
      </w:r>
      <w:r w:rsidRPr="00ED26FA">
        <w:t xml:space="preserve"> </w:t>
      </w:r>
    </w:p>
    <w:p w14:paraId="15376DE0" w14:textId="4840612F" w:rsidR="003D3890" w:rsidRPr="00ED26FA" w:rsidRDefault="003D3890" w:rsidP="003D3890">
      <w:r w:rsidRPr="00ED26FA">
        <w:t>The review will</w:t>
      </w:r>
      <w:r>
        <w:t xml:space="preserve"> also</w:t>
      </w:r>
      <w:r w:rsidRPr="00ED26FA">
        <w:t xml:space="preserve"> incorporate the broad requirements of t</w:t>
      </w:r>
      <w:r>
        <w:t>he Government’s Contestability P</w:t>
      </w:r>
      <w:r w:rsidRPr="00ED26FA">
        <w:t>rogramme to asses</w:t>
      </w:r>
      <w:r>
        <w:t xml:space="preserve">s the efficiency of the ACMA and examine ways in which this can be maximised. </w:t>
      </w:r>
      <w:r w:rsidRPr="00ED26FA">
        <w:t xml:space="preserve">The Programme is aimed at comprehensively testing whether the activities undertaken within an agency could be more effectively and efficiently undertaken by other parties. </w:t>
      </w:r>
      <w:r>
        <w:t xml:space="preserve">More information on the Contestability </w:t>
      </w:r>
      <w:r w:rsidRPr="00302C0E">
        <w:t>Programme, can be found here:</w:t>
      </w:r>
      <w:r>
        <w:t xml:space="preserve"> </w:t>
      </w:r>
      <w:hyperlink r:id="rId16" w:anchor="guidelines" w:history="1">
        <w:r w:rsidRPr="00302C0E">
          <w:rPr>
            <w:rStyle w:val="Hyperlink"/>
          </w:rPr>
          <w:t>http://www.finance.gov.au/resource-management/governance/contestability/resources/#guidelines</w:t>
        </w:r>
      </w:hyperlink>
    </w:p>
    <w:p w14:paraId="0A7EF276" w14:textId="14BAA8FD" w:rsidR="003D3890" w:rsidRPr="00ED26FA" w:rsidRDefault="003D3890" w:rsidP="003D3890">
      <w:r>
        <w:t>The</w:t>
      </w:r>
      <w:r w:rsidRPr="00ED26FA">
        <w:t xml:space="preserve"> review will consider whether any of the functions of, or services provided by, the ACMA can cease, be provided by other agencies or the industry itself. It will also consider whether there are functions of, or services provided by, other agencies that may be more efficiently and effectively delivered by the ACMA</w:t>
      </w:r>
      <w:r w:rsidRPr="00AD5E74">
        <w:t xml:space="preserve">. </w:t>
      </w:r>
    </w:p>
    <w:p w14:paraId="4328424D" w14:textId="71425B09" w:rsidR="003D3890" w:rsidRDefault="003D3890" w:rsidP="003D3890">
      <w:r w:rsidRPr="00ED26FA">
        <w:t>The review will also consider current resourcing from government and recovered from industry. As part of this, fe</w:t>
      </w:r>
      <w:r>
        <w:t>edback is sought on stakeholder</w:t>
      </w:r>
      <w:r w:rsidRPr="00ED26FA">
        <w:t xml:space="preserve"> views on the current resource base of the organisation and relative contrib</w:t>
      </w:r>
      <w:r>
        <w:t>utions from current sources—that is,</w:t>
      </w:r>
      <w:r w:rsidRPr="00ED26FA">
        <w:t xml:space="preserve"> government funding, industry costs recovery and funding from other sources.</w:t>
      </w:r>
    </w:p>
    <w:p w14:paraId="7A846EF8" w14:textId="77777777" w:rsidR="003D3890" w:rsidRPr="00ED26FA" w:rsidRDefault="003D3890" w:rsidP="003D3890">
      <w:r>
        <w:t>The Government’s Cost Recovery Guidelines set out when costs may be able to be recovered from industry. Generally, a fee can be charged that is based solely on the cost of providing a specific good, service or regulatory activity. A levy, a form of a tax imposed on an identified group or industry sector, can be used for a specific activity relating to the group. The revenue raised should be closely related to the cost of delivering the activity.</w:t>
      </w:r>
    </w:p>
    <w:p w14:paraId="45A2089E" w14:textId="77777777" w:rsidR="003D3890" w:rsidRPr="00ED26FA" w:rsidRDefault="003D3890" w:rsidP="003D3890">
      <w:pPr>
        <w:rPr>
          <w:b/>
        </w:rPr>
      </w:pPr>
      <w:r w:rsidRPr="00ED26FA">
        <w:rPr>
          <w:b/>
        </w:rPr>
        <w:t>Questions</w:t>
      </w:r>
    </w:p>
    <w:p w14:paraId="74317E38" w14:textId="77777777" w:rsidR="003D3890" w:rsidRPr="00ED26FA" w:rsidRDefault="003D3890" w:rsidP="003D3890">
      <w:pPr>
        <w:spacing w:before="120"/>
        <w:rPr>
          <w:b/>
          <w:i/>
        </w:rPr>
      </w:pPr>
      <w:r w:rsidRPr="00ED26FA">
        <w:rPr>
          <w:b/>
          <w:i/>
        </w:rPr>
        <w:t>Contestability</w:t>
      </w:r>
    </w:p>
    <w:p w14:paraId="29C42EF8" w14:textId="77777777" w:rsidR="003D3890" w:rsidRPr="00ED26FA" w:rsidRDefault="003D3890" w:rsidP="0045348F">
      <w:pPr>
        <w:numPr>
          <w:ilvl w:val="0"/>
          <w:numId w:val="31"/>
        </w:numPr>
        <w:spacing w:before="120"/>
      </w:pPr>
      <w:r w:rsidRPr="00ED26FA">
        <w:t>What functions currently undertaken by the ACMA could be more efficiently or effectively delivered by someone else?</w:t>
      </w:r>
    </w:p>
    <w:p w14:paraId="664AA70D" w14:textId="77777777" w:rsidR="003D3890" w:rsidRDefault="003D3890" w:rsidP="0045348F">
      <w:pPr>
        <w:numPr>
          <w:ilvl w:val="0"/>
          <w:numId w:val="31"/>
        </w:numPr>
        <w:spacing w:before="120"/>
      </w:pPr>
      <w:r w:rsidRPr="00ED26FA">
        <w:t xml:space="preserve">What functions currently undertaken by other organisations could be more efficiently or effectively delivered by the ACMA? </w:t>
      </w:r>
    </w:p>
    <w:p w14:paraId="6B78800B" w14:textId="5EC7262A" w:rsidR="003C0423" w:rsidRPr="00ED26FA" w:rsidRDefault="003C0423" w:rsidP="0045348F">
      <w:pPr>
        <w:numPr>
          <w:ilvl w:val="0"/>
          <w:numId w:val="31"/>
        </w:numPr>
        <w:spacing w:before="120"/>
      </w:pPr>
      <w:r>
        <w:lastRenderedPageBreak/>
        <w:t>Would additional quality assurance arrangements be required where a function is provided by another party?</w:t>
      </w:r>
    </w:p>
    <w:p w14:paraId="58F77816" w14:textId="77777777" w:rsidR="003D3890" w:rsidRPr="00ED26FA" w:rsidRDefault="003D3890" w:rsidP="003D3890">
      <w:pPr>
        <w:spacing w:before="120"/>
        <w:rPr>
          <w:b/>
          <w:i/>
        </w:rPr>
      </w:pPr>
      <w:r w:rsidRPr="00ED26FA">
        <w:rPr>
          <w:b/>
          <w:i/>
        </w:rPr>
        <w:t>Efficiency</w:t>
      </w:r>
    </w:p>
    <w:p w14:paraId="28C6C015" w14:textId="77777777" w:rsidR="003D3890" w:rsidRPr="00ED26FA" w:rsidRDefault="003D3890" w:rsidP="0045348F">
      <w:pPr>
        <w:numPr>
          <w:ilvl w:val="0"/>
          <w:numId w:val="31"/>
        </w:numPr>
        <w:spacing w:before="120"/>
      </w:pPr>
      <w:r w:rsidRPr="00ED26FA">
        <w:t>What system improvements should be made to the ACMA? System improvements includes structural changes, process changes, requirements changes, and products or services changes.</w:t>
      </w:r>
    </w:p>
    <w:p w14:paraId="6BC3A22B" w14:textId="77777777" w:rsidR="003D3890" w:rsidRPr="00ED26FA" w:rsidRDefault="003D3890" w:rsidP="0045348F">
      <w:pPr>
        <w:numPr>
          <w:ilvl w:val="0"/>
          <w:numId w:val="31"/>
        </w:numPr>
        <w:spacing w:before="120"/>
      </w:pPr>
      <w:r w:rsidRPr="00ED26FA">
        <w:t>What engagement improvements should be made to the ACMA? Engagement improvements include stakeholder engagement, contractual practices, behavioural and policy incentives to promote compliance or take up of government initiatives.</w:t>
      </w:r>
    </w:p>
    <w:p w14:paraId="4B3142D5" w14:textId="548C4C71" w:rsidR="003D3890" w:rsidRPr="00ED26FA" w:rsidRDefault="003D3890" w:rsidP="0045348F">
      <w:pPr>
        <w:numPr>
          <w:ilvl w:val="0"/>
          <w:numId w:val="31"/>
        </w:numPr>
        <w:spacing w:before="120"/>
      </w:pPr>
      <w:r w:rsidRPr="00ED26FA">
        <w:t>What market improvements should be made to the ACMA? Market improvements include partnering with others</w:t>
      </w:r>
      <w:r w:rsidR="00224B4A">
        <w:t xml:space="preserve"> and </w:t>
      </w:r>
      <w:r w:rsidRPr="00ED26FA">
        <w:t>outsourcing</w:t>
      </w:r>
      <w:r>
        <w:t>.</w:t>
      </w:r>
    </w:p>
    <w:p w14:paraId="3BDDBEEB" w14:textId="77777777" w:rsidR="003D3890" w:rsidRPr="00ED26FA" w:rsidRDefault="003D3890" w:rsidP="003D3890">
      <w:pPr>
        <w:spacing w:before="120"/>
        <w:rPr>
          <w:b/>
          <w:i/>
        </w:rPr>
      </w:pPr>
      <w:r w:rsidRPr="00ED26FA">
        <w:rPr>
          <w:b/>
          <w:i/>
        </w:rPr>
        <w:t>Resourcing</w:t>
      </w:r>
    </w:p>
    <w:p w14:paraId="7C188085" w14:textId="2155F617" w:rsidR="00790FA6" w:rsidRDefault="00790FA6" w:rsidP="0045348F">
      <w:pPr>
        <w:numPr>
          <w:ilvl w:val="0"/>
          <w:numId w:val="31"/>
        </w:numPr>
        <w:spacing w:before="120"/>
      </w:pPr>
      <w:r>
        <w:t>What funding model would best resource an Australian communications regulator, now and in the future?</w:t>
      </w:r>
    </w:p>
    <w:p w14:paraId="0BBE81ED" w14:textId="7E263176" w:rsidR="002103B2" w:rsidRDefault="003D3890" w:rsidP="0045348F">
      <w:pPr>
        <w:numPr>
          <w:ilvl w:val="0"/>
          <w:numId w:val="31"/>
        </w:numPr>
        <w:spacing w:before="120"/>
      </w:pPr>
      <w:r>
        <w:t xml:space="preserve">What </w:t>
      </w:r>
      <w:r w:rsidR="00A30918">
        <w:t>activities should be cost recovered</w:t>
      </w:r>
      <w:r>
        <w:t xml:space="preserve"> from industry?</w:t>
      </w:r>
      <w:r w:rsidR="00585DF1">
        <w:t xml:space="preserve"> Are user charges administered by the ACMA cost effective and efficient?</w:t>
      </w:r>
    </w:p>
    <w:p w14:paraId="5197EA76" w14:textId="62263D09" w:rsidR="00ED588D" w:rsidRDefault="00D92020" w:rsidP="0045348F">
      <w:pPr>
        <w:numPr>
          <w:ilvl w:val="0"/>
          <w:numId w:val="31"/>
        </w:numPr>
        <w:spacing w:before="120"/>
      </w:pPr>
      <w:r>
        <w:t>What should guide the ACMA in its allocation of resources between function</w:t>
      </w:r>
      <w:r w:rsidR="005425E9">
        <w:t>s</w:t>
      </w:r>
      <w:r>
        <w:t>?</w:t>
      </w:r>
    </w:p>
    <w:p w14:paraId="308A104C" w14:textId="11F462FA" w:rsidR="007E1F48" w:rsidRDefault="008F7042" w:rsidP="00A350DA">
      <w:pPr>
        <w:pStyle w:val="Heading2"/>
      </w:pPr>
      <w:bookmarkStart w:id="23" w:name="_Toc424289847"/>
      <w:bookmarkStart w:id="24" w:name="_Toc382493211"/>
      <w:r>
        <w:t>The c</w:t>
      </w:r>
      <w:r w:rsidR="007B6982">
        <w:t xml:space="preserve">ommunications </w:t>
      </w:r>
      <w:r>
        <w:t>r</w:t>
      </w:r>
      <w:r w:rsidR="007B6982">
        <w:t xml:space="preserve">egulatory </w:t>
      </w:r>
      <w:r>
        <w:t>f</w:t>
      </w:r>
      <w:r w:rsidR="007B6982">
        <w:t>ramewo</w:t>
      </w:r>
      <w:r w:rsidR="00A350DA">
        <w:t>rk</w:t>
      </w:r>
      <w:bookmarkEnd w:id="23"/>
    </w:p>
    <w:p w14:paraId="062FEBB8" w14:textId="77137BB5" w:rsidR="00377099" w:rsidRPr="00A350DA" w:rsidRDefault="00426FEF" w:rsidP="002D612C">
      <w:pPr>
        <w:pStyle w:val="Default"/>
        <w:spacing w:after="120"/>
        <w:rPr>
          <w:rFonts w:ascii="Calibri" w:hAnsi="Calibri" w:cs="Calibri"/>
          <w:sz w:val="22"/>
          <w:szCs w:val="22"/>
        </w:rPr>
      </w:pPr>
      <w:r w:rsidRPr="00A350DA">
        <w:rPr>
          <w:rFonts w:ascii="Calibri" w:hAnsi="Calibri" w:cs="Calibri"/>
          <w:sz w:val="22"/>
          <w:szCs w:val="22"/>
        </w:rPr>
        <w:t xml:space="preserve">While the </w:t>
      </w:r>
      <w:r w:rsidR="0013672A">
        <w:rPr>
          <w:rFonts w:ascii="Calibri" w:hAnsi="Calibri" w:cs="Calibri"/>
          <w:sz w:val="22"/>
          <w:szCs w:val="22"/>
        </w:rPr>
        <w:t xml:space="preserve">main </w:t>
      </w:r>
      <w:r w:rsidRPr="00A350DA">
        <w:rPr>
          <w:rFonts w:ascii="Calibri" w:hAnsi="Calibri" w:cs="Calibri"/>
          <w:sz w:val="22"/>
          <w:szCs w:val="22"/>
        </w:rPr>
        <w:t>focus of the review</w:t>
      </w:r>
      <w:r w:rsidR="0013672A">
        <w:rPr>
          <w:rFonts w:ascii="Calibri" w:hAnsi="Calibri" w:cs="Calibri"/>
          <w:sz w:val="22"/>
          <w:szCs w:val="22"/>
        </w:rPr>
        <w:t xml:space="preserve"> is the </w:t>
      </w:r>
      <w:r w:rsidR="00DE68EA">
        <w:rPr>
          <w:rFonts w:ascii="Calibri" w:hAnsi="Calibri" w:cs="Calibri"/>
          <w:sz w:val="22"/>
          <w:szCs w:val="22"/>
        </w:rPr>
        <w:t xml:space="preserve">shape and responsibilities of the future </w:t>
      </w:r>
      <w:r w:rsidR="00866CB0">
        <w:rPr>
          <w:rFonts w:ascii="Calibri" w:hAnsi="Calibri" w:cs="Calibri"/>
          <w:sz w:val="22"/>
          <w:szCs w:val="22"/>
        </w:rPr>
        <w:t>regulator</w:t>
      </w:r>
      <w:r w:rsidRPr="00A350DA">
        <w:rPr>
          <w:rFonts w:ascii="Calibri" w:hAnsi="Calibri" w:cs="Calibri"/>
          <w:sz w:val="22"/>
          <w:szCs w:val="22"/>
        </w:rPr>
        <w:t xml:space="preserve">, </w:t>
      </w:r>
      <w:r w:rsidR="00377099" w:rsidRPr="00A350DA">
        <w:rPr>
          <w:rFonts w:ascii="Calibri" w:hAnsi="Calibri" w:cs="Calibri"/>
          <w:sz w:val="22"/>
          <w:szCs w:val="22"/>
        </w:rPr>
        <w:t xml:space="preserve">the regulatory regime </w:t>
      </w:r>
      <w:r w:rsidR="00CE3D5D" w:rsidRPr="00A350DA">
        <w:rPr>
          <w:rFonts w:ascii="Calibri" w:hAnsi="Calibri" w:cs="Calibri"/>
          <w:sz w:val="22"/>
          <w:szCs w:val="22"/>
        </w:rPr>
        <w:t xml:space="preserve">it administers </w:t>
      </w:r>
      <w:r w:rsidR="00377099" w:rsidRPr="00A350DA">
        <w:rPr>
          <w:rFonts w:ascii="Calibri" w:hAnsi="Calibri" w:cs="Calibri"/>
          <w:sz w:val="22"/>
          <w:szCs w:val="22"/>
        </w:rPr>
        <w:t xml:space="preserve">is a relevant factor in </w:t>
      </w:r>
      <w:r w:rsidR="00232A10" w:rsidRPr="00A350DA">
        <w:rPr>
          <w:rFonts w:ascii="Calibri" w:hAnsi="Calibri" w:cs="Calibri"/>
          <w:sz w:val="22"/>
          <w:szCs w:val="22"/>
        </w:rPr>
        <w:t xml:space="preserve">considering </w:t>
      </w:r>
      <w:r w:rsidR="0013672A">
        <w:rPr>
          <w:rFonts w:ascii="Calibri" w:hAnsi="Calibri" w:cs="Calibri"/>
          <w:sz w:val="22"/>
          <w:szCs w:val="22"/>
        </w:rPr>
        <w:t>its performance</w:t>
      </w:r>
      <w:r w:rsidR="00866CB0">
        <w:rPr>
          <w:rFonts w:ascii="Calibri" w:hAnsi="Calibri" w:cs="Calibri"/>
          <w:sz w:val="22"/>
          <w:szCs w:val="22"/>
        </w:rPr>
        <w:t xml:space="preserve">. </w:t>
      </w:r>
      <w:r w:rsidR="00CE3D5D" w:rsidRPr="00A350DA">
        <w:rPr>
          <w:rFonts w:ascii="Calibri" w:hAnsi="Calibri" w:cs="Calibri"/>
          <w:sz w:val="22"/>
          <w:szCs w:val="22"/>
        </w:rPr>
        <w:t xml:space="preserve">The regulatory regime </w:t>
      </w:r>
      <w:r w:rsidR="00ED588D">
        <w:rPr>
          <w:rFonts w:ascii="Calibri" w:hAnsi="Calibri" w:cs="Calibri"/>
          <w:sz w:val="22"/>
          <w:szCs w:val="22"/>
        </w:rPr>
        <w:t>identifies</w:t>
      </w:r>
      <w:r w:rsidR="00ED588D" w:rsidRPr="00A350DA">
        <w:rPr>
          <w:rFonts w:ascii="Calibri" w:hAnsi="Calibri" w:cs="Calibri"/>
          <w:sz w:val="22"/>
          <w:szCs w:val="22"/>
        </w:rPr>
        <w:t xml:space="preserve"> </w:t>
      </w:r>
      <w:r w:rsidR="00232A10" w:rsidRPr="00A350DA">
        <w:rPr>
          <w:rFonts w:ascii="Calibri" w:hAnsi="Calibri" w:cs="Calibri"/>
          <w:sz w:val="22"/>
          <w:szCs w:val="22"/>
        </w:rPr>
        <w:t xml:space="preserve">the </w:t>
      </w:r>
      <w:r w:rsidR="00917283" w:rsidRPr="00A350DA">
        <w:rPr>
          <w:rFonts w:ascii="Calibri" w:hAnsi="Calibri" w:cs="Calibri"/>
          <w:sz w:val="22"/>
          <w:szCs w:val="22"/>
        </w:rPr>
        <w:t xml:space="preserve">‘harms’ that </w:t>
      </w:r>
      <w:r w:rsidR="00442061">
        <w:rPr>
          <w:rFonts w:ascii="Calibri" w:hAnsi="Calibri" w:cs="Calibri"/>
          <w:sz w:val="22"/>
          <w:szCs w:val="22"/>
        </w:rPr>
        <w:t xml:space="preserve">the </w:t>
      </w:r>
      <w:r w:rsidR="00377099" w:rsidRPr="00A350DA">
        <w:rPr>
          <w:rFonts w:ascii="Calibri" w:hAnsi="Calibri" w:cs="Calibri"/>
          <w:sz w:val="22"/>
          <w:szCs w:val="22"/>
        </w:rPr>
        <w:t>ACMA</w:t>
      </w:r>
      <w:r w:rsidR="00232A10" w:rsidRPr="00A350DA">
        <w:rPr>
          <w:rFonts w:ascii="Calibri" w:hAnsi="Calibri" w:cs="Calibri"/>
          <w:sz w:val="22"/>
          <w:szCs w:val="22"/>
        </w:rPr>
        <w:t xml:space="preserve"> </w:t>
      </w:r>
      <w:r w:rsidR="00442061">
        <w:rPr>
          <w:rFonts w:ascii="Calibri" w:hAnsi="Calibri" w:cs="Calibri"/>
          <w:sz w:val="22"/>
          <w:szCs w:val="22"/>
        </w:rPr>
        <w:t>is required</w:t>
      </w:r>
      <w:r w:rsidR="00917283" w:rsidRPr="00A350DA">
        <w:rPr>
          <w:rFonts w:ascii="Calibri" w:hAnsi="Calibri" w:cs="Calibri"/>
          <w:sz w:val="22"/>
          <w:szCs w:val="22"/>
        </w:rPr>
        <w:t xml:space="preserve"> to </w:t>
      </w:r>
      <w:r w:rsidR="00ED588D">
        <w:rPr>
          <w:rFonts w:ascii="Calibri" w:hAnsi="Calibri" w:cs="Calibri"/>
          <w:sz w:val="22"/>
          <w:szCs w:val="22"/>
        </w:rPr>
        <w:t>deter</w:t>
      </w:r>
      <w:r w:rsidR="00917283" w:rsidRPr="00A350DA">
        <w:rPr>
          <w:rFonts w:ascii="Calibri" w:hAnsi="Calibri" w:cs="Calibri"/>
          <w:sz w:val="22"/>
          <w:szCs w:val="22"/>
        </w:rPr>
        <w:t xml:space="preserve">, </w:t>
      </w:r>
      <w:r w:rsidR="00232A10" w:rsidRPr="00A350DA">
        <w:rPr>
          <w:rFonts w:ascii="Calibri" w:hAnsi="Calibri" w:cs="Calibri"/>
          <w:sz w:val="22"/>
          <w:szCs w:val="22"/>
        </w:rPr>
        <w:t xml:space="preserve">as well as the </w:t>
      </w:r>
      <w:r w:rsidR="00377099" w:rsidRPr="00A350DA">
        <w:rPr>
          <w:rFonts w:ascii="Calibri" w:hAnsi="Calibri" w:cs="Calibri"/>
          <w:sz w:val="22"/>
          <w:szCs w:val="22"/>
        </w:rPr>
        <w:t>regulatory tools</w:t>
      </w:r>
      <w:r w:rsidR="00232A10" w:rsidRPr="00A350DA">
        <w:rPr>
          <w:rFonts w:ascii="Calibri" w:hAnsi="Calibri" w:cs="Calibri"/>
          <w:sz w:val="22"/>
          <w:szCs w:val="22"/>
        </w:rPr>
        <w:t xml:space="preserve"> it </w:t>
      </w:r>
      <w:r w:rsidR="00712A64" w:rsidRPr="00A350DA">
        <w:rPr>
          <w:rFonts w:ascii="Calibri" w:hAnsi="Calibri" w:cs="Calibri"/>
          <w:sz w:val="22"/>
          <w:szCs w:val="22"/>
        </w:rPr>
        <w:t>uses</w:t>
      </w:r>
      <w:r w:rsidR="00917283" w:rsidRPr="00A350DA">
        <w:rPr>
          <w:rFonts w:ascii="Calibri" w:hAnsi="Calibri" w:cs="Calibri"/>
          <w:sz w:val="22"/>
          <w:szCs w:val="22"/>
        </w:rPr>
        <w:t xml:space="preserve"> to </w:t>
      </w:r>
      <w:r w:rsidR="00442061">
        <w:rPr>
          <w:rFonts w:ascii="Calibri" w:hAnsi="Calibri" w:cs="Calibri"/>
          <w:sz w:val="22"/>
          <w:szCs w:val="22"/>
        </w:rPr>
        <w:t>reduce</w:t>
      </w:r>
      <w:r w:rsidR="00917283" w:rsidRPr="00A350DA">
        <w:rPr>
          <w:rFonts w:ascii="Calibri" w:hAnsi="Calibri" w:cs="Calibri"/>
          <w:sz w:val="22"/>
          <w:szCs w:val="22"/>
        </w:rPr>
        <w:t xml:space="preserve"> these harms</w:t>
      </w:r>
      <w:r w:rsidR="00790FA6">
        <w:rPr>
          <w:rFonts w:ascii="Calibri" w:hAnsi="Calibri" w:cs="Calibri"/>
          <w:sz w:val="22"/>
          <w:szCs w:val="22"/>
        </w:rPr>
        <w:t xml:space="preserve"> or enable new activities</w:t>
      </w:r>
      <w:r w:rsidR="00917283" w:rsidRPr="00A350DA">
        <w:rPr>
          <w:rFonts w:ascii="Calibri" w:hAnsi="Calibri" w:cs="Calibri"/>
          <w:sz w:val="22"/>
          <w:szCs w:val="22"/>
        </w:rPr>
        <w:t xml:space="preserve">. </w:t>
      </w:r>
      <w:r w:rsidR="00377099" w:rsidRPr="00A350DA">
        <w:rPr>
          <w:rFonts w:ascii="Calibri" w:hAnsi="Calibri" w:cs="Calibri"/>
          <w:sz w:val="22"/>
          <w:szCs w:val="22"/>
        </w:rPr>
        <w:t xml:space="preserve"> </w:t>
      </w:r>
    </w:p>
    <w:p w14:paraId="5F72B3F3" w14:textId="417DC8AA" w:rsidR="00545771" w:rsidRPr="00A350DA" w:rsidRDefault="00377099" w:rsidP="002D612C">
      <w:pPr>
        <w:pStyle w:val="Default"/>
        <w:spacing w:after="120"/>
        <w:rPr>
          <w:rFonts w:ascii="Calibri" w:hAnsi="Calibri" w:cs="Calibri"/>
          <w:sz w:val="22"/>
          <w:szCs w:val="22"/>
        </w:rPr>
      </w:pPr>
      <w:r w:rsidRPr="00A350DA">
        <w:rPr>
          <w:rFonts w:ascii="Calibri" w:hAnsi="Calibri" w:cs="Calibri"/>
          <w:sz w:val="22"/>
          <w:szCs w:val="22"/>
        </w:rPr>
        <w:t>T</w:t>
      </w:r>
      <w:r w:rsidR="00671D22" w:rsidRPr="00A350DA">
        <w:rPr>
          <w:rFonts w:ascii="Calibri" w:hAnsi="Calibri" w:cs="Calibri"/>
          <w:sz w:val="22"/>
          <w:szCs w:val="22"/>
        </w:rPr>
        <w:t>he ACMA administers some 26 communications Acts</w:t>
      </w:r>
      <w:r w:rsidR="00232A10" w:rsidRPr="00A350DA">
        <w:rPr>
          <w:rFonts w:ascii="Calibri" w:hAnsi="Calibri" w:cs="Calibri"/>
          <w:sz w:val="22"/>
          <w:szCs w:val="22"/>
        </w:rPr>
        <w:t xml:space="preserve"> relating to telecommunications, broadcasting, </w:t>
      </w:r>
      <w:proofErr w:type="spellStart"/>
      <w:r w:rsidR="00232A10" w:rsidRPr="00A350DA">
        <w:rPr>
          <w:rFonts w:ascii="Calibri" w:hAnsi="Calibri" w:cs="Calibri"/>
          <w:sz w:val="22"/>
          <w:szCs w:val="22"/>
        </w:rPr>
        <w:t>radiocommunications</w:t>
      </w:r>
      <w:proofErr w:type="spellEnd"/>
      <w:r w:rsidR="00232A10" w:rsidRPr="00A350DA">
        <w:rPr>
          <w:rFonts w:ascii="Calibri" w:hAnsi="Calibri" w:cs="Calibri"/>
          <w:sz w:val="22"/>
          <w:szCs w:val="22"/>
        </w:rPr>
        <w:t xml:space="preserve"> and online content</w:t>
      </w:r>
      <w:r w:rsidR="001961CA">
        <w:rPr>
          <w:rFonts w:ascii="Calibri" w:hAnsi="Calibri" w:cs="Calibri"/>
          <w:sz w:val="22"/>
          <w:szCs w:val="22"/>
        </w:rPr>
        <w:t>.</w:t>
      </w:r>
      <w:r w:rsidR="00671D22" w:rsidRPr="00A350DA">
        <w:rPr>
          <w:rFonts w:ascii="Calibri" w:hAnsi="Calibri" w:cs="Calibri"/>
          <w:sz w:val="22"/>
          <w:szCs w:val="22"/>
          <w:vertAlign w:val="superscript"/>
        </w:rPr>
        <w:footnoteReference w:id="5"/>
      </w:r>
      <w:r w:rsidR="00671D22" w:rsidRPr="00A350DA">
        <w:rPr>
          <w:rFonts w:ascii="Calibri" w:hAnsi="Calibri" w:cs="Calibri"/>
          <w:sz w:val="22"/>
          <w:szCs w:val="22"/>
        </w:rPr>
        <w:t xml:space="preserve"> </w:t>
      </w:r>
      <w:r w:rsidR="00D70F22" w:rsidRPr="00A350DA">
        <w:rPr>
          <w:rFonts w:ascii="Calibri" w:hAnsi="Calibri" w:cs="Calibri"/>
          <w:sz w:val="22"/>
          <w:szCs w:val="22"/>
        </w:rPr>
        <w:t>The</w:t>
      </w:r>
      <w:r w:rsidR="00232A10" w:rsidRPr="00A350DA">
        <w:rPr>
          <w:rFonts w:ascii="Calibri" w:hAnsi="Calibri" w:cs="Calibri"/>
          <w:sz w:val="22"/>
          <w:szCs w:val="22"/>
        </w:rPr>
        <w:t>se laws</w:t>
      </w:r>
      <w:r w:rsidR="00D70F22" w:rsidRPr="00A350DA">
        <w:rPr>
          <w:rFonts w:ascii="Calibri" w:hAnsi="Calibri" w:cs="Calibri"/>
          <w:sz w:val="22"/>
          <w:szCs w:val="22"/>
        </w:rPr>
        <w:t xml:space="preserve"> </w:t>
      </w:r>
      <w:r w:rsidR="00442061">
        <w:rPr>
          <w:rFonts w:ascii="Calibri" w:hAnsi="Calibri" w:cs="Calibri"/>
          <w:sz w:val="22"/>
          <w:szCs w:val="22"/>
        </w:rPr>
        <w:t>are</w:t>
      </w:r>
      <w:r w:rsidR="00252CAD">
        <w:rPr>
          <w:rFonts w:ascii="Calibri" w:hAnsi="Calibri" w:cs="Calibri"/>
          <w:sz w:val="22"/>
          <w:szCs w:val="22"/>
        </w:rPr>
        <w:t xml:space="preserve"> currently</w:t>
      </w:r>
      <w:r w:rsidR="00442061">
        <w:rPr>
          <w:rFonts w:ascii="Calibri" w:hAnsi="Calibri" w:cs="Calibri"/>
          <w:sz w:val="22"/>
          <w:szCs w:val="22"/>
        </w:rPr>
        <w:t xml:space="preserve"> being </w:t>
      </w:r>
      <w:r w:rsidR="00232A10" w:rsidRPr="00A350DA">
        <w:rPr>
          <w:rFonts w:ascii="Calibri" w:hAnsi="Calibri" w:cs="Calibri"/>
          <w:sz w:val="22"/>
          <w:szCs w:val="22"/>
        </w:rPr>
        <w:t xml:space="preserve">updated </w:t>
      </w:r>
      <w:r w:rsidR="00442061">
        <w:rPr>
          <w:rFonts w:ascii="Calibri" w:hAnsi="Calibri" w:cs="Calibri"/>
          <w:sz w:val="22"/>
          <w:szCs w:val="22"/>
        </w:rPr>
        <w:t xml:space="preserve">through the </w:t>
      </w:r>
      <w:r w:rsidR="00232A10" w:rsidRPr="00A350DA">
        <w:rPr>
          <w:rFonts w:ascii="Calibri" w:hAnsi="Calibri" w:cs="Calibri"/>
          <w:sz w:val="22"/>
          <w:szCs w:val="22"/>
        </w:rPr>
        <w:t>G</w:t>
      </w:r>
      <w:r w:rsidR="00CE3D5D" w:rsidRPr="00A350DA">
        <w:rPr>
          <w:rFonts w:ascii="Calibri" w:hAnsi="Calibri" w:cs="Calibri"/>
          <w:sz w:val="22"/>
          <w:szCs w:val="22"/>
        </w:rPr>
        <w:t>overnment’s d</w:t>
      </w:r>
      <w:r w:rsidR="00D70F22" w:rsidRPr="00A350DA">
        <w:rPr>
          <w:rFonts w:ascii="Calibri" w:hAnsi="Calibri" w:cs="Calibri"/>
          <w:sz w:val="22"/>
          <w:szCs w:val="22"/>
        </w:rPr>
        <w:t>eregulation program</w:t>
      </w:r>
      <w:r w:rsidR="00252CAD">
        <w:rPr>
          <w:rFonts w:ascii="Calibri" w:hAnsi="Calibri" w:cs="Calibri"/>
          <w:sz w:val="22"/>
          <w:szCs w:val="22"/>
        </w:rPr>
        <w:t xml:space="preserve"> and other regulatory reform initiatives, including</w:t>
      </w:r>
      <w:r w:rsidR="00D70F22" w:rsidRPr="00A350DA">
        <w:rPr>
          <w:rFonts w:ascii="Calibri" w:hAnsi="Calibri" w:cs="Calibri"/>
          <w:sz w:val="22"/>
          <w:szCs w:val="22"/>
        </w:rPr>
        <w:t xml:space="preserve"> </w:t>
      </w:r>
      <w:r w:rsidR="0013672A">
        <w:rPr>
          <w:rFonts w:ascii="Calibri" w:hAnsi="Calibri" w:cs="Calibri"/>
          <w:sz w:val="22"/>
          <w:szCs w:val="22"/>
        </w:rPr>
        <w:t xml:space="preserve">in relation to </w:t>
      </w:r>
      <w:r w:rsidR="00CE3D5D" w:rsidRPr="00A350DA">
        <w:rPr>
          <w:rFonts w:ascii="Calibri" w:hAnsi="Calibri" w:cs="Calibri"/>
          <w:sz w:val="22"/>
          <w:szCs w:val="22"/>
        </w:rPr>
        <w:t xml:space="preserve">spectrum management </w:t>
      </w:r>
      <w:r w:rsidR="0013672A">
        <w:rPr>
          <w:rFonts w:ascii="Calibri" w:hAnsi="Calibri" w:cs="Calibri"/>
          <w:sz w:val="22"/>
          <w:szCs w:val="22"/>
        </w:rPr>
        <w:t xml:space="preserve">and </w:t>
      </w:r>
      <w:r w:rsidR="00232A10" w:rsidRPr="00A350DA">
        <w:rPr>
          <w:rFonts w:ascii="Calibri" w:hAnsi="Calibri" w:cs="Calibri"/>
          <w:sz w:val="22"/>
          <w:szCs w:val="22"/>
        </w:rPr>
        <w:t xml:space="preserve">digital television regulations.  </w:t>
      </w:r>
    </w:p>
    <w:p w14:paraId="6897AE50" w14:textId="4DD96372" w:rsidR="00712A64" w:rsidRPr="00A350DA" w:rsidRDefault="00671D22" w:rsidP="002D612C">
      <w:pPr>
        <w:pStyle w:val="Default"/>
        <w:spacing w:after="120"/>
        <w:rPr>
          <w:rFonts w:ascii="Calibri" w:hAnsi="Calibri" w:cs="Calibri"/>
          <w:sz w:val="22"/>
          <w:szCs w:val="22"/>
        </w:rPr>
      </w:pPr>
      <w:r w:rsidRPr="00A350DA">
        <w:rPr>
          <w:rFonts w:ascii="Calibri" w:hAnsi="Calibri" w:cs="Calibri"/>
          <w:sz w:val="22"/>
          <w:szCs w:val="22"/>
        </w:rPr>
        <w:t xml:space="preserve">The ACMA has </w:t>
      </w:r>
      <w:r w:rsidR="00545771" w:rsidRPr="00A350DA">
        <w:rPr>
          <w:rFonts w:ascii="Calibri" w:hAnsi="Calibri" w:cs="Calibri"/>
          <w:sz w:val="22"/>
          <w:szCs w:val="22"/>
        </w:rPr>
        <w:t xml:space="preserve">published a </w:t>
      </w:r>
      <w:r w:rsidR="00712A64" w:rsidRPr="00A350DA">
        <w:rPr>
          <w:rFonts w:ascii="Calibri" w:hAnsi="Calibri" w:cs="Calibri"/>
          <w:sz w:val="22"/>
          <w:szCs w:val="22"/>
        </w:rPr>
        <w:t>series</w:t>
      </w:r>
      <w:r w:rsidR="00545771" w:rsidRPr="00A350DA">
        <w:rPr>
          <w:rFonts w:ascii="Calibri" w:hAnsi="Calibri" w:cs="Calibri"/>
          <w:sz w:val="22"/>
          <w:szCs w:val="22"/>
        </w:rPr>
        <w:t xml:space="preserve"> of papers </w:t>
      </w:r>
      <w:r w:rsidR="00712A64" w:rsidRPr="00A350DA">
        <w:rPr>
          <w:rFonts w:ascii="Calibri" w:hAnsi="Calibri" w:cs="Calibri"/>
          <w:sz w:val="22"/>
          <w:szCs w:val="22"/>
        </w:rPr>
        <w:t xml:space="preserve">highlighting the pressure placed on the regulatory regime by </w:t>
      </w:r>
      <w:r w:rsidR="00DE68EA">
        <w:rPr>
          <w:rFonts w:ascii="Calibri" w:hAnsi="Calibri" w:cs="Calibri"/>
          <w:sz w:val="22"/>
          <w:szCs w:val="22"/>
        </w:rPr>
        <w:t xml:space="preserve">the convergence </w:t>
      </w:r>
      <w:r w:rsidR="00545771" w:rsidRPr="00A350DA">
        <w:rPr>
          <w:rFonts w:ascii="Calibri" w:hAnsi="Calibri" w:cs="Calibri"/>
          <w:sz w:val="22"/>
          <w:szCs w:val="22"/>
        </w:rPr>
        <w:t xml:space="preserve">of previously distinct </w:t>
      </w:r>
      <w:r w:rsidR="00DE68EA">
        <w:rPr>
          <w:rFonts w:ascii="Calibri" w:hAnsi="Calibri" w:cs="Calibri"/>
          <w:sz w:val="22"/>
          <w:szCs w:val="22"/>
        </w:rPr>
        <w:t xml:space="preserve">communication </w:t>
      </w:r>
      <w:r w:rsidR="00545771" w:rsidRPr="00A350DA">
        <w:rPr>
          <w:rFonts w:ascii="Calibri" w:hAnsi="Calibri" w:cs="Calibri"/>
          <w:sz w:val="22"/>
          <w:szCs w:val="22"/>
        </w:rPr>
        <w:t>platform</w:t>
      </w:r>
      <w:r w:rsidR="00712A64" w:rsidRPr="00A350DA">
        <w:rPr>
          <w:rFonts w:ascii="Calibri" w:hAnsi="Calibri" w:cs="Calibri"/>
          <w:sz w:val="22"/>
          <w:szCs w:val="22"/>
        </w:rPr>
        <w:t>s</w:t>
      </w:r>
      <w:r w:rsidR="001961CA">
        <w:rPr>
          <w:rFonts w:ascii="Calibri" w:hAnsi="Calibri" w:cs="Calibri"/>
          <w:sz w:val="22"/>
          <w:szCs w:val="22"/>
        </w:rPr>
        <w:t>.</w:t>
      </w:r>
      <w:r w:rsidR="00E13DA3" w:rsidRPr="00A350DA">
        <w:rPr>
          <w:rStyle w:val="FootnoteReference"/>
          <w:rFonts w:ascii="Calibri" w:hAnsi="Calibri" w:cs="Calibri"/>
          <w:sz w:val="22"/>
          <w:szCs w:val="22"/>
        </w:rPr>
        <w:footnoteReference w:id="6"/>
      </w:r>
      <w:r w:rsidR="00545771" w:rsidRPr="00A350DA">
        <w:rPr>
          <w:rFonts w:ascii="Calibri" w:hAnsi="Calibri" w:cs="Calibri"/>
          <w:sz w:val="22"/>
          <w:szCs w:val="22"/>
        </w:rPr>
        <w:t xml:space="preserve"> </w:t>
      </w:r>
      <w:r w:rsidR="00917283" w:rsidRPr="00A350DA">
        <w:rPr>
          <w:rFonts w:ascii="Calibri" w:hAnsi="Calibri" w:cs="Calibri"/>
          <w:sz w:val="22"/>
          <w:szCs w:val="22"/>
        </w:rPr>
        <w:t>The ACMA point</w:t>
      </w:r>
      <w:r w:rsidR="00442061">
        <w:rPr>
          <w:rFonts w:ascii="Calibri" w:hAnsi="Calibri" w:cs="Calibri"/>
          <w:sz w:val="22"/>
          <w:szCs w:val="22"/>
        </w:rPr>
        <w:t>s</w:t>
      </w:r>
      <w:r w:rsidR="00917283" w:rsidRPr="00A350DA">
        <w:rPr>
          <w:rFonts w:ascii="Calibri" w:hAnsi="Calibri" w:cs="Calibri"/>
          <w:sz w:val="22"/>
          <w:szCs w:val="22"/>
        </w:rPr>
        <w:t xml:space="preserve"> out that m</w:t>
      </w:r>
      <w:r w:rsidR="00712A64" w:rsidRPr="00A350DA">
        <w:rPr>
          <w:rFonts w:ascii="Calibri" w:hAnsi="Calibri" w:cs="Calibri"/>
          <w:sz w:val="22"/>
          <w:szCs w:val="22"/>
        </w:rPr>
        <w:t xml:space="preserve">any laws are now quite dated and </w:t>
      </w:r>
      <w:r w:rsidR="00FC188D">
        <w:rPr>
          <w:rFonts w:ascii="Calibri" w:hAnsi="Calibri" w:cs="Calibri"/>
          <w:sz w:val="22"/>
          <w:szCs w:val="22"/>
        </w:rPr>
        <w:t xml:space="preserve">that </w:t>
      </w:r>
      <w:r w:rsidR="00712A64" w:rsidRPr="00A350DA">
        <w:rPr>
          <w:rFonts w:ascii="Calibri" w:hAnsi="Calibri" w:cs="Calibri"/>
          <w:sz w:val="22"/>
          <w:szCs w:val="22"/>
        </w:rPr>
        <w:t xml:space="preserve">the concept behind many, that content could be controlled by how it is delivered, is </w:t>
      </w:r>
      <w:r w:rsidR="00DE68EA">
        <w:rPr>
          <w:rFonts w:ascii="Calibri" w:hAnsi="Calibri" w:cs="Calibri"/>
          <w:sz w:val="22"/>
          <w:szCs w:val="22"/>
        </w:rPr>
        <w:t>breaking-down</w:t>
      </w:r>
      <w:r w:rsidR="00712A64" w:rsidRPr="00A350DA">
        <w:rPr>
          <w:rFonts w:ascii="Calibri" w:hAnsi="Calibri" w:cs="Calibri"/>
          <w:sz w:val="22"/>
          <w:szCs w:val="22"/>
        </w:rPr>
        <w:t xml:space="preserve">.    </w:t>
      </w:r>
    </w:p>
    <w:p w14:paraId="3F952EC9" w14:textId="43ACDA19" w:rsidR="006F31E3" w:rsidRPr="00A350DA" w:rsidRDefault="002A0A05" w:rsidP="006F31E3">
      <w:pPr>
        <w:pStyle w:val="Default"/>
        <w:spacing w:after="120"/>
        <w:rPr>
          <w:rFonts w:ascii="Calibri" w:hAnsi="Calibri" w:cs="Calibri"/>
          <w:sz w:val="22"/>
          <w:szCs w:val="22"/>
        </w:rPr>
      </w:pPr>
      <w:r w:rsidRPr="00A350DA">
        <w:rPr>
          <w:rFonts w:ascii="Calibri" w:hAnsi="Calibri" w:cs="Calibri"/>
          <w:sz w:val="22"/>
          <w:szCs w:val="22"/>
        </w:rPr>
        <w:t xml:space="preserve">In </w:t>
      </w:r>
      <w:r w:rsidR="00442061">
        <w:rPr>
          <w:rFonts w:ascii="Calibri" w:hAnsi="Calibri" w:cs="Calibri"/>
          <w:sz w:val="22"/>
          <w:szCs w:val="22"/>
        </w:rPr>
        <w:t xml:space="preserve">the context of this </w:t>
      </w:r>
      <w:r w:rsidRPr="00A350DA">
        <w:rPr>
          <w:rFonts w:ascii="Calibri" w:hAnsi="Calibri" w:cs="Calibri"/>
          <w:sz w:val="22"/>
          <w:szCs w:val="22"/>
        </w:rPr>
        <w:t xml:space="preserve">evolving environment, the </w:t>
      </w:r>
      <w:r w:rsidR="00E13DA3" w:rsidRPr="00A350DA">
        <w:rPr>
          <w:rFonts w:ascii="Calibri" w:hAnsi="Calibri" w:cs="Calibri"/>
          <w:sz w:val="22"/>
          <w:szCs w:val="22"/>
        </w:rPr>
        <w:t>ACMA</w:t>
      </w:r>
      <w:r w:rsidRPr="00A350DA">
        <w:rPr>
          <w:rFonts w:ascii="Calibri" w:hAnsi="Calibri" w:cs="Calibri"/>
          <w:sz w:val="22"/>
          <w:szCs w:val="22"/>
        </w:rPr>
        <w:t xml:space="preserve"> has </w:t>
      </w:r>
      <w:r w:rsidR="002D612C" w:rsidRPr="00A350DA">
        <w:rPr>
          <w:rFonts w:ascii="Calibri" w:hAnsi="Calibri" w:cs="Calibri"/>
          <w:sz w:val="22"/>
          <w:szCs w:val="22"/>
        </w:rPr>
        <w:t xml:space="preserve">identified what </w:t>
      </w:r>
      <w:r w:rsidR="006E3D67">
        <w:rPr>
          <w:rFonts w:ascii="Calibri" w:hAnsi="Calibri" w:cs="Calibri"/>
          <w:sz w:val="22"/>
          <w:szCs w:val="22"/>
        </w:rPr>
        <w:t xml:space="preserve">it </w:t>
      </w:r>
      <w:r w:rsidR="002D612C" w:rsidRPr="00A350DA">
        <w:rPr>
          <w:rFonts w:ascii="Calibri" w:hAnsi="Calibri" w:cs="Calibri"/>
          <w:sz w:val="22"/>
          <w:szCs w:val="22"/>
        </w:rPr>
        <w:t>consider</w:t>
      </w:r>
      <w:r w:rsidR="006E3D67">
        <w:rPr>
          <w:rFonts w:ascii="Calibri" w:hAnsi="Calibri" w:cs="Calibri"/>
          <w:sz w:val="22"/>
          <w:szCs w:val="22"/>
        </w:rPr>
        <w:t>s</w:t>
      </w:r>
      <w:r w:rsidR="002D612C" w:rsidRPr="00A350DA">
        <w:rPr>
          <w:rFonts w:ascii="Calibri" w:hAnsi="Calibri" w:cs="Calibri"/>
          <w:sz w:val="22"/>
          <w:szCs w:val="22"/>
        </w:rPr>
        <w:t xml:space="preserve"> ‘enduring concepts’—public policy objectives that have stood the test of time, regardless of changes in </w:t>
      </w:r>
      <w:r w:rsidR="002D612C" w:rsidRPr="00A350DA">
        <w:rPr>
          <w:rFonts w:ascii="Calibri" w:hAnsi="Calibri" w:cs="Calibri"/>
          <w:sz w:val="22"/>
          <w:szCs w:val="22"/>
        </w:rPr>
        <w:lastRenderedPageBreak/>
        <w:t xml:space="preserve">technology and where regulation </w:t>
      </w:r>
      <w:r w:rsidR="00DE68EA">
        <w:rPr>
          <w:rFonts w:ascii="Calibri" w:hAnsi="Calibri" w:cs="Calibri"/>
          <w:sz w:val="22"/>
          <w:szCs w:val="22"/>
        </w:rPr>
        <w:t>is likely to have an ongoing role</w:t>
      </w:r>
      <w:r w:rsidR="00CE55E7">
        <w:rPr>
          <w:rFonts w:ascii="Calibri" w:hAnsi="Calibri" w:cs="Calibri"/>
          <w:sz w:val="22"/>
          <w:szCs w:val="22"/>
        </w:rPr>
        <w:t>.</w:t>
      </w:r>
      <w:r w:rsidR="00E13DA3" w:rsidRPr="00A350DA">
        <w:rPr>
          <w:rStyle w:val="FootnoteReference"/>
          <w:rFonts w:ascii="Calibri" w:hAnsi="Calibri" w:cs="Calibri"/>
          <w:sz w:val="22"/>
          <w:szCs w:val="22"/>
        </w:rPr>
        <w:footnoteReference w:id="7"/>
      </w:r>
      <w:r w:rsidR="00CE55E7">
        <w:rPr>
          <w:rFonts w:ascii="Calibri" w:hAnsi="Calibri" w:cs="Calibri"/>
          <w:sz w:val="22"/>
          <w:szCs w:val="22"/>
        </w:rPr>
        <w:t xml:space="preserve"> </w:t>
      </w:r>
      <w:r w:rsidR="006F31E3">
        <w:rPr>
          <w:rFonts w:ascii="Calibri" w:hAnsi="Calibri" w:cs="Calibri"/>
          <w:sz w:val="22"/>
          <w:szCs w:val="22"/>
        </w:rPr>
        <w:t xml:space="preserve">The ACMA has grouped these under four broad headings: market standards (competition, quality, redress and efficiency); social and economic participation (access, confidence and digital citizenship); cultural values (diversity of voices, Australian identity, community values, </w:t>
      </w:r>
      <w:proofErr w:type="gramStart"/>
      <w:r w:rsidR="006F31E3">
        <w:rPr>
          <w:rFonts w:ascii="Calibri" w:hAnsi="Calibri" w:cs="Calibri"/>
          <w:sz w:val="22"/>
          <w:szCs w:val="22"/>
        </w:rPr>
        <w:t>localism</w:t>
      </w:r>
      <w:proofErr w:type="gramEnd"/>
      <w:r w:rsidR="006F31E3">
        <w:rPr>
          <w:rFonts w:ascii="Calibri" w:hAnsi="Calibri" w:cs="Calibri"/>
          <w:sz w:val="22"/>
          <w:szCs w:val="22"/>
        </w:rPr>
        <w:t xml:space="preserve"> and ethical standards) and safeguards (protection of the public, protection of children, digital information management and the national interest). </w:t>
      </w:r>
      <w:r w:rsidR="006F31E3" w:rsidRPr="00A350DA">
        <w:rPr>
          <w:rFonts w:ascii="Calibri" w:hAnsi="Calibri" w:cs="Calibri"/>
          <w:sz w:val="22"/>
          <w:szCs w:val="22"/>
        </w:rPr>
        <w:t xml:space="preserve"> </w:t>
      </w:r>
    </w:p>
    <w:p w14:paraId="4BF189F8" w14:textId="3E70BA5E" w:rsidR="006F31E3" w:rsidRDefault="006F31E3" w:rsidP="002A0A05">
      <w:pPr>
        <w:pStyle w:val="Default"/>
        <w:spacing w:after="120"/>
        <w:rPr>
          <w:rFonts w:ascii="Calibri" w:hAnsi="Calibri" w:cs="Calibri"/>
          <w:sz w:val="22"/>
          <w:szCs w:val="22"/>
        </w:rPr>
      </w:pPr>
      <w:r>
        <w:rPr>
          <w:rFonts w:ascii="Calibri" w:hAnsi="Calibri" w:cs="Calibri"/>
          <w:sz w:val="22"/>
          <w:szCs w:val="22"/>
        </w:rPr>
        <w:t>The following list of concepts draws on this work.</w:t>
      </w:r>
    </w:p>
    <w:p w14:paraId="541A01C7" w14:textId="77777777" w:rsidR="002D612C" w:rsidRPr="00A350DA" w:rsidRDefault="002D612C" w:rsidP="002D612C">
      <w:pPr>
        <w:pStyle w:val="BodyText"/>
        <w:numPr>
          <w:ilvl w:val="0"/>
          <w:numId w:val="35"/>
        </w:numPr>
        <w:spacing w:before="0" w:after="120"/>
        <w:rPr>
          <w:rFonts w:cs="Calibri"/>
        </w:rPr>
      </w:pPr>
      <w:r w:rsidRPr="00A350DA">
        <w:rPr>
          <w:rFonts w:cs="Calibri"/>
          <w:b/>
          <w:bCs/>
        </w:rPr>
        <w:t>Access to services / participation in society</w:t>
      </w:r>
      <w:r w:rsidRPr="00A350DA">
        <w:rPr>
          <w:rFonts w:cs="Calibri"/>
        </w:rPr>
        <w:t>. Citizens should enjoy reasonable and equitable access to communications infrastructure, services and the content necessary to promote their effective participation in society and the economy. Increasingly this extends to ‘digital literacy’.</w:t>
      </w:r>
    </w:p>
    <w:p w14:paraId="04C31127" w14:textId="77777777" w:rsidR="002D612C" w:rsidRPr="00A350DA" w:rsidRDefault="002D612C" w:rsidP="002D612C">
      <w:pPr>
        <w:pStyle w:val="BodyText"/>
        <w:numPr>
          <w:ilvl w:val="0"/>
          <w:numId w:val="35"/>
        </w:numPr>
        <w:spacing w:before="0" w:after="120"/>
        <w:rPr>
          <w:rFonts w:cs="Calibri"/>
        </w:rPr>
      </w:pPr>
      <w:r w:rsidRPr="00A350DA">
        <w:rPr>
          <w:rFonts w:cs="Calibri"/>
          <w:b/>
        </w:rPr>
        <w:t>Competition.</w:t>
      </w:r>
      <w:r w:rsidRPr="00A350DA">
        <w:rPr>
          <w:rFonts w:cs="Calibri"/>
        </w:rPr>
        <w:t xml:space="preserve"> Markets should be open and competitive so as to encourage investment, innovation and diversity of choice. Regulatory settings should embody competitive neutrality across platforms and among market participants and minimise potential market distortions. </w:t>
      </w:r>
    </w:p>
    <w:p w14:paraId="4A75C12F" w14:textId="77777777" w:rsidR="002D612C" w:rsidRPr="00A350DA" w:rsidRDefault="002D612C" w:rsidP="002D612C">
      <w:pPr>
        <w:pStyle w:val="BodyText"/>
        <w:numPr>
          <w:ilvl w:val="0"/>
          <w:numId w:val="35"/>
        </w:numPr>
        <w:autoSpaceDE w:val="0"/>
        <w:autoSpaceDN w:val="0"/>
        <w:adjustRightInd w:val="0"/>
        <w:spacing w:before="0" w:after="120"/>
        <w:rPr>
          <w:rFonts w:cs="Calibri"/>
        </w:rPr>
      </w:pPr>
      <w:r w:rsidRPr="00A350DA">
        <w:rPr>
          <w:rFonts w:cs="Calibri"/>
          <w:b/>
        </w:rPr>
        <w:t xml:space="preserve">Efficient allocation and use of resources. </w:t>
      </w:r>
      <w:r w:rsidRPr="00A350DA">
        <w:rPr>
          <w:rFonts w:cs="Calibri"/>
        </w:rPr>
        <w:t xml:space="preserve">Policy settings should be coherent, appropriately calibrated and predictable so that a minimum level of service is available to all and public resources are used efficiently over time. </w:t>
      </w:r>
    </w:p>
    <w:p w14:paraId="228114DF" w14:textId="77777777" w:rsidR="002D612C" w:rsidRPr="00A350DA" w:rsidRDefault="002D612C" w:rsidP="002D612C">
      <w:pPr>
        <w:pStyle w:val="BodyText"/>
        <w:numPr>
          <w:ilvl w:val="0"/>
          <w:numId w:val="35"/>
        </w:numPr>
        <w:autoSpaceDE w:val="0"/>
        <w:autoSpaceDN w:val="0"/>
        <w:adjustRightInd w:val="0"/>
        <w:spacing w:before="0" w:after="120"/>
        <w:rPr>
          <w:rFonts w:cs="Calibri"/>
        </w:rPr>
      </w:pPr>
      <w:r w:rsidRPr="00A350DA">
        <w:rPr>
          <w:rFonts w:cs="Calibri"/>
          <w:b/>
        </w:rPr>
        <w:t>Diversity of voices.</w:t>
      </w:r>
      <w:r w:rsidRPr="00A350DA">
        <w:rPr>
          <w:rFonts w:cs="Calibri"/>
        </w:rPr>
        <w:t xml:space="preserve"> There should be a diversity of major sources of information and perspectives expressed in the public sphere to provide and sustain an informed citizenry and healthy democracy. It is equally important that this information be fair, accurate and transparent.  </w:t>
      </w:r>
    </w:p>
    <w:p w14:paraId="4D0A7EF6" w14:textId="77777777" w:rsidR="002D612C" w:rsidRPr="00A350DA" w:rsidRDefault="002D612C" w:rsidP="002D612C">
      <w:pPr>
        <w:pStyle w:val="BodyText"/>
        <w:numPr>
          <w:ilvl w:val="0"/>
          <w:numId w:val="35"/>
        </w:numPr>
        <w:autoSpaceDE w:val="0"/>
        <w:autoSpaceDN w:val="0"/>
        <w:adjustRightInd w:val="0"/>
        <w:spacing w:before="0" w:after="120"/>
        <w:rPr>
          <w:rFonts w:cs="Calibri"/>
        </w:rPr>
      </w:pPr>
      <w:r w:rsidRPr="00A350DA">
        <w:rPr>
          <w:rFonts w:cs="Calibri"/>
          <w:b/>
        </w:rPr>
        <w:t xml:space="preserve">Australian identity. </w:t>
      </w:r>
      <w:r w:rsidRPr="00A350DA">
        <w:rPr>
          <w:rFonts w:cs="Calibri"/>
        </w:rPr>
        <w:t>Australians should be able to experience Australian voices and stories when using or consuming media and communications services.</w:t>
      </w:r>
    </w:p>
    <w:p w14:paraId="26B575F1" w14:textId="77777777" w:rsidR="002D612C" w:rsidRPr="00A350DA" w:rsidRDefault="002D612C" w:rsidP="002D612C">
      <w:pPr>
        <w:pStyle w:val="BodyText"/>
        <w:numPr>
          <w:ilvl w:val="0"/>
          <w:numId w:val="35"/>
        </w:numPr>
        <w:autoSpaceDE w:val="0"/>
        <w:autoSpaceDN w:val="0"/>
        <w:adjustRightInd w:val="0"/>
        <w:spacing w:before="0" w:after="120"/>
        <w:rPr>
          <w:rFonts w:cs="Calibri"/>
          <w:b/>
        </w:rPr>
      </w:pPr>
      <w:r w:rsidRPr="00A350DA">
        <w:rPr>
          <w:rFonts w:cs="Calibri"/>
          <w:b/>
        </w:rPr>
        <w:t>Values and safeguards.</w:t>
      </w:r>
      <w:r w:rsidRPr="00A350DA">
        <w:rPr>
          <w:rFonts w:cs="Calibri"/>
        </w:rPr>
        <w:t xml:space="preserve"> Services should reflect community standards, meet community needs and be ‘fit-for-purpose’. Users should be provided with effective and accessible avenues of complaint and redress if standards are not met. Children, in particular, should be protected from harmful material. </w:t>
      </w:r>
    </w:p>
    <w:p w14:paraId="69911259" w14:textId="67942200" w:rsidR="002D612C" w:rsidRPr="00A350DA" w:rsidRDefault="002D612C" w:rsidP="002D612C">
      <w:pPr>
        <w:pStyle w:val="BodyText"/>
        <w:numPr>
          <w:ilvl w:val="0"/>
          <w:numId w:val="35"/>
        </w:numPr>
        <w:autoSpaceDE w:val="0"/>
        <w:autoSpaceDN w:val="0"/>
        <w:adjustRightInd w:val="0"/>
        <w:spacing w:before="0" w:after="120"/>
        <w:rPr>
          <w:rFonts w:cs="Calibri"/>
          <w:b/>
        </w:rPr>
      </w:pPr>
      <w:r w:rsidRPr="00A350DA">
        <w:rPr>
          <w:rFonts w:cs="Calibri"/>
          <w:b/>
        </w:rPr>
        <w:t xml:space="preserve">National Interest. </w:t>
      </w:r>
      <w:r w:rsidRPr="00A350DA">
        <w:rPr>
          <w:rFonts w:cs="Calibri"/>
        </w:rPr>
        <w:t xml:space="preserve">The communications sector settings should reflect the national interest both domestically and through international forums (for example, </w:t>
      </w:r>
      <w:proofErr w:type="spellStart"/>
      <w:r w:rsidRPr="00A350DA">
        <w:rPr>
          <w:rFonts w:cs="Calibri"/>
        </w:rPr>
        <w:t>radiocommunications</w:t>
      </w:r>
      <w:proofErr w:type="spellEnd"/>
      <w:r w:rsidRPr="00A350DA">
        <w:rPr>
          <w:rFonts w:cs="Calibri"/>
        </w:rPr>
        <w:t xml:space="preserve"> planning is governed by treaty).</w:t>
      </w:r>
    </w:p>
    <w:bookmarkEnd w:id="24"/>
    <w:p w14:paraId="21CF5170" w14:textId="7B15F390" w:rsidR="008F360B" w:rsidRPr="00A350DA" w:rsidRDefault="002A0A05" w:rsidP="00753FB7">
      <w:pPr>
        <w:pStyle w:val="Default"/>
        <w:spacing w:after="120"/>
        <w:rPr>
          <w:rFonts w:ascii="Calibri" w:hAnsi="Calibri" w:cs="Calibri"/>
          <w:sz w:val="22"/>
          <w:szCs w:val="22"/>
        </w:rPr>
      </w:pPr>
      <w:r w:rsidRPr="00A350DA">
        <w:rPr>
          <w:rFonts w:ascii="Calibri" w:hAnsi="Calibri" w:cs="Calibri"/>
          <w:sz w:val="22"/>
          <w:szCs w:val="22"/>
        </w:rPr>
        <w:t xml:space="preserve">In addition to discussion about </w:t>
      </w:r>
      <w:r w:rsidR="00C60F91" w:rsidRPr="00A350DA">
        <w:rPr>
          <w:rFonts w:ascii="Calibri" w:hAnsi="Calibri" w:cs="Calibri"/>
          <w:sz w:val="22"/>
          <w:szCs w:val="22"/>
        </w:rPr>
        <w:t>which</w:t>
      </w:r>
      <w:r w:rsidRPr="00A350DA">
        <w:rPr>
          <w:rFonts w:ascii="Calibri" w:hAnsi="Calibri" w:cs="Calibri"/>
          <w:sz w:val="22"/>
          <w:szCs w:val="22"/>
        </w:rPr>
        <w:t xml:space="preserve"> harms should be regulated, it is also relevant to consider </w:t>
      </w:r>
      <w:r w:rsidR="00EB4EEB" w:rsidRPr="00A350DA">
        <w:rPr>
          <w:rFonts w:ascii="Calibri" w:hAnsi="Calibri" w:cs="Calibri"/>
          <w:sz w:val="22"/>
          <w:szCs w:val="22"/>
        </w:rPr>
        <w:t xml:space="preserve">the regulatory interventions used </w:t>
      </w:r>
      <w:r w:rsidR="00442061">
        <w:rPr>
          <w:rFonts w:ascii="Calibri" w:hAnsi="Calibri" w:cs="Calibri"/>
          <w:sz w:val="22"/>
          <w:szCs w:val="22"/>
        </w:rPr>
        <w:t xml:space="preserve">in the communications sector to </w:t>
      </w:r>
      <w:r w:rsidR="00EB4EEB" w:rsidRPr="00A350DA">
        <w:rPr>
          <w:rFonts w:ascii="Calibri" w:hAnsi="Calibri" w:cs="Calibri"/>
          <w:sz w:val="22"/>
          <w:szCs w:val="22"/>
        </w:rPr>
        <w:t xml:space="preserve">achieve policy </w:t>
      </w:r>
      <w:r w:rsidR="00C60F91" w:rsidRPr="00A350DA">
        <w:rPr>
          <w:rFonts w:ascii="Calibri" w:hAnsi="Calibri" w:cs="Calibri"/>
          <w:sz w:val="22"/>
          <w:szCs w:val="22"/>
        </w:rPr>
        <w:t>objectives</w:t>
      </w:r>
      <w:r w:rsidR="00EB4EEB" w:rsidRPr="00A350DA">
        <w:rPr>
          <w:rFonts w:ascii="Calibri" w:hAnsi="Calibri" w:cs="Calibri"/>
          <w:sz w:val="22"/>
          <w:szCs w:val="22"/>
        </w:rPr>
        <w:t>.</w:t>
      </w:r>
      <w:r w:rsidR="008377F9">
        <w:rPr>
          <w:rFonts w:ascii="Calibri" w:hAnsi="Calibri" w:cs="Calibri"/>
          <w:sz w:val="22"/>
          <w:szCs w:val="22"/>
        </w:rPr>
        <w:t xml:space="preserve"> </w:t>
      </w:r>
      <w:r w:rsidR="00442061">
        <w:rPr>
          <w:rFonts w:ascii="Calibri" w:hAnsi="Calibri" w:cs="Calibri"/>
          <w:sz w:val="22"/>
          <w:szCs w:val="22"/>
        </w:rPr>
        <w:t xml:space="preserve">While there are a range of </w:t>
      </w:r>
      <w:r w:rsidR="007C63DF">
        <w:rPr>
          <w:rFonts w:ascii="Calibri" w:hAnsi="Calibri" w:cs="Calibri"/>
          <w:sz w:val="22"/>
          <w:szCs w:val="22"/>
        </w:rPr>
        <w:t>mechanisms used</w:t>
      </w:r>
      <w:r w:rsidR="003B54FB" w:rsidRPr="00A350DA">
        <w:rPr>
          <w:rFonts w:ascii="Calibri" w:hAnsi="Calibri" w:cs="Calibri"/>
          <w:sz w:val="22"/>
          <w:szCs w:val="22"/>
        </w:rPr>
        <w:t xml:space="preserve">, </w:t>
      </w:r>
      <w:r w:rsidR="00753FB7" w:rsidRPr="00A350DA">
        <w:rPr>
          <w:rFonts w:ascii="Calibri" w:hAnsi="Calibri" w:cs="Calibri"/>
          <w:sz w:val="22"/>
          <w:szCs w:val="22"/>
        </w:rPr>
        <w:t xml:space="preserve">including </w:t>
      </w:r>
      <w:r w:rsidR="008F360B" w:rsidRPr="00A350DA">
        <w:rPr>
          <w:rFonts w:ascii="Calibri" w:hAnsi="Calibri" w:cs="Calibri"/>
          <w:sz w:val="22"/>
          <w:szCs w:val="22"/>
        </w:rPr>
        <w:t>direct funding</w:t>
      </w:r>
      <w:r w:rsidR="00753FB7" w:rsidRPr="00A350DA">
        <w:rPr>
          <w:rFonts w:ascii="Calibri" w:hAnsi="Calibri" w:cs="Calibri"/>
          <w:sz w:val="22"/>
          <w:szCs w:val="22"/>
        </w:rPr>
        <w:t xml:space="preserve"> and awareness raising, </w:t>
      </w:r>
      <w:r w:rsidR="003B54FB" w:rsidRPr="00A350DA">
        <w:rPr>
          <w:rFonts w:ascii="Calibri" w:hAnsi="Calibri" w:cs="Calibri"/>
          <w:sz w:val="22"/>
          <w:szCs w:val="22"/>
        </w:rPr>
        <w:t>there are three dominant styles of regulatory intervention</w:t>
      </w:r>
      <w:r w:rsidR="00DE68EA">
        <w:rPr>
          <w:rFonts w:ascii="Calibri" w:hAnsi="Calibri" w:cs="Calibri"/>
          <w:sz w:val="22"/>
          <w:szCs w:val="22"/>
        </w:rPr>
        <w:t xml:space="preserve"> in the communications sector</w:t>
      </w:r>
      <w:r w:rsidR="008F360B" w:rsidRPr="00A350DA">
        <w:rPr>
          <w:rFonts w:ascii="Calibri" w:hAnsi="Calibri" w:cs="Calibri"/>
          <w:sz w:val="22"/>
          <w:szCs w:val="22"/>
        </w:rPr>
        <w:t xml:space="preserve"> </w:t>
      </w:r>
      <w:r w:rsidR="003B54FB" w:rsidRPr="00A350DA">
        <w:rPr>
          <w:rFonts w:ascii="Calibri" w:hAnsi="Calibri" w:cs="Calibri"/>
          <w:sz w:val="22"/>
          <w:szCs w:val="22"/>
        </w:rPr>
        <w:t>—black letter law, co- and self-regulatio</w:t>
      </w:r>
      <w:r w:rsidR="002C6457">
        <w:rPr>
          <w:rFonts w:ascii="Calibri" w:hAnsi="Calibri" w:cs="Calibri"/>
          <w:sz w:val="22"/>
          <w:szCs w:val="22"/>
        </w:rPr>
        <w:t>n. These ‘hard’ interventions are complemented by a range of ‘soft’ interventions such as facilitation of compliance outcomes, education and public disclosure of compliance issues.</w:t>
      </w:r>
    </w:p>
    <w:p w14:paraId="58EC90A7" w14:textId="5A626FFE" w:rsidR="00EB4EEB" w:rsidRDefault="00753FB7" w:rsidP="008F360B">
      <w:pPr>
        <w:pStyle w:val="Default"/>
        <w:spacing w:after="120"/>
        <w:rPr>
          <w:rFonts w:ascii="Calibri" w:hAnsi="Calibri" w:cs="Calibri"/>
          <w:sz w:val="22"/>
          <w:szCs w:val="22"/>
        </w:rPr>
      </w:pPr>
      <w:r w:rsidRPr="00A350DA">
        <w:rPr>
          <w:rFonts w:ascii="Calibri" w:hAnsi="Calibri" w:cs="Calibri"/>
          <w:sz w:val="22"/>
          <w:szCs w:val="22"/>
        </w:rPr>
        <w:lastRenderedPageBreak/>
        <w:t>The Department has previously asked whether the reliance on co</w:t>
      </w:r>
      <w:r w:rsidR="008F360B" w:rsidRPr="00A350DA">
        <w:rPr>
          <w:rFonts w:ascii="Calibri" w:hAnsi="Calibri" w:cs="Calibri"/>
          <w:sz w:val="22"/>
          <w:szCs w:val="22"/>
        </w:rPr>
        <w:t>-</w:t>
      </w:r>
      <w:r w:rsidRPr="00A350DA">
        <w:rPr>
          <w:rFonts w:ascii="Calibri" w:hAnsi="Calibri" w:cs="Calibri"/>
          <w:sz w:val="22"/>
          <w:szCs w:val="22"/>
        </w:rPr>
        <w:t>regulation as the preferred intervention model remains appropriate</w:t>
      </w:r>
      <w:r w:rsidR="008F360B" w:rsidRPr="00A350DA">
        <w:rPr>
          <w:rFonts w:ascii="Calibri" w:hAnsi="Calibri" w:cs="Calibri"/>
          <w:sz w:val="22"/>
          <w:szCs w:val="22"/>
        </w:rPr>
        <w:t xml:space="preserve"> </w:t>
      </w:r>
      <w:r w:rsidR="003E0EB2" w:rsidRPr="00A350DA">
        <w:rPr>
          <w:rFonts w:ascii="Calibri" w:hAnsi="Calibri" w:cs="Calibri"/>
          <w:sz w:val="22"/>
          <w:szCs w:val="22"/>
        </w:rPr>
        <w:t>for the communications sector</w:t>
      </w:r>
      <w:r w:rsidR="006D1898">
        <w:rPr>
          <w:rFonts w:ascii="Calibri" w:hAnsi="Calibri" w:cs="Calibri"/>
          <w:sz w:val="22"/>
          <w:szCs w:val="22"/>
        </w:rPr>
        <w:t>.</w:t>
      </w:r>
      <w:r w:rsidR="00E13DA3" w:rsidRPr="00A350DA">
        <w:rPr>
          <w:rStyle w:val="FootnoteReference"/>
          <w:rFonts w:ascii="Calibri" w:hAnsi="Calibri" w:cs="Calibri"/>
          <w:sz w:val="22"/>
          <w:szCs w:val="22"/>
        </w:rPr>
        <w:footnoteReference w:id="8"/>
      </w:r>
      <w:r w:rsidR="003E0EB2" w:rsidRPr="00A350DA">
        <w:rPr>
          <w:rFonts w:ascii="Calibri" w:hAnsi="Calibri" w:cs="Calibri"/>
          <w:sz w:val="22"/>
          <w:szCs w:val="22"/>
        </w:rPr>
        <w:t xml:space="preserve"> It appears that the increasing number of industry players, diverse products, new business models and changing consumer preferences </w:t>
      </w:r>
      <w:r w:rsidR="00C60F91" w:rsidRPr="00A350DA">
        <w:rPr>
          <w:rFonts w:ascii="Calibri" w:hAnsi="Calibri" w:cs="Calibri"/>
          <w:sz w:val="22"/>
          <w:szCs w:val="22"/>
        </w:rPr>
        <w:t>has</w:t>
      </w:r>
      <w:r w:rsidR="003E0EB2" w:rsidRPr="00A350DA">
        <w:rPr>
          <w:rFonts w:ascii="Calibri" w:hAnsi="Calibri" w:cs="Calibri"/>
          <w:sz w:val="22"/>
          <w:szCs w:val="22"/>
        </w:rPr>
        <w:t xml:space="preserve"> made the </w:t>
      </w:r>
      <w:r w:rsidR="008377F9">
        <w:rPr>
          <w:rFonts w:ascii="Calibri" w:hAnsi="Calibri" w:cs="Calibri"/>
          <w:sz w:val="22"/>
          <w:szCs w:val="22"/>
        </w:rPr>
        <w:t xml:space="preserve">ACMA’s </w:t>
      </w:r>
      <w:r w:rsidR="003E0EB2" w:rsidRPr="00A350DA">
        <w:rPr>
          <w:rFonts w:ascii="Calibri" w:hAnsi="Calibri" w:cs="Calibri"/>
          <w:sz w:val="22"/>
          <w:szCs w:val="22"/>
        </w:rPr>
        <w:t xml:space="preserve">task of establishing and promoting compliance with industry codes more </w:t>
      </w:r>
      <w:r w:rsidR="00DE68EA">
        <w:rPr>
          <w:rFonts w:ascii="Calibri" w:hAnsi="Calibri" w:cs="Calibri"/>
          <w:sz w:val="22"/>
          <w:szCs w:val="22"/>
        </w:rPr>
        <w:t>complex</w:t>
      </w:r>
      <w:r w:rsidR="003E0EB2" w:rsidRPr="00A350DA">
        <w:rPr>
          <w:rFonts w:ascii="Calibri" w:hAnsi="Calibri" w:cs="Calibri"/>
          <w:sz w:val="22"/>
          <w:szCs w:val="22"/>
        </w:rPr>
        <w:t xml:space="preserve"> and time consuming.  </w:t>
      </w:r>
    </w:p>
    <w:p w14:paraId="2786BD17" w14:textId="7076A5DC" w:rsidR="002C6457" w:rsidRDefault="00FD62AB" w:rsidP="008F360B">
      <w:pPr>
        <w:pStyle w:val="Default"/>
        <w:spacing w:after="120"/>
        <w:rPr>
          <w:rFonts w:ascii="Calibri" w:hAnsi="Calibri" w:cs="Calibri"/>
          <w:sz w:val="22"/>
          <w:szCs w:val="22"/>
        </w:rPr>
      </w:pPr>
      <w:r>
        <w:rPr>
          <w:rFonts w:ascii="Calibri" w:hAnsi="Calibri" w:cs="Calibri"/>
          <w:sz w:val="22"/>
          <w:szCs w:val="22"/>
        </w:rPr>
        <w:t xml:space="preserve">A fit-for-purpose regulatory framework will also consider the level of regulatory discretion available to the regulator. </w:t>
      </w:r>
      <w:r w:rsidR="00CF2070">
        <w:rPr>
          <w:rFonts w:ascii="Calibri" w:hAnsi="Calibri" w:cs="Calibri"/>
          <w:sz w:val="22"/>
          <w:szCs w:val="22"/>
        </w:rPr>
        <w:t>S</w:t>
      </w:r>
      <w:r>
        <w:rPr>
          <w:rFonts w:ascii="Calibri" w:hAnsi="Calibri" w:cs="Calibri"/>
          <w:sz w:val="22"/>
          <w:szCs w:val="22"/>
        </w:rPr>
        <w:t>ome discretion is inbuilt</w:t>
      </w:r>
      <w:r w:rsidR="00CF2070">
        <w:rPr>
          <w:rFonts w:ascii="Calibri" w:hAnsi="Calibri" w:cs="Calibri"/>
          <w:sz w:val="22"/>
          <w:szCs w:val="22"/>
        </w:rPr>
        <w:t xml:space="preserve"> as the regulator may indepen</w:t>
      </w:r>
      <w:r>
        <w:rPr>
          <w:rFonts w:ascii="Calibri" w:hAnsi="Calibri" w:cs="Calibri"/>
          <w:sz w:val="22"/>
          <w:szCs w:val="22"/>
        </w:rPr>
        <w:t>dently make many decisions relating to its prio</w:t>
      </w:r>
      <w:r w:rsidR="00CF2070">
        <w:rPr>
          <w:rFonts w:ascii="Calibri" w:hAnsi="Calibri" w:cs="Calibri"/>
          <w:sz w:val="22"/>
          <w:szCs w:val="22"/>
        </w:rPr>
        <w:t>ri</w:t>
      </w:r>
      <w:r>
        <w:rPr>
          <w:rFonts w:ascii="Calibri" w:hAnsi="Calibri" w:cs="Calibri"/>
          <w:sz w:val="22"/>
          <w:szCs w:val="22"/>
        </w:rPr>
        <w:t>ties and the allocation of resources. However</w:t>
      </w:r>
      <w:r w:rsidR="00CF2070">
        <w:rPr>
          <w:rFonts w:ascii="Calibri" w:hAnsi="Calibri" w:cs="Calibri"/>
          <w:sz w:val="22"/>
          <w:szCs w:val="22"/>
        </w:rPr>
        <w:t xml:space="preserve">, establishing legislation and ministerial directions may seek to fetter further discretion (for example, by proscribing in detail all enforcement action the regulator can take for an instance of non-compliance) or allow the regulator greater scope for its own decision-making (for example, where the regulator can choose from a general toolkit of enforcement </w:t>
      </w:r>
      <w:r w:rsidR="00B14132">
        <w:rPr>
          <w:rFonts w:ascii="Calibri" w:hAnsi="Calibri" w:cs="Calibri"/>
          <w:sz w:val="22"/>
          <w:szCs w:val="22"/>
        </w:rPr>
        <w:t>powers and</w:t>
      </w:r>
      <w:r w:rsidR="00CF2070">
        <w:rPr>
          <w:rFonts w:ascii="Calibri" w:hAnsi="Calibri" w:cs="Calibri"/>
          <w:sz w:val="22"/>
          <w:szCs w:val="22"/>
        </w:rPr>
        <w:t xml:space="preserve"> decide what to use on a case-by-case basis)</w:t>
      </w:r>
      <w:r w:rsidR="00BC0C13">
        <w:rPr>
          <w:rFonts w:ascii="Calibri" w:hAnsi="Calibri" w:cs="Calibri"/>
          <w:sz w:val="22"/>
          <w:szCs w:val="22"/>
        </w:rPr>
        <w:t>.</w:t>
      </w:r>
    </w:p>
    <w:p w14:paraId="611DA58F" w14:textId="2EEB2B4A" w:rsidR="007B6982" w:rsidRPr="00A350DA" w:rsidRDefault="008F360B" w:rsidP="00CF25A6">
      <w:pPr>
        <w:pStyle w:val="BodyText"/>
        <w:rPr>
          <w:b/>
        </w:rPr>
      </w:pPr>
      <w:r w:rsidRPr="00A350DA">
        <w:rPr>
          <w:b/>
        </w:rPr>
        <w:t>Questions</w:t>
      </w:r>
    </w:p>
    <w:p w14:paraId="60A30CF2" w14:textId="30BD73EE" w:rsidR="003E0EB2" w:rsidRPr="00A350DA" w:rsidRDefault="00C60F91" w:rsidP="0045348F">
      <w:pPr>
        <w:numPr>
          <w:ilvl w:val="0"/>
          <w:numId w:val="31"/>
        </w:numPr>
        <w:spacing w:before="120"/>
      </w:pPr>
      <w:r w:rsidRPr="00A350DA">
        <w:t>How are the ACMA’s functions likely to change as a result of reforms to the communications regulatory framework</w:t>
      </w:r>
      <w:r w:rsidR="003E0EB2" w:rsidRPr="00A350DA">
        <w:t>?</w:t>
      </w:r>
    </w:p>
    <w:p w14:paraId="536B27DE" w14:textId="3300AA95" w:rsidR="003212F4" w:rsidRPr="00A350DA" w:rsidRDefault="003212F4" w:rsidP="0045348F">
      <w:pPr>
        <w:numPr>
          <w:ilvl w:val="0"/>
          <w:numId w:val="31"/>
        </w:numPr>
        <w:spacing w:before="120"/>
      </w:pPr>
      <w:r w:rsidRPr="00A350DA">
        <w:t>Does the list of ‘enduring concepts’ capture the policy concepts that are likely to continue to be central to the communications regulatory regime</w:t>
      </w:r>
      <w:r w:rsidR="006E3D67">
        <w:t xml:space="preserve"> in the future</w:t>
      </w:r>
      <w:r w:rsidRPr="00A350DA">
        <w:t>?</w:t>
      </w:r>
      <w:r w:rsidR="006E3D67">
        <w:t xml:space="preserve"> What are the most important communications sector public policy aims that are likely to require regulation?</w:t>
      </w:r>
    </w:p>
    <w:p w14:paraId="6A349207" w14:textId="142DC7E3" w:rsidR="003E0EB2" w:rsidRPr="00A350DA" w:rsidRDefault="00CC3621" w:rsidP="0045348F">
      <w:pPr>
        <w:numPr>
          <w:ilvl w:val="0"/>
          <w:numId w:val="31"/>
        </w:numPr>
        <w:spacing w:before="120"/>
      </w:pPr>
      <w:r>
        <w:t>What</w:t>
      </w:r>
      <w:r w:rsidR="00C60F91" w:rsidRPr="00A350DA">
        <w:t xml:space="preserve"> combination of regulatory interventions </w:t>
      </w:r>
      <w:r>
        <w:t xml:space="preserve">might </w:t>
      </w:r>
      <w:r w:rsidR="00E17246">
        <w:t xml:space="preserve">be needed </w:t>
      </w:r>
      <w:r w:rsidR="00C60F91" w:rsidRPr="00A350DA">
        <w:t>in the future</w:t>
      </w:r>
      <w:r w:rsidR="003E0EB2" w:rsidRPr="00A350DA">
        <w:t>?</w:t>
      </w:r>
      <w:r w:rsidR="00CF2070">
        <w:t xml:space="preserve"> How much discretion should be provided to the regulator in their application?</w:t>
      </w:r>
    </w:p>
    <w:p w14:paraId="2BD729F5" w14:textId="6C28D9F2" w:rsidR="00C60F91" w:rsidRPr="00A350DA" w:rsidRDefault="003212F4" w:rsidP="0045348F">
      <w:pPr>
        <w:numPr>
          <w:ilvl w:val="0"/>
          <w:numId w:val="31"/>
        </w:numPr>
        <w:spacing w:before="120"/>
      </w:pPr>
      <w:r w:rsidRPr="00A350DA">
        <w:t xml:space="preserve">How should a contemporary communications regulator retain flexibility to adapt its style of regulatory intervention to reflect the changing regulatory regime? </w:t>
      </w:r>
    </w:p>
    <w:p w14:paraId="5FF60DE1" w14:textId="77777777" w:rsidR="00A350DA" w:rsidRDefault="00A350DA">
      <w:pPr>
        <w:spacing w:after="120"/>
        <w:ind w:left="1021" w:hanging="1021"/>
        <w:rPr>
          <w:rFonts w:ascii="Cambria" w:eastAsiaTheme="majorEastAsia" w:hAnsi="Cambria" w:cstheme="majorBidi"/>
          <w:bCs/>
          <w:color w:val="0072B9"/>
          <w:sz w:val="36"/>
          <w:szCs w:val="28"/>
        </w:rPr>
      </w:pPr>
      <w:bookmarkStart w:id="25" w:name="_Toc382493212"/>
      <w:r>
        <w:br w:type="page"/>
      </w:r>
    </w:p>
    <w:p w14:paraId="64815040" w14:textId="6B315E28" w:rsidR="002103B2" w:rsidRDefault="002103B2" w:rsidP="002103B2">
      <w:pPr>
        <w:pStyle w:val="Heading1"/>
      </w:pPr>
      <w:bookmarkStart w:id="26" w:name="_Toc424289848"/>
      <w:r>
        <w:lastRenderedPageBreak/>
        <w:t>Consultation process</w:t>
      </w:r>
      <w:bookmarkEnd w:id="26"/>
    </w:p>
    <w:p w14:paraId="2DF4BB62" w14:textId="1B1AAB55" w:rsidR="00A30918" w:rsidRPr="00DE15A2" w:rsidRDefault="002103B2" w:rsidP="00A30918">
      <w:pPr>
        <w:rPr>
          <w:rFonts w:cs="Arial"/>
          <w:lang w:val="en"/>
        </w:rPr>
      </w:pPr>
      <w:r w:rsidRPr="003F3001">
        <w:t>The Department is seeking submissions from stakeholders on the specific questions raised in this issues paper</w:t>
      </w:r>
      <w:r>
        <w:t xml:space="preserve"> and other issues relevant to the terms of reference</w:t>
      </w:r>
      <w:r w:rsidRPr="003F3001">
        <w:t>.</w:t>
      </w:r>
      <w:r>
        <w:t xml:space="preserve"> </w:t>
      </w:r>
      <w:r w:rsidR="00A30918">
        <w:t xml:space="preserve">Further public consultation will be held as the review proceeds, including with members of the public and small businesses that engage directly with the ACMA. </w:t>
      </w:r>
      <w:r w:rsidR="00A30918" w:rsidRPr="00DE15A2">
        <w:rPr>
          <w:rFonts w:cs="Arial"/>
          <w:lang w:val="en"/>
        </w:rPr>
        <w:t>The Department will report to the Minister for Communications by the end of 2015.</w:t>
      </w:r>
    </w:p>
    <w:p w14:paraId="6B974C86" w14:textId="0FFBE7DA" w:rsidR="002103B2" w:rsidRDefault="002103B2" w:rsidP="002103B2">
      <w:r>
        <w:t>Su</w:t>
      </w:r>
      <w:r w:rsidR="00D16908">
        <w:t xml:space="preserve">bmissions should be received by </w:t>
      </w:r>
      <w:r w:rsidR="00224B4A">
        <w:t>Monday, 10 August 2015</w:t>
      </w:r>
      <w:r>
        <w:t xml:space="preserve"> and can be lodged in the following ways:</w:t>
      </w:r>
    </w:p>
    <w:p w14:paraId="265FB1DC" w14:textId="77777777" w:rsidR="002103B2" w:rsidRDefault="002103B2" w:rsidP="002103B2">
      <w:pPr>
        <w:spacing w:before="0"/>
      </w:pPr>
    </w:p>
    <w:p w14:paraId="45098EFD" w14:textId="77777777" w:rsidR="00224B4A" w:rsidRDefault="00224B4A" w:rsidP="00224B4A">
      <w:pPr>
        <w:spacing w:before="0"/>
      </w:pPr>
      <w:r>
        <w:t>WEBSITE:</w:t>
      </w:r>
      <w:r>
        <w:tab/>
      </w:r>
      <w:hyperlink r:id="rId17" w:history="1">
        <w:r w:rsidRPr="00D16908">
          <w:rPr>
            <w:rStyle w:val="Hyperlink"/>
          </w:rPr>
          <w:t>https://www.communications.gov.au/have-your-say</w:t>
        </w:r>
      </w:hyperlink>
    </w:p>
    <w:p w14:paraId="6F18E540" w14:textId="77777777" w:rsidR="00D16908" w:rsidRDefault="00D16908" w:rsidP="002103B2">
      <w:pPr>
        <w:spacing w:before="0"/>
      </w:pPr>
    </w:p>
    <w:p w14:paraId="4036FE18" w14:textId="77777777" w:rsidR="002103B2" w:rsidRDefault="002103B2" w:rsidP="002103B2">
      <w:pPr>
        <w:spacing w:before="0"/>
      </w:pPr>
      <w:r>
        <w:t>EMAIL:</w:t>
      </w:r>
      <w:r>
        <w:tab/>
      </w:r>
      <w:r>
        <w:tab/>
      </w:r>
      <w:hyperlink r:id="rId18" w:history="1">
        <w:r w:rsidRPr="00887241">
          <w:rPr>
            <w:rStyle w:val="Hyperlink"/>
          </w:rPr>
          <w:t>ACMAreview@communications.gov.au</w:t>
        </w:r>
      </w:hyperlink>
    </w:p>
    <w:p w14:paraId="18BEA8E7" w14:textId="77777777" w:rsidR="002103B2" w:rsidRDefault="002103B2" w:rsidP="002103B2">
      <w:pPr>
        <w:spacing w:before="0"/>
      </w:pPr>
    </w:p>
    <w:p w14:paraId="656252A6" w14:textId="77777777" w:rsidR="002103B2" w:rsidRDefault="002103B2" w:rsidP="002103B2">
      <w:pPr>
        <w:spacing w:before="0"/>
      </w:pPr>
      <w:r>
        <w:t>POST:</w:t>
      </w:r>
      <w:r>
        <w:tab/>
      </w:r>
      <w:r>
        <w:tab/>
        <w:t>ACMA Review</w:t>
      </w:r>
    </w:p>
    <w:p w14:paraId="08099502" w14:textId="77777777" w:rsidR="002103B2" w:rsidRDefault="002103B2" w:rsidP="002103B2">
      <w:pPr>
        <w:spacing w:before="0"/>
        <w:ind w:left="720" w:firstLine="720"/>
      </w:pPr>
      <w:r>
        <w:t>Department of Communications</w:t>
      </w:r>
    </w:p>
    <w:p w14:paraId="72A61403" w14:textId="77777777" w:rsidR="002103B2" w:rsidRDefault="002103B2" w:rsidP="002103B2">
      <w:pPr>
        <w:spacing w:before="0"/>
      </w:pPr>
      <w:r>
        <w:tab/>
      </w:r>
      <w:r>
        <w:tab/>
        <w:t>GPO Box 2154</w:t>
      </w:r>
    </w:p>
    <w:p w14:paraId="685AB052" w14:textId="77777777" w:rsidR="002103B2" w:rsidRDefault="002103B2" w:rsidP="002103B2">
      <w:pPr>
        <w:spacing w:before="0"/>
      </w:pPr>
      <w:r>
        <w:tab/>
      </w:r>
      <w:r>
        <w:tab/>
      </w:r>
      <w:proofErr w:type="gramStart"/>
      <w:r>
        <w:t>CANBERRA  ACT</w:t>
      </w:r>
      <w:proofErr w:type="gramEnd"/>
      <w:r>
        <w:t xml:space="preserve">  2601</w:t>
      </w:r>
    </w:p>
    <w:p w14:paraId="7A2B3618" w14:textId="77777777" w:rsidR="002103B2" w:rsidRDefault="002103B2" w:rsidP="002103B2">
      <w:r>
        <w:t xml:space="preserve">Submissions must include the respondent’s name, organisation (if relevant) and contact details. Submissions with no verifiable contact details will not be considered. </w:t>
      </w:r>
    </w:p>
    <w:p w14:paraId="66C71DAB" w14:textId="3A89F9F2" w:rsidR="002103B2" w:rsidRDefault="002103B2" w:rsidP="002103B2">
      <w:pPr>
        <w:spacing w:after="240"/>
      </w:pPr>
      <w:r>
        <w:t>Respondents should be aware that submissions will be generally made publicly available, including on the Department’s website.</w:t>
      </w:r>
      <w:r w:rsidRPr="00433F7F">
        <w:t xml:space="preserve"> </w:t>
      </w:r>
      <w:r>
        <w:t xml:space="preserve">The </w:t>
      </w:r>
      <w:r w:rsidR="009D4582">
        <w:t>Department</w:t>
      </w:r>
      <w:r>
        <w:t xml:space="preserve"> reserves the right not to publish any submission, or part of a submission, </w:t>
      </w:r>
      <w:r w:rsidR="009D4582">
        <w:t xml:space="preserve">in its absolute discretion. No correspondence will be entered into with respondents in relation to any decisions by the Department not to publish a submission in whole or in part. </w:t>
      </w:r>
    </w:p>
    <w:p w14:paraId="7FCA1923" w14:textId="78F9B067" w:rsidR="002103B2" w:rsidRDefault="002103B2" w:rsidP="002103B2">
      <w:pPr>
        <w:spacing w:after="240"/>
      </w:pPr>
      <w:r>
        <w:t>All submissions will be treated as non-confidential information</w:t>
      </w:r>
      <w:r w:rsidR="009D4582">
        <w:t>, and therefore able to be made publicly available by the Department,</w:t>
      </w:r>
      <w:r>
        <w:t xml:space="preserve"> unless </w:t>
      </w:r>
      <w:r w:rsidR="009D4582">
        <w:t>a</w:t>
      </w:r>
      <w:r>
        <w:t xml:space="preserve"> respondent specifically requests </w:t>
      </w:r>
      <w:r w:rsidR="009D4582">
        <w:t>its</w:t>
      </w:r>
      <w:r>
        <w:t xml:space="preserve"> submission, or a part of </w:t>
      </w:r>
      <w:r w:rsidR="009D4582">
        <w:t>its</w:t>
      </w:r>
      <w:r>
        <w:t xml:space="preserve"> submission, is kept confidential, and acceptable reasons accompany the request. Email disclaimers will not be considered sufficient confidentiality requests. </w:t>
      </w:r>
      <w:r w:rsidR="009D4582">
        <w:t xml:space="preserve">The Department is </w:t>
      </w:r>
      <w:r>
        <w:t xml:space="preserve">subject to the </w:t>
      </w:r>
      <w:r>
        <w:rPr>
          <w:i/>
        </w:rPr>
        <w:t>Freedom of Information Act 1982</w:t>
      </w:r>
      <w:r w:rsidR="009D4582">
        <w:t xml:space="preserve"> and submissions may be required to be disclosed by the Department in response to requests made under that Act</w:t>
      </w:r>
      <w:r>
        <w:t xml:space="preserve">.  </w:t>
      </w:r>
    </w:p>
    <w:p w14:paraId="073342C3" w14:textId="6012B83E" w:rsidR="002103B2" w:rsidRDefault="002103B2" w:rsidP="002103B2">
      <w:pPr>
        <w:spacing w:after="240"/>
      </w:pPr>
      <w:r>
        <w:t xml:space="preserve">The </w:t>
      </w:r>
      <w:r>
        <w:rPr>
          <w:i/>
        </w:rPr>
        <w:t>Privacy Act 1988</w:t>
      </w:r>
      <w:r>
        <w:t xml:space="preserve"> establishes certain principles with respect to the collection, use, and disclosure of information about individuals. Any personal information respondents provide to the </w:t>
      </w:r>
      <w:r w:rsidR="009D4582">
        <w:t>Department</w:t>
      </w:r>
      <w:r>
        <w:t xml:space="preserve"> through their submission </w:t>
      </w:r>
      <w:r w:rsidR="009D4582">
        <w:t xml:space="preserve">will be </w:t>
      </w:r>
      <w:r>
        <w:t xml:space="preserve">used for purposes </w:t>
      </w:r>
      <w:r w:rsidR="009D4582">
        <w:t>related to</w:t>
      </w:r>
      <w:r>
        <w:t xml:space="preserve"> consideration of issues raised in this paper</w:t>
      </w:r>
      <w:r w:rsidR="009D4582">
        <w:t xml:space="preserve"> in accordance with the Australian Privacy Principles in the Privacy Act</w:t>
      </w:r>
      <w:r>
        <w:t>.</w:t>
      </w:r>
      <w:r w:rsidR="009D4582">
        <w:t xml:space="preserve"> If a submission, or any part, is made publicly available by the Department</w:t>
      </w:r>
      <w:r w:rsidR="00850C02">
        <w:t>,</w:t>
      </w:r>
      <w:r w:rsidR="009D4582">
        <w:t xml:space="preserve"> the name of the respondent will be included with that submission, or part.</w:t>
      </w:r>
      <w:r>
        <w:t xml:space="preserve"> Respondents should clearly indicate in their submission if they do not wish to have their name included in any </w:t>
      </w:r>
      <w:r w:rsidR="009D4582">
        <w:t>publication relating to the review</w:t>
      </w:r>
      <w:r>
        <w:t xml:space="preserve"> that the </w:t>
      </w:r>
      <w:r w:rsidR="009D4582">
        <w:t>Department</w:t>
      </w:r>
      <w:r>
        <w:t xml:space="preserve"> may publish.</w:t>
      </w:r>
    </w:p>
    <w:p w14:paraId="5494EDCF" w14:textId="77777777" w:rsidR="002103B2" w:rsidRDefault="002103B2" w:rsidP="002103B2">
      <w:r>
        <w:t xml:space="preserve">Questions about the submission process can be directed to </w:t>
      </w:r>
      <w:hyperlink r:id="rId19" w:history="1">
        <w:r w:rsidRPr="00A37B38">
          <w:rPr>
            <w:rStyle w:val="Hyperlink"/>
          </w:rPr>
          <w:t>ACMAreview@communications.gov.au</w:t>
        </w:r>
      </w:hyperlink>
      <w:r>
        <w:rPr>
          <w:b/>
        </w:rPr>
        <w:t>.</w:t>
      </w:r>
    </w:p>
    <w:p w14:paraId="7073F62A" w14:textId="77777777" w:rsidR="002103B2" w:rsidRPr="0047165B" w:rsidRDefault="002103B2" w:rsidP="002103B2">
      <w:pPr>
        <w:pStyle w:val="ListParagraph"/>
        <w:spacing w:before="0" w:after="160" w:line="259" w:lineRule="auto"/>
        <w:ind w:left="0"/>
      </w:pPr>
    </w:p>
    <w:p w14:paraId="2BB78C8A" w14:textId="77777777" w:rsidR="002103B2" w:rsidRDefault="002103B2" w:rsidP="002103B2">
      <w:pPr>
        <w:pStyle w:val="ListParagraph"/>
        <w:spacing w:before="0" w:after="160" w:line="259" w:lineRule="auto"/>
        <w:ind w:left="0"/>
      </w:pPr>
    </w:p>
    <w:bookmarkEnd w:id="25"/>
    <w:p w14:paraId="3B975789" w14:textId="77777777" w:rsidR="002103B2" w:rsidRDefault="002103B2" w:rsidP="002103B2"/>
    <w:sectPr w:rsidR="002103B2" w:rsidSect="00370206">
      <w:headerReference w:type="default" r:id="rId20"/>
      <w:footerReference w:type="even" r:id="rId21"/>
      <w:footerReference w:type="default" r:id="rId22"/>
      <w:headerReference w:type="first" r:id="rId23"/>
      <w:footerReference w:type="first" r:id="rId24"/>
      <w:pgSz w:w="11906" w:h="16838" w:code="9"/>
      <w:pgMar w:top="1701" w:right="1440" w:bottom="1276" w:left="1440" w:header="510" w:footer="48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DF15" w14:textId="77777777" w:rsidR="00F41F50" w:rsidRDefault="00F41F50" w:rsidP="000720AB">
      <w:r>
        <w:separator/>
      </w:r>
    </w:p>
    <w:p w14:paraId="294D1D5E" w14:textId="77777777" w:rsidR="00F41F50" w:rsidRDefault="00F41F50"/>
    <w:p w14:paraId="0E6C78FE" w14:textId="77777777" w:rsidR="00F41F50" w:rsidRDefault="00F41F50"/>
  </w:endnote>
  <w:endnote w:type="continuationSeparator" w:id="0">
    <w:p w14:paraId="74155484" w14:textId="77777777" w:rsidR="00F41F50" w:rsidRDefault="00F41F50" w:rsidP="000720AB">
      <w:r>
        <w:continuationSeparator/>
      </w:r>
    </w:p>
    <w:p w14:paraId="7158409D" w14:textId="77777777" w:rsidR="00F41F50" w:rsidRDefault="00F41F50"/>
    <w:p w14:paraId="61B3C031" w14:textId="77777777" w:rsidR="00F41F50" w:rsidRDefault="00F41F50"/>
  </w:endnote>
  <w:endnote w:type="continuationNotice" w:id="1">
    <w:p w14:paraId="1FBF02EB" w14:textId="77777777" w:rsidR="00F41F50" w:rsidRDefault="00F41F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 w:name="Gotham-Book">
    <w:altName w:val="Gotham Book"/>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PFCentroSlabPro-Bold">
    <w:charset w:val="00"/>
    <w:family w:val="auto"/>
    <w:pitch w:val="variable"/>
    <w:sig w:usb0="E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FEEF" w14:textId="77777777" w:rsidR="0055179B" w:rsidRDefault="0055179B" w:rsidP="00F602E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9FBA91" w14:textId="77777777" w:rsidR="0055179B" w:rsidRDefault="0055179B" w:rsidP="00FC368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55F4C" w14:textId="77777777" w:rsidR="0055179B" w:rsidRDefault="0055179B" w:rsidP="00F602E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66BA4">
      <w:rPr>
        <w:rStyle w:val="PageNumber"/>
        <w:noProof/>
      </w:rPr>
      <w:t>14</w:t>
    </w:r>
    <w:r>
      <w:rPr>
        <w:rStyle w:val="PageNumber"/>
      </w:rPr>
      <w:fldChar w:fldCharType="end"/>
    </w:r>
  </w:p>
  <w:p w14:paraId="1F358C9A" w14:textId="77777777" w:rsidR="0055179B" w:rsidRDefault="0055179B" w:rsidP="00FC3687">
    <w:pPr>
      <w:pStyle w:val="Footer"/>
      <w:tabs>
        <w:tab w:val="clear" w:pos="4513"/>
      </w:tabs>
      <w:ind w:firstLine="360"/>
      <w:rPr>
        <w:rStyle w:val="PageNumber"/>
      </w:rPr>
    </w:pPr>
    <w:r>
      <w:rPr>
        <w:noProof/>
        <w:lang w:eastAsia="en-AU"/>
      </w:rPr>
      <w:drawing>
        <wp:anchor distT="0" distB="0" distL="114300" distR="114300" simplePos="0" relativeHeight="251655168" behindDoc="1" locked="0" layoutInCell="1" allowOverlap="1" wp14:anchorId="31D7CAC1" wp14:editId="3E8A2D6C">
          <wp:simplePos x="0" y="0"/>
          <wp:positionH relativeFrom="page">
            <wp:align>left</wp:align>
          </wp:positionH>
          <wp:positionV relativeFrom="page">
            <wp:align>bottom</wp:align>
          </wp:positionV>
          <wp:extent cx="7559040" cy="725424"/>
          <wp:effectExtent l="0" t="0" r="3810" b="0"/>
          <wp:wrapNone/>
          <wp:docPr id="16" name="Picture 16" descr="Blank blue bar" title="Department of Communicati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w:t>ACMA Review – Issues Paper</w:t>
    </w:r>
    <w:r>
      <w:t xml:space="preserve"> </w:t>
    </w:r>
    <w:r w:rsidRPr="00AA256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863D" w14:textId="77777777" w:rsidR="0055179B" w:rsidRPr="002E2136" w:rsidRDefault="0055179B" w:rsidP="00230F08">
    <w:pPr>
      <w:pStyle w:val="Footer"/>
      <w:tabs>
        <w:tab w:val="clear" w:pos="9026"/>
        <w:tab w:val="left" w:pos="6416"/>
      </w:tabs>
      <w:ind w:right="-618"/>
      <w:rPr>
        <w:rFonts w:ascii="Arial" w:hAnsi="Arial"/>
        <w:sz w:val="18"/>
      </w:rPr>
    </w:pPr>
    <w:r w:rsidRPr="002E2136">
      <w:rPr>
        <w:noProof/>
        <w:lang w:eastAsia="en-AU"/>
      </w:rPr>
      <w:drawing>
        <wp:anchor distT="0" distB="0" distL="114300" distR="114300" simplePos="0" relativeHeight="251656192" behindDoc="1" locked="0" layoutInCell="1" allowOverlap="1" wp14:anchorId="4CF5822B" wp14:editId="018F82EB">
          <wp:simplePos x="0" y="0"/>
          <wp:positionH relativeFrom="page">
            <wp:align>left</wp:align>
          </wp:positionH>
          <wp:positionV relativeFrom="page">
            <wp:align>bottom</wp:align>
          </wp:positionV>
          <wp:extent cx="7559040" cy="725424"/>
          <wp:effectExtent l="0" t="0" r="3810" b="0"/>
          <wp:wrapNone/>
          <wp:docPr id="18" name="Picture 18" descr="Navy bar" title="Department of Communicati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E2136">
      <w:rPr>
        <w:rFonts w:ascii="Arial" w:hAnsi="Arial"/>
        <w:sz w:val="18"/>
      </w:rPr>
      <w:t xml:space="preserve">GPO Box 2154 Canberra ACT 2601 Australia </w:t>
    </w:r>
    <w:r w:rsidRPr="002E2136">
      <w:rPr>
        <w:rFonts w:ascii="Arial" w:hAnsi="Arial"/>
        <w:sz w:val="18"/>
      </w:rPr>
      <w:sym w:font="Wingdings" w:char="F09F"/>
    </w:r>
    <w:r>
      <w:rPr>
        <w:rFonts w:ascii="Arial" w:hAnsi="Arial"/>
        <w:sz w:val="18"/>
      </w:rPr>
      <w:t xml:space="preserve"> telephone 02 6271 </w:t>
    </w:r>
    <w:r w:rsidRPr="002E2136">
      <w:rPr>
        <w:rFonts w:ascii="Arial" w:hAnsi="Arial"/>
        <w:sz w:val="18"/>
      </w:rPr>
      <w:t>1000</w:t>
    </w:r>
    <w:r>
      <w:rPr>
        <w:rFonts w:ascii="Arial" w:hAnsi="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44D40" w14:textId="77777777" w:rsidR="00F41F50" w:rsidRDefault="00F41F50" w:rsidP="000720AB">
      <w:r>
        <w:separator/>
      </w:r>
    </w:p>
    <w:p w14:paraId="7F048A3B" w14:textId="77777777" w:rsidR="00F41F50" w:rsidRDefault="00F41F50"/>
    <w:p w14:paraId="6C37EE8B" w14:textId="77777777" w:rsidR="00F41F50" w:rsidRDefault="00F41F50"/>
  </w:footnote>
  <w:footnote w:type="continuationSeparator" w:id="0">
    <w:p w14:paraId="4FFF8CFB" w14:textId="77777777" w:rsidR="00F41F50" w:rsidRDefault="00F41F50" w:rsidP="000720AB">
      <w:r>
        <w:continuationSeparator/>
      </w:r>
    </w:p>
    <w:p w14:paraId="19D05F8A" w14:textId="77777777" w:rsidR="00F41F50" w:rsidRDefault="00F41F50"/>
    <w:p w14:paraId="69EDE940" w14:textId="77777777" w:rsidR="00F41F50" w:rsidRDefault="00F41F50"/>
  </w:footnote>
  <w:footnote w:type="continuationNotice" w:id="1">
    <w:p w14:paraId="74D5DC94" w14:textId="77777777" w:rsidR="00F41F50" w:rsidRDefault="00F41F50">
      <w:pPr>
        <w:spacing w:before="0"/>
      </w:pPr>
    </w:p>
  </w:footnote>
  <w:footnote w:id="2">
    <w:p w14:paraId="35625CA0" w14:textId="03CDDFB6" w:rsidR="0055179B" w:rsidRDefault="0055179B" w:rsidP="00CF00AC">
      <w:pPr>
        <w:pStyle w:val="FootnoteText"/>
      </w:pPr>
      <w:r>
        <w:rPr>
          <w:rStyle w:val="FootnoteReference"/>
        </w:rPr>
        <w:footnoteRef/>
      </w:r>
      <w:r>
        <w:t xml:space="preserve"> OECD (2014), ‘The Governance of Regulators’, OECD Best Practice Principles for Regulatory Policy, OECD Publishing, pp.29-31. </w:t>
      </w:r>
    </w:p>
  </w:footnote>
  <w:footnote w:id="3">
    <w:p w14:paraId="49E56955" w14:textId="75E64AF5" w:rsidR="0055179B" w:rsidRDefault="0055179B">
      <w:pPr>
        <w:pStyle w:val="FootnoteText"/>
      </w:pPr>
      <w:r>
        <w:rPr>
          <w:rStyle w:val="FootnoteReference"/>
        </w:rPr>
        <w:footnoteRef/>
      </w:r>
      <w:r>
        <w:t xml:space="preserve"> OECD (2014), ‘The Governance of Regulators’, OECD Best Practice Principles for Regulatory Policy, OECD Publishing, p. 69. </w:t>
      </w:r>
    </w:p>
  </w:footnote>
  <w:footnote w:id="4">
    <w:p w14:paraId="68F85D05" w14:textId="77777777" w:rsidR="006F31E3" w:rsidRDefault="006F31E3" w:rsidP="006F31E3">
      <w:pPr>
        <w:pStyle w:val="FootnoteText"/>
      </w:pPr>
      <w:r>
        <w:rPr>
          <w:rStyle w:val="FootnoteReference"/>
        </w:rPr>
        <w:footnoteRef/>
      </w:r>
      <w:r>
        <w:t xml:space="preserve"> For example, 158,000 apparatus licences were issued under the </w:t>
      </w:r>
      <w:proofErr w:type="spellStart"/>
      <w:r>
        <w:t>Radiocommunications</w:t>
      </w:r>
      <w:proofErr w:type="spellEnd"/>
      <w:r>
        <w:t xml:space="preserve"> Act in the 2013-14 financial year by ACMA staff using delegated power.</w:t>
      </w:r>
    </w:p>
  </w:footnote>
  <w:footnote w:id="5">
    <w:p w14:paraId="20356ABB" w14:textId="44D1CDF5" w:rsidR="0055179B" w:rsidRDefault="0055179B">
      <w:pPr>
        <w:pStyle w:val="FootnoteText"/>
      </w:pPr>
      <w:r>
        <w:rPr>
          <w:rStyle w:val="FootnoteReference"/>
        </w:rPr>
        <w:footnoteRef/>
      </w:r>
      <w:r>
        <w:t xml:space="preserve"> ACMA, Annual Report 2009-10, pp. 214-5.</w:t>
      </w:r>
    </w:p>
  </w:footnote>
  <w:footnote w:id="6">
    <w:p w14:paraId="25A008FF" w14:textId="05804025" w:rsidR="0055179B" w:rsidRDefault="0055179B">
      <w:pPr>
        <w:pStyle w:val="FootnoteText"/>
      </w:pPr>
      <w:r>
        <w:rPr>
          <w:rStyle w:val="FootnoteReference"/>
        </w:rPr>
        <w:footnoteRef/>
      </w:r>
      <w:r>
        <w:t xml:space="preserve"> ACMA (2011), ‘Broken Concepts—</w:t>
      </w:r>
      <w:r w:rsidR="00B14132">
        <w:t>the</w:t>
      </w:r>
      <w:r>
        <w:t xml:space="preserve"> Australian communications legislative landscape’.  </w:t>
      </w:r>
      <w:hyperlink r:id="rId1" w:history="1">
        <w:r w:rsidRPr="00A62F45">
          <w:rPr>
            <w:rStyle w:val="Hyperlink"/>
          </w:rPr>
          <w:t>http://www.acma.gov.au/theACMA/About/The-ACMA-story/Connected-regulation/broken-concepts</w:t>
        </w:r>
      </w:hyperlink>
    </w:p>
  </w:footnote>
  <w:footnote w:id="7">
    <w:p w14:paraId="26B41477" w14:textId="396B8982" w:rsidR="0055179B" w:rsidRDefault="0055179B">
      <w:pPr>
        <w:pStyle w:val="FootnoteText"/>
      </w:pPr>
      <w:r>
        <w:rPr>
          <w:rStyle w:val="FootnoteReference"/>
        </w:rPr>
        <w:footnoteRef/>
      </w:r>
      <w:r>
        <w:t xml:space="preserve"> ACMA (2011), ‘Enduring Concepts–Communications and media in Australia’. </w:t>
      </w:r>
      <w:hyperlink r:id="rId2" w:history="1">
        <w:r w:rsidRPr="00A62F45">
          <w:rPr>
            <w:rStyle w:val="Hyperlink"/>
          </w:rPr>
          <w:t>http://www.acma.gov.au/theACMA/enduring-concepts-building-blocks-for-a-converged-media-and-communications-future</w:t>
        </w:r>
      </w:hyperlink>
    </w:p>
  </w:footnote>
  <w:footnote w:id="8">
    <w:p w14:paraId="254B8928" w14:textId="370B64A1" w:rsidR="0055179B" w:rsidRDefault="0055179B">
      <w:pPr>
        <w:pStyle w:val="FootnoteText"/>
      </w:pPr>
      <w:r>
        <w:rPr>
          <w:rStyle w:val="FootnoteReference"/>
        </w:rPr>
        <w:footnoteRef/>
      </w:r>
      <w:r>
        <w:t xml:space="preserve"> Department of Communications (2014), ‘Regulating harms in the Australian communications sector’, Policy Background Paper No.2. </w:t>
      </w:r>
      <w:hyperlink r:id="rId3" w:history="1">
        <w:r w:rsidRPr="00A62F45">
          <w:rPr>
            <w:rStyle w:val="Hyperlink"/>
          </w:rPr>
          <w:t>www.communications.gov.au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6C37" w14:textId="1B5B0AA2" w:rsidR="0055179B" w:rsidRPr="00AA2566" w:rsidRDefault="00B66BA4" w:rsidP="002810BE">
    <w:pPr>
      <w:pStyle w:val="Header"/>
    </w:pPr>
    <w:r>
      <w:rPr>
        <w:noProof/>
        <w:lang w:eastAsia="en-AU"/>
      </w:rPr>
      <w:drawing>
        <wp:anchor distT="0" distB="0" distL="114300" distR="114300" simplePos="0" relativeHeight="251663360" behindDoc="1" locked="0" layoutInCell="1" allowOverlap="1" wp14:anchorId="0EB3B1D6" wp14:editId="7B377F5D">
          <wp:simplePos x="0" y="0"/>
          <wp:positionH relativeFrom="page">
            <wp:posOffset>4445</wp:posOffset>
          </wp:positionH>
          <wp:positionV relativeFrom="page">
            <wp:posOffset>5080</wp:posOffset>
          </wp:positionV>
          <wp:extent cx="7634630" cy="406359"/>
          <wp:effectExtent l="0" t="0" r="0" b="0"/>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5179B">
      <w:br/>
    </w:r>
    <w:r w:rsidR="00BE749B">
      <w:rPr>
        <w:noProof/>
        <w:lang w:eastAsia="en-AU"/>
      </w:rPr>
      <mc:AlternateContent>
        <mc:Choice Requires="wps">
          <w:drawing>
            <wp:anchor distT="0" distB="0" distL="114300" distR="114300" simplePos="0" relativeHeight="251659264" behindDoc="1" locked="0" layoutInCell="0" allowOverlap="1" wp14:anchorId="1DADDBD9" wp14:editId="5BF99CA8">
              <wp:simplePos x="0" y="0"/>
              <wp:positionH relativeFrom="margin">
                <wp:posOffset>640715</wp:posOffset>
              </wp:positionH>
              <wp:positionV relativeFrom="margin">
                <wp:posOffset>4077335</wp:posOffset>
              </wp:positionV>
              <wp:extent cx="5237480" cy="3142615"/>
              <wp:effectExtent l="0" t="1143635" r="0" b="65722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0C270C" w14:textId="77777777" w:rsidR="00BE749B" w:rsidRDefault="00BE749B" w:rsidP="00BE749B">
                          <w:pPr>
                            <w:pStyle w:val="NormalWeb"/>
                            <w:spacing w:before="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ADDBD9" id="_x0000_t202" coordsize="21600,21600" o:spt="202" path="m,l,21600r21600,l21600,xe">
              <v:stroke joinstyle="miter"/>
              <v:path gradientshapeok="t" o:connecttype="rect"/>
            </v:shapetype>
            <v:shape id="WordArt 4" o:spid="_x0000_s1026" type="#_x0000_t202" style="position:absolute;margin-left:50.45pt;margin-top:321.05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zr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M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" o:allowincell="f" filled="f" stroked="f">
              <v:stroke joinstyle="round"/>
              <o:lock v:ext="edit" shapetype="t"/>
              <v:textbox style="mso-fit-shape-to-text:t">
                <w:txbxContent>
                  <w:p w14:paraId="590C270C" w14:textId="77777777" w:rsidR="00BE749B" w:rsidRDefault="00BE749B" w:rsidP="00BE749B">
                    <w:pPr>
                      <w:pStyle w:val="NormalWeb"/>
                      <w:spacing w:before="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55179B" w:rsidRPr="00AA2566">
      <w:t>Department of Communications</w:t>
    </w:r>
    <w:r w:rsidR="0055179B">
      <w:tab/>
    </w:r>
    <w:r w:rsidR="0055179B" w:rsidRPr="00AA2566">
      <w:tab/>
    </w:r>
    <w:fldSimple w:instr=" STYLEREF  &quot;Title date&quot;  \* MERGEFORMAT ">
      <w:r>
        <w:rPr>
          <w:noProof/>
        </w:rPr>
        <w:t>July 2015</w:t>
      </w:r>
    </w:fldSimple>
    <w:r w:rsidR="0055179B">
      <w:rPr>
        <w:noProof/>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51D4" w14:textId="23F8726B" w:rsidR="0055179B" w:rsidRPr="00583203" w:rsidRDefault="00B66BA4" w:rsidP="00B66BA4">
    <w:pPr>
      <w:pStyle w:val="Header"/>
      <w:tabs>
        <w:tab w:val="clear" w:pos="4513"/>
        <w:tab w:val="clear" w:pos="9026"/>
        <w:tab w:val="left" w:pos="1032"/>
      </w:tabs>
    </w:pPr>
    <w:r>
      <w:rPr>
        <w:noProof/>
        <w:lang w:eastAsia="en-AU"/>
      </w:rPr>
      <w:drawing>
        <wp:anchor distT="0" distB="0" distL="114300" distR="114300" simplePos="0" relativeHeight="251661312" behindDoc="1" locked="0" layoutInCell="1" allowOverlap="1" wp14:anchorId="0D4A490B" wp14:editId="5C795567">
          <wp:simplePos x="0" y="0"/>
          <wp:positionH relativeFrom="page">
            <wp:posOffset>-71755</wp:posOffset>
          </wp:positionH>
          <wp:positionV relativeFrom="page">
            <wp:posOffset>5080</wp:posOffset>
          </wp:positionV>
          <wp:extent cx="7634630" cy="406359"/>
          <wp:effectExtent l="0" t="0" r="0" b="0"/>
          <wp:wrapNone/>
          <wp:docPr id="3" name="Picture 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3B04B4"/>
    <w:multiLevelType w:val="hybridMultilevel"/>
    <w:tmpl w:val="F5F20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C1BED"/>
    <w:multiLevelType w:val="hybridMultilevel"/>
    <w:tmpl w:val="9BEE74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C3448D"/>
    <w:multiLevelType w:val="hybridMultilevel"/>
    <w:tmpl w:val="7AC2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8A0AA5"/>
    <w:multiLevelType w:val="hybridMultilevel"/>
    <w:tmpl w:val="0ED68312"/>
    <w:lvl w:ilvl="0" w:tplc="154EAB32">
      <w:start w:val="1"/>
      <w:numFmt w:val="bullet"/>
      <w:lvlText w:val=""/>
      <w:lvlJc w:val="left"/>
      <w:pPr>
        <w:ind w:left="360" w:hanging="360"/>
      </w:pPr>
      <w:rPr>
        <w:rFonts w:ascii="Symbol" w:hAnsi="Symbol" w:hint="default"/>
      </w:rPr>
    </w:lvl>
    <w:lvl w:ilvl="1" w:tplc="53265088" w:tentative="1">
      <w:start w:val="1"/>
      <w:numFmt w:val="bullet"/>
      <w:lvlText w:val="o"/>
      <w:lvlJc w:val="left"/>
      <w:pPr>
        <w:ind w:left="1080" w:hanging="360"/>
      </w:pPr>
      <w:rPr>
        <w:rFonts w:ascii="Courier New" w:hAnsi="Courier New" w:cs="Courier New" w:hint="default"/>
      </w:rPr>
    </w:lvl>
    <w:lvl w:ilvl="2" w:tplc="EFF0699A" w:tentative="1">
      <w:start w:val="1"/>
      <w:numFmt w:val="bullet"/>
      <w:lvlText w:val=""/>
      <w:lvlJc w:val="left"/>
      <w:pPr>
        <w:ind w:left="1800" w:hanging="360"/>
      </w:pPr>
      <w:rPr>
        <w:rFonts w:ascii="Wingdings" w:hAnsi="Wingdings" w:hint="default"/>
      </w:rPr>
    </w:lvl>
    <w:lvl w:ilvl="3" w:tplc="B554E32A" w:tentative="1">
      <w:start w:val="1"/>
      <w:numFmt w:val="bullet"/>
      <w:lvlText w:val=""/>
      <w:lvlJc w:val="left"/>
      <w:pPr>
        <w:ind w:left="2520" w:hanging="360"/>
      </w:pPr>
      <w:rPr>
        <w:rFonts w:ascii="Symbol" w:hAnsi="Symbol" w:hint="default"/>
      </w:rPr>
    </w:lvl>
    <w:lvl w:ilvl="4" w:tplc="75C0B7CC" w:tentative="1">
      <w:start w:val="1"/>
      <w:numFmt w:val="bullet"/>
      <w:lvlText w:val="o"/>
      <w:lvlJc w:val="left"/>
      <w:pPr>
        <w:ind w:left="3240" w:hanging="360"/>
      </w:pPr>
      <w:rPr>
        <w:rFonts w:ascii="Courier New" w:hAnsi="Courier New" w:cs="Courier New" w:hint="default"/>
      </w:rPr>
    </w:lvl>
    <w:lvl w:ilvl="5" w:tplc="8186672E" w:tentative="1">
      <w:start w:val="1"/>
      <w:numFmt w:val="bullet"/>
      <w:lvlText w:val=""/>
      <w:lvlJc w:val="left"/>
      <w:pPr>
        <w:ind w:left="3960" w:hanging="360"/>
      </w:pPr>
      <w:rPr>
        <w:rFonts w:ascii="Wingdings" w:hAnsi="Wingdings" w:hint="default"/>
      </w:rPr>
    </w:lvl>
    <w:lvl w:ilvl="6" w:tplc="ADEE1A18" w:tentative="1">
      <w:start w:val="1"/>
      <w:numFmt w:val="bullet"/>
      <w:lvlText w:val=""/>
      <w:lvlJc w:val="left"/>
      <w:pPr>
        <w:ind w:left="4680" w:hanging="360"/>
      </w:pPr>
      <w:rPr>
        <w:rFonts w:ascii="Symbol" w:hAnsi="Symbol" w:hint="default"/>
      </w:rPr>
    </w:lvl>
    <w:lvl w:ilvl="7" w:tplc="93B29E2E" w:tentative="1">
      <w:start w:val="1"/>
      <w:numFmt w:val="bullet"/>
      <w:lvlText w:val="o"/>
      <w:lvlJc w:val="left"/>
      <w:pPr>
        <w:ind w:left="5400" w:hanging="360"/>
      </w:pPr>
      <w:rPr>
        <w:rFonts w:ascii="Courier New" w:hAnsi="Courier New" w:cs="Courier New" w:hint="default"/>
      </w:rPr>
    </w:lvl>
    <w:lvl w:ilvl="8" w:tplc="B8DA2A48" w:tentative="1">
      <w:start w:val="1"/>
      <w:numFmt w:val="bullet"/>
      <w:lvlText w:val=""/>
      <w:lvlJc w:val="left"/>
      <w:pPr>
        <w:ind w:left="6120" w:hanging="360"/>
      </w:pPr>
      <w:rPr>
        <w:rFonts w:ascii="Wingdings" w:hAnsi="Wingdings" w:hint="default"/>
      </w:rPr>
    </w:lvl>
  </w:abstractNum>
  <w:abstractNum w:abstractNumId="15" w15:restartNumberingAfterBreak="0">
    <w:nsid w:val="11BE58F8"/>
    <w:multiLevelType w:val="hybridMultilevel"/>
    <w:tmpl w:val="EADCB980"/>
    <w:lvl w:ilvl="0" w:tplc="9E7A157E">
      <w:start w:val="1"/>
      <w:numFmt w:val="bullet"/>
      <w:lvlText w:val=""/>
      <w:lvlJc w:val="left"/>
      <w:pPr>
        <w:ind w:left="360" w:hanging="360"/>
      </w:pPr>
      <w:rPr>
        <w:rFonts w:ascii="Symbol" w:hAnsi="Symbol" w:hint="default"/>
      </w:rPr>
    </w:lvl>
    <w:lvl w:ilvl="1" w:tplc="C9FAFEC0" w:tentative="1">
      <w:start w:val="1"/>
      <w:numFmt w:val="bullet"/>
      <w:lvlText w:val="o"/>
      <w:lvlJc w:val="left"/>
      <w:pPr>
        <w:ind w:left="1080" w:hanging="360"/>
      </w:pPr>
      <w:rPr>
        <w:rFonts w:ascii="Courier New" w:hAnsi="Courier New" w:cs="Courier New" w:hint="default"/>
      </w:rPr>
    </w:lvl>
    <w:lvl w:ilvl="2" w:tplc="92D8DFFE" w:tentative="1">
      <w:start w:val="1"/>
      <w:numFmt w:val="bullet"/>
      <w:lvlText w:val=""/>
      <w:lvlJc w:val="left"/>
      <w:pPr>
        <w:ind w:left="1800" w:hanging="360"/>
      </w:pPr>
      <w:rPr>
        <w:rFonts w:ascii="Wingdings" w:hAnsi="Wingdings" w:hint="default"/>
      </w:rPr>
    </w:lvl>
    <w:lvl w:ilvl="3" w:tplc="D9144F0E" w:tentative="1">
      <w:start w:val="1"/>
      <w:numFmt w:val="bullet"/>
      <w:lvlText w:val=""/>
      <w:lvlJc w:val="left"/>
      <w:pPr>
        <w:ind w:left="2520" w:hanging="360"/>
      </w:pPr>
      <w:rPr>
        <w:rFonts w:ascii="Symbol" w:hAnsi="Symbol" w:hint="default"/>
      </w:rPr>
    </w:lvl>
    <w:lvl w:ilvl="4" w:tplc="3A9AA092" w:tentative="1">
      <w:start w:val="1"/>
      <w:numFmt w:val="bullet"/>
      <w:lvlText w:val="o"/>
      <w:lvlJc w:val="left"/>
      <w:pPr>
        <w:ind w:left="3240" w:hanging="360"/>
      </w:pPr>
      <w:rPr>
        <w:rFonts w:ascii="Courier New" w:hAnsi="Courier New" w:cs="Courier New" w:hint="default"/>
      </w:rPr>
    </w:lvl>
    <w:lvl w:ilvl="5" w:tplc="69B4BF8A" w:tentative="1">
      <w:start w:val="1"/>
      <w:numFmt w:val="bullet"/>
      <w:lvlText w:val=""/>
      <w:lvlJc w:val="left"/>
      <w:pPr>
        <w:ind w:left="3960" w:hanging="360"/>
      </w:pPr>
      <w:rPr>
        <w:rFonts w:ascii="Wingdings" w:hAnsi="Wingdings" w:hint="default"/>
      </w:rPr>
    </w:lvl>
    <w:lvl w:ilvl="6" w:tplc="ABF68978" w:tentative="1">
      <w:start w:val="1"/>
      <w:numFmt w:val="bullet"/>
      <w:lvlText w:val=""/>
      <w:lvlJc w:val="left"/>
      <w:pPr>
        <w:ind w:left="4680" w:hanging="360"/>
      </w:pPr>
      <w:rPr>
        <w:rFonts w:ascii="Symbol" w:hAnsi="Symbol" w:hint="default"/>
      </w:rPr>
    </w:lvl>
    <w:lvl w:ilvl="7" w:tplc="3B9892FC" w:tentative="1">
      <w:start w:val="1"/>
      <w:numFmt w:val="bullet"/>
      <w:lvlText w:val="o"/>
      <w:lvlJc w:val="left"/>
      <w:pPr>
        <w:ind w:left="5400" w:hanging="360"/>
      </w:pPr>
      <w:rPr>
        <w:rFonts w:ascii="Courier New" w:hAnsi="Courier New" w:cs="Courier New" w:hint="default"/>
      </w:rPr>
    </w:lvl>
    <w:lvl w:ilvl="8" w:tplc="722455D6" w:tentative="1">
      <w:start w:val="1"/>
      <w:numFmt w:val="bullet"/>
      <w:lvlText w:val=""/>
      <w:lvlJc w:val="left"/>
      <w:pPr>
        <w:ind w:left="6120" w:hanging="360"/>
      </w:pPr>
      <w:rPr>
        <w:rFonts w:ascii="Wingdings" w:hAnsi="Wingdings" w:hint="default"/>
      </w:rPr>
    </w:lvl>
  </w:abstractNum>
  <w:abstractNum w:abstractNumId="16" w15:restartNumberingAfterBreak="0">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9" w15:restartNumberingAfterBreak="0">
    <w:nsid w:val="275A6BF4"/>
    <w:multiLevelType w:val="multilevel"/>
    <w:tmpl w:val="76121128"/>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7E53154"/>
    <w:multiLevelType w:val="hybridMultilevel"/>
    <w:tmpl w:val="21146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D317FAF"/>
    <w:multiLevelType w:val="multilevel"/>
    <w:tmpl w:val="AE580FCE"/>
    <w:numStyleLink w:val="Bulletlist"/>
  </w:abstractNum>
  <w:abstractNum w:abstractNumId="23" w15:restartNumberingAfterBreak="0">
    <w:nsid w:val="36DE14A0"/>
    <w:multiLevelType w:val="multilevel"/>
    <w:tmpl w:val="A1A6C49E"/>
    <w:lvl w:ilvl="0">
      <w:start w:val="1"/>
      <w:numFmt w:val="decimal"/>
      <w:pStyle w:val="02heading1numb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51581D"/>
    <w:multiLevelType w:val="hybridMultilevel"/>
    <w:tmpl w:val="43D49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6606BB"/>
    <w:multiLevelType w:val="multilevel"/>
    <w:tmpl w:val="551EBC20"/>
    <w:lvl w:ilvl="0">
      <w:start w:val="1"/>
      <w:numFmt w:val="decimal"/>
      <w:pStyle w:val="Bodynumbered-Level1"/>
      <w:lvlText w:val="%1."/>
      <w:lvlJc w:val="left"/>
      <w:pPr>
        <w:ind w:left="680" w:hanging="340"/>
      </w:pPr>
      <w:rPr>
        <w:rFonts w:hint="default"/>
        <w:b/>
        <w:bCs/>
        <w:i w:val="0"/>
        <w:iCs w:val="0"/>
        <w:color w:val="0072B9"/>
        <w:sz w:val="22"/>
        <w:szCs w:val="22"/>
      </w:rPr>
    </w:lvl>
    <w:lvl w:ilvl="1">
      <w:start w:val="1"/>
      <w:numFmt w:val="lowerLetter"/>
      <w:pStyle w:val="Bodynumbered-Level2"/>
      <w:lvlText w:val="%2."/>
      <w:lvlJc w:val="left"/>
      <w:pPr>
        <w:ind w:left="1020" w:hanging="340"/>
      </w:pPr>
      <w:rPr>
        <w:rFonts w:hint="default"/>
        <w:b/>
        <w:bCs/>
        <w:i w:val="0"/>
        <w:iCs w:val="0"/>
        <w:color w:val="0072B9"/>
        <w:sz w:val="22"/>
        <w:szCs w:val="22"/>
      </w:rPr>
    </w:lvl>
    <w:lvl w:ilvl="2">
      <w:start w:val="1"/>
      <w:numFmt w:val="lowerRoman"/>
      <w:pStyle w:val="Bodynumbered-Level3"/>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6" w15:restartNumberingAfterBreak="0">
    <w:nsid w:val="458B2392"/>
    <w:multiLevelType w:val="hybridMultilevel"/>
    <w:tmpl w:val="AD924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8" w15:restartNumberingAfterBreak="0">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15:restartNumberingAfterBreak="0">
    <w:nsid w:val="5F4D6802"/>
    <w:multiLevelType w:val="hybridMultilevel"/>
    <w:tmpl w:val="B82E6AF0"/>
    <w:lvl w:ilvl="0" w:tplc="E76CC0AC">
      <w:start w:val="1"/>
      <w:numFmt w:val="bullet"/>
      <w:lvlText w:val=""/>
      <w:lvlJc w:val="left"/>
      <w:pPr>
        <w:ind w:left="360" w:hanging="360"/>
      </w:pPr>
      <w:rPr>
        <w:rFonts w:ascii="Symbol" w:hAnsi="Symbol" w:hint="default"/>
      </w:rPr>
    </w:lvl>
    <w:lvl w:ilvl="1" w:tplc="4030BFC8" w:tentative="1">
      <w:start w:val="1"/>
      <w:numFmt w:val="bullet"/>
      <w:lvlText w:val="o"/>
      <w:lvlJc w:val="left"/>
      <w:pPr>
        <w:ind w:left="1080" w:hanging="360"/>
      </w:pPr>
      <w:rPr>
        <w:rFonts w:ascii="Courier New" w:hAnsi="Courier New" w:cs="Courier New" w:hint="default"/>
      </w:rPr>
    </w:lvl>
    <w:lvl w:ilvl="2" w:tplc="D8D27CC0" w:tentative="1">
      <w:start w:val="1"/>
      <w:numFmt w:val="bullet"/>
      <w:lvlText w:val=""/>
      <w:lvlJc w:val="left"/>
      <w:pPr>
        <w:ind w:left="1800" w:hanging="360"/>
      </w:pPr>
      <w:rPr>
        <w:rFonts w:ascii="Wingdings" w:hAnsi="Wingdings" w:hint="default"/>
      </w:rPr>
    </w:lvl>
    <w:lvl w:ilvl="3" w:tplc="55D8DBBA" w:tentative="1">
      <w:start w:val="1"/>
      <w:numFmt w:val="bullet"/>
      <w:lvlText w:val=""/>
      <w:lvlJc w:val="left"/>
      <w:pPr>
        <w:ind w:left="2520" w:hanging="360"/>
      </w:pPr>
      <w:rPr>
        <w:rFonts w:ascii="Symbol" w:hAnsi="Symbol" w:hint="default"/>
      </w:rPr>
    </w:lvl>
    <w:lvl w:ilvl="4" w:tplc="0100BCFE" w:tentative="1">
      <w:start w:val="1"/>
      <w:numFmt w:val="bullet"/>
      <w:lvlText w:val="o"/>
      <w:lvlJc w:val="left"/>
      <w:pPr>
        <w:ind w:left="3240" w:hanging="360"/>
      </w:pPr>
      <w:rPr>
        <w:rFonts w:ascii="Courier New" w:hAnsi="Courier New" w:cs="Courier New" w:hint="default"/>
      </w:rPr>
    </w:lvl>
    <w:lvl w:ilvl="5" w:tplc="E760039E" w:tentative="1">
      <w:start w:val="1"/>
      <w:numFmt w:val="bullet"/>
      <w:lvlText w:val=""/>
      <w:lvlJc w:val="left"/>
      <w:pPr>
        <w:ind w:left="3960" w:hanging="360"/>
      </w:pPr>
      <w:rPr>
        <w:rFonts w:ascii="Wingdings" w:hAnsi="Wingdings" w:hint="default"/>
      </w:rPr>
    </w:lvl>
    <w:lvl w:ilvl="6" w:tplc="13FE3544" w:tentative="1">
      <w:start w:val="1"/>
      <w:numFmt w:val="bullet"/>
      <w:lvlText w:val=""/>
      <w:lvlJc w:val="left"/>
      <w:pPr>
        <w:ind w:left="4680" w:hanging="360"/>
      </w:pPr>
      <w:rPr>
        <w:rFonts w:ascii="Symbol" w:hAnsi="Symbol" w:hint="default"/>
      </w:rPr>
    </w:lvl>
    <w:lvl w:ilvl="7" w:tplc="F57A0B70" w:tentative="1">
      <w:start w:val="1"/>
      <w:numFmt w:val="bullet"/>
      <w:lvlText w:val="o"/>
      <w:lvlJc w:val="left"/>
      <w:pPr>
        <w:ind w:left="5400" w:hanging="360"/>
      </w:pPr>
      <w:rPr>
        <w:rFonts w:ascii="Courier New" w:hAnsi="Courier New" w:cs="Courier New" w:hint="default"/>
      </w:rPr>
    </w:lvl>
    <w:lvl w:ilvl="8" w:tplc="080606C0" w:tentative="1">
      <w:start w:val="1"/>
      <w:numFmt w:val="bullet"/>
      <w:lvlText w:val=""/>
      <w:lvlJc w:val="left"/>
      <w:pPr>
        <w:ind w:left="6120" w:hanging="360"/>
      </w:pPr>
      <w:rPr>
        <w:rFonts w:ascii="Wingdings" w:hAnsi="Wingdings" w:hint="default"/>
      </w:rPr>
    </w:lvl>
  </w:abstractNum>
  <w:abstractNum w:abstractNumId="30" w15:restartNumberingAfterBreak="0">
    <w:nsid w:val="60E15E51"/>
    <w:multiLevelType w:val="multilevel"/>
    <w:tmpl w:val="978EC210"/>
    <w:lvl w:ilvl="0">
      <w:start w:val="1"/>
      <w:numFmt w:val="bullet"/>
      <w:pStyle w:val="Tablebullet-Level1"/>
      <w:lvlText w:val=""/>
      <w:lvlJc w:val="left"/>
      <w:pPr>
        <w:ind w:left="340" w:hanging="340"/>
      </w:pPr>
      <w:rPr>
        <w:rFonts w:ascii="Symbol" w:hAnsi="Symbol" w:hint="default"/>
        <w:color w:val="0072B9"/>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1" w15:restartNumberingAfterBreak="0">
    <w:nsid w:val="64986E33"/>
    <w:multiLevelType w:val="hybridMultilevel"/>
    <w:tmpl w:val="CE6E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74F86"/>
    <w:multiLevelType w:val="hybridMultilevel"/>
    <w:tmpl w:val="F5F20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7A596A"/>
    <w:multiLevelType w:val="hybridMultilevel"/>
    <w:tmpl w:val="8DA2F95A"/>
    <w:lvl w:ilvl="0" w:tplc="CB3C63C2">
      <w:start w:val="1"/>
      <w:numFmt w:val="decimal"/>
      <w:pStyle w:val="Boxlist-Numbered"/>
      <w:lvlText w:val="Question %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4"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8E95764"/>
    <w:multiLevelType w:val="hybridMultilevel"/>
    <w:tmpl w:val="2FE6F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2A7D0D"/>
    <w:multiLevelType w:val="multilevel"/>
    <w:tmpl w:val="1228068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D22408"/>
    <w:multiLevelType w:val="hybridMultilevel"/>
    <w:tmpl w:val="9BEE74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BC4A58"/>
    <w:multiLevelType w:val="multilevel"/>
    <w:tmpl w:val="AE580FCE"/>
    <w:numStyleLink w:val="Bullet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25"/>
  </w:num>
  <w:num w:numId="14">
    <w:abstractNumId w:val="36"/>
  </w:num>
  <w:num w:numId="15">
    <w:abstractNumId w:val="18"/>
  </w:num>
  <w:num w:numId="16">
    <w:abstractNumId w:val="34"/>
  </w:num>
  <w:num w:numId="17">
    <w:abstractNumId w:val="35"/>
  </w:num>
  <w:num w:numId="18">
    <w:abstractNumId w:val="10"/>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7"/>
  </w:num>
  <w:num w:numId="23">
    <w:abstractNumId w:val="33"/>
    <w:lvlOverride w:ilvl="0">
      <w:startOverride w:val="1"/>
    </w:lvlOverride>
  </w:num>
  <w:num w:numId="24">
    <w:abstractNumId w:val="16"/>
  </w:num>
  <w:num w:numId="25">
    <w:abstractNumId w:val="14"/>
  </w:num>
  <w:num w:numId="26">
    <w:abstractNumId w:val="29"/>
  </w:num>
  <w:num w:numId="27">
    <w:abstractNumId w:val="15"/>
  </w:num>
  <w:num w:numId="28">
    <w:abstractNumId w:val="12"/>
  </w:num>
  <w:num w:numId="29">
    <w:abstractNumId w:val="24"/>
  </w:num>
  <w:num w:numId="30">
    <w:abstractNumId w:val="32"/>
  </w:num>
  <w:num w:numId="31">
    <w:abstractNumId w:val="38"/>
  </w:num>
  <w:num w:numId="32">
    <w:abstractNumId w:val="20"/>
  </w:num>
  <w:num w:numId="33">
    <w:abstractNumId w:val="28"/>
  </w:num>
  <w:num w:numId="34">
    <w:abstractNumId w:val="41"/>
  </w:num>
  <w:num w:numId="35">
    <w:abstractNumId w:val="22"/>
  </w:num>
  <w:num w:numId="36">
    <w:abstractNumId w:val="40"/>
  </w:num>
  <w:num w:numId="37">
    <w:abstractNumId w:val="11"/>
  </w:num>
  <w:num w:numId="38">
    <w:abstractNumId w:val="23"/>
  </w:num>
  <w:num w:numId="39">
    <w:abstractNumId w:val="39"/>
  </w:num>
  <w:num w:numId="40">
    <w:abstractNumId w:val="13"/>
  </w:num>
  <w:num w:numId="41">
    <w:abstractNumId w:val="31"/>
  </w:num>
  <w:num w:numId="4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lickAndTypeStyle w:val="BodyText"/>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90"/>
    <w:rsid w:val="0000179F"/>
    <w:rsid w:val="00002089"/>
    <w:rsid w:val="00002AA3"/>
    <w:rsid w:val="00002B0D"/>
    <w:rsid w:val="000047CD"/>
    <w:rsid w:val="00006E19"/>
    <w:rsid w:val="00006F87"/>
    <w:rsid w:val="0000704D"/>
    <w:rsid w:val="00007B8A"/>
    <w:rsid w:val="000100BE"/>
    <w:rsid w:val="00010C91"/>
    <w:rsid w:val="000110DE"/>
    <w:rsid w:val="0001191A"/>
    <w:rsid w:val="00012094"/>
    <w:rsid w:val="00012AE9"/>
    <w:rsid w:val="000131B2"/>
    <w:rsid w:val="00013855"/>
    <w:rsid w:val="000152CC"/>
    <w:rsid w:val="000159C9"/>
    <w:rsid w:val="000164FF"/>
    <w:rsid w:val="00017B31"/>
    <w:rsid w:val="00017E32"/>
    <w:rsid w:val="00020105"/>
    <w:rsid w:val="000223A5"/>
    <w:rsid w:val="00022822"/>
    <w:rsid w:val="00022B50"/>
    <w:rsid w:val="00023528"/>
    <w:rsid w:val="00023A8C"/>
    <w:rsid w:val="00024E7E"/>
    <w:rsid w:val="0002587A"/>
    <w:rsid w:val="00026060"/>
    <w:rsid w:val="0003155B"/>
    <w:rsid w:val="00032710"/>
    <w:rsid w:val="00033C18"/>
    <w:rsid w:val="000344A1"/>
    <w:rsid w:val="000360AD"/>
    <w:rsid w:val="00037AD6"/>
    <w:rsid w:val="00037CA9"/>
    <w:rsid w:val="000412CD"/>
    <w:rsid w:val="00041604"/>
    <w:rsid w:val="00042873"/>
    <w:rsid w:val="0004408C"/>
    <w:rsid w:val="0004449A"/>
    <w:rsid w:val="00050750"/>
    <w:rsid w:val="0005092C"/>
    <w:rsid w:val="00050989"/>
    <w:rsid w:val="000521EF"/>
    <w:rsid w:val="00052217"/>
    <w:rsid w:val="00052EC8"/>
    <w:rsid w:val="00053829"/>
    <w:rsid w:val="00055535"/>
    <w:rsid w:val="00056B35"/>
    <w:rsid w:val="00056B4A"/>
    <w:rsid w:val="000603E6"/>
    <w:rsid w:val="00061F8D"/>
    <w:rsid w:val="0006249D"/>
    <w:rsid w:val="00062980"/>
    <w:rsid w:val="00063027"/>
    <w:rsid w:val="00063188"/>
    <w:rsid w:val="000637E2"/>
    <w:rsid w:val="00065352"/>
    <w:rsid w:val="0006653C"/>
    <w:rsid w:val="00066BB9"/>
    <w:rsid w:val="00067AD2"/>
    <w:rsid w:val="00067EEA"/>
    <w:rsid w:val="00070D7F"/>
    <w:rsid w:val="000720AB"/>
    <w:rsid w:val="0007225F"/>
    <w:rsid w:val="0007357C"/>
    <w:rsid w:val="000738BA"/>
    <w:rsid w:val="0007569D"/>
    <w:rsid w:val="00076380"/>
    <w:rsid w:val="00081606"/>
    <w:rsid w:val="00081631"/>
    <w:rsid w:val="000837D7"/>
    <w:rsid w:val="00083BD0"/>
    <w:rsid w:val="0008502C"/>
    <w:rsid w:val="000855F7"/>
    <w:rsid w:val="00086BE9"/>
    <w:rsid w:val="00087E23"/>
    <w:rsid w:val="000905C3"/>
    <w:rsid w:val="0009060A"/>
    <w:rsid w:val="00090EDA"/>
    <w:rsid w:val="00091098"/>
    <w:rsid w:val="00091504"/>
    <w:rsid w:val="00091AB8"/>
    <w:rsid w:val="0009379A"/>
    <w:rsid w:val="000963A9"/>
    <w:rsid w:val="00096718"/>
    <w:rsid w:val="000974FD"/>
    <w:rsid w:val="000976B0"/>
    <w:rsid w:val="000A13C3"/>
    <w:rsid w:val="000A2056"/>
    <w:rsid w:val="000A2C34"/>
    <w:rsid w:val="000A2CCA"/>
    <w:rsid w:val="000A2EE5"/>
    <w:rsid w:val="000A3229"/>
    <w:rsid w:val="000A3632"/>
    <w:rsid w:val="000A36C3"/>
    <w:rsid w:val="000A4198"/>
    <w:rsid w:val="000A4478"/>
    <w:rsid w:val="000A545A"/>
    <w:rsid w:val="000B114C"/>
    <w:rsid w:val="000B3A36"/>
    <w:rsid w:val="000B6D53"/>
    <w:rsid w:val="000B758F"/>
    <w:rsid w:val="000C0060"/>
    <w:rsid w:val="000C2441"/>
    <w:rsid w:val="000C26D2"/>
    <w:rsid w:val="000C28AB"/>
    <w:rsid w:val="000C29F5"/>
    <w:rsid w:val="000C3BB3"/>
    <w:rsid w:val="000C6BE4"/>
    <w:rsid w:val="000C6EA5"/>
    <w:rsid w:val="000D0D3B"/>
    <w:rsid w:val="000D1670"/>
    <w:rsid w:val="000D17E3"/>
    <w:rsid w:val="000D1844"/>
    <w:rsid w:val="000D18DD"/>
    <w:rsid w:val="000D1A93"/>
    <w:rsid w:val="000D4420"/>
    <w:rsid w:val="000D4C2E"/>
    <w:rsid w:val="000D5E3B"/>
    <w:rsid w:val="000D724D"/>
    <w:rsid w:val="000D7CA3"/>
    <w:rsid w:val="000E01C6"/>
    <w:rsid w:val="000E03CD"/>
    <w:rsid w:val="000E0961"/>
    <w:rsid w:val="000E2323"/>
    <w:rsid w:val="000E30FC"/>
    <w:rsid w:val="000E33DB"/>
    <w:rsid w:val="000E4A7A"/>
    <w:rsid w:val="000E739C"/>
    <w:rsid w:val="000E7483"/>
    <w:rsid w:val="000E74C3"/>
    <w:rsid w:val="000F0A6C"/>
    <w:rsid w:val="000F1795"/>
    <w:rsid w:val="000F2204"/>
    <w:rsid w:val="000F257B"/>
    <w:rsid w:val="000F2E50"/>
    <w:rsid w:val="000F31C5"/>
    <w:rsid w:val="000F429A"/>
    <w:rsid w:val="000F43F5"/>
    <w:rsid w:val="000F6A07"/>
    <w:rsid w:val="000F7554"/>
    <w:rsid w:val="001007D5"/>
    <w:rsid w:val="00100A92"/>
    <w:rsid w:val="00102808"/>
    <w:rsid w:val="0010379E"/>
    <w:rsid w:val="001059EB"/>
    <w:rsid w:val="00107198"/>
    <w:rsid w:val="001103DB"/>
    <w:rsid w:val="00110510"/>
    <w:rsid w:val="0011167D"/>
    <w:rsid w:val="00113957"/>
    <w:rsid w:val="001148E0"/>
    <w:rsid w:val="00114A38"/>
    <w:rsid w:val="00115188"/>
    <w:rsid w:val="00116AA0"/>
    <w:rsid w:val="00116F10"/>
    <w:rsid w:val="00116FF7"/>
    <w:rsid w:val="0011700E"/>
    <w:rsid w:val="00122D70"/>
    <w:rsid w:val="001240ED"/>
    <w:rsid w:val="00125A47"/>
    <w:rsid w:val="001274F6"/>
    <w:rsid w:val="001310B2"/>
    <w:rsid w:val="001313C5"/>
    <w:rsid w:val="00131519"/>
    <w:rsid w:val="001326A9"/>
    <w:rsid w:val="00133178"/>
    <w:rsid w:val="00133D14"/>
    <w:rsid w:val="00134513"/>
    <w:rsid w:val="001348CD"/>
    <w:rsid w:val="00134A17"/>
    <w:rsid w:val="00135456"/>
    <w:rsid w:val="0013672A"/>
    <w:rsid w:val="00136C8B"/>
    <w:rsid w:val="001373C7"/>
    <w:rsid w:val="001379ED"/>
    <w:rsid w:val="00137ADC"/>
    <w:rsid w:val="001406B6"/>
    <w:rsid w:val="00140905"/>
    <w:rsid w:val="00141833"/>
    <w:rsid w:val="0014194F"/>
    <w:rsid w:val="001435DB"/>
    <w:rsid w:val="00143825"/>
    <w:rsid w:val="00143C9B"/>
    <w:rsid w:val="001441A7"/>
    <w:rsid w:val="00144809"/>
    <w:rsid w:val="00144838"/>
    <w:rsid w:val="00144DED"/>
    <w:rsid w:val="00145933"/>
    <w:rsid w:val="0014703B"/>
    <w:rsid w:val="001471F5"/>
    <w:rsid w:val="00147E77"/>
    <w:rsid w:val="0015033C"/>
    <w:rsid w:val="001517A4"/>
    <w:rsid w:val="00152846"/>
    <w:rsid w:val="001571EB"/>
    <w:rsid w:val="00161D9F"/>
    <w:rsid w:val="00162282"/>
    <w:rsid w:val="00162724"/>
    <w:rsid w:val="00162E15"/>
    <w:rsid w:val="001648DF"/>
    <w:rsid w:val="00165B80"/>
    <w:rsid w:val="001660A0"/>
    <w:rsid w:val="0016624A"/>
    <w:rsid w:val="00171110"/>
    <w:rsid w:val="00172565"/>
    <w:rsid w:val="001733DE"/>
    <w:rsid w:val="0017517F"/>
    <w:rsid w:val="00175547"/>
    <w:rsid w:val="00175B5B"/>
    <w:rsid w:val="00175E61"/>
    <w:rsid w:val="00177050"/>
    <w:rsid w:val="00180CE3"/>
    <w:rsid w:val="00181709"/>
    <w:rsid w:val="00183651"/>
    <w:rsid w:val="00185B74"/>
    <w:rsid w:val="00185BF3"/>
    <w:rsid w:val="001869BE"/>
    <w:rsid w:val="00192FC3"/>
    <w:rsid w:val="00195094"/>
    <w:rsid w:val="001961CA"/>
    <w:rsid w:val="00196328"/>
    <w:rsid w:val="001968BF"/>
    <w:rsid w:val="001A357E"/>
    <w:rsid w:val="001A3739"/>
    <w:rsid w:val="001A5CDF"/>
    <w:rsid w:val="001A608F"/>
    <w:rsid w:val="001A6095"/>
    <w:rsid w:val="001A6448"/>
    <w:rsid w:val="001A694A"/>
    <w:rsid w:val="001A7825"/>
    <w:rsid w:val="001B12BE"/>
    <w:rsid w:val="001B3A2E"/>
    <w:rsid w:val="001B3A4C"/>
    <w:rsid w:val="001B6911"/>
    <w:rsid w:val="001B71B1"/>
    <w:rsid w:val="001B7A28"/>
    <w:rsid w:val="001B7EEF"/>
    <w:rsid w:val="001C08E2"/>
    <w:rsid w:val="001C3AF3"/>
    <w:rsid w:val="001C52B5"/>
    <w:rsid w:val="001C5E81"/>
    <w:rsid w:val="001C5FDD"/>
    <w:rsid w:val="001C7AF7"/>
    <w:rsid w:val="001C7F0B"/>
    <w:rsid w:val="001D0602"/>
    <w:rsid w:val="001D0D2F"/>
    <w:rsid w:val="001D28B0"/>
    <w:rsid w:val="001D2D07"/>
    <w:rsid w:val="001D3C04"/>
    <w:rsid w:val="001D6C77"/>
    <w:rsid w:val="001D7096"/>
    <w:rsid w:val="001D7353"/>
    <w:rsid w:val="001D7699"/>
    <w:rsid w:val="001E0315"/>
    <w:rsid w:val="001E1570"/>
    <w:rsid w:val="001E1D37"/>
    <w:rsid w:val="001E2E05"/>
    <w:rsid w:val="001E4A27"/>
    <w:rsid w:val="001E5630"/>
    <w:rsid w:val="001E5833"/>
    <w:rsid w:val="001E703B"/>
    <w:rsid w:val="001F0A77"/>
    <w:rsid w:val="001F2653"/>
    <w:rsid w:val="001F4346"/>
    <w:rsid w:val="001F54BE"/>
    <w:rsid w:val="001F5A2C"/>
    <w:rsid w:val="002000AB"/>
    <w:rsid w:val="002014E7"/>
    <w:rsid w:val="002026CC"/>
    <w:rsid w:val="002029A5"/>
    <w:rsid w:val="002031BD"/>
    <w:rsid w:val="002038E3"/>
    <w:rsid w:val="00203D85"/>
    <w:rsid w:val="002051EC"/>
    <w:rsid w:val="00206373"/>
    <w:rsid w:val="0020753B"/>
    <w:rsid w:val="002103B2"/>
    <w:rsid w:val="002109F3"/>
    <w:rsid w:val="0021168B"/>
    <w:rsid w:val="00211B11"/>
    <w:rsid w:val="00212C8F"/>
    <w:rsid w:val="00212D28"/>
    <w:rsid w:val="002131DB"/>
    <w:rsid w:val="002137D0"/>
    <w:rsid w:val="002140A8"/>
    <w:rsid w:val="00214A7C"/>
    <w:rsid w:val="00215247"/>
    <w:rsid w:val="0021574F"/>
    <w:rsid w:val="00215DB3"/>
    <w:rsid w:val="00217134"/>
    <w:rsid w:val="00220815"/>
    <w:rsid w:val="002212B4"/>
    <w:rsid w:val="00221456"/>
    <w:rsid w:val="002215EA"/>
    <w:rsid w:val="002220D5"/>
    <w:rsid w:val="00223886"/>
    <w:rsid w:val="00224B4A"/>
    <w:rsid w:val="00224EA3"/>
    <w:rsid w:val="0022510C"/>
    <w:rsid w:val="00227647"/>
    <w:rsid w:val="00230003"/>
    <w:rsid w:val="002300C6"/>
    <w:rsid w:val="00230177"/>
    <w:rsid w:val="002304DE"/>
    <w:rsid w:val="00230F08"/>
    <w:rsid w:val="002324C0"/>
    <w:rsid w:val="0023275B"/>
    <w:rsid w:val="00232931"/>
    <w:rsid w:val="00232A10"/>
    <w:rsid w:val="00233A44"/>
    <w:rsid w:val="00233F72"/>
    <w:rsid w:val="00235B90"/>
    <w:rsid w:val="00235BBB"/>
    <w:rsid w:val="00235F66"/>
    <w:rsid w:val="00236409"/>
    <w:rsid w:val="0024133E"/>
    <w:rsid w:val="002416EA"/>
    <w:rsid w:val="002424AB"/>
    <w:rsid w:val="002434E8"/>
    <w:rsid w:val="002440EF"/>
    <w:rsid w:val="00244B19"/>
    <w:rsid w:val="00251D8A"/>
    <w:rsid w:val="00252CAD"/>
    <w:rsid w:val="002542CE"/>
    <w:rsid w:val="0025457D"/>
    <w:rsid w:val="002547E2"/>
    <w:rsid w:val="002555CB"/>
    <w:rsid w:val="0025632B"/>
    <w:rsid w:val="00256E94"/>
    <w:rsid w:val="00257840"/>
    <w:rsid w:val="00261078"/>
    <w:rsid w:val="00262822"/>
    <w:rsid w:val="002703B5"/>
    <w:rsid w:val="002711E3"/>
    <w:rsid w:val="002714B8"/>
    <w:rsid w:val="00271B2E"/>
    <w:rsid w:val="00272918"/>
    <w:rsid w:val="00273A97"/>
    <w:rsid w:val="002740DD"/>
    <w:rsid w:val="002752C7"/>
    <w:rsid w:val="00275331"/>
    <w:rsid w:val="002760DC"/>
    <w:rsid w:val="0027624B"/>
    <w:rsid w:val="002766AA"/>
    <w:rsid w:val="00280911"/>
    <w:rsid w:val="002810BE"/>
    <w:rsid w:val="00281192"/>
    <w:rsid w:val="00282BBA"/>
    <w:rsid w:val="00283FBD"/>
    <w:rsid w:val="0028442C"/>
    <w:rsid w:val="00284B24"/>
    <w:rsid w:val="00285022"/>
    <w:rsid w:val="0028527D"/>
    <w:rsid w:val="00287514"/>
    <w:rsid w:val="00287A6D"/>
    <w:rsid w:val="00290D1D"/>
    <w:rsid w:val="00290D6A"/>
    <w:rsid w:val="0029112D"/>
    <w:rsid w:val="00291E45"/>
    <w:rsid w:val="00292145"/>
    <w:rsid w:val="00294230"/>
    <w:rsid w:val="00297EC1"/>
    <w:rsid w:val="002A0A05"/>
    <w:rsid w:val="002A1EDF"/>
    <w:rsid w:val="002A2C02"/>
    <w:rsid w:val="002A36F8"/>
    <w:rsid w:val="002A3999"/>
    <w:rsid w:val="002A4425"/>
    <w:rsid w:val="002A49B4"/>
    <w:rsid w:val="002A52B3"/>
    <w:rsid w:val="002A69C4"/>
    <w:rsid w:val="002A6FA7"/>
    <w:rsid w:val="002A7854"/>
    <w:rsid w:val="002A7D93"/>
    <w:rsid w:val="002B02B0"/>
    <w:rsid w:val="002B0E7C"/>
    <w:rsid w:val="002B1297"/>
    <w:rsid w:val="002B1D37"/>
    <w:rsid w:val="002B2622"/>
    <w:rsid w:val="002B2E0E"/>
    <w:rsid w:val="002B3724"/>
    <w:rsid w:val="002B3949"/>
    <w:rsid w:val="002B50F0"/>
    <w:rsid w:val="002B59B1"/>
    <w:rsid w:val="002B654A"/>
    <w:rsid w:val="002B7DDF"/>
    <w:rsid w:val="002C0114"/>
    <w:rsid w:val="002C12C7"/>
    <w:rsid w:val="002C171C"/>
    <w:rsid w:val="002C1CCD"/>
    <w:rsid w:val="002C246F"/>
    <w:rsid w:val="002C42F7"/>
    <w:rsid w:val="002C4DEC"/>
    <w:rsid w:val="002C6011"/>
    <w:rsid w:val="002C6457"/>
    <w:rsid w:val="002C65F8"/>
    <w:rsid w:val="002C72F2"/>
    <w:rsid w:val="002D1E08"/>
    <w:rsid w:val="002D27AF"/>
    <w:rsid w:val="002D3172"/>
    <w:rsid w:val="002D348C"/>
    <w:rsid w:val="002D4786"/>
    <w:rsid w:val="002D4ED5"/>
    <w:rsid w:val="002D6113"/>
    <w:rsid w:val="002D612C"/>
    <w:rsid w:val="002D7AD5"/>
    <w:rsid w:val="002E04F2"/>
    <w:rsid w:val="002E088C"/>
    <w:rsid w:val="002E0E62"/>
    <w:rsid w:val="002E14F8"/>
    <w:rsid w:val="002E187E"/>
    <w:rsid w:val="002E2136"/>
    <w:rsid w:val="002E259C"/>
    <w:rsid w:val="002E2AD1"/>
    <w:rsid w:val="002E3121"/>
    <w:rsid w:val="002E3839"/>
    <w:rsid w:val="002E3D09"/>
    <w:rsid w:val="002E4953"/>
    <w:rsid w:val="002E57C3"/>
    <w:rsid w:val="002E624D"/>
    <w:rsid w:val="002E66D9"/>
    <w:rsid w:val="002E6728"/>
    <w:rsid w:val="002E7C4C"/>
    <w:rsid w:val="002F2809"/>
    <w:rsid w:val="002F30D1"/>
    <w:rsid w:val="002F38B4"/>
    <w:rsid w:val="002F3D38"/>
    <w:rsid w:val="002F3F63"/>
    <w:rsid w:val="002F659A"/>
    <w:rsid w:val="002F730A"/>
    <w:rsid w:val="00301762"/>
    <w:rsid w:val="00301BA1"/>
    <w:rsid w:val="00302513"/>
    <w:rsid w:val="0030267C"/>
    <w:rsid w:val="003030C8"/>
    <w:rsid w:val="00303F9F"/>
    <w:rsid w:val="00305583"/>
    <w:rsid w:val="00305E9C"/>
    <w:rsid w:val="003077B3"/>
    <w:rsid w:val="003078B6"/>
    <w:rsid w:val="00311A3E"/>
    <w:rsid w:val="00312E25"/>
    <w:rsid w:val="003140DD"/>
    <w:rsid w:val="00314397"/>
    <w:rsid w:val="00315083"/>
    <w:rsid w:val="003150A7"/>
    <w:rsid w:val="00315A71"/>
    <w:rsid w:val="00316793"/>
    <w:rsid w:val="00316DF7"/>
    <w:rsid w:val="003179E4"/>
    <w:rsid w:val="003212F4"/>
    <w:rsid w:val="00321FF4"/>
    <w:rsid w:val="003221D3"/>
    <w:rsid w:val="00323603"/>
    <w:rsid w:val="00324FC0"/>
    <w:rsid w:val="003253C5"/>
    <w:rsid w:val="00326AF6"/>
    <w:rsid w:val="00331A2D"/>
    <w:rsid w:val="003328DC"/>
    <w:rsid w:val="00333235"/>
    <w:rsid w:val="0033352B"/>
    <w:rsid w:val="00336AD1"/>
    <w:rsid w:val="00337937"/>
    <w:rsid w:val="003412AE"/>
    <w:rsid w:val="003415DB"/>
    <w:rsid w:val="00341856"/>
    <w:rsid w:val="003429E8"/>
    <w:rsid w:val="00342E05"/>
    <w:rsid w:val="00344579"/>
    <w:rsid w:val="00347F53"/>
    <w:rsid w:val="003501C3"/>
    <w:rsid w:val="00350F8A"/>
    <w:rsid w:val="00351922"/>
    <w:rsid w:val="00352C74"/>
    <w:rsid w:val="00354545"/>
    <w:rsid w:val="00355167"/>
    <w:rsid w:val="00355DBD"/>
    <w:rsid w:val="00355E1A"/>
    <w:rsid w:val="00356C39"/>
    <w:rsid w:val="003576AB"/>
    <w:rsid w:val="003600D8"/>
    <w:rsid w:val="00360600"/>
    <w:rsid w:val="00361DEB"/>
    <w:rsid w:val="0036256D"/>
    <w:rsid w:val="00365577"/>
    <w:rsid w:val="00365856"/>
    <w:rsid w:val="00365D23"/>
    <w:rsid w:val="0036795A"/>
    <w:rsid w:val="00370206"/>
    <w:rsid w:val="00371118"/>
    <w:rsid w:val="0037122D"/>
    <w:rsid w:val="00371507"/>
    <w:rsid w:val="003719C6"/>
    <w:rsid w:val="0037206C"/>
    <w:rsid w:val="003729BB"/>
    <w:rsid w:val="003732D6"/>
    <w:rsid w:val="00374865"/>
    <w:rsid w:val="0037493F"/>
    <w:rsid w:val="00374BEE"/>
    <w:rsid w:val="003754DA"/>
    <w:rsid w:val="00375904"/>
    <w:rsid w:val="00377099"/>
    <w:rsid w:val="00382CF3"/>
    <w:rsid w:val="003836B2"/>
    <w:rsid w:val="00383FE5"/>
    <w:rsid w:val="00384030"/>
    <w:rsid w:val="003854EB"/>
    <w:rsid w:val="0038703C"/>
    <w:rsid w:val="0039172C"/>
    <w:rsid w:val="00395256"/>
    <w:rsid w:val="003965E6"/>
    <w:rsid w:val="00396851"/>
    <w:rsid w:val="00396C13"/>
    <w:rsid w:val="003A030B"/>
    <w:rsid w:val="003A2480"/>
    <w:rsid w:val="003A2847"/>
    <w:rsid w:val="003A460E"/>
    <w:rsid w:val="003A5812"/>
    <w:rsid w:val="003A6C68"/>
    <w:rsid w:val="003A73F2"/>
    <w:rsid w:val="003B07CC"/>
    <w:rsid w:val="003B09B4"/>
    <w:rsid w:val="003B47A8"/>
    <w:rsid w:val="003B54FB"/>
    <w:rsid w:val="003B6B72"/>
    <w:rsid w:val="003B709A"/>
    <w:rsid w:val="003B7D1C"/>
    <w:rsid w:val="003C0423"/>
    <w:rsid w:val="003C1CEC"/>
    <w:rsid w:val="003C1F63"/>
    <w:rsid w:val="003C2CCD"/>
    <w:rsid w:val="003C2EDC"/>
    <w:rsid w:val="003C3B40"/>
    <w:rsid w:val="003C4572"/>
    <w:rsid w:val="003C59D2"/>
    <w:rsid w:val="003C6FB6"/>
    <w:rsid w:val="003C77BB"/>
    <w:rsid w:val="003D07F8"/>
    <w:rsid w:val="003D16EE"/>
    <w:rsid w:val="003D1FD8"/>
    <w:rsid w:val="003D3350"/>
    <w:rsid w:val="003D37ED"/>
    <w:rsid w:val="003D3890"/>
    <w:rsid w:val="003D3E0C"/>
    <w:rsid w:val="003D5C20"/>
    <w:rsid w:val="003D7130"/>
    <w:rsid w:val="003D73A0"/>
    <w:rsid w:val="003D7469"/>
    <w:rsid w:val="003D77FB"/>
    <w:rsid w:val="003E0EB2"/>
    <w:rsid w:val="003E147D"/>
    <w:rsid w:val="003E2075"/>
    <w:rsid w:val="003E7204"/>
    <w:rsid w:val="003F008F"/>
    <w:rsid w:val="003F0B60"/>
    <w:rsid w:val="003F13BC"/>
    <w:rsid w:val="003F5F39"/>
    <w:rsid w:val="003F7019"/>
    <w:rsid w:val="003F7A06"/>
    <w:rsid w:val="004011CF"/>
    <w:rsid w:val="0040182E"/>
    <w:rsid w:val="004023FF"/>
    <w:rsid w:val="0040407A"/>
    <w:rsid w:val="00404250"/>
    <w:rsid w:val="004047C7"/>
    <w:rsid w:val="00404CC5"/>
    <w:rsid w:val="00406B55"/>
    <w:rsid w:val="004115C4"/>
    <w:rsid w:val="004132D9"/>
    <w:rsid w:val="00414403"/>
    <w:rsid w:val="004144FC"/>
    <w:rsid w:val="004158C0"/>
    <w:rsid w:val="00416259"/>
    <w:rsid w:val="00416890"/>
    <w:rsid w:val="00416983"/>
    <w:rsid w:val="00420201"/>
    <w:rsid w:val="00420512"/>
    <w:rsid w:val="00420A68"/>
    <w:rsid w:val="00420C4B"/>
    <w:rsid w:val="00420CF9"/>
    <w:rsid w:val="00420E17"/>
    <w:rsid w:val="0042318F"/>
    <w:rsid w:val="004233EF"/>
    <w:rsid w:val="00425D66"/>
    <w:rsid w:val="004265F1"/>
    <w:rsid w:val="00426FEF"/>
    <w:rsid w:val="00427C25"/>
    <w:rsid w:val="004330E1"/>
    <w:rsid w:val="0043357A"/>
    <w:rsid w:val="0043428A"/>
    <w:rsid w:val="004358C0"/>
    <w:rsid w:val="00436978"/>
    <w:rsid w:val="00442061"/>
    <w:rsid w:val="00442674"/>
    <w:rsid w:val="004430E0"/>
    <w:rsid w:val="00445E68"/>
    <w:rsid w:val="00446217"/>
    <w:rsid w:val="00450A62"/>
    <w:rsid w:val="00451A16"/>
    <w:rsid w:val="004530F3"/>
    <w:rsid w:val="0045348F"/>
    <w:rsid w:val="00454F49"/>
    <w:rsid w:val="00456454"/>
    <w:rsid w:val="00457679"/>
    <w:rsid w:val="00460C68"/>
    <w:rsid w:val="00460CCC"/>
    <w:rsid w:val="00460CF0"/>
    <w:rsid w:val="00462967"/>
    <w:rsid w:val="004630A5"/>
    <w:rsid w:val="00463403"/>
    <w:rsid w:val="0046384E"/>
    <w:rsid w:val="00463E24"/>
    <w:rsid w:val="004650DF"/>
    <w:rsid w:val="00465197"/>
    <w:rsid w:val="0046573E"/>
    <w:rsid w:val="004668E5"/>
    <w:rsid w:val="00470BEF"/>
    <w:rsid w:val="00472D0D"/>
    <w:rsid w:val="00473033"/>
    <w:rsid w:val="00473CC6"/>
    <w:rsid w:val="00474C80"/>
    <w:rsid w:val="00474CFF"/>
    <w:rsid w:val="00475283"/>
    <w:rsid w:val="004752FD"/>
    <w:rsid w:val="004755A0"/>
    <w:rsid w:val="0047586F"/>
    <w:rsid w:val="00475B5A"/>
    <w:rsid w:val="00480FFE"/>
    <w:rsid w:val="00481CA5"/>
    <w:rsid w:val="0048336F"/>
    <w:rsid w:val="00483640"/>
    <w:rsid w:val="00483B65"/>
    <w:rsid w:val="00485D2F"/>
    <w:rsid w:val="00487B3C"/>
    <w:rsid w:val="00490073"/>
    <w:rsid w:val="004902C0"/>
    <w:rsid w:val="00490D83"/>
    <w:rsid w:val="004916C9"/>
    <w:rsid w:val="00491E4D"/>
    <w:rsid w:val="00494196"/>
    <w:rsid w:val="00494C33"/>
    <w:rsid w:val="00494C6A"/>
    <w:rsid w:val="00495556"/>
    <w:rsid w:val="00495850"/>
    <w:rsid w:val="00496CC6"/>
    <w:rsid w:val="00497190"/>
    <w:rsid w:val="004A0E30"/>
    <w:rsid w:val="004A12CB"/>
    <w:rsid w:val="004A2A58"/>
    <w:rsid w:val="004A2B0F"/>
    <w:rsid w:val="004A60DE"/>
    <w:rsid w:val="004A6B4F"/>
    <w:rsid w:val="004A7B90"/>
    <w:rsid w:val="004A7DC6"/>
    <w:rsid w:val="004B082C"/>
    <w:rsid w:val="004B123F"/>
    <w:rsid w:val="004B3462"/>
    <w:rsid w:val="004B38F4"/>
    <w:rsid w:val="004B47F1"/>
    <w:rsid w:val="004B5B79"/>
    <w:rsid w:val="004B6004"/>
    <w:rsid w:val="004C18D4"/>
    <w:rsid w:val="004C1B25"/>
    <w:rsid w:val="004C42E0"/>
    <w:rsid w:val="004C5758"/>
    <w:rsid w:val="004C5E66"/>
    <w:rsid w:val="004C5F74"/>
    <w:rsid w:val="004C6FCE"/>
    <w:rsid w:val="004C719C"/>
    <w:rsid w:val="004C7F98"/>
    <w:rsid w:val="004D0723"/>
    <w:rsid w:val="004D09FD"/>
    <w:rsid w:val="004D0C52"/>
    <w:rsid w:val="004D140F"/>
    <w:rsid w:val="004D1B22"/>
    <w:rsid w:val="004D1FBC"/>
    <w:rsid w:val="004D2FF8"/>
    <w:rsid w:val="004D410D"/>
    <w:rsid w:val="004D4F3B"/>
    <w:rsid w:val="004D68BA"/>
    <w:rsid w:val="004D7040"/>
    <w:rsid w:val="004E1F67"/>
    <w:rsid w:val="004E3D04"/>
    <w:rsid w:val="004E452B"/>
    <w:rsid w:val="004E5017"/>
    <w:rsid w:val="004E5A10"/>
    <w:rsid w:val="004E74AD"/>
    <w:rsid w:val="004F013C"/>
    <w:rsid w:val="004F0874"/>
    <w:rsid w:val="004F144C"/>
    <w:rsid w:val="004F265C"/>
    <w:rsid w:val="004F3115"/>
    <w:rsid w:val="004F4A50"/>
    <w:rsid w:val="004F56AE"/>
    <w:rsid w:val="004F57C5"/>
    <w:rsid w:val="004F61E6"/>
    <w:rsid w:val="004F73BF"/>
    <w:rsid w:val="004F7EFB"/>
    <w:rsid w:val="0050081C"/>
    <w:rsid w:val="0050310A"/>
    <w:rsid w:val="005049FA"/>
    <w:rsid w:val="00504FFB"/>
    <w:rsid w:val="00505054"/>
    <w:rsid w:val="005051EA"/>
    <w:rsid w:val="00506799"/>
    <w:rsid w:val="00506886"/>
    <w:rsid w:val="00506E8B"/>
    <w:rsid w:val="00511985"/>
    <w:rsid w:val="00513A34"/>
    <w:rsid w:val="00513EC0"/>
    <w:rsid w:val="00514D03"/>
    <w:rsid w:val="005154BF"/>
    <w:rsid w:val="00515C61"/>
    <w:rsid w:val="00515FA1"/>
    <w:rsid w:val="00516109"/>
    <w:rsid w:val="0052165F"/>
    <w:rsid w:val="00523194"/>
    <w:rsid w:val="00523200"/>
    <w:rsid w:val="00525002"/>
    <w:rsid w:val="005262E9"/>
    <w:rsid w:val="0052764B"/>
    <w:rsid w:val="005276F2"/>
    <w:rsid w:val="0053034A"/>
    <w:rsid w:val="00530F16"/>
    <w:rsid w:val="00531FD0"/>
    <w:rsid w:val="005334C6"/>
    <w:rsid w:val="00533634"/>
    <w:rsid w:val="0053392B"/>
    <w:rsid w:val="00533A33"/>
    <w:rsid w:val="005340CD"/>
    <w:rsid w:val="005357E0"/>
    <w:rsid w:val="0053678D"/>
    <w:rsid w:val="00536851"/>
    <w:rsid w:val="00536B27"/>
    <w:rsid w:val="00536CD6"/>
    <w:rsid w:val="005425E9"/>
    <w:rsid w:val="00543F4B"/>
    <w:rsid w:val="00544835"/>
    <w:rsid w:val="00545771"/>
    <w:rsid w:val="00545856"/>
    <w:rsid w:val="00546FEE"/>
    <w:rsid w:val="00547219"/>
    <w:rsid w:val="00547891"/>
    <w:rsid w:val="005514CC"/>
    <w:rsid w:val="0055179B"/>
    <w:rsid w:val="005519C8"/>
    <w:rsid w:val="00552075"/>
    <w:rsid w:val="00552865"/>
    <w:rsid w:val="005529F8"/>
    <w:rsid w:val="00552FDF"/>
    <w:rsid w:val="00553111"/>
    <w:rsid w:val="00553430"/>
    <w:rsid w:val="00554D27"/>
    <w:rsid w:val="00555642"/>
    <w:rsid w:val="00555CC5"/>
    <w:rsid w:val="005568E1"/>
    <w:rsid w:val="0055786E"/>
    <w:rsid w:val="00557E28"/>
    <w:rsid w:val="005605CA"/>
    <w:rsid w:val="00561469"/>
    <w:rsid w:val="0056147E"/>
    <w:rsid w:val="0056164F"/>
    <w:rsid w:val="0056234B"/>
    <w:rsid w:val="00562688"/>
    <w:rsid w:val="00565055"/>
    <w:rsid w:val="00565706"/>
    <w:rsid w:val="005657D6"/>
    <w:rsid w:val="005666EC"/>
    <w:rsid w:val="00566BE3"/>
    <w:rsid w:val="005670DA"/>
    <w:rsid w:val="00572734"/>
    <w:rsid w:val="00572F19"/>
    <w:rsid w:val="00573740"/>
    <w:rsid w:val="00573A23"/>
    <w:rsid w:val="00573E44"/>
    <w:rsid w:val="00576421"/>
    <w:rsid w:val="00576784"/>
    <w:rsid w:val="00581394"/>
    <w:rsid w:val="00581ED1"/>
    <w:rsid w:val="00582046"/>
    <w:rsid w:val="005823FF"/>
    <w:rsid w:val="00583203"/>
    <w:rsid w:val="00583EFE"/>
    <w:rsid w:val="00584E4D"/>
    <w:rsid w:val="00585261"/>
    <w:rsid w:val="0058580F"/>
    <w:rsid w:val="00585983"/>
    <w:rsid w:val="00585DF1"/>
    <w:rsid w:val="00586A1D"/>
    <w:rsid w:val="00586B8F"/>
    <w:rsid w:val="00587CB3"/>
    <w:rsid w:val="005910BC"/>
    <w:rsid w:val="00592A8C"/>
    <w:rsid w:val="005931D5"/>
    <w:rsid w:val="00593A5A"/>
    <w:rsid w:val="00593D17"/>
    <w:rsid w:val="00593FCB"/>
    <w:rsid w:val="005940E4"/>
    <w:rsid w:val="00595214"/>
    <w:rsid w:val="0059604A"/>
    <w:rsid w:val="005A1504"/>
    <w:rsid w:val="005A1F51"/>
    <w:rsid w:val="005A2111"/>
    <w:rsid w:val="005A2133"/>
    <w:rsid w:val="005A2471"/>
    <w:rsid w:val="005A2E62"/>
    <w:rsid w:val="005A2FCC"/>
    <w:rsid w:val="005A50CC"/>
    <w:rsid w:val="005A51D1"/>
    <w:rsid w:val="005A5C22"/>
    <w:rsid w:val="005A61BB"/>
    <w:rsid w:val="005A61C2"/>
    <w:rsid w:val="005A74DD"/>
    <w:rsid w:val="005A7FB1"/>
    <w:rsid w:val="005B0317"/>
    <w:rsid w:val="005B0642"/>
    <w:rsid w:val="005B066E"/>
    <w:rsid w:val="005B0B07"/>
    <w:rsid w:val="005B0D63"/>
    <w:rsid w:val="005B13D8"/>
    <w:rsid w:val="005B144D"/>
    <w:rsid w:val="005B1A71"/>
    <w:rsid w:val="005B25FA"/>
    <w:rsid w:val="005B3C93"/>
    <w:rsid w:val="005B590A"/>
    <w:rsid w:val="005B5AD7"/>
    <w:rsid w:val="005B63A4"/>
    <w:rsid w:val="005B705C"/>
    <w:rsid w:val="005C010B"/>
    <w:rsid w:val="005C0AA2"/>
    <w:rsid w:val="005C1353"/>
    <w:rsid w:val="005C15AD"/>
    <w:rsid w:val="005C2DF9"/>
    <w:rsid w:val="005C3B80"/>
    <w:rsid w:val="005C469B"/>
    <w:rsid w:val="005C4C80"/>
    <w:rsid w:val="005C4E76"/>
    <w:rsid w:val="005C521F"/>
    <w:rsid w:val="005C5D6F"/>
    <w:rsid w:val="005D0620"/>
    <w:rsid w:val="005D2CEF"/>
    <w:rsid w:val="005D37A4"/>
    <w:rsid w:val="005D3ED8"/>
    <w:rsid w:val="005D458A"/>
    <w:rsid w:val="005D5928"/>
    <w:rsid w:val="005D6905"/>
    <w:rsid w:val="005D78B3"/>
    <w:rsid w:val="005E0899"/>
    <w:rsid w:val="005E08D9"/>
    <w:rsid w:val="005E1D3F"/>
    <w:rsid w:val="005E2A2B"/>
    <w:rsid w:val="005E3D36"/>
    <w:rsid w:val="005E3D8B"/>
    <w:rsid w:val="005E46F8"/>
    <w:rsid w:val="005E675E"/>
    <w:rsid w:val="005E7961"/>
    <w:rsid w:val="005F0C9F"/>
    <w:rsid w:val="005F14E2"/>
    <w:rsid w:val="005F2095"/>
    <w:rsid w:val="005F4397"/>
    <w:rsid w:val="005F4EA9"/>
    <w:rsid w:val="005F5D5F"/>
    <w:rsid w:val="005F5EC5"/>
    <w:rsid w:val="005F6006"/>
    <w:rsid w:val="005F703E"/>
    <w:rsid w:val="005F7142"/>
    <w:rsid w:val="0060009F"/>
    <w:rsid w:val="006000EA"/>
    <w:rsid w:val="00600295"/>
    <w:rsid w:val="00600543"/>
    <w:rsid w:val="0060071D"/>
    <w:rsid w:val="0060094F"/>
    <w:rsid w:val="006031B6"/>
    <w:rsid w:val="0060459D"/>
    <w:rsid w:val="0060536F"/>
    <w:rsid w:val="00606672"/>
    <w:rsid w:val="006075E3"/>
    <w:rsid w:val="00607662"/>
    <w:rsid w:val="00607EAB"/>
    <w:rsid w:val="00610EA1"/>
    <w:rsid w:val="00612BAF"/>
    <w:rsid w:val="006133FB"/>
    <w:rsid w:val="006138EA"/>
    <w:rsid w:val="0061574C"/>
    <w:rsid w:val="006164B2"/>
    <w:rsid w:val="006164F4"/>
    <w:rsid w:val="00617129"/>
    <w:rsid w:val="0061796E"/>
    <w:rsid w:val="006179FC"/>
    <w:rsid w:val="00617F84"/>
    <w:rsid w:val="006208DC"/>
    <w:rsid w:val="00621282"/>
    <w:rsid w:val="006225B5"/>
    <w:rsid w:val="006241BB"/>
    <w:rsid w:val="0062447E"/>
    <w:rsid w:val="00625C5B"/>
    <w:rsid w:val="0062669F"/>
    <w:rsid w:val="00627D35"/>
    <w:rsid w:val="00631047"/>
    <w:rsid w:val="00631D69"/>
    <w:rsid w:val="00632867"/>
    <w:rsid w:val="00632F8D"/>
    <w:rsid w:val="0063701C"/>
    <w:rsid w:val="006370AA"/>
    <w:rsid w:val="00637263"/>
    <w:rsid w:val="006419D9"/>
    <w:rsid w:val="006428F3"/>
    <w:rsid w:val="00643C9F"/>
    <w:rsid w:val="006440B6"/>
    <w:rsid w:val="006452D6"/>
    <w:rsid w:val="006455A8"/>
    <w:rsid w:val="00645929"/>
    <w:rsid w:val="0064709C"/>
    <w:rsid w:val="0064787A"/>
    <w:rsid w:val="006516E6"/>
    <w:rsid w:val="006529A5"/>
    <w:rsid w:val="006529BA"/>
    <w:rsid w:val="00652CFE"/>
    <w:rsid w:val="006534BB"/>
    <w:rsid w:val="00654CF1"/>
    <w:rsid w:val="00654FD9"/>
    <w:rsid w:val="006554D5"/>
    <w:rsid w:val="00657CE7"/>
    <w:rsid w:val="00657CF5"/>
    <w:rsid w:val="00660079"/>
    <w:rsid w:val="00660206"/>
    <w:rsid w:val="00660256"/>
    <w:rsid w:val="00660CAE"/>
    <w:rsid w:val="00661402"/>
    <w:rsid w:val="006622AD"/>
    <w:rsid w:val="0066274F"/>
    <w:rsid w:val="00663FC3"/>
    <w:rsid w:val="00663FDE"/>
    <w:rsid w:val="00664C5D"/>
    <w:rsid w:val="00665016"/>
    <w:rsid w:val="00666562"/>
    <w:rsid w:val="00667070"/>
    <w:rsid w:val="006675E3"/>
    <w:rsid w:val="0066765E"/>
    <w:rsid w:val="00667BCC"/>
    <w:rsid w:val="00670428"/>
    <w:rsid w:val="00670A24"/>
    <w:rsid w:val="00670AA8"/>
    <w:rsid w:val="00671B82"/>
    <w:rsid w:val="00671D22"/>
    <w:rsid w:val="0067276D"/>
    <w:rsid w:val="00672D96"/>
    <w:rsid w:val="00673ECD"/>
    <w:rsid w:val="00674539"/>
    <w:rsid w:val="006760A8"/>
    <w:rsid w:val="00676B0C"/>
    <w:rsid w:val="00677870"/>
    <w:rsid w:val="0068058D"/>
    <w:rsid w:val="00680980"/>
    <w:rsid w:val="00682EB9"/>
    <w:rsid w:val="0068335F"/>
    <w:rsid w:val="00684306"/>
    <w:rsid w:val="006849EC"/>
    <w:rsid w:val="0068566E"/>
    <w:rsid w:val="006867ED"/>
    <w:rsid w:val="00686D28"/>
    <w:rsid w:val="0068731A"/>
    <w:rsid w:val="006917CB"/>
    <w:rsid w:val="00692A54"/>
    <w:rsid w:val="00694A08"/>
    <w:rsid w:val="006A0A12"/>
    <w:rsid w:val="006A0C6D"/>
    <w:rsid w:val="006A1A29"/>
    <w:rsid w:val="006A239B"/>
    <w:rsid w:val="006A3186"/>
    <w:rsid w:val="006A48BC"/>
    <w:rsid w:val="006A723B"/>
    <w:rsid w:val="006A73F4"/>
    <w:rsid w:val="006B0B3D"/>
    <w:rsid w:val="006B1919"/>
    <w:rsid w:val="006B30A7"/>
    <w:rsid w:val="006B4835"/>
    <w:rsid w:val="006B71B1"/>
    <w:rsid w:val="006C0739"/>
    <w:rsid w:val="006C121E"/>
    <w:rsid w:val="006C1E20"/>
    <w:rsid w:val="006C2458"/>
    <w:rsid w:val="006C276D"/>
    <w:rsid w:val="006C3F75"/>
    <w:rsid w:val="006C444C"/>
    <w:rsid w:val="006C4DCC"/>
    <w:rsid w:val="006C4F73"/>
    <w:rsid w:val="006C51A3"/>
    <w:rsid w:val="006C5977"/>
    <w:rsid w:val="006D03DF"/>
    <w:rsid w:val="006D0EE3"/>
    <w:rsid w:val="006D1898"/>
    <w:rsid w:val="006D257D"/>
    <w:rsid w:val="006D3754"/>
    <w:rsid w:val="006D3E2B"/>
    <w:rsid w:val="006D4BB8"/>
    <w:rsid w:val="006D538F"/>
    <w:rsid w:val="006D5B66"/>
    <w:rsid w:val="006D63FF"/>
    <w:rsid w:val="006D68D7"/>
    <w:rsid w:val="006E0A37"/>
    <w:rsid w:val="006E0F03"/>
    <w:rsid w:val="006E3D67"/>
    <w:rsid w:val="006E4438"/>
    <w:rsid w:val="006E4CAF"/>
    <w:rsid w:val="006E675C"/>
    <w:rsid w:val="006F0C3A"/>
    <w:rsid w:val="006F14F5"/>
    <w:rsid w:val="006F1744"/>
    <w:rsid w:val="006F2586"/>
    <w:rsid w:val="006F27A7"/>
    <w:rsid w:val="006F31E3"/>
    <w:rsid w:val="006F34AD"/>
    <w:rsid w:val="006F3F9C"/>
    <w:rsid w:val="006F56CF"/>
    <w:rsid w:val="006F5DC4"/>
    <w:rsid w:val="006F609A"/>
    <w:rsid w:val="006F60C4"/>
    <w:rsid w:val="006F6B18"/>
    <w:rsid w:val="006F732F"/>
    <w:rsid w:val="006F75ED"/>
    <w:rsid w:val="006F7EE6"/>
    <w:rsid w:val="00702F4E"/>
    <w:rsid w:val="00704692"/>
    <w:rsid w:val="00705279"/>
    <w:rsid w:val="00705789"/>
    <w:rsid w:val="00706B31"/>
    <w:rsid w:val="00711228"/>
    <w:rsid w:val="00711B92"/>
    <w:rsid w:val="00711FBB"/>
    <w:rsid w:val="0071237E"/>
    <w:rsid w:val="0071244A"/>
    <w:rsid w:val="00712494"/>
    <w:rsid w:val="00712A64"/>
    <w:rsid w:val="00713058"/>
    <w:rsid w:val="00713069"/>
    <w:rsid w:val="00714467"/>
    <w:rsid w:val="00715CCC"/>
    <w:rsid w:val="0071737A"/>
    <w:rsid w:val="00720996"/>
    <w:rsid w:val="00721523"/>
    <w:rsid w:val="007228E5"/>
    <w:rsid w:val="00722D56"/>
    <w:rsid w:val="00724411"/>
    <w:rsid w:val="00724766"/>
    <w:rsid w:val="007248D0"/>
    <w:rsid w:val="0072514A"/>
    <w:rsid w:val="00727A68"/>
    <w:rsid w:val="007307AE"/>
    <w:rsid w:val="00731BC9"/>
    <w:rsid w:val="007321A6"/>
    <w:rsid w:val="00732349"/>
    <w:rsid w:val="00733B33"/>
    <w:rsid w:val="00734179"/>
    <w:rsid w:val="00735A2E"/>
    <w:rsid w:val="0073618D"/>
    <w:rsid w:val="007375B8"/>
    <w:rsid w:val="00741998"/>
    <w:rsid w:val="0074299B"/>
    <w:rsid w:val="00742AC1"/>
    <w:rsid w:val="007433F5"/>
    <w:rsid w:val="00743406"/>
    <w:rsid w:val="00744554"/>
    <w:rsid w:val="007448AD"/>
    <w:rsid w:val="007453BE"/>
    <w:rsid w:val="00747D41"/>
    <w:rsid w:val="00750C0D"/>
    <w:rsid w:val="00750E87"/>
    <w:rsid w:val="00751D32"/>
    <w:rsid w:val="007529AF"/>
    <w:rsid w:val="00753ED8"/>
    <w:rsid w:val="00753FB7"/>
    <w:rsid w:val="00754116"/>
    <w:rsid w:val="007541B3"/>
    <w:rsid w:val="00754685"/>
    <w:rsid w:val="00754D97"/>
    <w:rsid w:val="00757088"/>
    <w:rsid w:val="00757667"/>
    <w:rsid w:val="00757985"/>
    <w:rsid w:val="00757BBA"/>
    <w:rsid w:val="00757E19"/>
    <w:rsid w:val="00760546"/>
    <w:rsid w:val="00761490"/>
    <w:rsid w:val="007618B1"/>
    <w:rsid w:val="00761C27"/>
    <w:rsid w:val="007635CF"/>
    <w:rsid w:val="00763CB1"/>
    <w:rsid w:val="00765D4C"/>
    <w:rsid w:val="0076719D"/>
    <w:rsid w:val="0076744B"/>
    <w:rsid w:val="00771887"/>
    <w:rsid w:val="00771A66"/>
    <w:rsid w:val="00772066"/>
    <w:rsid w:val="00773EE6"/>
    <w:rsid w:val="00774128"/>
    <w:rsid w:val="00775AFD"/>
    <w:rsid w:val="007763AF"/>
    <w:rsid w:val="00776D36"/>
    <w:rsid w:val="007776A5"/>
    <w:rsid w:val="0078043C"/>
    <w:rsid w:val="00783B04"/>
    <w:rsid w:val="0078447F"/>
    <w:rsid w:val="00785009"/>
    <w:rsid w:val="00785226"/>
    <w:rsid w:val="0078563F"/>
    <w:rsid w:val="007879C3"/>
    <w:rsid w:val="00787CC9"/>
    <w:rsid w:val="00790268"/>
    <w:rsid w:val="007904CB"/>
    <w:rsid w:val="00790FA6"/>
    <w:rsid w:val="0079152F"/>
    <w:rsid w:val="007925FF"/>
    <w:rsid w:val="00792960"/>
    <w:rsid w:val="00793493"/>
    <w:rsid w:val="00793C6B"/>
    <w:rsid w:val="00793D02"/>
    <w:rsid w:val="00793DC9"/>
    <w:rsid w:val="00794CC5"/>
    <w:rsid w:val="00795C56"/>
    <w:rsid w:val="00795C66"/>
    <w:rsid w:val="00796E9E"/>
    <w:rsid w:val="00797523"/>
    <w:rsid w:val="007A43D8"/>
    <w:rsid w:val="007A4990"/>
    <w:rsid w:val="007A5091"/>
    <w:rsid w:val="007A5C0F"/>
    <w:rsid w:val="007A5D7A"/>
    <w:rsid w:val="007A626A"/>
    <w:rsid w:val="007B2BBA"/>
    <w:rsid w:val="007B3232"/>
    <w:rsid w:val="007B36D9"/>
    <w:rsid w:val="007B3C81"/>
    <w:rsid w:val="007B451A"/>
    <w:rsid w:val="007B6982"/>
    <w:rsid w:val="007B72F4"/>
    <w:rsid w:val="007B7408"/>
    <w:rsid w:val="007C00A3"/>
    <w:rsid w:val="007C1013"/>
    <w:rsid w:val="007C1A87"/>
    <w:rsid w:val="007C1C9D"/>
    <w:rsid w:val="007C2953"/>
    <w:rsid w:val="007C3012"/>
    <w:rsid w:val="007C5C5D"/>
    <w:rsid w:val="007C63DF"/>
    <w:rsid w:val="007C66E2"/>
    <w:rsid w:val="007C7BB2"/>
    <w:rsid w:val="007D0D31"/>
    <w:rsid w:val="007D30AE"/>
    <w:rsid w:val="007D4647"/>
    <w:rsid w:val="007D4898"/>
    <w:rsid w:val="007D4D9F"/>
    <w:rsid w:val="007D4F68"/>
    <w:rsid w:val="007D6751"/>
    <w:rsid w:val="007D6EC3"/>
    <w:rsid w:val="007D7AB4"/>
    <w:rsid w:val="007E01B6"/>
    <w:rsid w:val="007E04AA"/>
    <w:rsid w:val="007E12AF"/>
    <w:rsid w:val="007E1F48"/>
    <w:rsid w:val="007E24E9"/>
    <w:rsid w:val="007E399D"/>
    <w:rsid w:val="007E3BF4"/>
    <w:rsid w:val="007E3F57"/>
    <w:rsid w:val="007E5162"/>
    <w:rsid w:val="007E5270"/>
    <w:rsid w:val="007E559E"/>
    <w:rsid w:val="007E631B"/>
    <w:rsid w:val="007E6F10"/>
    <w:rsid w:val="007E77FD"/>
    <w:rsid w:val="007F1685"/>
    <w:rsid w:val="007F172C"/>
    <w:rsid w:val="007F2842"/>
    <w:rsid w:val="007F2BEF"/>
    <w:rsid w:val="007F3335"/>
    <w:rsid w:val="007F501C"/>
    <w:rsid w:val="007F52B8"/>
    <w:rsid w:val="007F695F"/>
    <w:rsid w:val="007F6D42"/>
    <w:rsid w:val="007F734C"/>
    <w:rsid w:val="007F777A"/>
    <w:rsid w:val="008006A2"/>
    <w:rsid w:val="008009C1"/>
    <w:rsid w:val="00801599"/>
    <w:rsid w:val="00801938"/>
    <w:rsid w:val="00801B9F"/>
    <w:rsid w:val="00801BF4"/>
    <w:rsid w:val="008034E2"/>
    <w:rsid w:val="0080561B"/>
    <w:rsid w:val="00806A0D"/>
    <w:rsid w:val="00807802"/>
    <w:rsid w:val="00807B07"/>
    <w:rsid w:val="00811D35"/>
    <w:rsid w:val="00811F2B"/>
    <w:rsid w:val="00812379"/>
    <w:rsid w:val="008123BE"/>
    <w:rsid w:val="00815AFC"/>
    <w:rsid w:val="008207B7"/>
    <w:rsid w:val="00822D48"/>
    <w:rsid w:val="008275F8"/>
    <w:rsid w:val="008277E0"/>
    <w:rsid w:val="008314F3"/>
    <w:rsid w:val="008315C0"/>
    <w:rsid w:val="00831DD3"/>
    <w:rsid w:val="00832B32"/>
    <w:rsid w:val="00832E6C"/>
    <w:rsid w:val="00833D13"/>
    <w:rsid w:val="00834673"/>
    <w:rsid w:val="008346A1"/>
    <w:rsid w:val="00834AC7"/>
    <w:rsid w:val="008361FF"/>
    <w:rsid w:val="00836D12"/>
    <w:rsid w:val="008377F9"/>
    <w:rsid w:val="00837BDD"/>
    <w:rsid w:val="00840E11"/>
    <w:rsid w:val="008412F4"/>
    <w:rsid w:val="0084209E"/>
    <w:rsid w:val="008426B8"/>
    <w:rsid w:val="00842F47"/>
    <w:rsid w:val="00843B74"/>
    <w:rsid w:val="008444AE"/>
    <w:rsid w:val="00844B44"/>
    <w:rsid w:val="00845806"/>
    <w:rsid w:val="00845FC1"/>
    <w:rsid w:val="00846DDD"/>
    <w:rsid w:val="008477D9"/>
    <w:rsid w:val="00850AE0"/>
    <w:rsid w:val="00850C02"/>
    <w:rsid w:val="0085129E"/>
    <w:rsid w:val="00851EF1"/>
    <w:rsid w:val="00854B75"/>
    <w:rsid w:val="00856660"/>
    <w:rsid w:val="0085792F"/>
    <w:rsid w:val="00860D5B"/>
    <w:rsid w:val="0086427F"/>
    <w:rsid w:val="00866A71"/>
    <w:rsid w:val="00866C13"/>
    <w:rsid w:val="00866CB0"/>
    <w:rsid w:val="00873A91"/>
    <w:rsid w:val="008741A3"/>
    <w:rsid w:val="00875779"/>
    <w:rsid w:val="00876805"/>
    <w:rsid w:val="00877121"/>
    <w:rsid w:val="008771E7"/>
    <w:rsid w:val="0088042C"/>
    <w:rsid w:val="008822B8"/>
    <w:rsid w:val="008825AB"/>
    <w:rsid w:val="008828C2"/>
    <w:rsid w:val="00883CD1"/>
    <w:rsid w:val="0088434E"/>
    <w:rsid w:val="008845F2"/>
    <w:rsid w:val="00884B44"/>
    <w:rsid w:val="008856F3"/>
    <w:rsid w:val="008868DD"/>
    <w:rsid w:val="008906E0"/>
    <w:rsid w:val="00890918"/>
    <w:rsid w:val="00891B01"/>
    <w:rsid w:val="00892230"/>
    <w:rsid w:val="008935CF"/>
    <w:rsid w:val="00894026"/>
    <w:rsid w:val="00894099"/>
    <w:rsid w:val="00894463"/>
    <w:rsid w:val="00894CA6"/>
    <w:rsid w:val="008954CD"/>
    <w:rsid w:val="008979D0"/>
    <w:rsid w:val="008A045F"/>
    <w:rsid w:val="008A135A"/>
    <w:rsid w:val="008A1A86"/>
    <w:rsid w:val="008A2350"/>
    <w:rsid w:val="008A2C1D"/>
    <w:rsid w:val="008A4299"/>
    <w:rsid w:val="008A4C87"/>
    <w:rsid w:val="008A4CCA"/>
    <w:rsid w:val="008A5663"/>
    <w:rsid w:val="008A5A1F"/>
    <w:rsid w:val="008A5F9E"/>
    <w:rsid w:val="008A6569"/>
    <w:rsid w:val="008A688B"/>
    <w:rsid w:val="008A7886"/>
    <w:rsid w:val="008B0F3B"/>
    <w:rsid w:val="008B1215"/>
    <w:rsid w:val="008B5061"/>
    <w:rsid w:val="008B5201"/>
    <w:rsid w:val="008B5292"/>
    <w:rsid w:val="008B5AC6"/>
    <w:rsid w:val="008B5AE4"/>
    <w:rsid w:val="008B64C6"/>
    <w:rsid w:val="008B663D"/>
    <w:rsid w:val="008C0A7B"/>
    <w:rsid w:val="008C0EDA"/>
    <w:rsid w:val="008C1E44"/>
    <w:rsid w:val="008C2565"/>
    <w:rsid w:val="008C2FF8"/>
    <w:rsid w:val="008C328F"/>
    <w:rsid w:val="008C4962"/>
    <w:rsid w:val="008C6265"/>
    <w:rsid w:val="008C6446"/>
    <w:rsid w:val="008C71A2"/>
    <w:rsid w:val="008C7365"/>
    <w:rsid w:val="008D04C8"/>
    <w:rsid w:val="008D0A94"/>
    <w:rsid w:val="008D3C32"/>
    <w:rsid w:val="008D5429"/>
    <w:rsid w:val="008D5CD2"/>
    <w:rsid w:val="008D6C13"/>
    <w:rsid w:val="008D734D"/>
    <w:rsid w:val="008D76FE"/>
    <w:rsid w:val="008E0426"/>
    <w:rsid w:val="008E093E"/>
    <w:rsid w:val="008E3784"/>
    <w:rsid w:val="008E4011"/>
    <w:rsid w:val="008E54A3"/>
    <w:rsid w:val="008E5B3A"/>
    <w:rsid w:val="008E6714"/>
    <w:rsid w:val="008E698A"/>
    <w:rsid w:val="008E7135"/>
    <w:rsid w:val="008F0108"/>
    <w:rsid w:val="008F0466"/>
    <w:rsid w:val="008F1751"/>
    <w:rsid w:val="008F202E"/>
    <w:rsid w:val="008F23A9"/>
    <w:rsid w:val="008F2563"/>
    <w:rsid w:val="008F3090"/>
    <w:rsid w:val="008F3116"/>
    <w:rsid w:val="008F360B"/>
    <w:rsid w:val="008F3A84"/>
    <w:rsid w:val="008F56C8"/>
    <w:rsid w:val="008F7042"/>
    <w:rsid w:val="008F79D5"/>
    <w:rsid w:val="009011CC"/>
    <w:rsid w:val="0090275E"/>
    <w:rsid w:val="009027A7"/>
    <w:rsid w:val="0090298D"/>
    <w:rsid w:val="00903209"/>
    <w:rsid w:val="00903332"/>
    <w:rsid w:val="00903F2C"/>
    <w:rsid w:val="009056F4"/>
    <w:rsid w:val="00905857"/>
    <w:rsid w:val="00905C1A"/>
    <w:rsid w:val="009079E8"/>
    <w:rsid w:val="00907B8F"/>
    <w:rsid w:val="0091032C"/>
    <w:rsid w:val="00910CF3"/>
    <w:rsid w:val="00911334"/>
    <w:rsid w:val="00911D68"/>
    <w:rsid w:val="00912F44"/>
    <w:rsid w:val="00913A28"/>
    <w:rsid w:val="0091401C"/>
    <w:rsid w:val="00914DE7"/>
    <w:rsid w:val="009153B8"/>
    <w:rsid w:val="00915DCA"/>
    <w:rsid w:val="009161F8"/>
    <w:rsid w:val="009166DF"/>
    <w:rsid w:val="00917283"/>
    <w:rsid w:val="009178D5"/>
    <w:rsid w:val="00917F43"/>
    <w:rsid w:val="009213C8"/>
    <w:rsid w:val="00921E6E"/>
    <w:rsid w:val="00922601"/>
    <w:rsid w:val="00922E78"/>
    <w:rsid w:val="009230B9"/>
    <w:rsid w:val="00923247"/>
    <w:rsid w:val="009241F7"/>
    <w:rsid w:val="00924705"/>
    <w:rsid w:val="009257A9"/>
    <w:rsid w:val="00925898"/>
    <w:rsid w:val="00931636"/>
    <w:rsid w:val="009332D1"/>
    <w:rsid w:val="00934E3E"/>
    <w:rsid w:val="0093561C"/>
    <w:rsid w:val="00935738"/>
    <w:rsid w:val="009367DA"/>
    <w:rsid w:val="0094033C"/>
    <w:rsid w:val="009405EE"/>
    <w:rsid w:val="009436A5"/>
    <w:rsid w:val="009439F5"/>
    <w:rsid w:val="00946AB7"/>
    <w:rsid w:val="00946EFF"/>
    <w:rsid w:val="00950909"/>
    <w:rsid w:val="00950CF0"/>
    <w:rsid w:val="00950EB2"/>
    <w:rsid w:val="009514A5"/>
    <w:rsid w:val="00952DDB"/>
    <w:rsid w:val="00952DED"/>
    <w:rsid w:val="00953DF6"/>
    <w:rsid w:val="0095424F"/>
    <w:rsid w:val="009558F5"/>
    <w:rsid w:val="00956926"/>
    <w:rsid w:val="009576F6"/>
    <w:rsid w:val="009613C1"/>
    <w:rsid w:val="00963282"/>
    <w:rsid w:val="00963640"/>
    <w:rsid w:val="00965F4F"/>
    <w:rsid w:val="00966C35"/>
    <w:rsid w:val="00967A10"/>
    <w:rsid w:val="009704C4"/>
    <w:rsid w:val="0097080C"/>
    <w:rsid w:val="00974C74"/>
    <w:rsid w:val="009757C4"/>
    <w:rsid w:val="00975EDB"/>
    <w:rsid w:val="00975F79"/>
    <w:rsid w:val="00975FF9"/>
    <w:rsid w:val="009769CD"/>
    <w:rsid w:val="009770DF"/>
    <w:rsid w:val="00977631"/>
    <w:rsid w:val="00977A1B"/>
    <w:rsid w:val="00977C55"/>
    <w:rsid w:val="00977DD5"/>
    <w:rsid w:val="009807B6"/>
    <w:rsid w:val="00980D67"/>
    <w:rsid w:val="00980F5C"/>
    <w:rsid w:val="00982AB6"/>
    <w:rsid w:val="00982AFF"/>
    <w:rsid w:val="009860E9"/>
    <w:rsid w:val="00987B9D"/>
    <w:rsid w:val="00990C67"/>
    <w:rsid w:val="00991019"/>
    <w:rsid w:val="00992BF5"/>
    <w:rsid w:val="00992DD1"/>
    <w:rsid w:val="00993247"/>
    <w:rsid w:val="00994C08"/>
    <w:rsid w:val="00994D92"/>
    <w:rsid w:val="00995309"/>
    <w:rsid w:val="0099539A"/>
    <w:rsid w:val="00995756"/>
    <w:rsid w:val="009957AE"/>
    <w:rsid w:val="00995C8F"/>
    <w:rsid w:val="00997443"/>
    <w:rsid w:val="009A0772"/>
    <w:rsid w:val="009A07A6"/>
    <w:rsid w:val="009A2ADC"/>
    <w:rsid w:val="009A502E"/>
    <w:rsid w:val="009A7EFC"/>
    <w:rsid w:val="009B0C0D"/>
    <w:rsid w:val="009B32C8"/>
    <w:rsid w:val="009B3DEC"/>
    <w:rsid w:val="009B4A31"/>
    <w:rsid w:val="009C00A7"/>
    <w:rsid w:val="009C12BD"/>
    <w:rsid w:val="009C1549"/>
    <w:rsid w:val="009C1F11"/>
    <w:rsid w:val="009C2270"/>
    <w:rsid w:val="009C2553"/>
    <w:rsid w:val="009C327E"/>
    <w:rsid w:val="009C3294"/>
    <w:rsid w:val="009C455B"/>
    <w:rsid w:val="009C48ED"/>
    <w:rsid w:val="009C637F"/>
    <w:rsid w:val="009C63BB"/>
    <w:rsid w:val="009C6C5C"/>
    <w:rsid w:val="009C73A1"/>
    <w:rsid w:val="009C7D05"/>
    <w:rsid w:val="009D02CB"/>
    <w:rsid w:val="009D1122"/>
    <w:rsid w:val="009D1195"/>
    <w:rsid w:val="009D1CF5"/>
    <w:rsid w:val="009D2B76"/>
    <w:rsid w:val="009D4257"/>
    <w:rsid w:val="009D43D2"/>
    <w:rsid w:val="009D4582"/>
    <w:rsid w:val="009D611E"/>
    <w:rsid w:val="009D74F1"/>
    <w:rsid w:val="009D75C7"/>
    <w:rsid w:val="009D7D1B"/>
    <w:rsid w:val="009D7EA8"/>
    <w:rsid w:val="009E262F"/>
    <w:rsid w:val="009E37E6"/>
    <w:rsid w:val="009E4FE6"/>
    <w:rsid w:val="009E62F1"/>
    <w:rsid w:val="009E6F37"/>
    <w:rsid w:val="009E7988"/>
    <w:rsid w:val="009F002D"/>
    <w:rsid w:val="009F1735"/>
    <w:rsid w:val="009F1D8A"/>
    <w:rsid w:val="009F2E6D"/>
    <w:rsid w:val="009F33BC"/>
    <w:rsid w:val="009F37A7"/>
    <w:rsid w:val="009F4E28"/>
    <w:rsid w:val="009F6305"/>
    <w:rsid w:val="00A00909"/>
    <w:rsid w:val="00A0161F"/>
    <w:rsid w:val="00A02144"/>
    <w:rsid w:val="00A0215F"/>
    <w:rsid w:val="00A0377F"/>
    <w:rsid w:val="00A0420F"/>
    <w:rsid w:val="00A04EC4"/>
    <w:rsid w:val="00A0507C"/>
    <w:rsid w:val="00A052AF"/>
    <w:rsid w:val="00A05B0F"/>
    <w:rsid w:val="00A05B1F"/>
    <w:rsid w:val="00A063E8"/>
    <w:rsid w:val="00A06B99"/>
    <w:rsid w:val="00A070DD"/>
    <w:rsid w:val="00A0772D"/>
    <w:rsid w:val="00A100B3"/>
    <w:rsid w:val="00A10160"/>
    <w:rsid w:val="00A11B38"/>
    <w:rsid w:val="00A11CC1"/>
    <w:rsid w:val="00A12BF2"/>
    <w:rsid w:val="00A12DD3"/>
    <w:rsid w:val="00A141AC"/>
    <w:rsid w:val="00A1777E"/>
    <w:rsid w:val="00A20DA2"/>
    <w:rsid w:val="00A21D07"/>
    <w:rsid w:val="00A21F0B"/>
    <w:rsid w:val="00A22CEB"/>
    <w:rsid w:val="00A2383F"/>
    <w:rsid w:val="00A23D00"/>
    <w:rsid w:val="00A243CD"/>
    <w:rsid w:val="00A24DDD"/>
    <w:rsid w:val="00A273E9"/>
    <w:rsid w:val="00A30782"/>
    <w:rsid w:val="00A30918"/>
    <w:rsid w:val="00A30B5B"/>
    <w:rsid w:val="00A31136"/>
    <w:rsid w:val="00A311B3"/>
    <w:rsid w:val="00A31BB7"/>
    <w:rsid w:val="00A3268C"/>
    <w:rsid w:val="00A33F09"/>
    <w:rsid w:val="00A34761"/>
    <w:rsid w:val="00A350DA"/>
    <w:rsid w:val="00A35A67"/>
    <w:rsid w:val="00A36189"/>
    <w:rsid w:val="00A376B6"/>
    <w:rsid w:val="00A37B38"/>
    <w:rsid w:val="00A37E0D"/>
    <w:rsid w:val="00A37E12"/>
    <w:rsid w:val="00A40D4A"/>
    <w:rsid w:val="00A410AC"/>
    <w:rsid w:val="00A460D9"/>
    <w:rsid w:val="00A46955"/>
    <w:rsid w:val="00A46963"/>
    <w:rsid w:val="00A471F0"/>
    <w:rsid w:val="00A47819"/>
    <w:rsid w:val="00A47F37"/>
    <w:rsid w:val="00A50B23"/>
    <w:rsid w:val="00A50CCA"/>
    <w:rsid w:val="00A513CC"/>
    <w:rsid w:val="00A51CC8"/>
    <w:rsid w:val="00A52637"/>
    <w:rsid w:val="00A537C7"/>
    <w:rsid w:val="00A545AC"/>
    <w:rsid w:val="00A54DFA"/>
    <w:rsid w:val="00A550DE"/>
    <w:rsid w:val="00A55B5F"/>
    <w:rsid w:val="00A55CA8"/>
    <w:rsid w:val="00A57CAB"/>
    <w:rsid w:val="00A57FCF"/>
    <w:rsid w:val="00A57FFE"/>
    <w:rsid w:val="00A600C4"/>
    <w:rsid w:val="00A60119"/>
    <w:rsid w:val="00A61238"/>
    <w:rsid w:val="00A622DC"/>
    <w:rsid w:val="00A6258B"/>
    <w:rsid w:val="00A62F45"/>
    <w:rsid w:val="00A64A33"/>
    <w:rsid w:val="00A66655"/>
    <w:rsid w:val="00A67FF8"/>
    <w:rsid w:val="00A71364"/>
    <w:rsid w:val="00A723CD"/>
    <w:rsid w:val="00A74A5E"/>
    <w:rsid w:val="00A74BA2"/>
    <w:rsid w:val="00A75653"/>
    <w:rsid w:val="00A75916"/>
    <w:rsid w:val="00A75925"/>
    <w:rsid w:val="00A76828"/>
    <w:rsid w:val="00A802CF"/>
    <w:rsid w:val="00A80D9B"/>
    <w:rsid w:val="00A810F1"/>
    <w:rsid w:val="00A8293B"/>
    <w:rsid w:val="00A840BC"/>
    <w:rsid w:val="00A84525"/>
    <w:rsid w:val="00A84613"/>
    <w:rsid w:val="00A87036"/>
    <w:rsid w:val="00A87186"/>
    <w:rsid w:val="00A900A6"/>
    <w:rsid w:val="00A91E61"/>
    <w:rsid w:val="00A930C3"/>
    <w:rsid w:val="00A97383"/>
    <w:rsid w:val="00A978AB"/>
    <w:rsid w:val="00A97B41"/>
    <w:rsid w:val="00A97F09"/>
    <w:rsid w:val="00AA2566"/>
    <w:rsid w:val="00AA2E90"/>
    <w:rsid w:val="00AA3702"/>
    <w:rsid w:val="00AA6C11"/>
    <w:rsid w:val="00AA75A5"/>
    <w:rsid w:val="00AB0EF0"/>
    <w:rsid w:val="00AB4359"/>
    <w:rsid w:val="00AC1CBC"/>
    <w:rsid w:val="00AC213E"/>
    <w:rsid w:val="00AC28BA"/>
    <w:rsid w:val="00AC37E5"/>
    <w:rsid w:val="00AC48F0"/>
    <w:rsid w:val="00AC5D19"/>
    <w:rsid w:val="00AD1AA8"/>
    <w:rsid w:val="00AD2B55"/>
    <w:rsid w:val="00AD35A1"/>
    <w:rsid w:val="00AD4C2F"/>
    <w:rsid w:val="00AE0BFA"/>
    <w:rsid w:val="00AE0DF6"/>
    <w:rsid w:val="00AE1E6F"/>
    <w:rsid w:val="00AE21C7"/>
    <w:rsid w:val="00AE2262"/>
    <w:rsid w:val="00AE239B"/>
    <w:rsid w:val="00AE55AD"/>
    <w:rsid w:val="00AE7CFE"/>
    <w:rsid w:val="00AF23F3"/>
    <w:rsid w:val="00AF298A"/>
    <w:rsid w:val="00AF2A1B"/>
    <w:rsid w:val="00AF3BB6"/>
    <w:rsid w:val="00AF413C"/>
    <w:rsid w:val="00AF4445"/>
    <w:rsid w:val="00AF47A7"/>
    <w:rsid w:val="00AF512C"/>
    <w:rsid w:val="00AF65F4"/>
    <w:rsid w:val="00AF6696"/>
    <w:rsid w:val="00AF7766"/>
    <w:rsid w:val="00AF7917"/>
    <w:rsid w:val="00AF7BA9"/>
    <w:rsid w:val="00B003CB"/>
    <w:rsid w:val="00B014C9"/>
    <w:rsid w:val="00B0183B"/>
    <w:rsid w:val="00B02EE2"/>
    <w:rsid w:val="00B035DE"/>
    <w:rsid w:val="00B0388E"/>
    <w:rsid w:val="00B03C82"/>
    <w:rsid w:val="00B04199"/>
    <w:rsid w:val="00B04C87"/>
    <w:rsid w:val="00B04CDF"/>
    <w:rsid w:val="00B06A1C"/>
    <w:rsid w:val="00B06C59"/>
    <w:rsid w:val="00B07ED2"/>
    <w:rsid w:val="00B11651"/>
    <w:rsid w:val="00B127A3"/>
    <w:rsid w:val="00B14132"/>
    <w:rsid w:val="00B1447A"/>
    <w:rsid w:val="00B14C18"/>
    <w:rsid w:val="00B14E98"/>
    <w:rsid w:val="00B172E1"/>
    <w:rsid w:val="00B17926"/>
    <w:rsid w:val="00B17D5F"/>
    <w:rsid w:val="00B21510"/>
    <w:rsid w:val="00B21B72"/>
    <w:rsid w:val="00B22D51"/>
    <w:rsid w:val="00B22EF6"/>
    <w:rsid w:val="00B233A1"/>
    <w:rsid w:val="00B23E66"/>
    <w:rsid w:val="00B2553E"/>
    <w:rsid w:val="00B26D42"/>
    <w:rsid w:val="00B27A52"/>
    <w:rsid w:val="00B27DAD"/>
    <w:rsid w:val="00B30731"/>
    <w:rsid w:val="00B31B04"/>
    <w:rsid w:val="00B31BF2"/>
    <w:rsid w:val="00B33002"/>
    <w:rsid w:val="00B346FE"/>
    <w:rsid w:val="00B348DC"/>
    <w:rsid w:val="00B36E57"/>
    <w:rsid w:val="00B37B25"/>
    <w:rsid w:val="00B41C5B"/>
    <w:rsid w:val="00B4285D"/>
    <w:rsid w:val="00B432AA"/>
    <w:rsid w:val="00B45650"/>
    <w:rsid w:val="00B46E1B"/>
    <w:rsid w:val="00B47A97"/>
    <w:rsid w:val="00B503F3"/>
    <w:rsid w:val="00B50A1B"/>
    <w:rsid w:val="00B53749"/>
    <w:rsid w:val="00B54B7A"/>
    <w:rsid w:val="00B56793"/>
    <w:rsid w:val="00B60BBF"/>
    <w:rsid w:val="00B61251"/>
    <w:rsid w:val="00B62525"/>
    <w:rsid w:val="00B63ABF"/>
    <w:rsid w:val="00B63F1B"/>
    <w:rsid w:val="00B642C7"/>
    <w:rsid w:val="00B66678"/>
    <w:rsid w:val="00B66BA4"/>
    <w:rsid w:val="00B66C6F"/>
    <w:rsid w:val="00B66D26"/>
    <w:rsid w:val="00B670E7"/>
    <w:rsid w:val="00B67C68"/>
    <w:rsid w:val="00B71052"/>
    <w:rsid w:val="00B733FC"/>
    <w:rsid w:val="00B76001"/>
    <w:rsid w:val="00B7650E"/>
    <w:rsid w:val="00B7679D"/>
    <w:rsid w:val="00B77906"/>
    <w:rsid w:val="00B8027D"/>
    <w:rsid w:val="00B826BA"/>
    <w:rsid w:val="00B8322F"/>
    <w:rsid w:val="00B833C6"/>
    <w:rsid w:val="00B839EA"/>
    <w:rsid w:val="00B83D70"/>
    <w:rsid w:val="00B8530F"/>
    <w:rsid w:val="00B8562D"/>
    <w:rsid w:val="00B87772"/>
    <w:rsid w:val="00B87870"/>
    <w:rsid w:val="00B87F77"/>
    <w:rsid w:val="00B87FDD"/>
    <w:rsid w:val="00B91616"/>
    <w:rsid w:val="00B91642"/>
    <w:rsid w:val="00B916AD"/>
    <w:rsid w:val="00B92730"/>
    <w:rsid w:val="00B92EF9"/>
    <w:rsid w:val="00B943F6"/>
    <w:rsid w:val="00B96191"/>
    <w:rsid w:val="00B9699A"/>
    <w:rsid w:val="00B96D9F"/>
    <w:rsid w:val="00B97440"/>
    <w:rsid w:val="00BA02D7"/>
    <w:rsid w:val="00BA04AE"/>
    <w:rsid w:val="00BA1274"/>
    <w:rsid w:val="00BA16FA"/>
    <w:rsid w:val="00BA1ECB"/>
    <w:rsid w:val="00BA3989"/>
    <w:rsid w:val="00BA3D5A"/>
    <w:rsid w:val="00BA5622"/>
    <w:rsid w:val="00BA7E60"/>
    <w:rsid w:val="00BB042C"/>
    <w:rsid w:val="00BB10FC"/>
    <w:rsid w:val="00BB356D"/>
    <w:rsid w:val="00BB4612"/>
    <w:rsid w:val="00BB4C7A"/>
    <w:rsid w:val="00BB525C"/>
    <w:rsid w:val="00BB5EA5"/>
    <w:rsid w:val="00BB671B"/>
    <w:rsid w:val="00BC02A7"/>
    <w:rsid w:val="00BC0AB0"/>
    <w:rsid w:val="00BC0C13"/>
    <w:rsid w:val="00BC1100"/>
    <w:rsid w:val="00BC1308"/>
    <w:rsid w:val="00BC1611"/>
    <w:rsid w:val="00BC25BD"/>
    <w:rsid w:val="00BC2E86"/>
    <w:rsid w:val="00BC3B73"/>
    <w:rsid w:val="00BC43CF"/>
    <w:rsid w:val="00BC4A16"/>
    <w:rsid w:val="00BC5C29"/>
    <w:rsid w:val="00BC5CE0"/>
    <w:rsid w:val="00BC723C"/>
    <w:rsid w:val="00BC728F"/>
    <w:rsid w:val="00BC77CA"/>
    <w:rsid w:val="00BD00E9"/>
    <w:rsid w:val="00BD1623"/>
    <w:rsid w:val="00BD39A9"/>
    <w:rsid w:val="00BD6EDC"/>
    <w:rsid w:val="00BD6F0E"/>
    <w:rsid w:val="00BD7755"/>
    <w:rsid w:val="00BE08E5"/>
    <w:rsid w:val="00BE0C1E"/>
    <w:rsid w:val="00BE0E0B"/>
    <w:rsid w:val="00BE2159"/>
    <w:rsid w:val="00BE38D9"/>
    <w:rsid w:val="00BE434E"/>
    <w:rsid w:val="00BE44ED"/>
    <w:rsid w:val="00BE47FD"/>
    <w:rsid w:val="00BE4D43"/>
    <w:rsid w:val="00BE5303"/>
    <w:rsid w:val="00BE5DBC"/>
    <w:rsid w:val="00BE6FBF"/>
    <w:rsid w:val="00BE7041"/>
    <w:rsid w:val="00BE71FF"/>
    <w:rsid w:val="00BE749B"/>
    <w:rsid w:val="00BE75C7"/>
    <w:rsid w:val="00BE7CDF"/>
    <w:rsid w:val="00BE7F01"/>
    <w:rsid w:val="00BF014B"/>
    <w:rsid w:val="00BF07A6"/>
    <w:rsid w:val="00BF0D1A"/>
    <w:rsid w:val="00BF24C4"/>
    <w:rsid w:val="00BF2879"/>
    <w:rsid w:val="00BF2E25"/>
    <w:rsid w:val="00BF3664"/>
    <w:rsid w:val="00BF457B"/>
    <w:rsid w:val="00BF4689"/>
    <w:rsid w:val="00BF4C59"/>
    <w:rsid w:val="00BF600B"/>
    <w:rsid w:val="00BF6341"/>
    <w:rsid w:val="00C007F3"/>
    <w:rsid w:val="00C00A58"/>
    <w:rsid w:val="00C00AE8"/>
    <w:rsid w:val="00C016CA"/>
    <w:rsid w:val="00C0294E"/>
    <w:rsid w:val="00C04984"/>
    <w:rsid w:val="00C04D9D"/>
    <w:rsid w:val="00C0537D"/>
    <w:rsid w:val="00C06045"/>
    <w:rsid w:val="00C062DA"/>
    <w:rsid w:val="00C06ACC"/>
    <w:rsid w:val="00C06B36"/>
    <w:rsid w:val="00C07132"/>
    <w:rsid w:val="00C1117E"/>
    <w:rsid w:val="00C11853"/>
    <w:rsid w:val="00C12350"/>
    <w:rsid w:val="00C12734"/>
    <w:rsid w:val="00C12B41"/>
    <w:rsid w:val="00C1340F"/>
    <w:rsid w:val="00C1511F"/>
    <w:rsid w:val="00C1552A"/>
    <w:rsid w:val="00C17109"/>
    <w:rsid w:val="00C17D55"/>
    <w:rsid w:val="00C20B4C"/>
    <w:rsid w:val="00C20D02"/>
    <w:rsid w:val="00C22718"/>
    <w:rsid w:val="00C236D1"/>
    <w:rsid w:val="00C25571"/>
    <w:rsid w:val="00C25C85"/>
    <w:rsid w:val="00C262EE"/>
    <w:rsid w:val="00C2636A"/>
    <w:rsid w:val="00C265ED"/>
    <w:rsid w:val="00C26C27"/>
    <w:rsid w:val="00C3069B"/>
    <w:rsid w:val="00C307DF"/>
    <w:rsid w:val="00C3116F"/>
    <w:rsid w:val="00C31A60"/>
    <w:rsid w:val="00C31D00"/>
    <w:rsid w:val="00C32C27"/>
    <w:rsid w:val="00C357DC"/>
    <w:rsid w:val="00C36DEC"/>
    <w:rsid w:val="00C37065"/>
    <w:rsid w:val="00C3727B"/>
    <w:rsid w:val="00C37719"/>
    <w:rsid w:val="00C40AC5"/>
    <w:rsid w:val="00C42416"/>
    <w:rsid w:val="00C42B67"/>
    <w:rsid w:val="00C43012"/>
    <w:rsid w:val="00C45572"/>
    <w:rsid w:val="00C5070C"/>
    <w:rsid w:val="00C5073E"/>
    <w:rsid w:val="00C50882"/>
    <w:rsid w:val="00C50B03"/>
    <w:rsid w:val="00C50CB7"/>
    <w:rsid w:val="00C50E1D"/>
    <w:rsid w:val="00C51229"/>
    <w:rsid w:val="00C51459"/>
    <w:rsid w:val="00C51A51"/>
    <w:rsid w:val="00C51C05"/>
    <w:rsid w:val="00C528C1"/>
    <w:rsid w:val="00C52B85"/>
    <w:rsid w:val="00C52E54"/>
    <w:rsid w:val="00C5319B"/>
    <w:rsid w:val="00C53473"/>
    <w:rsid w:val="00C542AA"/>
    <w:rsid w:val="00C546F0"/>
    <w:rsid w:val="00C554BF"/>
    <w:rsid w:val="00C5621C"/>
    <w:rsid w:val="00C56770"/>
    <w:rsid w:val="00C60F91"/>
    <w:rsid w:val="00C61801"/>
    <w:rsid w:val="00C62412"/>
    <w:rsid w:val="00C638BE"/>
    <w:rsid w:val="00C63A5F"/>
    <w:rsid w:val="00C63EB5"/>
    <w:rsid w:val="00C64B4E"/>
    <w:rsid w:val="00C66251"/>
    <w:rsid w:val="00C67A0D"/>
    <w:rsid w:val="00C70008"/>
    <w:rsid w:val="00C70721"/>
    <w:rsid w:val="00C70745"/>
    <w:rsid w:val="00C7191F"/>
    <w:rsid w:val="00C71A2A"/>
    <w:rsid w:val="00C73BD2"/>
    <w:rsid w:val="00C7495C"/>
    <w:rsid w:val="00C75676"/>
    <w:rsid w:val="00C75A2F"/>
    <w:rsid w:val="00C77844"/>
    <w:rsid w:val="00C8052F"/>
    <w:rsid w:val="00C80837"/>
    <w:rsid w:val="00C80861"/>
    <w:rsid w:val="00C80A7C"/>
    <w:rsid w:val="00C80ABD"/>
    <w:rsid w:val="00C811F8"/>
    <w:rsid w:val="00C8377E"/>
    <w:rsid w:val="00C83A3E"/>
    <w:rsid w:val="00C840DA"/>
    <w:rsid w:val="00C8553B"/>
    <w:rsid w:val="00C8565E"/>
    <w:rsid w:val="00C856D9"/>
    <w:rsid w:val="00C8643E"/>
    <w:rsid w:val="00C86692"/>
    <w:rsid w:val="00C86CF4"/>
    <w:rsid w:val="00C86F29"/>
    <w:rsid w:val="00C911A4"/>
    <w:rsid w:val="00C92478"/>
    <w:rsid w:val="00C92D2C"/>
    <w:rsid w:val="00C9343A"/>
    <w:rsid w:val="00C93FCD"/>
    <w:rsid w:val="00C94160"/>
    <w:rsid w:val="00CA015A"/>
    <w:rsid w:val="00CA0385"/>
    <w:rsid w:val="00CA32DC"/>
    <w:rsid w:val="00CA40B3"/>
    <w:rsid w:val="00CA4E44"/>
    <w:rsid w:val="00CA5113"/>
    <w:rsid w:val="00CA5B86"/>
    <w:rsid w:val="00CA5CA7"/>
    <w:rsid w:val="00CA60BD"/>
    <w:rsid w:val="00CA62B7"/>
    <w:rsid w:val="00CB0F22"/>
    <w:rsid w:val="00CB18E1"/>
    <w:rsid w:val="00CB6C4F"/>
    <w:rsid w:val="00CB7232"/>
    <w:rsid w:val="00CC1499"/>
    <w:rsid w:val="00CC3077"/>
    <w:rsid w:val="00CC3621"/>
    <w:rsid w:val="00CC5C2C"/>
    <w:rsid w:val="00CC6205"/>
    <w:rsid w:val="00CC72E5"/>
    <w:rsid w:val="00CD0ED9"/>
    <w:rsid w:val="00CD1911"/>
    <w:rsid w:val="00CD2D5C"/>
    <w:rsid w:val="00CD36E3"/>
    <w:rsid w:val="00CD3C52"/>
    <w:rsid w:val="00CD6C5C"/>
    <w:rsid w:val="00CD7C11"/>
    <w:rsid w:val="00CE04BC"/>
    <w:rsid w:val="00CE0C49"/>
    <w:rsid w:val="00CE1342"/>
    <w:rsid w:val="00CE1663"/>
    <w:rsid w:val="00CE1669"/>
    <w:rsid w:val="00CE26C7"/>
    <w:rsid w:val="00CE3D5D"/>
    <w:rsid w:val="00CE55E7"/>
    <w:rsid w:val="00CE5AEB"/>
    <w:rsid w:val="00CE6329"/>
    <w:rsid w:val="00CE7A94"/>
    <w:rsid w:val="00CF00AC"/>
    <w:rsid w:val="00CF1308"/>
    <w:rsid w:val="00CF15ED"/>
    <w:rsid w:val="00CF1F43"/>
    <w:rsid w:val="00CF2070"/>
    <w:rsid w:val="00CF25A6"/>
    <w:rsid w:val="00CF3E80"/>
    <w:rsid w:val="00CF5647"/>
    <w:rsid w:val="00CF56DF"/>
    <w:rsid w:val="00CF5E87"/>
    <w:rsid w:val="00CF63BF"/>
    <w:rsid w:val="00D002B1"/>
    <w:rsid w:val="00D010CC"/>
    <w:rsid w:val="00D04E5D"/>
    <w:rsid w:val="00D05450"/>
    <w:rsid w:val="00D0737E"/>
    <w:rsid w:val="00D111B7"/>
    <w:rsid w:val="00D12483"/>
    <w:rsid w:val="00D13BC9"/>
    <w:rsid w:val="00D1434F"/>
    <w:rsid w:val="00D146A0"/>
    <w:rsid w:val="00D153EC"/>
    <w:rsid w:val="00D16908"/>
    <w:rsid w:val="00D172B9"/>
    <w:rsid w:val="00D1772C"/>
    <w:rsid w:val="00D1773B"/>
    <w:rsid w:val="00D209B2"/>
    <w:rsid w:val="00D20F81"/>
    <w:rsid w:val="00D21444"/>
    <w:rsid w:val="00D24D34"/>
    <w:rsid w:val="00D25AB9"/>
    <w:rsid w:val="00D25D04"/>
    <w:rsid w:val="00D260E9"/>
    <w:rsid w:val="00D26BBC"/>
    <w:rsid w:val="00D277E6"/>
    <w:rsid w:val="00D30256"/>
    <w:rsid w:val="00D30C9A"/>
    <w:rsid w:val="00D3154B"/>
    <w:rsid w:val="00D31F05"/>
    <w:rsid w:val="00D322A5"/>
    <w:rsid w:val="00D34A8D"/>
    <w:rsid w:val="00D35AE5"/>
    <w:rsid w:val="00D3664A"/>
    <w:rsid w:val="00D378FE"/>
    <w:rsid w:val="00D40C6F"/>
    <w:rsid w:val="00D41CC2"/>
    <w:rsid w:val="00D41D85"/>
    <w:rsid w:val="00D4444E"/>
    <w:rsid w:val="00D445A1"/>
    <w:rsid w:val="00D44E92"/>
    <w:rsid w:val="00D45032"/>
    <w:rsid w:val="00D453D9"/>
    <w:rsid w:val="00D46CA2"/>
    <w:rsid w:val="00D501D0"/>
    <w:rsid w:val="00D51A03"/>
    <w:rsid w:val="00D52AC5"/>
    <w:rsid w:val="00D52C5A"/>
    <w:rsid w:val="00D540C1"/>
    <w:rsid w:val="00D54A00"/>
    <w:rsid w:val="00D556C4"/>
    <w:rsid w:val="00D5589E"/>
    <w:rsid w:val="00D56702"/>
    <w:rsid w:val="00D574FF"/>
    <w:rsid w:val="00D575E9"/>
    <w:rsid w:val="00D6274B"/>
    <w:rsid w:val="00D62790"/>
    <w:rsid w:val="00D658D7"/>
    <w:rsid w:val="00D65EA9"/>
    <w:rsid w:val="00D66C63"/>
    <w:rsid w:val="00D7040D"/>
    <w:rsid w:val="00D70F22"/>
    <w:rsid w:val="00D721D9"/>
    <w:rsid w:val="00D722C0"/>
    <w:rsid w:val="00D75175"/>
    <w:rsid w:val="00D7575D"/>
    <w:rsid w:val="00D7587E"/>
    <w:rsid w:val="00D75FFA"/>
    <w:rsid w:val="00D767FD"/>
    <w:rsid w:val="00D7727B"/>
    <w:rsid w:val="00D804C7"/>
    <w:rsid w:val="00D81349"/>
    <w:rsid w:val="00D82C82"/>
    <w:rsid w:val="00D83AE4"/>
    <w:rsid w:val="00D843A3"/>
    <w:rsid w:val="00D8538E"/>
    <w:rsid w:val="00D8596D"/>
    <w:rsid w:val="00D8749B"/>
    <w:rsid w:val="00D8777D"/>
    <w:rsid w:val="00D901B3"/>
    <w:rsid w:val="00D90A66"/>
    <w:rsid w:val="00D92020"/>
    <w:rsid w:val="00D93BC6"/>
    <w:rsid w:val="00D93C80"/>
    <w:rsid w:val="00D945FC"/>
    <w:rsid w:val="00D95823"/>
    <w:rsid w:val="00D95EC9"/>
    <w:rsid w:val="00D96C25"/>
    <w:rsid w:val="00DA0223"/>
    <w:rsid w:val="00DA0D66"/>
    <w:rsid w:val="00DA0FD2"/>
    <w:rsid w:val="00DA28BC"/>
    <w:rsid w:val="00DA2F89"/>
    <w:rsid w:val="00DA3EBD"/>
    <w:rsid w:val="00DA4DAA"/>
    <w:rsid w:val="00DA5C34"/>
    <w:rsid w:val="00DA710C"/>
    <w:rsid w:val="00DA749B"/>
    <w:rsid w:val="00DA7907"/>
    <w:rsid w:val="00DB067A"/>
    <w:rsid w:val="00DB5F83"/>
    <w:rsid w:val="00DB6C43"/>
    <w:rsid w:val="00DB74E0"/>
    <w:rsid w:val="00DC0D41"/>
    <w:rsid w:val="00DC154E"/>
    <w:rsid w:val="00DC2A1E"/>
    <w:rsid w:val="00DC2BD3"/>
    <w:rsid w:val="00DC31F4"/>
    <w:rsid w:val="00DC3533"/>
    <w:rsid w:val="00DC43FE"/>
    <w:rsid w:val="00DC46D7"/>
    <w:rsid w:val="00DC48A7"/>
    <w:rsid w:val="00DC4AE2"/>
    <w:rsid w:val="00DC51D8"/>
    <w:rsid w:val="00DC542E"/>
    <w:rsid w:val="00DC5764"/>
    <w:rsid w:val="00DC5B8C"/>
    <w:rsid w:val="00DC6189"/>
    <w:rsid w:val="00DC6759"/>
    <w:rsid w:val="00DC68EF"/>
    <w:rsid w:val="00DC6F6F"/>
    <w:rsid w:val="00DC7515"/>
    <w:rsid w:val="00DD00F5"/>
    <w:rsid w:val="00DD08AF"/>
    <w:rsid w:val="00DD21B7"/>
    <w:rsid w:val="00DD247A"/>
    <w:rsid w:val="00DD2775"/>
    <w:rsid w:val="00DD44F2"/>
    <w:rsid w:val="00DD4FC1"/>
    <w:rsid w:val="00DD5955"/>
    <w:rsid w:val="00DD5E31"/>
    <w:rsid w:val="00DE011D"/>
    <w:rsid w:val="00DE0ADF"/>
    <w:rsid w:val="00DE0BE7"/>
    <w:rsid w:val="00DE15A2"/>
    <w:rsid w:val="00DE186F"/>
    <w:rsid w:val="00DE3FC8"/>
    <w:rsid w:val="00DE42F9"/>
    <w:rsid w:val="00DE44E7"/>
    <w:rsid w:val="00DE68EA"/>
    <w:rsid w:val="00DE7361"/>
    <w:rsid w:val="00DE7830"/>
    <w:rsid w:val="00DE7A51"/>
    <w:rsid w:val="00DF0206"/>
    <w:rsid w:val="00DF0885"/>
    <w:rsid w:val="00DF0BAB"/>
    <w:rsid w:val="00DF19AE"/>
    <w:rsid w:val="00DF3F9C"/>
    <w:rsid w:val="00DF59DC"/>
    <w:rsid w:val="00DF6ADE"/>
    <w:rsid w:val="00DF7C5F"/>
    <w:rsid w:val="00E00781"/>
    <w:rsid w:val="00E00D32"/>
    <w:rsid w:val="00E00D68"/>
    <w:rsid w:val="00E012DA"/>
    <w:rsid w:val="00E013DC"/>
    <w:rsid w:val="00E03BF3"/>
    <w:rsid w:val="00E0467C"/>
    <w:rsid w:val="00E04D49"/>
    <w:rsid w:val="00E04F74"/>
    <w:rsid w:val="00E0506D"/>
    <w:rsid w:val="00E050A5"/>
    <w:rsid w:val="00E066B6"/>
    <w:rsid w:val="00E072EF"/>
    <w:rsid w:val="00E10802"/>
    <w:rsid w:val="00E11BF3"/>
    <w:rsid w:val="00E11EFF"/>
    <w:rsid w:val="00E12B9C"/>
    <w:rsid w:val="00E13DA3"/>
    <w:rsid w:val="00E143B1"/>
    <w:rsid w:val="00E17246"/>
    <w:rsid w:val="00E17D78"/>
    <w:rsid w:val="00E20944"/>
    <w:rsid w:val="00E224FA"/>
    <w:rsid w:val="00E23146"/>
    <w:rsid w:val="00E238A2"/>
    <w:rsid w:val="00E24CE0"/>
    <w:rsid w:val="00E25936"/>
    <w:rsid w:val="00E25BF0"/>
    <w:rsid w:val="00E25D98"/>
    <w:rsid w:val="00E3120B"/>
    <w:rsid w:val="00E31A13"/>
    <w:rsid w:val="00E32055"/>
    <w:rsid w:val="00E35D69"/>
    <w:rsid w:val="00E36351"/>
    <w:rsid w:val="00E37146"/>
    <w:rsid w:val="00E41B81"/>
    <w:rsid w:val="00E44173"/>
    <w:rsid w:val="00E47751"/>
    <w:rsid w:val="00E47D60"/>
    <w:rsid w:val="00E50D0E"/>
    <w:rsid w:val="00E50D47"/>
    <w:rsid w:val="00E51048"/>
    <w:rsid w:val="00E520EA"/>
    <w:rsid w:val="00E53E40"/>
    <w:rsid w:val="00E561DB"/>
    <w:rsid w:val="00E56378"/>
    <w:rsid w:val="00E56C5F"/>
    <w:rsid w:val="00E578AA"/>
    <w:rsid w:val="00E57E96"/>
    <w:rsid w:val="00E62AF4"/>
    <w:rsid w:val="00E63059"/>
    <w:rsid w:val="00E63DA0"/>
    <w:rsid w:val="00E64905"/>
    <w:rsid w:val="00E655AB"/>
    <w:rsid w:val="00E65B3A"/>
    <w:rsid w:val="00E65EB9"/>
    <w:rsid w:val="00E70B6F"/>
    <w:rsid w:val="00E71105"/>
    <w:rsid w:val="00E7115E"/>
    <w:rsid w:val="00E71E42"/>
    <w:rsid w:val="00E731A1"/>
    <w:rsid w:val="00E738DB"/>
    <w:rsid w:val="00E75754"/>
    <w:rsid w:val="00E8199A"/>
    <w:rsid w:val="00E824D3"/>
    <w:rsid w:val="00E824FD"/>
    <w:rsid w:val="00E82C70"/>
    <w:rsid w:val="00E84712"/>
    <w:rsid w:val="00E85F8A"/>
    <w:rsid w:val="00E87E89"/>
    <w:rsid w:val="00E91975"/>
    <w:rsid w:val="00E93E4B"/>
    <w:rsid w:val="00E94009"/>
    <w:rsid w:val="00E94078"/>
    <w:rsid w:val="00E95708"/>
    <w:rsid w:val="00E95F03"/>
    <w:rsid w:val="00E97B42"/>
    <w:rsid w:val="00EA018F"/>
    <w:rsid w:val="00EA0F32"/>
    <w:rsid w:val="00EA1D25"/>
    <w:rsid w:val="00EA27A8"/>
    <w:rsid w:val="00EA351F"/>
    <w:rsid w:val="00EA3C2C"/>
    <w:rsid w:val="00EA454E"/>
    <w:rsid w:val="00EA5006"/>
    <w:rsid w:val="00EA7944"/>
    <w:rsid w:val="00EB0CFB"/>
    <w:rsid w:val="00EB0D19"/>
    <w:rsid w:val="00EB18CF"/>
    <w:rsid w:val="00EB2311"/>
    <w:rsid w:val="00EB4BC3"/>
    <w:rsid w:val="00EB4D52"/>
    <w:rsid w:val="00EB4EEB"/>
    <w:rsid w:val="00EB4F11"/>
    <w:rsid w:val="00EB5BC9"/>
    <w:rsid w:val="00EB759B"/>
    <w:rsid w:val="00EC017F"/>
    <w:rsid w:val="00EC0635"/>
    <w:rsid w:val="00EC1153"/>
    <w:rsid w:val="00EC1819"/>
    <w:rsid w:val="00EC22D7"/>
    <w:rsid w:val="00EC4412"/>
    <w:rsid w:val="00EC4803"/>
    <w:rsid w:val="00EC5045"/>
    <w:rsid w:val="00EC64AB"/>
    <w:rsid w:val="00EC7772"/>
    <w:rsid w:val="00EC7862"/>
    <w:rsid w:val="00EC7888"/>
    <w:rsid w:val="00ED20EB"/>
    <w:rsid w:val="00ED2190"/>
    <w:rsid w:val="00ED2D34"/>
    <w:rsid w:val="00ED2E7A"/>
    <w:rsid w:val="00ED33DD"/>
    <w:rsid w:val="00ED3989"/>
    <w:rsid w:val="00ED3A37"/>
    <w:rsid w:val="00ED3B7E"/>
    <w:rsid w:val="00ED4655"/>
    <w:rsid w:val="00ED5049"/>
    <w:rsid w:val="00ED588D"/>
    <w:rsid w:val="00ED5AC9"/>
    <w:rsid w:val="00ED62DD"/>
    <w:rsid w:val="00ED6FC0"/>
    <w:rsid w:val="00ED79A4"/>
    <w:rsid w:val="00EE2E08"/>
    <w:rsid w:val="00EE3210"/>
    <w:rsid w:val="00EE4B2E"/>
    <w:rsid w:val="00EE5148"/>
    <w:rsid w:val="00EE6DD6"/>
    <w:rsid w:val="00EE7D37"/>
    <w:rsid w:val="00EF0AC9"/>
    <w:rsid w:val="00EF1240"/>
    <w:rsid w:val="00EF1F4F"/>
    <w:rsid w:val="00EF24A8"/>
    <w:rsid w:val="00EF34A9"/>
    <w:rsid w:val="00EF4469"/>
    <w:rsid w:val="00F01429"/>
    <w:rsid w:val="00F016F5"/>
    <w:rsid w:val="00F01862"/>
    <w:rsid w:val="00F02480"/>
    <w:rsid w:val="00F03487"/>
    <w:rsid w:val="00F05D2D"/>
    <w:rsid w:val="00F077CF"/>
    <w:rsid w:val="00F12534"/>
    <w:rsid w:val="00F13019"/>
    <w:rsid w:val="00F144EF"/>
    <w:rsid w:val="00F1476D"/>
    <w:rsid w:val="00F1483E"/>
    <w:rsid w:val="00F1492D"/>
    <w:rsid w:val="00F14995"/>
    <w:rsid w:val="00F20120"/>
    <w:rsid w:val="00F2063D"/>
    <w:rsid w:val="00F2278D"/>
    <w:rsid w:val="00F22B06"/>
    <w:rsid w:val="00F23101"/>
    <w:rsid w:val="00F23AA1"/>
    <w:rsid w:val="00F23CC4"/>
    <w:rsid w:val="00F23F33"/>
    <w:rsid w:val="00F258DB"/>
    <w:rsid w:val="00F25BF3"/>
    <w:rsid w:val="00F2655F"/>
    <w:rsid w:val="00F2696E"/>
    <w:rsid w:val="00F27C2A"/>
    <w:rsid w:val="00F317AF"/>
    <w:rsid w:val="00F31FE4"/>
    <w:rsid w:val="00F3202C"/>
    <w:rsid w:val="00F32A48"/>
    <w:rsid w:val="00F32C67"/>
    <w:rsid w:val="00F3348A"/>
    <w:rsid w:val="00F34F36"/>
    <w:rsid w:val="00F364AE"/>
    <w:rsid w:val="00F375BF"/>
    <w:rsid w:val="00F40053"/>
    <w:rsid w:val="00F40086"/>
    <w:rsid w:val="00F41987"/>
    <w:rsid w:val="00F41F50"/>
    <w:rsid w:val="00F420D9"/>
    <w:rsid w:val="00F429CA"/>
    <w:rsid w:val="00F4375D"/>
    <w:rsid w:val="00F45210"/>
    <w:rsid w:val="00F4566C"/>
    <w:rsid w:val="00F45F3C"/>
    <w:rsid w:val="00F4686A"/>
    <w:rsid w:val="00F46BBC"/>
    <w:rsid w:val="00F47645"/>
    <w:rsid w:val="00F47924"/>
    <w:rsid w:val="00F51DD5"/>
    <w:rsid w:val="00F51FF0"/>
    <w:rsid w:val="00F5215A"/>
    <w:rsid w:val="00F52EBD"/>
    <w:rsid w:val="00F5308A"/>
    <w:rsid w:val="00F53697"/>
    <w:rsid w:val="00F53BD2"/>
    <w:rsid w:val="00F53C52"/>
    <w:rsid w:val="00F53DA2"/>
    <w:rsid w:val="00F557CD"/>
    <w:rsid w:val="00F56715"/>
    <w:rsid w:val="00F56C5F"/>
    <w:rsid w:val="00F56D9D"/>
    <w:rsid w:val="00F578C4"/>
    <w:rsid w:val="00F57BAC"/>
    <w:rsid w:val="00F57DF1"/>
    <w:rsid w:val="00F57E68"/>
    <w:rsid w:val="00F602ED"/>
    <w:rsid w:val="00F60B00"/>
    <w:rsid w:val="00F6154E"/>
    <w:rsid w:val="00F61806"/>
    <w:rsid w:val="00F62CD0"/>
    <w:rsid w:val="00F6392A"/>
    <w:rsid w:val="00F650C2"/>
    <w:rsid w:val="00F65293"/>
    <w:rsid w:val="00F66023"/>
    <w:rsid w:val="00F66FB4"/>
    <w:rsid w:val="00F67898"/>
    <w:rsid w:val="00F701C8"/>
    <w:rsid w:val="00F712B6"/>
    <w:rsid w:val="00F71483"/>
    <w:rsid w:val="00F71636"/>
    <w:rsid w:val="00F722D2"/>
    <w:rsid w:val="00F74078"/>
    <w:rsid w:val="00F7447E"/>
    <w:rsid w:val="00F753F5"/>
    <w:rsid w:val="00F7664F"/>
    <w:rsid w:val="00F818F8"/>
    <w:rsid w:val="00F81E6B"/>
    <w:rsid w:val="00F82C9F"/>
    <w:rsid w:val="00F8358E"/>
    <w:rsid w:val="00F8444B"/>
    <w:rsid w:val="00F84DB8"/>
    <w:rsid w:val="00F8539B"/>
    <w:rsid w:val="00F85DA5"/>
    <w:rsid w:val="00F87C11"/>
    <w:rsid w:val="00F900DD"/>
    <w:rsid w:val="00F912FE"/>
    <w:rsid w:val="00F914C3"/>
    <w:rsid w:val="00F93845"/>
    <w:rsid w:val="00F93940"/>
    <w:rsid w:val="00F9565B"/>
    <w:rsid w:val="00F97096"/>
    <w:rsid w:val="00FA025B"/>
    <w:rsid w:val="00FA0B94"/>
    <w:rsid w:val="00FA0EB3"/>
    <w:rsid w:val="00FA0F77"/>
    <w:rsid w:val="00FA1D44"/>
    <w:rsid w:val="00FA21C6"/>
    <w:rsid w:val="00FA229F"/>
    <w:rsid w:val="00FA3688"/>
    <w:rsid w:val="00FA69E6"/>
    <w:rsid w:val="00FA7864"/>
    <w:rsid w:val="00FB03C2"/>
    <w:rsid w:val="00FB07B0"/>
    <w:rsid w:val="00FB1BFB"/>
    <w:rsid w:val="00FB1E06"/>
    <w:rsid w:val="00FB2719"/>
    <w:rsid w:val="00FB2E0A"/>
    <w:rsid w:val="00FB38EB"/>
    <w:rsid w:val="00FB4B68"/>
    <w:rsid w:val="00FB4D3A"/>
    <w:rsid w:val="00FB53C2"/>
    <w:rsid w:val="00FB571B"/>
    <w:rsid w:val="00FB727A"/>
    <w:rsid w:val="00FB78C9"/>
    <w:rsid w:val="00FC07F2"/>
    <w:rsid w:val="00FC14C0"/>
    <w:rsid w:val="00FC1857"/>
    <w:rsid w:val="00FC188D"/>
    <w:rsid w:val="00FC18B3"/>
    <w:rsid w:val="00FC2302"/>
    <w:rsid w:val="00FC2867"/>
    <w:rsid w:val="00FC2FA1"/>
    <w:rsid w:val="00FC3687"/>
    <w:rsid w:val="00FC51B0"/>
    <w:rsid w:val="00FC524D"/>
    <w:rsid w:val="00FC53F2"/>
    <w:rsid w:val="00FC550C"/>
    <w:rsid w:val="00FC5B7D"/>
    <w:rsid w:val="00FC5D2F"/>
    <w:rsid w:val="00FD00B2"/>
    <w:rsid w:val="00FD084C"/>
    <w:rsid w:val="00FD1875"/>
    <w:rsid w:val="00FD2110"/>
    <w:rsid w:val="00FD2973"/>
    <w:rsid w:val="00FD62AB"/>
    <w:rsid w:val="00FE191B"/>
    <w:rsid w:val="00FE1C2F"/>
    <w:rsid w:val="00FE34B6"/>
    <w:rsid w:val="00FE3FE9"/>
    <w:rsid w:val="00FE4DDC"/>
    <w:rsid w:val="00FE517C"/>
    <w:rsid w:val="00FE6CC7"/>
    <w:rsid w:val="00FF198C"/>
    <w:rsid w:val="00FF233C"/>
    <w:rsid w:val="00FF417F"/>
    <w:rsid w:val="00FF4E1F"/>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oNotEmbedSmartTags/>
  <w:decimalSymbol w:val="."/>
  <w:listSeparator w:val=","/>
  <w14:docId w14:val="4B5EAAB8"/>
  <w15:docId w15:val="{2D05A80C-6D53-45DB-B35F-A5F9BF54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after="0"/>
      <w:ind w:left="0" w:firstLine="0"/>
    </w:pPr>
    <w:rPr>
      <w:rFonts w:ascii="Calibri" w:hAnsi="Calibri"/>
    </w:rPr>
  </w:style>
  <w:style w:type="paragraph" w:styleId="Heading1">
    <w:name w:val="heading 1"/>
    <w:basedOn w:val="Normal"/>
    <w:next w:val="BodyText"/>
    <w:link w:val="Heading1Char"/>
    <w:uiPriority w:val="9"/>
    <w:qFormat/>
    <w:rsid w:val="00FC3687"/>
    <w:pPr>
      <w:keepNext/>
      <w:keepLines/>
      <w:numPr>
        <w:numId w:val="21"/>
      </w:numPr>
      <w:spacing w:after="120" w:line="400" w:lineRule="atLeast"/>
      <w:outlineLvl w:val="0"/>
    </w:pPr>
    <w:rPr>
      <w:rFonts w:ascii="Cambria" w:eastAsiaTheme="majorEastAsia" w:hAnsi="Cambria" w:cstheme="majorBidi"/>
      <w:bCs/>
      <w:color w:val="0072B9"/>
      <w:sz w:val="36"/>
      <w:szCs w:val="28"/>
    </w:rPr>
  </w:style>
  <w:style w:type="paragraph" w:styleId="Heading2">
    <w:name w:val="heading 2"/>
    <w:basedOn w:val="Normal"/>
    <w:next w:val="BodyText"/>
    <w:link w:val="Heading2Char"/>
    <w:uiPriority w:val="9"/>
    <w:qFormat/>
    <w:rsid w:val="00FC3687"/>
    <w:pPr>
      <w:keepNext/>
      <w:keepLines/>
      <w:numPr>
        <w:ilvl w:val="1"/>
        <w:numId w:val="21"/>
      </w:numPr>
      <w:spacing w:after="200" w:line="280" w:lineRule="atLeast"/>
      <w:outlineLvl w:val="1"/>
    </w:pPr>
    <w:rPr>
      <w:rFonts w:ascii="Cambria" w:eastAsiaTheme="majorEastAsia" w:hAnsi="Cambria" w:cstheme="majorBidi"/>
      <w:bCs/>
      <w:color w:val="0072B9"/>
      <w:sz w:val="26"/>
      <w:szCs w:val="26"/>
    </w:rPr>
  </w:style>
  <w:style w:type="paragraph" w:styleId="Heading3">
    <w:name w:val="heading 3"/>
    <w:basedOn w:val="Normal"/>
    <w:next w:val="BodyText"/>
    <w:uiPriority w:val="9"/>
    <w:qFormat/>
    <w:rsid w:val="007E1F48"/>
    <w:pPr>
      <w:keepNext/>
      <w:keepLines/>
      <w:numPr>
        <w:ilvl w:val="2"/>
        <w:numId w:val="21"/>
      </w:numPr>
      <w:spacing w:before="200" w:after="120"/>
      <w:outlineLvl w:val="2"/>
    </w:pPr>
    <w:rPr>
      <w:rFonts w:ascii="Cambria" w:eastAsiaTheme="majorEastAsia" w:hAnsi="Cambria" w:cstheme="majorBidi"/>
      <w:b/>
      <w:bCs/>
      <w:color w:val="0072B9"/>
    </w:rPr>
  </w:style>
  <w:style w:type="paragraph" w:styleId="Heading4">
    <w:name w:val="heading 4"/>
    <w:basedOn w:val="Normal"/>
    <w:next w:val="BodyText"/>
    <w:link w:val="Heading4Char"/>
    <w:uiPriority w:val="9"/>
    <w:qFormat/>
    <w:rsid w:val="004E1F67"/>
    <w:pPr>
      <w:keepNext/>
      <w:keepLines/>
      <w:numPr>
        <w:ilvl w:val="3"/>
        <w:numId w:val="21"/>
      </w:numPr>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numPr>
        <w:ilvl w:val="4"/>
        <w:numId w:val="21"/>
      </w:numPr>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19"/>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19"/>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19"/>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19"/>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583203"/>
    <w:pPr>
      <w:spacing w:before="480" w:after="360" w:line="440" w:lineRule="atLeast"/>
    </w:pPr>
    <w:rPr>
      <w:rFonts w:asciiTheme="minorHAnsi" w:hAnsiTheme="minorHAnsi"/>
      <w:color w:val="005391"/>
      <w:sz w:val="60"/>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F602ED"/>
    <w:pPr>
      <w:keepNext/>
    </w:pPr>
    <w:rPr>
      <w:color w:val="0072B9"/>
    </w:r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B11651"/>
    <w:rPr>
      <w:color w:val="006DFF"/>
      <w:u w:val="single"/>
    </w:rPr>
  </w:style>
  <w:style w:type="paragraph" w:customStyle="1" w:styleId="Tablebullet-Level1">
    <w:name w:val="Table bullet - Level 1"/>
    <w:basedOn w:val="Tabletext"/>
    <w:uiPriority w:val="13"/>
    <w:qFormat/>
    <w:rsid w:val="00F05D2D"/>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FC3687"/>
    <w:pPr>
      <w:pageBreakBefore/>
      <w:numPr>
        <w:numId w:val="22"/>
      </w:numPr>
    </w:pPr>
  </w:style>
  <w:style w:type="paragraph" w:styleId="TOCHeading">
    <w:name w:val="TOC Heading"/>
    <w:basedOn w:val="Heading1"/>
    <w:next w:val="BodyText"/>
    <w:uiPriority w:val="38"/>
    <w:qFormat/>
    <w:rsid w:val="00FC3687"/>
    <w:pPr>
      <w:numPr>
        <w:numId w:val="0"/>
      </w:numPr>
      <w:spacing w:after="360"/>
      <w:outlineLvl w:val="9"/>
    </w:pPr>
    <w:rPr>
      <w:rFonts w:asciiTheme="minorHAnsi" w:hAnsiTheme="minorHAnsi"/>
    </w:rPr>
  </w:style>
  <w:style w:type="paragraph" w:styleId="TOC1">
    <w:name w:val="toc 1"/>
    <w:basedOn w:val="Normal"/>
    <w:next w:val="Normal"/>
    <w:autoRedefine/>
    <w:uiPriority w:val="39"/>
    <w:rsid w:val="00FC3687"/>
    <w:pPr>
      <w:tabs>
        <w:tab w:val="left" w:pos="567"/>
        <w:tab w:val="right" w:leader="dot" w:pos="9029"/>
      </w:tabs>
      <w:spacing w:before="120" w:after="100"/>
      <w:ind w:left="567" w:right="662" w:hanging="567"/>
    </w:pPr>
    <w:rPr>
      <w:noProof/>
      <w:color w:val="0072B9"/>
      <w:sz w:val="24"/>
    </w:rPr>
  </w:style>
  <w:style w:type="paragraph" w:styleId="TOC2">
    <w:name w:val="toc 2"/>
    <w:basedOn w:val="Normal"/>
    <w:next w:val="Normal"/>
    <w:autoRedefine/>
    <w:uiPriority w:val="39"/>
    <w:rsid w:val="00545856"/>
    <w:pPr>
      <w:tabs>
        <w:tab w:val="left" w:pos="1134"/>
        <w:tab w:val="right" w:leader="dot" w:pos="9029"/>
      </w:tabs>
      <w:spacing w:before="0" w:after="100"/>
      <w:ind w:left="1134" w:right="379" w:hanging="567"/>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FC3687"/>
    <w:pPr>
      <w:spacing w:after="120" w:line="440" w:lineRule="atLeast"/>
      <w:contextualSpacing/>
    </w:pPr>
    <w:rPr>
      <w:rFonts w:ascii="Cambria" w:eastAsiaTheme="majorEastAsia" w:hAnsi="Cambria" w:cstheme="majorBidi"/>
      <w:color w:val="0072B9"/>
      <w:kern w:val="28"/>
      <w:sz w:val="36"/>
      <w:szCs w:val="52"/>
    </w:rPr>
  </w:style>
  <w:style w:type="paragraph" w:customStyle="1" w:styleId="Endmatter-Heading2">
    <w:name w:val="End matter - Heading 2"/>
    <w:basedOn w:val="Heading2"/>
    <w:next w:val="BodyText"/>
    <w:uiPriority w:val="19"/>
    <w:qFormat/>
    <w:rsid w:val="00FC3687"/>
    <w:pPr>
      <w:numPr>
        <w:numId w:val="22"/>
      </w:numPr>
    </w:pPr>
  </w:style>
  <w:style w:type="paragraph" w:styleId="Header">
    <w:name w:val="header"/>
    <w:basedOn w:val="Normal"/>
    <w:link w:val="HeaderChar"/>
    <w:rsid w:val="00FC3687"/>
    <w:pPr>
      <w:tabs>
        <w:tab w:val="center" w:pos="4513"/>
        <w:tab w:val="right" w:pos="9026"/>
      </w:tabs>
      <w:spacing w:before="0"/>
    </w:pPr>
    <w:rPr>
      <w:color w:val="0072C3"/>
      <w:sz w:val="20"/>
    </w:rPr>
  </w:style>
  <w:style w:type="paragraph" w:styleId="Footer">
    <w:name w:val="footer"/>
    <w:basedOn w:val="Normal"/>
    <w:link w:val="FooterChar"/>
    <w:uiPriority w:val="99"/>
    <w:rsid w:val="00FC3687"/>
    <w:pPr>
      <w:tabs>
        <w:tab w:val="center" w:pos="4513"/>
        <w:tab w:val="right" w:pos="9026"/>
      </w:tabs>
    </w:pPr>
    <w:rPr>
      <w:color w:val="FFFFFF" w:themeColor="background1"/>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FC3687"/>
    <w:pPr>
      <w:keepNext/>
    </w:pPr>
    <w:rPr>
      <w:color w:val="0072B9"/>
    </w:rPr>
  </w:style>
  <w:style w:type="character" w:styleId="PageNumber">
    <w:name w:val="page number"/>
    <w:basedOn w:val="DefaultParagraphFont"/>
    <w:uiPriority w:val="49"/>
    <w:rsid w:val="00FC3687"/>
    <w:rPr>
      <w:color w:val="FFFFFF" w:themeColor="background1"/>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FC3687"/>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7E77FD"/>
    <w:pPr>
      <w:numPr>
        <w:numId w:val="0"/>
      </w:numPr>
    </w:pPr>
  </w:style>
  <w:style w:type="paragraph" w:customStyle="1" w:styleId="Preliminaries-Heading2">
    <w:name w:val="Preliminaries - Heading 2"/>
    <w:basedOn w:val="Heading2"/>
    <w:next w:val="BodyText"/>
    <w:uiPriority w:val="18"/>
    <w:qFormat/>
    <w:rsid w:val="007E77FD"/>
    <w:pPr>
      <w:numPr>
        <w:ilvl w:val="0"/>
        <w:numId w:val="0"/>
      </w:numPr>
    </w:pPr>
  </w:style>
  <w:style w:type="paragraph" w:customStyle="1" w:styleId="Preliminaries-Heading3">
    <w:name w:val="Preliminaries - Heading 3"/>
    <w:basedOn w:val="Heading3"/>
    <w:next w:val="BodyText"/>
    <w:uiPriority w:val="18"/>
    <w:qFormat/>
    <w:rsid w:val="007E77FD"/>
    <w:pPr>
      <w:numPr>
        <w:ilvl w:val="0"/>
        <w:numId w:val="0"/>
      </w:numPr>
    </w:pPr>
  </w:style>
  <w:style w:type="paragraph" w:styleId="FootnoteText">
    <w:name w:val="footnote text"/>
    <w:basedOn w:val="Normal"/>
    <w:link w:val="FootnoteTextChar"/>
    <w:uiPriority w:val="99"/>
    <w:rsid w:val="008D0A94"/>
    <w:rPr>
      <w:sz w:val="20"/>
      <w:szCs w:val="20"/>
    </w:rPr>
  </w:style>
  <w:style w:type="character" w:styleId="FootnoteReference">
    <w:name w:val="footnote reference"/>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C26C27"/>
    <w:pPr>
      <w:pBdr>
        <w:top w:val="single" w:sz="4" w:space="8" w:color="0072B9"/>
        <w:left w:val="single" w:sz="4" w:space="8" w:color="0072B9"/>
        <w:bottom w:val="single" w:sz="4" w:space="8" w:color="0072B9"/>
        <w:right w:val="single" w:sz="4" w:space="0" w:color="0072B9"/>
      </w:pBdr>
      <w:shd w:val="clear" w:color="auto" w:fill="E7F5FF"/>
      <w:ind w:left="198"/>
    </w:pPr>
  </w:style>
  <w:style w:type="paragraph" w:customStyle="1" w:styleId="Boxheading">
    <w:name w:val="Box heading"/>
    <w:basedOn w:val="Boxtext"/>
    <w:next w:val="Boxtext"/>
    <w:uiPriority w:val="14"/>
    <w:qFormat/>
    <w:rsid w:val="00FC3687"/>
    <w:pPr>
      <w:spacing w:after="120"/>
    </w:pPr>
    <w:rPr>
      <w:rFonts w:asciiTheme="majorHAnsi" w:hAnsiTheme="majorHAnsi"/>
      <w:color w:val="0072B9"/>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FC3687"/>
    <w:rPr>
      <w:b/>
      <w:color w:val="0072B9"/>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FC3687"/>
    <w:pPr>
      <w:numPr>
        <w:numId w:val="22"/>
      </w:numPr>
    </w:pPr>
  </w:style>
  <w:style w:type="paragraph" w:customStyle="1" w:styleId="Titledate">
    <w:name w:val="Title date"/>
    <w:basedOn w:val="Normal"/>
    <w:uiPriority w:val="16"/>
    <w:qFormat/>
    <w:rsid w:val="00FC368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Boxlist-Numbered">
    <w:name w:val="Box list - Numbered"/>
    <w:basedOn w:val="Boxtext"/>
    <w:uiPriority w:val="15"/>
    <w:qFormat/>
    <w:rsid w:val="00B1447A"/>
    <w:pPr>
      <w:numPr>
        <w:numId w:val="23"/>
      </w:numPr>
      <w:spacing w:before="120" w:after="180"/>
    </w:pPr>
  </w:style>
  <w:style w:type="paragraph" w:customStyle="1" w:styleId="Boxlist-Alpha">
    <w:name w:val="Box list - Alpha"/>
    <w:basedOn w:val="Boxtext"/>
    <w:uiPriority w:val="15"/>
    <w:qFormat/>
    <w:rsid w:val="004B47F1"/>
    <w:pPr>
      <w:numPr>
        <w:numId w:val="15"/>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6"/>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0"/>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7"/>
      </w:numPr>
    </w:pPr>
  </w:style>
  <w:style w:type="numbering" w:styleId="1ai">
    <w:name w:val="Outline List 1"/>
    <w:basedOn w:val="NoList"/>
    <w:uiPriority w:val="99"/>
    <w:semiHidden/>
    <w:unhideWhenUsed/>
    <w:rsid w:val="00A0420F"/>
    <w:pPr>
      <w:numPr>
        <w:numId w:val="18"/>
      </w:numPr>
    </w:pPr>
  </w:style>
  <w:style w:type="numbering" w:styleId="ArticleSection">
    <w:name w:val="Outline List 3"/>
    <w:basedOn w:val="NoList"/>
    <w:uiPriority w:val="99"/>
    <w:semiHidden/>
    <w:unhideWhenUsed/>
    <w:rsid w:val="00A0420F"/>
    <w:pPr>
      <w:numPr>
        <w:numId w:val="19"/>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link w:val="ListParagraphChar"/>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FC3687"/>
    <w:rPr>
      <w:rFonts w:ascii="Calibri" w:hAnsi="Calibri"/>
      <w:b/>
      <w:bCs/>
      <w:color w:val="0072B9"/>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0"/>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FC3687"/>
    <w:rPr>
      <w:rFonts w:ascii="Cambria" w:eastAsiaTheme="majorEastAsia" w:hAnsi="Cambria" w:cstheme="majorBidi"/>
      <w:bCs/>
      <w:color w:val="0072B9"/>
      <w:sz w:val="26"/>
      <w:szCs w:val="26"/>
    </w:rPr>
  </w:style>
  <w:style w:type="character" w:customStyle="1" w:styleId="FooterChar">
    <w:name w:val="Footer Char"/>
    <w:basedOn w:val="DefaultParagraphFont"/>
    <w:link w:val="Footer"/>
    <w:uiPriority w:val="99"/>
    <w:rsid w:val="00FC3687"/>
    <w:rPr>
      <w:rFonts w:ascii="Calibri" w:hAnsi="Calibri"/>
      <w:color w:val="FFFFFF" w:themeColor="background1"/>
      <w:sz w:val="20"/>
    </w:rPr>
  </w:style>
  <w:style w:type="paragraph" w:customStyle="1" w:styleId="Documenttype">
    <w:name w:val="Document type"/>
    <w:basedOn w:val="Normal"/>
    <w:uiPriority w:val="17"/>
    <w:qFormat/>
    <w:rsid w:val="008E0426"/>
    <w:pPr>
      <w:spacing w:before="120"/>
      <w:jc w:val="right"/>
    </w:pPr>
    <w:rPr>
      <w:rFonts w:ascii="Cambria" w:eastAsia="Times New Roman" w:hAnsi="Cambria" w:cs="Times New Roman"/>
      <w:b/>
      <w:color w:val="00728F"/>
      <w:kern w:val="28"/>
      <w:sz w:val="24"/>
      <w:szCs w:val="52"/>
    </w:rPr>
  </w:style>
  <w:style w:type="character" w:customStyle="1" w:styleId="HeaderChar">
    <w:name w:val="Header Char"/>
    <w:basedOn w:val="DefaultParagraphFont"/>
    <w:link w:val="Header"/>
    <w:rsid w:val="00FC3687"/>
    <w:rPr>
      <w:rFonts w:ascii="Calibri" w:hAnsi="Calibri"/>
      <w:color w:val="0072C3"/>
      <w:sz w:val="20"/>
    </w:rPr>
  </w:style>
  <w:style w:type="paragraph" w:customStyle="1" w:styleId="DotPoint2">
    <w:name w:val="Dot Point 2"/>
    <w:basedOn w:val="ListParagraph"/>
    <w:link w:val="DotPoint2Char"/>
    <w:qFormat/>
    <w:rsid w:val="00C1340F"/>
    <w:pPr>
      <w:spacing w:before="0" w:after="120"/>
      <w:ind w:left="1080" w:hanging="360"/>
      <w:contextualSpacing w:val="0"/>
    </w:pPr>
  </w:style>
  <w:style w:type="paragraph" w:customStyle="1" w:styleId="DotPoint3">
    <w:name w:val="Dot Point 3"/>
    <w:basedOn w:val="ListParagraph"/>
    <w:qFormat/>
    <w:rsid w:val="00C1340F"/>
    <w:pPr>
      <w:tabs>
        <w:tab w:val="num" w:pos="360"/>
      </w:tabs>
      <w:spacing w:after="120"/>
      <w:ind w:left="1800" w:hanging="180"/>
      <w:contextualSpacing w:val="0"/>
    </w:pPr>
    <w:rPr>
      <w:rFonts w:asciiTheme="minorHAnsi" w:eastAsia="Times New Roman" w:hAnsiTheme="minorHAnsi" w:cstheme="minorHAnsi"/>
    </w:rPr>
  </w:style>
  <w:style w:type="character" w:customStyle="1" w:styleId="ListParagraphChar">
    <w:name w:val="List Paragraph Char"/>
    <w:basedOn w:val="DefaultParagraphFont"/>
    <w:link w:val="ListParagraph"/>
    <w:uiPriority w:val="34"/>
    <w:rsid w:val="00C1340F"/>
    <w:rPr>
      <w:rFonts w:ascii="Calibri" w:hAnsi="Calibri"/>
    </w:rPr>
  </w:style>
  <w:style w:type="character" w:customStyle="1" w:styleId="DotPoint2Char">
    <w:name w:val="Dot Point 2 Char"/>
    <w:basedOn w:val="ListParagraphChar"/>
    <w:link w:val="DotPoint2"/>
    <w:rsid w:val="00C1340F"/>
    <w:rPr>
      <w:rFonts w:ascii="Calibri" w:hAnsi="Calibri"/>
    </w:rPr>
  </w:style>
  <w:style w:type="character" w:customStyle="1" w:styleId="CommentTextChar">
    <w:name w:val="Comment Text Char"/>
    <w:basedOn w:val="DefaultParagraphFont"/>
    <w:link w:val="CommentText"/>
    <w:uiPriority w:val="99"/>
    <w:semiHidden/>
    <w:rsid w:val="00B50A1B"/>
    <w:rPr>
      <w:rFonts w:ascii="Calibri" w:hAnsi="Calibri"/>
      <w:sz w:val="20"/>
      <w:szCs w:val="20"/>
    </w:rPr>
  </w:style>
  <w:style w:type="character" w:customStyle="1" w:styleId="FootnoteTextChar">
    <w:name w:val="Footnote Text Char"/>
    <w:basedOn w:val="DefaultParagraphFont"/>
    <w:link w:val="FootnoteText"/>
    <w:uiPriority w:val="99"/>
    <w:rsid w:val="00790268"/>
    <w:rPr>
      <w:rFonts w:ascii="Calibri" w:hAnsi="Calibri"/>
      <w:sz w:val="20"/>
      <w:szCs w:val="20"/>
    </w:rPr>
  </w:style>
  <w:style w:type="paragraph" w:styleId="Revision">
    <w:name w:val="Revision"/>
    <w:hidden/>
    <w:uiPriority w:val="99"/>
    <w:semiHidden/>
    <w:rsid w:val="002424AB"/>
    <w:pPr>
      <w:spacing w:before="0" w:after="0"/>
      <w:ind w:left="0" w:firstLine="0"/>
    </w:pPr>
    <w:rPr>
      <w:rFonts w:ascii="Calibri" w:hAnsi="Calibri"/>
    </w:rPr>
  </w:style>
  <w:style w:type="paragraph" w:customStyle="1" w:styleId="copyrighttextStyles">
    <w:name w:val="copyright text (Styles)"/>
    <w:basedOn w:val="Normal"/>
    <w:next w:val="Normal"/>
    <w:uiPriority w:val="99"/>
    <w:rsid w:val="008A135A"/>
    <w:pPr>
      <w:widowControl w:val="0"/>
      <w:suppressAutoHyphens/>
      <w:autoSpaceDE w:val="0"/>
      <w:autoSpaceDN w:val="0"/>
      <w:adjustRightInd w:val="0"/>
      <w:spacing w:before="17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FC3687"/>
    <w:pPr>
      <w:keepNext/>
      <w:widowControl w:val="0"/>
      <w:suppressAutoHyphens/>
      <w:autoSpaceDE w:val="0"/>
      <w:autoSpaceDN w:val="0"/>
      <w:adjustRightInd w:val="0"/>
      <w:spacing w:before="454" w:line="320" w:lineRule="atLeast"/>
      <w:textAlignment w:val="center"/>
    </w:pPr>
    <w:rPr>
      <w:rFonts w:ascii="Arial" w:eastAsia="Times New Roman" w:hAnsi="Arial" w:cs="Geogrotesque-Light"/>
      <w:color w:val="0072B9"/>
      <w:sz w:val="33"/>
      <w:szCs w:val="33"/>
    </w:rPr>
  </w:style>
  <w:style w:type="character" w:customStyle="1" w:styleId="Heading4Char">
    <w:name w:val="Heading 4 Char"/>
    <w:basedOn w:val="DefaultParagraphFont"/>
    <w:link w:val="Heading4"/>
    <w:uiPriority w:val="9"/>
    <w:rsid w:val="00010C91"/>
    <w:rPr>
      <w:rFonts w:ascii="Cambria" w:eastAsiaTheme="majorEastAsia" w:hAnsi="Cambria" w:cstheme="majorBidi"/>
      <w:b/>
      <w:bCs/>
      <w:iCs/>
    </w:rPr>
  </w:style>
  <w:style w:type="paragraph" w:customStyle="1" w:styleId="Boxsub-headingQUESTION">
    <w:name w:val="Box sub-heading QUESTION"/>
    <w:basedOn w:val="Boxsub-heading"/>
    <w:next w:val="BoxtextQUESTION"/>
    <w:qFormat/>
    <w:rsid w:val="00DC2BD3"/>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
    <w:name w:val="Box text QUESTION"/>
    <w:basedOn w:val="Boxtext"/>
    <w:qFormat/>
    <w:rsid w:val="00DC2BD3"/>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pPr>
  </w:style>
  <w:style w:type="paragraph" w:customStyle="1" w:styleId="BoxtextQUESTIONITALICS">
    <w:name w:val="Box text QUESTION ITALICS"/>
    <w:basedOn w:val="BoxtextQUESTION"/>
    <w:qFormat/>
    <w:rsid w:val="00DC2BD3"/>
    <w:rPr>
      <w:b/>
      <w:i/>
    </w:rPr>
  </w:style>
  <w:style w:type="character" w:customStyle="1" w:styleId="Style2Char">
    <w:name w:val="Style2 Char"/>
    <w:link w:val="Style2"/>
    <w:uiPriority w:val="3"/>
    <w:locked/>
    <w:rsid w:val="003D3890"/>
    <w:rPr>
      <w:rFonts w:ascii="Arial" w:eastAsia="MS Gothic" w:hAnsi="Arial"/>
      <w:b/>
      <w:color w:val="2E74B5"/>
      <w:sz w:val="24"/>
      <w:szCs w:val="26"/>
    </w:rPr>
  </w:style>
  <w:style w:type="paragraph" w:customStyle="1" w:styleId="Style2">
    <w:name w:val="Style2"/>
    <w:basedOn w:val="Heading2"/>
    <w:link w:val="Style2Char"/>
    <w:uiPriority w:val="3"/>
    <w:qFormat/>
    <w:rsid w:val="003D3890"/>
    <w:pPr>
      <w:numPr>
        <w:ilvl w:val="0"/>
        <w:numId w:val="0"/>
      </w:numPr>
      <w:spacing w:before="160" w:after="120" w:line="240" w:lineRule="auto"/>
    </w:pPr>
    <w:rPr>
      <w:rFonts w:ascii="Arial" w:eastAsia="MS Gothic" w:hAnsi="Arial" w:cstheme="minorBidi"/>
      <w:b/>
      <w:bCs w:val="0"/>
      <w:color w:val="2E74B5"/>
      <w:sz w:val="24"/>
    </w:rPr>
  </w:style>
  <w:style w:type="numbering" w:customStyle="1" w:styleId="Bulletlist">
    <w:name w:val="Bullet list"/>
    <w:rsid w:val="00BE5DBC"/>
    <w:pPr>
      <w:numPr>
        <w:numId w:val="33"/>
      </w:numPr>
    </w:pPr>
  </w:style>
  <w:style w:type="character" w:customStyle="1" w:styleId="Heading1Char">
    <w:name w:val="Heading 1 Char"/>
    <w:link w:val="Heading1"/>
    <w:uiPriority w:val="9"/>
    <w:rsid w:val="002D612C"/>
    <w:rPr>
      <w:rFonts w:ascii="Cambria" w:eastAsiaTheme="majorEastAsia" w:hAnsi="Cambria" w:cstheme="majorBidi"/>
      <w:bCs/>
      <w:color w:val="0072B9"/>
      <w:sz w:val="36"/>
      <w:szCs w:val="28"/>
    </w:rPr>
  </w:style>
  <w:style w:type="paragraph" w:customStyle="1" w:styleId="Default">
    <w:name w:val="Default"/>
    <w:rsid w:val="002D612C"/>
    <w:pPr>
      <w:autoSpaceDE w:val="0"/>
      <w:autoSpaceDN w:val="0"/>
      <w:adjustRightInd w:val="0"/>
      <w:spacing w:before="0" w:after="0"/>
      <w:ind w:left="0" w:firstLine="0"/>
    </w:pPr>
    <w:rPr>
      <w:rFonts w:ascii="Times New Roman" w:eastAsia="Calibri" w:hAnsi="Times New Roman" w:cs="Times New Roman"/>
      <w:color w:val="000000"/>
      <w:sz w:val="24"/>
      <w:szCs w:val="24"/>
    </w:rPr>
  </w:style>
  <w:style w:type="paragraph" w:customStyle="1" w:styleId="01bodytext">
    <w:name w:val="01 body text"/>
    <w:basedOn w:val="Normal"/>
    <w:uiPriority w:val="99"/>
    <w:rsid w:val="00CD6C5C"/>
    <w:pPr>
      <w:suppressAutoHyphens/>
      <w:autoSpaceDE w:val="0"/>
      <w:autoSpaceDN w:val="0"/>
      <w:adjustRightInd w:val="0"/>
      <w:spacing w:before="113" w:line="200" w:lineRule="atLeast"/>
      <w:textAlignment w:val="center"/>
    </w:pPr>
    <w:rPr>
      <w:rFonts w:ascii="Arial" w:eastAsia="Times New Roman" w:hAnsi="Arial" w:cs="Gotham-Book"/>
      <w:color w:val="000000"/>
      <w:spacing w:val="-4"/>
      <w:sz w:val="20"/>
      <w:szCs w:val="20"/>
      <w:lang w:val="en-GB"/>
    </w:rPr>
  </w:style>
  <w:style w:type="paragraph" w:customStyle="1" w:styleId="02heading1numbered">
    <w:name w:val="02 heading 1 numbered"/>
    <w:basedOn w:val="Normal"/>
    <w:uiPriority w:val="99"/>
    <w:rsid w:val="00CD6C5C"/>
    <w:pPr>
      <w:keepNext/>
      <w:keepLines/>
      <w:widowControl w:val="0"/>
      <w:numPr>
        <w:numId w:val="38"/>
      </w:numPr>
      <w:tabs>
        <w:tab w:val="left" w:pos="737"/>
      </w:tabs>
      <w:suppressAutoHyphens/>
      <w:autoSpaceDE w:val="0"/>
      <w:autoSpaceDN w:val="0"/>
      <w:adjustRightInd w:val="0"/>
      <w:spacing w:line="480" w:lineRule="atLeast"/>
      <w:textAlignment w:val="center"/>
      <w:outlineLvl w:val="0"/>
    </w:pPr>
    <w:rPr>
      <w:rFonts w:ascii="Lucida Fax" w:eastAsia="Times New Roman" w:hAnsi="Lucida Fax" w:cs="PFCentroSlabPro-Bold"/>
      <w:sz w:val="44"/>
      <w:szCs w:val="44"/>
      <w:lang w:val="en-GB"/>
    </w:rPr>
  </w:style>
  <w:style w:type="paragraph" w:customStyle="1" w:styleId="Abc-Text">
    <w:name w:val="Abc - Text"/>
    <w:basedOn w:val="Normal"/>
    <w:link w:val="Abc-TextChar"/>
    <w:unhideWhenUsed/>
    <w:qFormat/>
    <w:rsid w:val="002416EA"/>
    <w:pPr>
      <w:spacing w:before="0"/>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2416EA"/>
    <w:rPr>
      <w:rFonts w:ascii="Times New Roman" w:eastAsia="Calibri"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sChild>
        <w:div w:id="1187869197">
          <w:marLeft w:val="0"/>
          <w:marRight w:val="0"/>
          <w:marTop w:val="0"/>
          <w:marBottom w:val="0"/>
          <w:divBdr>
            <w:top w:val="none" w:sz="0" w:space="0" w:color="auto"/>
            <w:left w:val="none" w:sz="0" w:space="0" w:color="auto"/>
            <w:bottom w:val="none" w:sz="0" w:space="0" w:color="auto"/>
            <w:right w:val="none" w:sz="0" w:space="0" w:color="auto"/>
          </w:divBdr>
          <w:divsChild>
            <w:div w:id="302151897">
              <w:marLeft w:val="0"/>
              <w:marRight w:val="0"/>
              <w:marTop w:val="0"/>
              <w:marBottom w:val="0"/>
              <w:divBdr>
                <w:top w:val="none" w:sz="0" w:space="0" w:color="auto"/>
                <w:left w:val="none" w:sz="0" w:space="0" w:color="auto"/>
                <w:bottom w:val="none" w:sz="0" w:space="0" w:color="auto"/>
                <w:right w:val="none" w:sz="0" w:space="0" w:color="auto"/>
              </w:divBdr>
              <w:divsChild>
                <w:div w:id="1881475353">
                  <w:marLeft w:val="0"/>
                  <w:marRight w:val="0"/>
                  <w:marTop w:val="0"/>
                  <w:marBottom w:val="0"/>
                  <w:divBdr>
                    <w:top w:val="none" w:sz="0" w:space="0" w:color="auto"/>
                    <w:left w:val="none" w:sz="0" w:space="0" w:color="auto"/>
                    <w:bottom w:val="none" w:sz="0" w:space="0" w:color="auto"/>
                    <w:right w:val="none" w:sz="0" w:space="0" w:color="auto"/>
                  </w:divBdr>
                  <w:divsChild>
                    <w:div w:id="1134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5922">
      <w:bodyDiv w:val="1"/>
      <w:marLeft w:val="0"/>
      <w:marRight w:val="0"/>
      <w:marTop w:val="0"/>
      <w:marBottom w:val="0"/>
      <w:divBdr>
        <w:top w:val="none" w:sz="0" w:space="0" w:color="auto"/>
        <w:left w:val="none" w:sz="0" w:space="0" w:color="auto"/>
        <w:bottom w:val="none" w:sz="0" w:space="0" w:color="auto"/>
        <w:right w:val="none" w:sz="0" w:space="0" w:color="auto"/>
      </w:divBdr>
      <w:divsChild>
        <w:div w:id="1324315707">
          <w:marLeft w:val="0"/>
          <w:marRight w:val="0"/>
          <w:marTop w:val="0"/>
          <w:marBottom w:val="0"/>
          <w:divBdr>
            <w:top w:val="none" w:sz="0" w:space="0" w:color="auto"/>
            <w:left w:val="none" w:sz="0" w:space="0" w:color="auto"/>
            <w:bottom w:val="none" w:sz="0" w:space="0" w:color="auto"/>
            <w:right w:val="none" w:sz="0" w:space="0" w:color="auto"/>
          </w:divBdr>
          <w:divsChild>
            <w:div w:id="1236554753">
              <w:marLeft w:val="0"/>
              <w:marRight w:val="0"/>
              <w:marTop w:val="0"/>
              <w:marBottom w:val="0"/>
              <w:divBdr>
                <w:top w:val="none" w:sz="0" w:space="0" w:color="auto"/>
                <w:left w:val="none" w:sz="0" w:space="0" w:color="auto"/>
                <w:bottom w:val="none" w:sz="0" w:space="0" w:color="auto"/>
                <w:right w:val="none" w:sz="0" w:space="0" w:color="auto"/>
              </w:divBdr>
              <w:divsChild>
                <w:div w:id="4226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48110304">
      <w:bodyDiv w:val="1"/>
      <w:marLeft w:val="0"/>
      <w:marRight w:val="0"/>
      <w:marTop w:val="0"/>
      <w:marBottom w:val="0"/>
      <w:divBdr>
        <w:top w:val="none" w:sz="0" w:space="0" w:color="auto"/>
        <w:left w:val="none" w:sz="0" w:space="0" w:color="auto"/>
        <w:bottom w:val="none" w:sz="0" w:space="0" w:color="auto"/>
        <w:right w:val="none" w:sz="0" w:space="0" w:color="auto"/>
      </w:divBdr>
      <w:divsChild>
        <w:div w:id="14311038">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none" w:sz="0" w:space="0" w:color="auto"/>
                <w:left w:val="none" w:sz="0" w:space="0" w:color="auto"/>
                <w:bottom w:val="none" w:sz="0" w:space="0" w:color="auto"/>
                <w:right w:val="none" w:sz="0" w:space="0" w:color="auto"/>
              </w:divBdr>
              <w:divsChild>
                <w:div w:id="526673042">
                  <w:marLeft w:val="0"/>
                  <w:marRight w:val="0"/>
                  <w:marTop w:val="0"/>
                  <w:marBottom w:val="0"/>
                  <w:divBdr>
                    <w:top w:val="none" w:sz="0" w:space="0" w:color="auto"/>
                    <w:left w:val="none" w:sz="0" w:space="0" w:color="auto"/>
                    <w:bottom w:val="none" w:sz="0" w:space="0" w:color="auto"/>
                    <w:right w:val="none" w:sz="0" w:space="0" w:color="auto"/>
                  </w:divBdr>
                  <w:divsChild>
                    <w:div w:id="777721752">
                      <w:marLeft w:val="0"/>
                      <w:marRight w:val="0"/>
                      <w:marTop w:val="0"/>
                      <w:marBottom w:val="0"/>
                      <w:divBdr>
                        <w:top w:val="none" w:sz="0" w:space="0" w:color="auto"/>
                        <w:left w:val="none" w:sz="0" w:space="0" w:color="auto"/>
                        <w:bottom w:val="none" w:sz="0" w:space="0" w:color="auto"/>
                        <w:right w:val="none" w:sz="0" w:space="0" w:color="auto"/>
                      </w:divBdr>
                      <w:divsChild>
                        <w:div w:id="1351882228">
                          <w:marLeft w:val="0"/>
                          <w:marRight w:val="0"/>
                          <w:marTop w:val="0"/>
                          <w:marBottom w:val="0"/>
                          <w:divBdr>
                            <w:top w:val="none" w:sz="0" w:space="0" w:color="auto"/>
                            <w:left w:val="none" w:sz="0" w:space="0" w:color="auto"/>
                            <w:bottom w:val="none" w:sz="0" w:space="0" w:color="auto"/>
                            <w:right w:val="none" w:sz="0" w:space="0" w:color="auto"/>
                          </w:divBdr>
                          <w:divsChild>
                            <w:div w:id="961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699862380">
      <w:bodyDiv w:val="1"/>
      <w:marLeft w:val="0"/>
      <w:marRight w:val="0"/>
      <w:marTop w:val="0"/>
      <w:marBottom w:val="0"/>
      <w:divBdr>
        <w:top w:val="none" w:sz="0" w:space="0" w:color="auto"/>
        <w:left w:val="none" w:sz="0" w:space="0" w:color="auto"/>
        <w:bottom w:val="none" w:sz="0" w:space="0" w:color="auto"/>
        <w:right w:val="none" w:sz="0" w:space="0" w:color="auto"/>
      </w:divBdr>
      <w:divsChild>
        <w:div w:id="1141776224">
          <w:marLeft w:val="0"/>
          <w:marRight w:val="0"/>
          <w:marTop w:val="0"/>
          <w:marBottom w:val="0"/>
          <w:divBdr>
            <w:top w:val="none" w:sz="0" w:space="0" w:color="auto"/>
            <w:left w:val="none" w:sz="0" w:space="0" w:color="auto"/>
            <w:bottom w:val="none" w:sz="0" w:space="0" w:color="auto"/>
            <w:right w:val="none" w:sz="0" w:space="0" w:color="auto"/>
          </w:divBdr>
          <w:divsChild>
            <w:div w:id="213927279">
              <w:marLeft w:val="0"/>
              <w:marRight w:val="0"/>
              <w:marTop w:val="0"/>
              <w:marBottom w:val="0"/>
              <w:divBdr>
                <w:top w:val="none" w:sz="0" w:space="0" w:color="auto"/>
                <w:left w:val="none" w:sz="0" w:space="0" w:color="auto"/>
                <w:bottom w:val="none" w:sz="0" w:space="0" w:color="auto"/>
                <w:right w:val="none" w:sz="0" w:space="0" w:color="auto"/>
              </w:divBdr>
              <w:divsChild>
                <w:div w:id="11347651">
                  <w:marLeft w:val="0"/>
                  <w:marRight w:val="0"/>
                  <w:marTop w:val="0"/>
                  <w:marBottom w:val="0"/>
                  <w:divBdr>
                    <w:top w:val="none" w:sz="0" w:space="0" w:color="auto"/>
                    <w:left w:val="none" w:sz="0" w:space="0" w:color="auto"/>
                    <w:bottom w:val="none" w:sz="0" w:space="0" w:color="auto"/>
                    <w:right w:val="none" w:sz="0" w:space="0" w:color="auto"/>
                  </w:divBdr>
                  <w:divsChild>
                    <w:div w:id="1558467339">
                      <w:marLeft w:val="0"/>
                      <w:marRight w:val="0"/>
                      <w:marTop w:val="0"/>
                      <w:marBottom w:val="0"/>
                      <w:divBdr>
                        <w:top w:val="none" w:sz="0" w:space="0" w:color="auto"/>
                        <w:left w:val="none" w:sz="0" w:space="0" w:color="auto"/>
                        <w:bottom w:val="none" w:sz="0" w:space="0" w:color="auto"/>
                        <w:right w:val="none" w:sz="0" w:space="0" w:color="auto"/>
                      </w:divBdr>
                      <w:divsChild>
                        <w:div w:id="134297026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24107">
      <w:bodyDiv w:val="1"/>
      <w:marLeft w:val="0"/>
      <w:marRight w:val="0"/>
      <w:marTop w:val="0"/>
      <w:marBottom w:val="0"/>
      <w:divBdr>
        <w:top w:val="none" w:sz="0" w:space="0" w:color="auto"/>
        <w:left w:val="none" w:sz="0" w:space="0" w:color="auto"/>
        <w:bottom w:val="none" w:sz="0" w:space="0" w:color="auto"/>
        <w:right w:val="none" w:sz="0" w:space="0" w:color="auto"/>
      </w:divBdr>
      <w:divsChild>
        <w:div w:id="838736492">
          <w:marLeft w:val="0"/>
          <w:marRight w:val="0"/>
          <w:marTop w:val="0"/>
          <w:marBottom w:val="0"/>
          <w:divBdr>
            <w:top w:val="none" w:sz="0" w:space="0" w:color="auto"/>
            <w:left w:val="none" w:sz="0" w:space="0" w:color="auto"/>
            <w:bottom w:val="none" w:sz="0" w:space="0" w:color="auto"/>
            <w:right w:val="none" w:sz="0" w:space="0" w:color="auto"/>
          </w:divBdr>
          <w:divsChild>
            <w:div w:id="693652630">
              <w:marLeft w:val="0"/>
              <w:marRight w:val="0"/>
              <w:marTop w:val="0"/>
              <w:marBottom w:val="0"/>
              <w:divBdr>
                <w:top w:val="none" w:sz="0" w:space="0" w:color="auto"/>
                <w:left w:val="none" w:sz="0" w:space="0" w:color="auto"/>
                <w:bottom w:val="none" w:sz="0" w:space="0" w:color="auto"/>
                <w:right w:val="none" w:sz="0" w:space="0" w:color="auto"/>
              </w:divBdr>
              <w:divsChild>
                <w:div w:id="507064688">
                  <w:marLeft w:val="0"/>
                  <w:marRight w:val="0"/>
                  <w:marTop w:val="0"/>
                  <w:marBottom w:val="0"/>
                  <w:divBdr>
                    <w:top w:val="none" w:sz="0" w:space="0" w:color="auto"/>
                    <w:left w:val="none" w:sz="0" w:space="0" w:color="auto"/>
                    <w:bottom w:val="none" w:sz="0" w:space="0" w:color="auto"/>
                    <w:right w:val="none" w:sz="0" w:space="0" w:color="auto"/>
                  </w:divBdr>
                  <w:divsChild>
                    <w:div w:id="167600973">
                      <w:marLeft w:val="0"/>
                      <w:marRight w:val="0"/>
                      <w:marTop w:val="45"/>
                      <w:marBottom w:val="0"/>
                      <w:divBdr>
                        <w:top w:val="none" w:sz="0" w:space="0" w:color="auto"/>
                        <w:left w:val="none" w:sz="0" w:space="0" w:color="auto"/>
                        <w:bottom w:val="none" w:sz="0" w:space="0" w:color="auto"/>
                        <w:right w:val="none" w:sz="0" w:space="0" w:color="auto"/>
                      </w:divBdr>
                      <w:divsChild>
                        <w:div w:id="1436441587">
                          <w:marLeft w:val="0"/>
                          <w:marRight w:val="0"/>
                          <w:marTop w:val="0"/>
                          <w:marBottom w:val="0"/>
                          <w:divBdr>
                            <w:top w:val="none" w:sz="0" w:space="0" w:color="auto"/>
                            <w:left w:val="none" w:sz="0" w:space="0" w:color="auto"/>
                            <w:bottom w:val="none" w:sz="0" w:space="0" w:color="auto"/>
                            <w:right w:val="none" w:sz="0" w:space="0" w:color="auto"/>
                          </w:divBdr>
                          <w:divsChild>
                            <w:div w:id="495267385">
                              <w:marLeft w:val="2070"/>
                              <w:marRight w:val="3810"/>
                              <w:marTop w:val="0"/>
                              <w:marBottom w:val="0"/>
                              <w:divBdr>
                                <w:top w:val="none" w:sz="0" w:space="0" w:color="auto"/>
                                <w:left w:val="none" w:sz="0" w:space="0" w:color="auto"/>
                                <w:bottom w:val="none" w:sz="0" w:space="0" w:color="auto"/>
                                <w:right w:val="none" w:sz="0" w:space="0" w:color="auto"/>
                              </w:divBdr>
                              <w:divsChild>
                                <w:div w:id="1260916424">
                                  <w:marLeft w:val="0"/>
                                  <w:marRight w:val="0"/>
                                  <w:marTop w:val="0"/>
                                  <w:marBottom w:val="0"/>
                                  <w:divBdr>
                                    <w:top w:val="none" w:sz="0" w:space="0" w:color="auto"/>
                                    <w:left w:val="none" w:sz="0" w:space="0" w:color="auto"/>
                                    <w:bottom w:val="none" w:sz="0" w:space="0" w:color="auto"/>
                                    <w:right w:val="none" w:sz="0" w:space="0" w:color="auto"/>
                                  </w:divBdr>
                                  <w:divsChild>
                                    <w:div w:id="808790551">
                                      <w:marLeft w:val="0"/>
                                      <w:marRight w:val="0"/>
                                      <w:marTop w:val="0"/>
                                      <w:marBottom w:val="0"/>
                                      <w:divBdr>
                                        <w:top w:val="none" w:sz="0" w:space="0" w:color="auto"/>
                                        <w:left w:val="none" w:sz="0" w:space="0" w:color="auto"/>
                                        <w:bottom w:val="none" w:sz="0" w:space="0" w:color="auto"/>
                                        <w:right w:val="none" w:sz="0" w:space="0" w:color="auto"/>
                                      </w:divBdr>
                                      <w:divsChild>
                                        <w:div w:id="1401051070">
                                          <w:marLeft w:val="0"/>
                                          <w:marRight w:val="0"/>
                                          <w:marTop w:val="0"/>
                                          <w:marBottom w:val="0"/>
                                          <w:divBdr>
                                            <w:top w:val="none" w:sz="0" w:space="0" w:color="auto"/>
                                            <w:left w:val="none" w:sz="0" w:space="0" w:color="auto"/>
                                            <w:bottom w:val="none" w:sz="0" w:space="0" w:color="auto"/>
                                            <w:right w:val="none" w:sz="0" w:space="0" w:color="auto"/>
                                          </w:divBdr>
                                          <w:divsChild>
                                            <w:div w:id="15161285">
                                              <w:marLeft w:val="0"/>
                                              <w:marRight w:val="0"/>
                                              <w:marTop w:val="0"/>
                                              <w:marBottom w:val="0"/>
                                              <w:divBdr>
                                                <w:top w:val="none" w:sz="0" w:space="0" w:color="auto"/>
                                                <w:left w:val="none" w:sz="0" w:space="0" w:color="auto"/>
                                                <w:bottom w:val="none" w:sz="0" w:space="0" w:color="auto"/>
                                                <w:right w:val="none" w:sz="0" w:space="0" w:color="auto"/>
                                              </w:divBdr>
                                              <w:divsChild>
                                                <w:div w:id="364524701">
                                                  <w:marLeft w:val="0"/>
                                                  <w:marRight w:val="0"/>
                                                  <w:marTop w:val="0"/>
                                                  <w:marBottom w:val="0"/>
                                                  <w:divBdr>
                                                    <w:top w:val="none" w:sz="0" w:space="0" w:color="auto"/>
                                                    <w:left w:val="none" w:sz="0" w:space="0" w:color="auto"/>
                                                    <w:bottom w:val="none" w:sz="0" w:space="0" w:color="auto"/>
                                                    <w:right w:val="none" w:sz="0" w:space="0" w:color="auto"/>
                                                  </w:divBdr>
                                                  <w:divsChild>
                                                    <w:div w:id="1299070540">
                                                      <w:marLeft w:val="0"/>
                                                      <w:marRight w:val="0"/>
                                                      <w:marTop w:val="0"/>
                                                      <w:marBottom w:val="0"/>
                                                      <w:divBdr>
                                                        <w:top w:val="none" w:sz="0" w:space="0" w:color="auto"/>
                                                        <w:left w:val="none" w:sz="0" w:space="0" w:color="auto"/>
                                                        <w:bottom w:val="none" w:sz="0" w:space="0" w:color="auto"/>
                                                        <w:right w:val="none" w:sz="0" w:space="0" w:color="auto"/>
                                                      </w:divBdr>
                                                      <w:divsChild>
                                                        <w:div w:id="189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629134">
      <w:bodyDiv w:val="1"/>
      <w:marLeft w:val="0"/>
      <w:marRight w:val="0"/>
      <w:marTop w:val="0"/>
      <w:marBottom w:val="0"/>
      <w:divBdr>
        <w:top w:val="none" w:sz="0" w:space="0" w:color="auto"/>
        <w:left w:val="none" w:sz="0" w:space="0" w:color="auto"/>
        <w:bottom w:val="none" w:sz="0" w:space="0" w:color="auto"/>
        <w:right w:val="none" w:sz="0" w:space="0" w:color="auto"/>
      </w:divBdr>
      <w:divsChild>
        <w:div w:id="73627811">
          <w:marLeft w:val="0"/>
          <w:marRight w:val="0"/>
          <w:marTop w:val="0"/>
          <w:marBottom w:val="0"/>
          <w:divBdr>
            <w:top w:val="none" w:sz="0" w:space="0" w:color="auto"/>
            <w:left w:val="none" w:sz="0" w:space="0" w:color="auto"/>
            <w:bottom w:val="none" w:sz="0" w:space="0" w:color="auto"/>
            <w:right w:val="none" w:sz="0" w:space="0" w:color="auto"/>
          </w:divBdr>
          <w:divsChild>
            <w:div w:id="1238831155">
              <w:marLeft w:val="0"/>
              <w:marRight w:val="0"/>
              <w:marTop w:val="0"/>
              <w:marBottom w:val="0"/>
              <w:divBdr>
                <w:top w:val="none" w:sz="0" w:space="0" w:color="auto"/>
                <w:left w:val="none" w:sz="0" w:space="0" w:color="auto"/>
                <w:bottom w:val="none" w:sz="0" w:space="0" w:color="auto"/>
                <w:right w:val="none" w:sz="0" w:space="0" w:color="auto"/>
              </w:divBdr>
              <w:divsChild>
                <w:div w:id="346566488">
                  <w:marLeft w:val="0"/>
                  <w:marRight w:val="0"/>
                  <w:marTop w:val="0"/>
                  <w:marBottom w:val="0"/>
                  <w:divBdr>
                    <w:top w:val="none" w:sz="0" w:space="0" w:color="auto"/>
                    <w:left w:val="none" w:sz="0" w:space="0" w:color="auto"/>
                    <w:bottom w:val="none" w:sz="0" w:space="0" w:color="auto"/>
                    <w:right w:val="none" w:sz="0" w:space="0" w:color="auto"/>
                  </w:divBdr>
                  <w:divsChild>
                    <w:div w:id="1998418249">
                      <w:marLeft w:val="0"/>
                      <w:marRight w:val="0"/>
                      <w:marTop w:val="0"/>
                      <w:marBottom w:val="0"/>
                      <w:divBdr>
                        <w:top w:val="none" w:sz="0" w:space="0" w:color="auto"/>
                        <w:left w:val="none" w:sz="0" w:space="0" w:color="auto"/>
                        <w:bottom w:val="none" w:sz="0" w:space="0" w:color="auto"/>
                        <w:right w:val="none" w:sz="0" w:space="0" w:color="auto"/>
                      </w:divBdr>
                      <w:divsChild>
                        <w:div w:id="470514940">
                          <w:marLeft w:val="0"/>
                          <w:marRight w:val="1200"/>
                          <w:marTop w:val="300"/>
                          <w:marBottom w:val="0"/>
                          <w:divBdr>
                            <w:top w:val="none" w:sz="0" w:space="0" w:color="auto"/>
                            <w:left w:val="none" w:sz="0" w:space="0" w:color="auto"/>
                            <w:bottom w:val="none" w:sz="0" w:space="0" w:color="auto"/>
                            <w:right w:val="none" w:sz="0" w:space="0" w:color="auto"/>
                          </w:divBdr>
                          <w:divsChild>
                            <w:div w:id="1263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4542">
      <w:bodyDiv w:val="1"/>
      <w:marLeft w:val="0"/>
      <w:marRight w:val="0"/>
      <w:marTop w:val="0"/>
      <w:marBottom w:val="0"/>
      <w:divBdr>
        <w:top w:val="none" w:sz="0" w:space="0" w:color="auto"/>
        <w:left w:val="none" w:sz="0" w:space="0" w:color="auto"/>
        <w:bottom w:val="none" w:sz="0" w:space="0" w:color="auto"/>
        <w:right w:val="none" w:sz="0" w:space="0" w:color="auto"/>
      </w:divBdr>
      <w:divsChild>
        <w:div w:id="478033158">
          <w:marLeft w:val="0"/>
          <w:marRight w:val="0"/>
          <w:marTop w:val="0"/>
          <w:marBottom w:val="0"/>
          <w:divBdr>
            <w:top w:val="none" w:sz="0" w:space="0" w:color="auto"/>
            <w:left w:val="none" w:sz="0" w:space="0" w:color="auto"/>
            <w:bottom w:val="none" w:sz="0" w:space="0" w:color="auto"/>
            <w:right w:val="none" w:sz="0" w:space="0" w:color="auto"/>
          </w:divBdr>
          <w:divsChild>
            <w:div w:id="1707633385">
              <w:marLeft w:val="0"/>
              <w:marRight w:val="0"/>
              <w:marTop w:val="0"/>
              <w:marBottom w:val="0"/>
              <w:divBdr>
                <w:top w:val="none" w:sz="0" w:space="0" w:color="auto"/>
                <w:left w:val="none" w:sz="0" w:space="0" w:color="auto"/>
                <w:bottom w:val="none" w:sz="0" w:space="0" w:color="auto"/>
                <w:right w:val="none" w:sz="0" w:space="0" w:color="auto"/>
              </w:divBdr>
              <w:divsChild>
                <w:div w:id="1583831306">
                  <w:marLeft w:val="0"/>
                  <w:marRight w:val="0"/>
                  <w:marTop w:val="0"/>
                  <w:marBottom w:val="0"/>
                  <w:divBdr>
                    <w:top w:val="none" w:sz="0" w:space="0" w:color="auto"/>
                    <w:left w:val="none" w:sz="0" w:space="0" w:color="auto"/>
                    <w:bottom w:val="none" w:sz="0" w:space="0" w:color="auto"/>
                    <w:right w:val="none" w:sz="0" w:space="0" w:color="auto"/>
                  </w:divBdr>
                  <w:divsChild>
                    <w:div w:id="1094401828">
                      <w:marLeft w:val="0"/>
                      <w:marRight w:val="0"/>
                      <w:marTop w:val="0"/>
                      <w:marBottom w:val="0"/>
                      <w:divBdr>
                        <w:top w:val="none" w:sz="0" w:space="0" w:color="auto"/>
                        <w:left w:val="none" w:sz="0" w:space="0" w:color="auto"/>
                        <w:bottom w:val="none" w:sz="0" w:space="0" w:color="auto"/>
                        <w:right w:val="none" w:sz="0" w:space="0" w:color="auto"/>
                      </w:divBdr>
                      <w:divsChild>
                        <w:div w:id="27722368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05542875">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369404929">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641381816">
      <w:bodyDiv w:val="1"/>
      <w:marLeft w:val="0"/>
      <w:marRight w:val="0"/>
      <w:marTop w:val="0"/>
      <w:marBottom w:val="0"/>
      <w:divBdr>
        <w:top w:val="none" w:sz="0" w:space="0" w:color="auto"/>
        <w:left w:val="none" w:sz="0" w:space="0" w:color="auto"/>
        <w:bottom w:val="none" w:sz="0" w:space="0" w:color="auto"/>
        <w:right w:val="none" w:sz="0" w:space="0" w:color="auto"/>
      </w:divBdr>
      <w:divsChild>
        <w:div w:id="1697848811">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584070581">
                  <w:marLeft w:val="0"/>
                  <w:marRight w:val="0"/>
                  <w:marTop w:val="0"/>
                  <w:marBottom w:val="0"/>
                  <w:divBdr>
                    <w:top w:val="none" w:sz="0" w:space="0" w:color="auto"/>
                    <w:left w:val="none" w:sz="0" w:space="0" w:color="auto"/>
                    <w:bottom w:val="none" w:sz="0" w:space="0" w:color="auto"/>
                    <w:right w:val="none" w:sz="0" w:space="0" w:color="auto"/>
                  </w:divBdr>
                  <w:divsChild>
                    <w:div w:id="234246708">
                      <w:marLeft w:val="0"/>
                      <w:marRight w:val="0"/>
                      <w:marTop w:val="0"/>
                      <w:marBottom w:val="0"/>
                      <w:divBdr>
                        <w:top w:val="none" w:sz="0" w:space="0" w:color="auto"/>
                        <w:left w:val="none" w:sz="0" w:space="0" w:color="auto"/>
                        <w:bottom w:val="none" w:sz="0" w:space="0" w:color="auto"/>
                        <w:right w:val="none" w:sz="0" w:space="0" w:color="auto"/>
                      </w:divBdr>
                      <w:divsChild>
                        <w:div w:id="1959140374">
                          <w:marLeft w:val="0"/>
                          <w:marRight w:val="0"/>
                          <w:marTop w:val="0"/>
                          <w:marBottom w:val="0"/>
                          <w:divBdr>
                            <w:top w:val="none" w:sz="0" w:space="0" w:color="auto"/>
                            <w:left w:val="none" w:sz="0" w:space="0" w:color="auto"/>
                            <w:bottom w:val="none" w:sz="0" w:space="0" w:color="auto"/>
                            <w:right w:val="none" w:sz="0" w:space="0" w:color="auto"/>
                          </w:divBdr>
                          <w:divsChild>
                            <w:div w:id="699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0785">
      <w:bodyDiv w:val="1"/>
      <w:marLeft w:val="0"/>
      <w:marRight w:val="0"/>
      <w:marTop w:val="0"/>
      <w:marBottom w:val="0"/>
      <w:divBdr>
        <w:top w:val="none" w:sz="0" w:space="0" w:color="auto"/>
        <w:left w:val="none" w:sz="0" w:space="0" w:color="auto"/>
        <w:bottom w:val="none" w:sz="0" w:space="0" w:color="auto"/>
        <w:right w:val="none" w:sz="0" w:space="0" w:color="auto"/>
      </w:divBdr>
      <w:divsChild>
        <w:div w:id="2111729938">
          <w:marLeft w:val="0"/>
          <w:marRight w:val="0"/>
          <w:marTop w:val="0"/>
          <w:marBottom w:val="0"/>
          <w:divBdr>
            <w:top w:val="none" w:sz="0" w:space="0" w:color="auto"/>
            <w:left w:val="none" w:sz="0" w:space="0" w:color="auto"/>
            <w:bottom w:val="none" w:sz="0" w:space="0" w:color="auto"/>
            <w:right w:val="none" w:sz="0" w:space="0" w:color="auto"/>
          </w:divBdr>
          <w:divsChild>
            <w:div w:id="1026717968">
              <w:marLeft w:val="0"/>
              <w:marRight w:val="0"/>
              <w:marTop w:val="0"/>
              <w:marBottom w:val="0"/>
              <w:divBdr>
                <w:top w:val="none" w:sz="0" w:space="0" w:color="auto"/>
                <w:left w:val="none" w:sz="0" w:space="0" w:color="auto"/>
                <w:bottom w:val="none" w:sz="0" w:space="0" w:color="auto"/>
                <w:right w:val="none" w:sz="0" w:space="0" w:color="auto"/>
              </w:divBdr>
              <w:divsChild>
                <w:div w:id="1400009868">
                  <w:marLeft w:val="0"/>
                  <w:marRight w:val="0"/>
                  <w:marTop w:val="0"/>
                  <w:marBottom w:val="0"/>
                  <w:divBdr>
                    <w:top w:val="none" w:sz="0" w:space="0" w:color="auto"/>
                    <w:left w:val="none" w:sz="0" w:space="0" w:color="auto"/>
                    <w:bottom w:val="none" w:sz="0" w:space="0" w:color="auto"/>
                    <w:right w:val="none" w:sz="0" w:space="0" w:color="auto"/>
                  </w:divBdr>
                  <w:divsChild>
                    <w:div w:id="319699661">
                      <w:marLeft w:val="0"/>
                      <w:marRight w:val="0"/>
                      <w:marTop w:val="0"/>
                      <w:marBottom w:val="0"/>
                      <w:divBdr>
                        <w:top w:val="none" w:sz="0" w:space="0" w:color="auto"/>
                        <w:left w:val="none" w:sz="0" w:space="0" w:color="auto"/>
                        <w:bottom w:val="none" w:sz="0" w:space="0" w:color="auto"/>
                        <w:right w:val="none" w:sz="0" w:space="0" w:color="auto"/>
                      </w:divBdr>
                      <w:divsChild>
                        <w:div w:id="901258356">
                          <w:marLeft w:val="0"/>
                          <w:marRight w:val="0"/>
                          <w:marTop w:val="0"/>
                          <w:marBottom w:val="0"/>
                          <w:divBdr>
                            <w:top w:val="none" w:sz="0" w:space="0" w:color="auto"/>
                            <w:left w:val="none" w:sz="0" w:space="0" w:color="auto"/>
                            <w:bottom w:val="none" w:sz="0" w:space="0" w:color="auto"/>
                            <w:right w:val="none" w:sz="0" w:space="0" w:color="auto"/>
                          </w:divBdr>
                          <w:divsChild>
                            <w:div w:id="5680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33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781365564">
      <w:bodyDiv w:val="1"/>
      <w:marLeft w:val="0"/>
      <w:marRight w:val="0"/>
      <w:marTop w:val="0"/>
      <w:marBottom w:val="0"/>
      <w:divBdr>
        <w:top w:val="none" w:sz="0" w:space="0" w:color="auto"/>
        <w:left w:val="none" w:sz="0" w:space="0" w:color="auto"/>
        <w:bottom w:val="none" w:sz="0" w:space="0" w:color="auto"/>
        <w:right w:val="none" w:sz="0" w:space="0" w:color="auto"/>
      </w:divBdr>
    </w:div>
    <w:div w:id="1816488618">
      <w:bodyDiv w:val="1"/>
      <w:marLeft w:val="0"/>
      <w:marRight w:val="0"/>
      <w:marTop w:val="0"/>
      <w:marBottom w:val="0"/>
      <w:divBdr>
        <w:top w:val="none" w:sz="0" w:space="0" w:color="auto"/>
        <w:left w:val="none" w:sz="0" w:space="0" w:color="auto"/>
        <w:bottom w:val="none" w:sz="0" w:space="0" w:color="auto"/>
        <w:right w:val="none" w:sz="0" w:space="0" w:color="auto"/>
      </w:divBdr>
      <w:divsChild>
        <w:div w:id="1275287397">
          <w:marLeft w:val="0"/>
          <w:marRight w:val="0"/>
          <w:marTop w:val="0"/>
          <w:marBottom w:val="0"/>
          <w:divBdr>
            <w:top w:val="none" w:sz="0" w:space="0" w:color="auto"/>
            <w:left w:val="none" w:sz="0" w:space="0" w:color="auto"/>
            <w:bottom w:val="none" w:sz="0" w:space="0" w:color="auto"/>
            <w:right w:val="none" w:sz="0" w:space="0" w:color="auto"/>
          </w:divBdr>
          <w:divsChild>
            <w:div w:id="546529986">
              <w:marLeft w:val="0"/>
              <w:marRight w:val="0"/>
              <w:marTop w:val="0"/>
              <w:marBottom w:val="0"/>
              <w:divBdr>
                <w:top w:val="none" w:sz="0" w:space="0" w:color="auto"/>
                <w:left w:val="none" w:sz="0" w:space="0" w:color="auto"/>
                <w:bottom w:val="none" w:sz="0" w:space="0" w:color="auto"/>
                <w:right w:val="none" w:sz="0" w:space="0" w:color="auto"/>
              </w:divBdr>
              <w:divsChild>
                <w:div w:id="196743694">
                  <w:marLeft w:val="0"/>
                  <w:marRight w:val="0"/>
                  <w:marTop w:val="100"/>
                  <w:marBottom w:val="100"/>
                  <w:divBdr>
                    <w:top w:val="none" w:sz="0" w:space="0" w:color="auto"/>
                    <w:left w:val="none" w:sz="0" w:space="0" w:color="auto"/>
                    <w:bottom w:val="none" w:sz="0" w:space="0" w:color="auto"/>
                    <w:right w:val="none" w:sz="0" w:space="0" w:color="auto"/>
                  </w:divBdr>
                  <w:divsChild>
                    <w:div w:id="729116186">
                      <w:marLeft w:val="0"/>
                      <w:marRight w:val="0"/>
                      <w:marTop w:val="0"/>
                      <w:marBottom w:val="0"/>
                      <w:divBdr>
                        <w:top w:val="none" w:sz="0" w:space="0" w:color="auto"/>
                        <w:left w:val="none" w:sz="0" w:space="0" w:color="auto"/>
                        <w:bottom w:val="none" w:sz="0" w:space="0" w:color="auto"/>
                        <w:right w:val="none" w:sz="0" w:space="0" w:color="auto"/>
                      </w:divBdr>
                      <w:divsChild>
                        <w:div w:id="1633904044">
                          <w:marLeft w:val="0"/>
                          <w:marRight w:val="0"/>
                          <w:marTop w:val="0"/>
                          <w:marBottom w:val="0"/>
                          <w:divBdr>
                            <w:top w:val="none" w:sz="0" w:space="0" w:color="auto"/>
                            <w:left w:val="none" w:sz="0" w:space="0" w:color="auto"/>
                            <w:bottom w:val="none" w:sz="0" w:space="0" w:color="auto"/>
                            <w:right w:val="none" w:sz="0" w:space="0" w:color="auto"/>
                          </w:divBdr>
                          <w:divsChild>
                            <w:div w:id="292565755">
                              <w:marLeft w:val="0"/>
                              <w:marRight w:val="0"/>
                              <w:marTop w:val="0"/>
                              <w:marBottom w:val="0"/>
                              <w:divBdr>
                                <w:top w:val="none" w:sz="0" w:space="0" w:color="auto"/>
                                <w:left w:val="none" w:sz="0" w:space="0" w:color="auto"/>
                                <w:bottom w:val="none" w:sz="0" w:space="0" w:color="auto"/>
                                <w:right w:val="none" w:sz="0" w:space="0" w:color="auto"/>
                              </w:divBdr>
                              <w:divsChild>
                                <w:div w:id="203710985">
                                  <w:marLeft w:val="0"/>
                                  <w:marRight w:val="0"/>
                                  <w:marTop w:val="0"/>
                                  <w:marBottom w:val="0"/>
                                  <w:divBdr>
                                    <w:top w:val="none" w:sz="0" w:space="0" w:color="auto"/>
                                    <w:left w:val="none" w:sz="0" w:space="0" w:color="auto"/>
                                    <w:bottom w:val="none" w:sz="0" w:space="0" w:color="auto"/>
                                    <w:right w:val="none" w:sz="0" w:space="0" w:color="auto"/>
                                  </w:divBdr>
                                  <w:divsChild>
                                    <w:div w:id="2067990982">
                                      <w:marLeft w:val="0"/>
                                      <w:marRight w:val="0"/>
                                      <w:marTop w:val="0"/>
                                      <w:marBottom w:val="0"/>
                                      <w:divBdr>
                                        <w:top w:val="none" w:sz="0" w:space="0" w:color="auto"/>
                                        <w:left w:val="none" w:sz="0" w:space="0" w:color="auto"/>
                                        <w:bottom w:val="none" w:sz="0" w:space="0" w:color="auto"/>
                                        <w:right w:val="none" w:sz="0" w:space="0" w:color="auto"/>
                                      </w:divBdr>
                                      <w:divsChild>
                                        <w:div w:id="1461804338">
                                          <w:marLeft w:val="0"/>
                                          <w:marRight w:val="0"/>
                                          <w:marTop w:val="0"/>
                                          <w:marBottom w:val="360"/>
                                          <w:divBdr>
                                            <w:top w:val="none" w:sz="0" w:space="0" w:color="auto"/>
                                            <w:left w:val="none" w:sz="0" w:space="0" w:color="auto"/>
                                            <w:bottom w:val="none" w:sz="0" w:space="0" w:color="auto"/>
                                            <w:right w:val="none" w:sz="0" w:space="0" w:color="auto"/>
                                          </w:divBdr>
                                          <w:divsChild>
                                            <w:div w:id="1411123793">
                                              <w:marLeft w:val="0"/>
                                              <w:marRight w:val="0"/>
                                              <w:marTop w:val="0"/>
                                              <w:marBottom w:val="0"/>
                                              <w:divBdr>
                                                <w:top w:val="none" w:sz="0" w:space="0" w:color="auto"/>
                                                <w:left w:val="none" w:sz="0" w:space="0" w:color="auto"/>
                                                <w:bottom w:val="none" w:sz="0" w:space="0" w:color="auto"/>
                                                <w:right w:val="none" w:sz="0" w:space="0" w:color="auto"/>
                                              </w:divBdr>
                                              <w:divsChild>
                                                <w:div w:id="921720376">
                                                  <w:marLeft w:val="0"/>
                                                  <w:marRight w:val="0"/>
                                                  <w:marTop w:val="0"/>
                                                  <w:marBottom w:val="0"/>
                                                  <w:divBdr>
                                                    <w:top w:val="none" w:sz="0" w:space="0" w:color="auto"/>
                                                    <w:left w:val="none" w:sz="0" w:space="0" w:color="auto"/>
                                                    <w:bottom w:val="none" w:sz="0" w:space="0" w:color="auto"/>
                                                    <w:right w:val="none" w:sz="0" w:space="0" w:color="auto"/>
                                                  </w:divBdr>
                                                  <w:divsChild>
                                                    <w:div w:id="545487255">
                                                      <w:marLeft w:val="5370"/>
                                                      <w:marRight w:val="0"/>
                                                      <w:marTop w:val="120"/>
                                                      <w:marBottom w:val="0"/>
                                                      <w:divBdr>
                                                        <w:top w:val="none" w:sz="0" w:space="0" w:color="auto"/>
                                                        <w:left w:val="none" w:sz="0" w:space="0" w:color="auto"/>
                                                        <w:bottom w:val="none" w:sz="0" w:space="0" w:color="auto"/>
                                                        <w:right w:val="none" w:sz="0" w:space="0" w:color="auto"/>
                                                      </w:divBdr>
                                                      <w:divsChild>
                                                        <w:div w:id="3595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 w:id="2142730026">
      <w:bodyDiv w:val="1"/>
      <w:marLeft w:val="0"/>
      <w:marRight w:val="0"/>
      <w:marTop w:val="0"/>
      <w:marBottom w:val="0"/>
      <w:divBdr>
        <w:top w:val="none" w:sz="0" w:space="0" w:color="auto"/>
        <w:left w:val="none" w:sz="0" w:space="0" w:color="auto"/>
        <w:bottom w:val="none" w:sz="0" w:space="0" w:color="auto"/>
        <w:right w:val="none" w:sz="0" w:space="0" w:color="auto"/>
      </w:divBdr>
    </w:div>
    <w:div w:id="2143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cations.gov.au/what-we-do/television/media/acma-review" TargetMode="External"/><Relationship Id="rId18" Type="http://schemas.openxmlformats.org/officeDocument/2006/relationships/hyperlink" Target="mailto:ACMAreview@communication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jpg@01CF53E2.F599DED0" TargetMode="External"/><Relationship Id="rId17" Type="http://schemas.openxmlformats.org/officeDocument/2006/relationships/hyperlink" Target="https://www.communications.gov.au/have-your-s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inance.gov.au/resource-management/governance/contestability/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uttingredtape.gov.au/resources/rp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CMArevie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MAreview@communications.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ims.dept.gov.au/tccache73/4351573/www.communications.gov.au" TargetMode="External"/><Relationship Id="rId2" Type="http://schemas.openxmlformats.org/officeDocument/2006/relationships/hyperlink" Target="http://www.acma.gov.au/theACMA/enduring-concepts-building-blocks-for-a-converged-media-and-communications-future" TargetMode="External"/><Relationship Id="rId1" Type="http://schemas.openxmlformats.org/officeDocument/2006/relationships/hyperlink" Target="http://www.acma.gov.au/theACMA/About/The-ACMA-story/Connected-regulation/broken-concep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Policy%20background%20paper_TEMPLATE.dotx" TargetMode="External"/></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777B279B406F444584CE2BDF5F7FC894" ma:contentTypeVersion="18" ma:contentTypeDescription="106" ma:contentTypeScope="" ma:versionID="9cea53e9eb6fd85823d244f32618d5ce">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UDF_String_39 xmlns="4597da67-68a3-4e9d-8803-ba3e1787ab6c" xsi:nil="true"/>
    <TaxCatchAll xmlns="4597da67-68a3-4e9d-8803-ba3e1787ab6c"/>
    <me786d0e3c9949dc83d6a9826d3f7afb xmlns="4597da67-68a3-4e9d-8803-ba3e1787ab6c">
      <Terms xmlns="http://schemas.microsoft.com/office/infopath/2007/PartnerControls"/>
    </me786d0e3c9949dc83d6a9826d3f7afb>
    <e65fcc6ef396426b9c231bd6b3bc54de xmlns="4597da67-68a3-4e9d-8803-ba3e1787ab6c">
      <Terms xmlns="http://schemas.microsoft.com/office/infopath/2007/PartnerControls"/>
    </e65fcc6ef396426b9c231bd6b3bc54de>
    <trimRootDocACLCanUpdateDocument xmlns="4597da67-68a3-4e9d-8803-ba3e1787ab6c">Inherit</trimRootDocACLCanUpdateDocument>
    <TrimUDF_String_40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Inherit</trimRootDocACLCanModifyAccess>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e74c999a0f514bafbaad1ae53c56eac2 xmlns="4597da67-68a3-4e9d-8803-ba3e1787ab6c">
      <Terms xmlns="http://schemas.microsoft.com/office/infopath/2007/PartnerControls"/>
    </e74c999a0f514bafbaad1ae53c56eac2>
    <trimRootDocURI xmlns="4597da67-68a3-4e9d-8803-ba3e1787ab6c">4003265</trimRootDocURI>
    <trimRootDocNotes xmlns="4597da67-68a3-4e9d-8803-ba3e1787ab6c" xsi:nil="true"/>
    <TrimUDF_String_696 xmlns="4597da67-68a3-4e9d-8803-ba3e1787ab6c" xsi:nil="true"/>
    <trimRootDocACLCanContributeDocuments xmlns="4597da67-68a3-4e9d-8803-ba3e1787ab6c">Inherit</trimRootDocACLCanContributeDocuments>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Inherit</trimRootDocACLCanUpdateMetadata>
    <trimRootDocSecurityLevel xmlns="4597da67-68a3-4e9d-8803-ba3e1787ab6c">For Official Use Only</trimRootDocSecurityLevel>
    <trimRootDocACLCanViewMetadata xmlns="4597da67-68a3-4e9d-8803-ba3e1787ab6c">Inherit</trimRootDocACLCanViewMetadata>
    <TrimUDF_Text_706 xmlns="4597da67-68a3-4e9d-8803-ba3e1787ab6c" xsi:nil="true"/>
    <trimRootDocACLCanViewDocument xmlns="4597da67-68a3-4e9d-8803-ba3e1787ab6c">Inherit</trimRootDocACLCanViewDocument>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A623-9388-4386-9AF8-0CBBCFC8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76034-9C51-438B-A0CD-8AD32B8BE0B1}">
  <ds:schemaRefs>
    <ds:schemaRef ds:uri="http://schemas.microsoft.com/sharepoint/v3/contenttype/forms"/>
  </ds:schemaRefs>
</ds:datastoreItem>
</file>

<file path=customXml/itemProps3.xml><?xml version="1.0" encoding="utf-8"?>
<ds:datastoreItem xmlns:ds="http://schemas.openxmlformats.org/officeDocument/2006/customXml" ds:itemID="{D7D0BCE3-4AE9-451F-AABC-9D6FFE9FDB35}">
  <ds:schemaRefs>
    <ds:schemaRef ds:uri="http://schemas.microsoft.com/office/2006/metadata/properties"/>
    <ds:schemaRef ds:uri="http://schemas.microsoft.com/office/infopath/2007/PartnerControls"/>
    <ds:schemaRef ds:uri="4597da67-68a3-4e9d-8803-ba3e1787ab6c"/>
  </ds:schemaRefs>
</ds:datastoreItem>
</file>

<file path=customXml/itemProps4.xml><?xml version="1.0" encoding="utf-8"?>
<ds:datastoreItem xmlns:ds="http://schemas.openxmlformats.org/officeDocument/2006/customXml" ds:itemID="{E964D424-F05C-4581-AEE2-D31F6621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background paper_TEMPLATE.dotx</Template>
  <TotalTime>15</TotalTime>
  <Pages>14</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ACMA Review_Issues Paper_FINAL FOR PUBLICATION_13 July 2015</vt:lpstr>
    </vt:vector>
  </TitlesOfParts>
  <Company>DBCDE</Company>
  <LinksUpToDate>false</LinksUpToDate>
  <CharactersWithSpaces>33467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Review_Issues Paper_FINAL FOR PUBLICATION_13 July 2015</dc:title>
  <dc:subject>Triple, Zero, review, discussion, paper</dc:subject>
  <dc:creator>Morice, Tara</dc:creator>
  <dc:description>Review of the Triple Zero National Call Operator - Discussion Paper</dc:description>
  <cp:lastModifiedBy>Anderson, Luisa</cp:lastModifiedBy>
  <cp:revision>4</cp:revision>
  <cp:lastPrinted>2015-07-07T02:06:00Z</cp:lastPrinted>
  <dcterms:created xsi:type="dcterms:W3CDTF">2015-07-12T22:49:00Z</dcterms:created>
  <dcterms:modified xsi:type="dcterms:W3CDTF">2015-07-12T23:41:00Z</dcterms:modified>
  <cp:category>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ContentTypeId">
    <vt:lpwstr>0x010100407620DDFF47524F86BCF55EDD394643010019E00E38CBD7094495F643406AE40ABA</vt:lpwstr>
  </property>
  <property fmtid="{D5CDD505-2E9C-101B-9397-08002B2CF9AE}" pid="3" name="ContentType">
    <vt:lpwstr>DEPT DOCUMENT</vt:lpwstr>
  </property>
  <property fmtid="{D5CDD505-2E9C-101B-9397-08002B2CF9AE}" pid="4" name="SelectedContainerURI">
    <vt:lpwstr>2832026</vt:lpwstr>
  </property>
  <property fmtid="{D5CDD505-2E9C-101B-9397-08002B2CF9AE}" pid="5" name="ContentTypeId">
    <vt:lpwstr>0x010100407620DDFF47524F86BCF55EDD3946430100777B279B406F444584CE2BDF5F7FC894</vt:lpwstr>
  </property>
  <property fmtid="{D5CDD505-2E9C-101B-9397-08002B2CF9AE}" pid="6" name="TrimRevisionNumber">
    <vt:i4>2</vt:i4>
  </property>
  <property fmtid="{D5CDD505-2E9C-101B-9397-08002B2CF9AE}" pid="7" name="trimRootDocClassification">
    <vt:lpwstr/>
  </property>
  <property fmtid="{D5CDD505-2E9C-101B-9397-08002B2CF9AE}" pid="8" name="trimRootDocAssigneeLocation">
    <vt:lpwstr/>
  </property>
  <property fmtid="{D5CDD505-2E9C-101B-9397-08002B2CF9AE}" pid="9" name="trimRootDocACLCanUpdateMetadata_List">
    <vt:lpwstr/>
  </property>
  <property fmtid="{D5CDD505-2E9C-101B-9397-08002B2CF9AE}" pid="10" name="trimRootDocOtherContactLocation">
    <vt:lpwstr/>
  </property>
  <property fmtid="{D5CDD505-2E9C-101B-9397-08002B2CF9AE}" pid="11" name="trimRootDocACLCanModifyAccess_List">
    <vt:lpwstr/>
  </property>
  <property fmtid="{D5CDD505-2E9C-101B-9397-08002B2CF9AE}" pid="12" name="trimRootDocACLCanUpdateDocument_List">
    <vt:lpwstr/>
  </property>
  <property fmtid="{D5CDD505-2E9C-101B-9397-08002B2CF9AE}" pid="13" name="trimRootDocACLCanViewMetadata_List">
    <vt:lpwstr/>
  </property>
  <property fmtid="{D5CDD505-2E9C-101B-9397-08002B2CF9AE}" pid="14" name="trimRootDocACLCanViewDocument_List">
    <vt:lpwstr/>
  </property>
  <property fmtid="{D5CDD505-2E9C-101B-9397-08002B2CF9AE}" pid="15" name="trimRootDocOwnerLocation">
    <vt:lpwstr/>
  </property>
  <property fmtid="{D5CDD505-2E9C-101B-9397-08002B2CF9AE}" pid="16" name="trimRootDocACLCanContributeDocuments_List">
    <vt:lpwstr/>
  </property>
</Properties>
</file>